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D6B6C">
      <w:pPr>
        <w:ind w:left="419" w:hanging="502" w:hangingChars="139"/>
        <w:jc w:val="center"/>
        <w:outlineLvl w:val="0"/>
        <w:rPr>
          <w:rFonts w:hint="eastAsia"/>
          <w:b/>
          <w:bCs/>
          <w:color w:val="auto"/>
          <w:sz w:val="36"/>
          <w:szCs w:val="36"/>
          <w:highlight w:val="none"/>
        </w:rPr>
      </w:pPr>
      <w:bookmarkStart w:id="0" w:name="_Toc12187"/>
      <w:bookmarkStart w:id="1" w:name="_Toc18829"/>
      <w:bookmarkStart w:id="2" w:name="_Toc3770"/>
      <w:bookmarkStart w:id="3" w:name="_Toc8563"/>
      <w:bookmarkStart w:id="4" w:name="_Toc22268"/>
      <w:bookmarkStart w:id="5" w:name="_Toc3322"/>
      <w:r>
        <w:rPr>
          <w:rFonts w:hint="eastAsia"/>
          <w:b/>
          <w:bCs/>
          <w:color w:val="auto"/>
          <w:sz w:val="36"/>
          <w:szCs w:val="36"/>
          <w:highlight w:val="none"/>
        </w:rPr>
        <w:t>广州市足球体育运动场项目幕墙、屋面及泛光照明工程</w:t>
      </w:r>
      <w:bookmarkEnd w:id="0"/>
      <w:bookmarkEnd w:id="1"/>
      <w:bookmarkEnd w:id="2"/>
      <w:bookmarkEnd w:id="3"/>
      <w:bookmarkEnd w:id="4"/>
      <w:bookmarkEnd w:id="5"/>
    </w:p>
    <w:p w14:paraId="1B2FA3E1">
      <w:pPr>
        <w:ind w:left="419" w:hanging="502" w:hangingChars="139"/>
        <w:jc w:val="center"/>
        <w:outlineLvl w:val="0"/>
        <w:rPr>
          <w:rFonts w:hint="eastAsia"/>
          <w:b/>
          <w:bCs/>
          <w:color w:val="auto"/>
          <w:sz w:val="36"/>
          <w:szCs w:val="36"/>
          <w:highlight w:val="none"/>
        </w:rPr>
      </w:pPr>
      <w:bookmarkStart w:id="6" w:name="_Toc9994"/>
      <w:bookmarkStart w:id="7" w:name="_Toc24945"/>
      <w:bookmarkStart w:id="8" w:name="_Toc6317"/>
      <w:bookmarkStart w:id="9" w:name="_Toc7224"/>
      <w:bookmarkStart w:id="10" w:name="_Toc745"/>
      <w:bookmarkStart w:id="11" w:name="_Toc15988"/>
      <w:r>
        <w:rPr>
          <w:rFonts w:hint="eastAsia"/>
          <w:b/>
          <w:bCs/>
          <w:color w:val="auto"/>
          <w:sz w:val="36"/>
          <w:szCs w:val="36"/>
          <w:highlight w:val="none"/>
        </w:rPr>
        <w:t>施工专业承包</w:t>
      </w:r>
      <w:bookmarkEnd w:id="6"/>
      <w:bookmarkEnd w:id="7"/>
      <w:bookmarkEnd w:id="8"/>
      <w:bookmarkEnd w:id="9"/>
      <w:bookmarkEnd w:id="10"/>
      <w:bookmarkEnd w:id="11"/>
    </w:p>
    <w:p w14:paraId="709B6D29">
      <w:pPr>
        <w:ind w:left="0" w:leftChars="0" w:firstLine="0" w:firstLineChars="0"/>
        <w:jc w:val="both"/>
        <w:rPr>
          <w:rFonts w:hint="eastAsia"/>
          <w:b/>
          <w:bCs/>
          <w:color w:val="auto"/>
          <w:sz w:val="30"/>
          <w:highlight w:val="none"/>
        </w:rPr>
      </w:pPr>
    </w:p>
    <w:p w14:paraId="09C4A78E">
      <w:pPr>
        <w:ind w:left="419" w:hanging="419" w:hangingChars="139"/>
        <w:jc w:val="center"/>
        <w:rPr>
          <w:rFonts w:hint="eastAsia"/>
          <w:b/>
          <w:bCs/>
          <w:color w:val="auto"/>
          <w:sz w:val="30"/>
          <w:highlight w:val="none"/>
        </w:rPr>
      </w:pPr>
    </w:p>
    <w:p w14:paraId="7EFC84D2">
      <w:pPr>
        <w:ind w:left="419" w:hanging="502" w:hangingChars="139"/>
        <w:jc w:val="center"/>
        <w:outlineLvl w:val="0"/>
        <w:rPr>
          <w:rFonts w:hint="eastAsia"/>
          <w:b/>
          <w:bCs/>
          <w:color w:val="auto"/>
          <w:sz w:val="36"/>
          <w:szCs w:val="36"/>
          <w:highlight w:val="none"/>
          <w:lang w:eastAsia="zh-CN"/>
        </w:rPr>
      </w:pPr>
      <w:bookmarkStart w:id="12" w:name="_Toc21786"/>
      <w:bookmarkStart w:id="13" w:name="_Toc223"/>
      <w:bookmarkStart w:id="14" w:name="_Toc6029"/>
      <w:bookmarkStart w:id="15" w:name="_Toc1409"/>
      <w:bookmarkStart w:id="16" w:name="_Toc23593"/>
      <w:bookmarkStart w:id="17" w:name="_Toc17510"/>
      <w:r>
        <w:rPr>
          <w:rFonts w:hint="eastAsia"/>
          <w:b/>
          <w:bCs/>
          <w:color w:val="auto"/>
          <w:sz w:val="36"/>
          <w:szCs w:val="36"/>
          <w:highlight w:val="none"/>
        </w:rPr>
        <w:t>用户需求书</w:t>
      </w:r>
      <w:bookmarkEnd w:id="12"/>
      <w:bookmarkEnd w:id="13"/>
      <w:bookmarkEnd w:id="14"/>
      <w:bookmarkEnd w:id="15"/>
      <w:bookmarkEnd w:id="16"/>
      <w:bookmarkEnd w:id="17"/>
    </w:p>
    <w:p w14:paraId="5620CE42">
      <w:pPr>
        <w:ind w:left="0" w:leftChars="0" w:firstLine="0" w:firstLineChars="0"/>
        <w:jc w:val="left"/>
        <w:rPr>
          <w:rFonts w:hint="eastAsia" w:eastAsia="宋体"/>
          <w:color w:val="auto"/>
          <w:sz w:val="24"/>
          <w:szCs w:val="24"/>
          <w:highlight w:val="none"/>
          <w:u w:val="single"/>
          <w:lang w:val="en-US" w:eastAsia="zh-CN"/>
        </w:rPr>
      </w:pPr>
    </w:p>
    <w:p w14:paraId="354A11C2">
      <w:pPr>
        <w:ind w:left="0" w:leftChars="0" w:firstLine="0" w:firstLineChars="0"/>
        <w:jc w:val="left"/>
        <w:rPr>
          <w:rFonts w:hint="eastAsia" w:eastAsia="宋体"/>
          <w:color w:val="auto"/>
          <w:sz w:val="24"/>
          <w:szCs w:val="24"/>
          <w:highlight w:val="none"/>
          <w:u w:val="single"/>
          <w:lang w:val="en-US" w:eastAsia="zh-CN"/>
        </w:rPr>
      </w:pPr>
    </w:p>
    <w:p w14:paraId="3981DB84">
      <w:pPr>
        <w:ind w:left="0" w:leftChars="0" w:firstLine="0" w:firstLineChars="0"/>
        <w:jc w:val="left"/>
        <w:rPr>
          <w:rFonts w:hint="eastAsia" w:eastAsia="宋体"/>
          <w:color w:val="auto"/>
          <w:sz w:val="24"/>
          <w:szCs w:val="24"/>
          <w:highlight w:val="none"/>
          <w:u w:val="single"/>
          <w:lang w:val="en-US" w:eastAsia="zh-CN"/>
        </w:rPr>
      </w:pPr>
    </w:p>
    <w:p w14:paraId="11EF0907">
      <w:pPr>
        <w:ind w:left="0" w:leftChars="0" w:firstLine="0" w:firstLineChars="0"/>
        <w:jc w:val="left"/>
        <w:rPr>
          <w:rFonts w:hint="eastAsia" w:eastAsia="宋体"/>
          <w:color w:val="auto"/>
          <w:sz w:val="24"/>
          <w:szCs w:val="24"/>
          <w:highlight w:val="none"/>
          <w:u w:val="single"/>
          <w:lang w:val="en-US" w:eastAsia="zh-CN"/>
        </w:rPr>
      </w:pPr>
    </w:p>
    <w:p w14:paraId="3D8CA129">
      <w:pPr>
        <w:ind w:left="0" w:leftChars="0" w:firstLine="0" w:firstLineChars="0"/>
        <w:jc w:val="left"/>
        <w:rPr>
          <w:rFonts w:hint="eastAsia" w:eastAsia="宋体"/>
          <w:color w:val="auto"/>
          <w:sz w:val="24"/>
          <w:szCs w:val="24"/>
          <w:highlight w:val="none"/>
          <w:u w:val="single"/>
          <w:lang w:val="en-US" w:eastAsia="zh-CN"/>
        </w:rPr>
      </w:pPr>
    </w:p>
    <w:p w14:paraId="2DF06E16">
      <w:pPr>
        <w:ind w:left="0" w:leftChars="0" w:firstLine="0" w:firstLineChars="0"/>
        <w:jc w:val="left"/>
        <w:rPr>
          <w:rFonts w:hint="eastAsia" w:eastAsia="宋体"/>
          <w:color w:val="auto"/>
          <w:sz w:val="24"/>
          <w:szCs w:val="24"/>
          <w:highlight w:val="none"/>
          <w:u w:val="single"/>
          <w:lang w:val="en-US" w:eastAsia="zh-CN"/>
        </w:rPr>
      </w:pPr>
    </w:p>
    <w:p w14:paraId="171FCF0B">
      <w:pPr>
        <w:ind w:left="0" w:leftChars="0" w:firstLine="0" w:firstLineChars="0"/>
        <w:jc w:val="left"/>
        <w:rPr>
          <w:rFonts w:hint="eastAsia" w:eastAsia="宋体"/>
          <w:color w:val="auto"/>
          <w:sz w:val="24"/>
          <w:szCs w:val="24"/>
          <w:highlight w:val="none"/>
          <w:u w:val="single"/>
          <w:lang w:val="en-US" w:eastAsia="zh-CN"/>
        </w:rPr>
      </w:pPr>
    </w:p>
    <w:p w14:paraId="2DD7B53F">
      <w:pPr>
        <w:ind w:left="0" w:leftChars="0" w:firstLine="0" w:firstLineChars="0"/>
        <w:jc w:val="left"/>
        <w:rPr>
          <w:rFonts w:hint="eastAsia" w:eastAsia="宋体"/>
          <w:color w:val="auto"/>
          <w:sz w:val="24"/>
          <w:szCs w:val="24"/>
          <w:highlight w:val="none"/>
          <w:u w:val="single"/>
          <w:lang w:val="en-US" w:eastAsia="zh-CN"/>
        </w:rPr>
      </w:pPr>
    </w:p>
    <w:p w14:paraId="7B821F5B">
      <w:pPr>
        <w:ind w:left="0" w:leftChars="0" w:firstLine="0" w:firstLineChars="0"/>
        <w:jc w:val="left"/>
        <w:rPr>
          <w:rFonts w:hint="eastAsia" w:eastAsia="宋体"/>
          <w:color w:val="auto"/>
          <w:sz w:val="24"/>
          <w:szCs w:val="24"/>
          <w:highlight w:val="none"/>
          <w:u w:val="single"/>
          <w:lang w:val="en-US" w:eastAsia="zh-CN"/>
        </w:rPr>
      </w:pPr>
    </w:p>
    <w:p w14:paraId="3E88969B">
      <w:pPr>
        <w:ind w:left="0" w:leftChars="0" w:firstLine="0" w:firstLineChars="0"/>
        <w:jc w:val="left"/>
        <w:rPr>
          <w:rFonts w:hint="eastAsia" w:eastAsia="宋体"/>
          <w:color w:val="auto"/>
          <w:sz w:val="24"/>
          <w:szCs w:val="24"/>
          <w:highlight w:val="none"/>
          <w:u w:val="single"/>
          <w:lang w:val="en-US" w:eastAsia="zh-CN"/>
        </w:rPr>
      </w:pPr>
    </w:p>
    <w:p w14:paraId="5D0889D2">
      <w:pPr>
        <w:ind w:left="0" w:leftChars="0" w:firstLine="0" w:firstLineChars="0"/>
        <w:jc w:val="left"/>
        <w:rPr>
          <w:rFonts w:hint="eastAsia" w:eastAsia="宋体"/>
          <w:color w:val="auto"/>
          <w:sz w:val="24"/>
          <w:szCs w:val="24"/>
          <w:highlight w:val="none"/>
          <w:u w:val="single"/>
          <w:lang w:val="en-US" w:eastAsia="zh-CN"/>
        </w:rPr>
      </w:pPr>
    </w:p>
    <w:p w14:paraId="7E8A48F5">
      <w:pPr>
        <w:ind w:left="0" w:leftChars="0" w:firstLine="0" w:firstLineChars="0"/>
        <w:jc w:val="left"/>
        <w:rPr>
          <w:rFonts w:hint="eastAsia" w:eastAsia="宋体"/>
          <w:color w:val="auto"/>
          <w:sz w:val="24"/>
          <w:szCs w:val="24"/>
          <w:highlight w:val="none"/>
          <w:u w:val="single"/>
          <w:lang w:val="en-US" w:eastAsia="zh-CN"/>
        </w:rPr>
      </w:pPr>
    </w:p>
    <w:p w14:paraId="708E7199">
      <w:pPr>
        <w:ind w:left="0" w:leftChars="0" w:firstLine="0" w:firstLineChars="0"/>
        <w:jc w:val="left"/>
        <w:rPr>
          <w:rFonts w:hint="eastAsia" w:eastAsia="宋体"/>
          <w:color w:val="auto"/>
          <w:sz w:val="24"/>
          <w:szCs w:val="24"/>
          <w:highlight w:val="none"/>
          <w:u w:val="single"/>
          <w:lang w:val="en-US" w:eastAsia="zh-CN"/>
        </w:rPr>
      </w:pPr>
    </w:p>
    <w:p w14:paraId="4D8E45C9">
      <w:pPr>
        <w:ind w:left="0" w:leftChars="0" w:firstLine="0" w:firstLineChars="0"/>
        <w:jc w:val="left"/>
        <w:rPr>
          <w:rFonts w:hint="eastAsia" w:eastAsia="宋体"/>
          <w:color w:val="auto"/>
          <w:sz w:val="24"/>
          <w:szCs w:val="24"/>
          <w:highlight w:val="none"/>
          <w:u w:val="single"/>
          <w:lang w:val="en-US" w:eastAsia="zh-CN"/>
        </w:rPr>
      </w:pPr>
    </w:p>
    <w:p w14:paraId="0402477A">
      <w:pPr>
        <w:ind w:left="0" w:leftChars="0" w:firstLine="0" w:firstLineChars="0"/>
        <w:jc w:val="left"/>
        <w:rPr>
          <w:rFonts w:hint="eastAsia" w:eastAsia="宋体"/>
          <w:color w:val="auto"/>
          <w:sz w:val="24"/>
          <w:szCs w:val="24"/>
          <w:highlight w:val="none"/>
          <w:u w:val="single"/>
          <w:lang w:val="en-US" w:eastAsia="zh-CN"/>
        </w:rPr>
      </w:pPr>
    </w:p>
    <w:p w14:paraId="426D39DC">
      <w:pPr>
        <w:ind w:left="0" w:leftChars="0" w:firstLine="0" w:firstLineChars="0"/>
        <w:jc w:val="left"/>
        <w:rPr>
          <w:rFonts w:hint="eastAsia" w:eastAsia="宋体"/>
          <w:color w:val="auto"/>
          <w:sz w:val="24"/>
          <w:szCs w:val="24"/>
          <w:highlight w:val="none"/>
          <w:u w:val="single"/>
          <w:lang w:val="en-US" w:eastAsia="zh-CN"/>
        </w:rPr>
      </w:pPr>
    </w:p>
    <w:p w14:paraId="1105E9D8">
      <w:pPr>
        <w:ind w:left="0" w:leftChars="0" w:firstLine="0" w:firstLineChars="0"/>
        <w:jc w:val="left"/>
        <w:rPr>
          <w:rFonts w:hint="eastAsia" w:eastAsia="宋体"/>
          <w:color w:val="auto"/>
          <w:sz w:val="24"/>
          <w:szCs w:val="24"/>
          <w:highlight w:val="none"/>
          <w:u w:val="single"/>
          <w:lang w:val="en-US" w:eastAsia="zh-CN"/>
        </w:rPr>
      </w:pPr>
    </w:p>
    <w:p w14:paraId="016C1F4C">
      <w:pPr>
        <w:ind w:left="0" w:leftChars="0" w:firstLine="0" w:firstLineChars="0"/>
        <w:jc w:val="left"/>
        <w:rPr>
          <w:rFonts w:hint="eastAsia" w:eastAsia="宋体"/>
          <w:color w:val="auto"/>
          <w:sz w:val="24"/>
          <w:szCs w:val="24"/>
          <w:highlight w:val="none"/>
          <w:u w:val="single"/>
          <w:lang w:val="en-US" w:eastAsia="zh-CN"/>
        </w:rPr>
      </w:pPr>
    </w:p>
    <w:p w14:paraId="48250AB3">
      <w:pPr>
        <w:ind w:left="0" w:leftChars="0" w:firstLine="0" w:firstLineChars="0"/>
        <w:jc w:val="left"/>
        <w:rPr>
          <w:rFonts w:hint="eastAsia" w:eastAsia="宋体"/>
          <w:color w:val="auto"/>
          <w:sz w:val="24"/>
          <w:szCs w:val="24"/>
          <w:highlight w:val="none"/>
          <w:u w:val="single"/>
          <w:lang w:val="en-US" w:eastAsia="zh-CN"/>
        </w:rPr>
      </w:pPr>
    </w:p>
    <w:p w14:paraId="5DCC011C">
      <w:pPr>
        <w:spacing w:line="360" w:lineRule="auto"/>
        <w:jc w:val="center"/>
        <w:outlineLvl w:val="0"/>
        <w:rPr>
          <w:rFonts w:hint="eastAsia" w:asciiTheme="minorEastAsia" w:hAnsiTheme="minorEastAsia" w:eastAsiaTheme="minorEastAsia" w:cstheme="minorEastAsia"/>
          <w:sz w:val="28"/>
          <w:szCs w:val="28"/>
        </w:rPr>
      </w:pPr>
      <w:bookmarkStart w:id="18" w:name="_Toc32640"/>
      <w:bookmarkStart w:id="19" w:name="_Toc8194"/>
      <w:bookmarkStart w:id="20" w:name="_Toc1178"/>
      <w:bookmarkStart w:id="21" w:name="_Toc21465"/>
      <w:bookmarkStart w:id="22" w:name="_Toc1982"/>
      <w:bookmarkStart w:id="23" w:name="_Toc28916"/>
      <w:r>
        <w:rPr>
          <w:rFonts w:hint="eastAsia" w:asciiTheme="minorEastAsia" w:hAnsiTheme="minorEastAsia" w:eastAsiaTheme="minorEastAsia" w:cstheme="minorEastAsia"/>
          <w:sz w:val="28"/>
          <w:szCs w:val="28"/>
        </w:rPr>
        <w:t>广东省建筑设计研究院</w:t>
      </w:r>
      <w:r>
        <w:rPr>
          <w:rFonts w:hint="eastAsia" w:asciiTheme="minorEastAsia" w:hAnsiTheme="minorEastAsia" w:eastAsiaTheme="minorEastAsia" w:cstheme="minorEastAsia"/>
          <w:sz w:val="28"/>
          <w:szCs w:val="28"/>
          <w:lang w:val="en-US" w:eastAsia="zh-CN"/>
        </w:rPr>
        <w:t>集团股份</w:t>
      </w:r>
      <w:r>
        <w:rPr>
          <w:rFonts w:hint="eastAsia" w:asciiTheme="minorEastAsia" w:hAnsiTheme="minorEastAsia" w:eastAsiaTheme="minorEastAsia" w:cstheme="minorEastAsia"/>
          <w:sz w:val="28"/>
          <w:szCs w:val="28"/>
        </w:rPr>
        <w:t>有限公司</w:t>
      </w:r>
      <w:bookmarkEnd w:id="18"/>
      <w:bookmarkEnd w:id="19"/>
      <w:bookmarkEnd w:id="20"/>
      <w:bookmarkEnd w:id="21"/>
      <w:bookmarkEnd w:id="22"/>
      <w:bookmarkEnd w:id="23"/>
    </w:p>
    <w:p w14:paraId="5360346D">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年0</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日</w:t>
      </w:r>
    </w:p>
    <w:p w14:paraId="381197F3">
      <w:pPr>
        <w:spacing w:before="0" w:beforeLines="0" w:after="0" w:afterLines="0" w:line="360" w:lineRule="auto"/>
        <w:ind w:left="0" w:leftChars="0" w:right="0" w:rightChars="0" w:firstLine="0" w:firstLineChars="0"/>
        <w:jc w:val="both"/>
        <w:rPr>
          <w:rFonts w:ascii="宋体" w:hAnsi="宋体" w:eastAsia="宋体" w:cs="Times New Roman"/>
          <w:b/>
          <w:bCs/>
          <w:kern w:val="2"/>
          <w:sz w:val="28"/>
          <w:szCs w:val="28"/>
          <w:lang w:val="en-US" w:eastAsia="zh-CN" w:bidi="ar-SA"/>
        </w:rPr>
      </w:pPr>
    </w:p>
    <w:p w14:paraId="5E52C87F">
      <w:pPr>
        <w:spacing w:before="0" w:beforeLines="0" w:after="0" w:afterLines="0" w:line="360" w:lineRule="auto"/>
        <w:ind w:left="0" w:leftChars="0" w:right="0" w:rightChars="0" w:firstLine="0" w:firstLineChars="0"/>
        <w:jc w:val="both"/>
        <w:rPr>
          <w:rFonts w:ascii="宋体" w:hAnsi="宋体" w:eastAsia="宋体" w:cs="Times New Roman"/>
          <w:b/>
          <w:bCs/>
          <w:kern w:val="2"/>
          <w:sz w:val="28"/>
          <w:szCs w:val="28"/>
          <w:lang w:val="en-US" w:eastAsia="zh-CN" w:bidi="ar-SA"/>
        </w:rPr>
        <w:sectPr>
          <w:pgSz w:w="11906" w:h="16838"/>
          <w:pgMar w:top="1440" w:right="1418" w:bottom="1440" w:left="1418" w:header="851" w:footer="624" w:gutter="0"/>
          <w:cols w:space="720" w:num="1"/>
          <w:docGrid w:type="lines" w:linePitch="312" w:charSpace="0"/>
        </w:sectPr>
      </w:pPr>
    </w:p>
    <w:sdt>
      <w:sdtPr>
        <w:rPr>
          <w:rFonts w:ascii="宋体" w:hAnsi="宋体" w:eastAsia="宋体" w:cs="Times New Roman"/>
          <w:b/>
          <w:bCs/>
          <w:kern w:val="2"/>
          <w:sz w:val="28"/>
          <w:szCs w:val="28"/>
          <w:lang w:val="en-US" w:eastAsia="zh-CN" w:bidi="ar-SA"/>
        </w:rPr>
        <w:id w:val="147475339"/>
        <w15:color w:val="DBDBDB"/>
        <w:docPartObj>
          <w:docPartGallery w:val="Table of Contents"/>
          <w:docPartUnique/>
        </w:docPartObj>
      </w:sdtPr>
      <w:sdtEndPr>
        <w:rPr>
          <w:rFonts w:ascii="Times New Roman" w:hAnsi="Times New Roman" w:eastAsia="宋体" w:cs="Times New Roman"/>
          <w:b/>
          <w:bCs/>
          <w:color w:val="auto"/>
          <w:kern w:val="2"/>
          <w:sz w:val="21"/>
          <w:szCs w:val="28"/>
          <w:highlight w:val="none"/>
          <w:lang w:val="en-US" w:eastAsia="zh-CN" w:bidi="ar-SA"/>
        </w:rPr>
      </w:sdtEndPr>
      <w:sdtContent>
        <w:p w14:paraId="60F9AFF6">
          <w:pPr>
            <w:widowControl/>
            <w:spacing w:before="0" w:beforeLines="0" w:after="0" w:afterLines="0" w:line="360" w:lineRule="auto"/>
            <w:ind w:left="0" w:leftChars="0" w:right="0" w:rightChars="0" w:firstLine="0" w:firstLineChars="0"/>
            <w:jc w:val="center"/>
            <w:outlineLvl w:val="9"/>
            <w:rPr>
              <w:rFonts w:ascii="宋体" w:hAnsi="宋体" w:eastAsia="宋体"/>
              <w:b/>
              <w:bCs/>
              <w:sz w:val="28"/>
              <w:szCs w:val="28"/>
            </w:rPr>
          </w:pPr>
          <w:r>
            <w:rPr>
              <w:rFonts w:ascii="宋体" w:hAnsi="宋体" w:eastAsia="宋体"/>
              <w:b/>
              <w:bCs/>
              <w:sz w:val="28"/>
              <w:szCs w:val="28"/>
            </w:rPr>
            <w:t>目</w:t>
          </w:r>
          <w:r>
            <w:rPr>
              <w:rFonts w:hint="eastAsia" w:ascii="宋体" w:hAnsi="宋体"/>
              <w:b/>
              <w:bCs/>
              <w:sz w:val="28"/>
              <w:szCs w:val="28"/>
              <w:lang w:val="en-US" w:eastAsia="zh-CN"/>
            </w:rPr>
            <w:t xml:space="preserve">    </w:t>
          </w:r>
          <w:r>
            <w:rPr>
              <w:rFonts w:ascii="宋体" w:hAnsi="宋体" w:eastAsia="宋体"/>
              <w:b/>
              <w:bCs/>
              <w:sz w:val="28"/>
              <w:szCs w:val="28"/>
            </w:rPr>
            <w:t>录</w:t>
          </w:r>
        </w:p>
        <w:p w14:paraId="18958640">
          <w:pPr>
            <w:widowControl/>
            <w:spacing w:before="0" w:beforeLines="0" w:after="0" w:afterLines="0" w:line="360" w:lineRule="auto"/>
            <w:ind w:left="0" w:leftChars="0" w:right="0" w:rightChars="0" w:firstLine="0" w:firstLineChars="0"/>
            <w:jc w:val="center"/>
            <w:outlineLvl w:val="9"/>
            <w:rPr>
              <w:rFonts w:ascii="Times New Roman" w:hAnsi="Times New Roman" w:eastAsia="宋体" w:cs="Times New Roman"/>
              <w:b/>
              <w:color w:val="auto"/>
              <w:kern w:val="2"/>
              <w:sz w:val="24"/>
              <w:szCs w:val="24"/>
              <w:highlight w:val="none"/>
              <w:lang w:val="en-US" w:eastAsia="zh-CN" w:bidi="ar-SA"/>
            </w:rPr>
          </w:pPr>
          <w:r>
            <w:rPr>
              <w:rFonts w:hint="eastAsia" w:ascii="宋体" w:hAnsi="宋体"/>
              <w:b/>
              <w:bCs/>
              <w:sz w:val="28"/>
              <w:szCs w:val="28"/>
              <w:lang w:val="en-US" w:eastAsia="zh-CN"/>
            </w:rPr>
            <w:t>第一部分（幕墙、屋面）</w:t>
          </w:r>
          <w:r>
            <w:rPr>
              <w:b/>
              <w:color w:val="auto"/>
              <w:sz w:val="24"/>
              <w:szCs w:val="24"/>
              <w:highlight w:val="none"/>
            </w:rPr>
            <w:fldChar w:fldCharType="begin"/>
          </w:r>
          <w:r>
            <w:rPr>
              <w:b/>
              <w:color w:val="auto"/>
              <w:sz w:val="24"/>
              <w:szCs w:val="24"/>
              <w:highlight w:val="none"/>
            </w:rPr>
            <w:instrText xml:space="preserve">TOC \o "1-2" \h \u </w:instrText>
          </w:r>
          <w:r>
            <w:rPr>
              <w:b/>
              <w:color w:val="auto"/>
              <w:sz w:val="24"/>
              <w:szCs w:val="24"/>
              <w:highlight w:val="none"/>
            </w:rPr>
            <w:fldChar w:fldCharType="separate"/>
          </w:r>
        </w:p>
        <w:p w14:paraId="6E01E31A">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_Toc31283 </w:instrText>
          </w:r>
          <w:r>
            <w:rPr>
              <w:sz w:val="24"/>
              <w:szCs w:val="24"/>
              <w:highlight w:val="none"/>
            </w:rPr>
            <w:fldChar w:fldCharType="separate"/>
          </w:r>
          <w:r>
            <w:rPr>
              <w:sz w:val="24"/>
              <w:szCs w:val="24"/>
              <w:highlight w:val="none"/>
            </w:rPr>
            <w:t>第</w:t>
          </w:r>
          <w:r>
            <w:rPr>
              <w:rFonts w:hint="eastAsia"/>
              <w:sz w:val="24"/>
              <w:szCs w:val="24"/>
              <w:highlight w:val="none"/>
              <w:lang w:val="en-US" w:eastAsia="zh-CN"/>
            </w:rPr>
            <w:t>一</w:t>
          </w:r>
          <w:r>
            <w:rPr>
              <w:sz w:val="24"/>
              <w:szCs w:val="24"/>
              <w:highlight w:val="none"/>
            </w:rPr>
            <w:t>章：</w:t>
          </w:r>
          <w:r>
            <w:rPr>
              <w:rFonts w:hint="eastAsia"/>
              <w:sz w:val="24"/>
              <w:szCs w:val="24"/>
              <w:highlight w:val="none"/>
              <w:lang w:val="en-US" w:eastAsia="zh-CN"/>
            </w:rPr>
            <w:t>一般</w:t>
          </w:r>
          <w:r>
            <w:rPr>
              <w:sz w:val="24"/>
              <w:szCs w:val="24"/>
              <w:highlight w:val="none"/>
            </w:rPr>
            <w:t>要求</w:t>
          </w:r>
          <w:r>
            <w:rPr>
              <w:sz w:val="24"/>
              <w:szCs w:val="24"/>
            </w:rPr>
            <w:tab/>
          </w:r>
          <w:r>
            <w:rPr>
              <w:sz w:val="24"/>
              <w:szCs w:val="24"/>
            </w:rPr>
            <w:fldChar w:fldCharType="begin"/>
          </w:r>
          <w:r>
            <w:rPr>
              <w:sz w:val="24"/>
              <w:szCs w:val="24"/>
            </w:rPr>
            <w:instrText xml:space="preserve"> PAGEREF _Toc31283 \h </w:instrText>
          </w:r>
          <w:r>
            <w:rPr>
              <w:sz w:val="24"/>
              <w:szCs w:val="24"/>
            </w:rPr>
            <w:fldChar w:fldCharType="separate"/>
          </w:r>
          <w:r>
            <w:rPr>
              <w:sz w:val="24"/>
              <w:szCs w:val="24"/>
            </w:rPr>
            <w:t>3</w:t>
          </w:r>
          <w:r>
            <w:rPr>
              <w:sz w:val="24"/>
              <w:szCs w:val="24"/>
            </w:rPr>
            <w:fldChar w:fldCharType="end"/>
          </w:r>
          <w:r>
            <w:rPr>
              <w:color w:val="auto"/>
              <w:sz w:val="24"/>
              <w:szCs w:val="24"/>
              <w:highlight w:val="none"/>
            </w:rPr>
            <w:fldChar w:fldCharType="end"/>
          </w:r>
        </w:p>
        <w:p w14:paraId="3BD37BBB">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_Toc28999 </w:instrText>
          </w:r>
          <w:r>
            <w:rPr>
              <w:sz w:val="24"/>
              <w:szCs w:val="24"/>
              <w:highlight w:val="none"/>
            </w:rPr>
            <w:fldChar w:fldCharType="separate"/>
          </w:r>
          <w:r>
            <w:rPr>
              <w:rFonts w:hint="eastAsia" w:cs="Times New Roman"/>
              <w:kern w:val="2"/>
              <w:sz w:val="24"/>
              <w:szCs w:val="24"/>
              <w:highlight w:val="none"/>
              <w:lang w:val="en-US" w:eastAsia="zh-CN" w:bidi="ar-SA"/>
            </w:rPr>
            <w:t xml:space="preserve">1 </w:t>
          </w:r>
          <w:r>
            <w:rPr>
              <w:rFonts w:hint="eastAsia" w:ascii="Times New Roman" w:hAnsi="Times New Roman" w:eastAsia="宋体" w:cs="Times New Roman"/>
              <w:kern w:val="2"/>
              <w:sz w:val="24"/>
              <w:szCs w:val="24"/>
              <w:highlight w:val="none"/>
              <w:lang w:val="en-US" w:eastAsia="zh-CN" w:bidi="ar-SA"/>
            </w:rPr>
            <w:t>送审及深化设计</w:t>
          </w:r>
          <w:r>
            <w:rPr>
              <w:sz w:val="24"/>
              <w:szCs w:val="24"/>
            </w:rPr>
            <w:tab/>
          </w:r>
          <w:r>
            <w:rPr>
              <w:sz w:val="24"/>
              <w:szCs w:val="24"/>
            </w:rPr>
            <w:fldChar w:fldCharType="begin"/>
          </w:r>
          <w:r>
            <w:rPr>
              <w:sz w:val="24"/>
              <w:szCs w:val="24"/>
            </w:rPr>
            <w:instrText xml:space="preserve"> PAGEREF _Toc28999 \h </w:instrText>
          </w:r>
          <w:r>
            <w:rPr>
              <w:sz w:val="24"/>
              <w:szCs w:val="24"/>
            </w:rPr>
            <w:fldChar w:fldCharType="separate"/>
          </w:r>
          <w:r>
            <w:rPr>
              <w:sz w:val="24"/>
              <w:szCs w:val="24"/>
            </w:rPr>
            <w:t>3</w:t>
          </w:r>
          <w:r>
            <w:rPr>
              <w:sz w:val="24"/>
              <w:szCs w:val="24"/>
            </w:rPr>
            <w:fldChar w:fldCharType="end"/>
          </w:r>
          <w:r>
            <w:rPr>
              <w:color w:val="auto"/>
              <w:sz w:val="24"/>
              <w:szCs w:val="24"/>
              <w:highlight w:val="none"/>
            </w:rPr>
            <w:fldChar w:fldCharType="end"/>
          </w:r>
        </w:p>
        <w:p w14:paraId="7DEC183A">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_Toc21747 </w:instrText>
          </w:r>
          <w:r>
            <w:rPr>
              <w:sz w:val="24"/>
              <w:szCs w:val="24"/>
              <w:highlight w:val="none"/>
            </w:rPr>
            <w:fldChar w:fldCharType="separate"/>
          </w:r>
          <w:r>
            <w:rPr>
              <w:rFonts w:hint="eastAsia"/>
              <w:sz w:val="24"/>
              <w:szCs w:val="24"/>
              <w:highlight w:val="none"/>
              <w:lang w:val="en-US" w:eastAsia="zh-CN"/>
            </w:rPr>
            <w:t xml:space="preserve">第二章 </w:t>
          </w:r>
          <w:r>
            <w:rPr>
              <w:rFonts w:hint="eastAsia"/>
              <w:sz w:val="24"/>
              <w:szCs w:val="24"/>
              <w:highlight w:val="none"/>
            </w:rPr>
            <w:t>本项目专项资料</w:t>
          </w:r>
          <w:r>
            <w:rPr>
              <w:sz w:val="24"/>
              <w:szCs w:val="24"/>
            </w:rPr>
            <w:tab/>
          </w:r>
          <w:r>
            <w:rPr>
              <w:sz w:val="24"/>
              <w:szCs w:val="24"/>
            </w:rPr>
            <w:fldChar w:fldCharType="begin"/>
          </w:r>
          <w:r>
            <w:rPr>
              <w:sz w:val="24"/>
              <w:szCs w:val="24"/>
            </w:rPr>
            <w:instrText xml:space="preserve"> PAGEREF _Toc21747 \h </w:instrText>
          </w:r>
          <w:r>
            <w:rPr>
              <w:sz w:val="24"/>
              <w:szCs w:val="24"/>
            </w:rPr>
            <w:fldChar w:fldCharType="separate"/>
          </w:r>
          <w:r>
            <w:rPr>
              <w:sz w:val="24"/>
              <w:szCs w:val="24"/>
            </w:rPr>
            <w:t>5</w:t>
          </w:r>
          <w:r>
            <w:rPr>
              <w:sz w:val="24"/>
              <w:szCs w:val="24"/>
            </w:rPr>
            <w:fldChar w:fldCharType="end"/>
          </w:r>
          <w:r>
            <w:rPr>
              <w:color w:val="auto"/>
              <w:sz w:val="24"/>
              <w:szCs w:val="24"/>
              <w:highlight w:val="none"/>
            </w:rPr>
            <w:fldChar w:fldCharType="end"/>
          </w:r>
        </w:p>
        <w:p w14:paraId="02681659">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_Toc5091 </w:instrText>
          </w:r>
          <w:r>
            <w:rPr>
              <w:sz w:val="24"/>
              <w:szCs w:val="24"/>
              <w:highlight w:val="none"/>
            </w:rPr>
            <w:fldChar w:fldCharType="separate"/>
          </w:r>
          <w:r>
            <w:rPr>
              <w:rFonts w:hint="eastAsia"/>
              <w:sz w:val="24"/>
              <w:szCs w:val="24"/>
              <w:highlight w:val="none"/>
              <w:lang w:val="en-US" w:eastAsia="zh-CN"/>
            </w:rPr>
            <w:t>2</w:t>
          </w:r>
          <w:r>
            <w:rPr>
              <w:rFonts w:hint="eastAsia"/>
              <w:sz w:val="24"/>
              <w:szCs w:val="24"/>
              <w:highlight w:val="none"/>
            </w:rPr>
            <w:t>.1 项目基本情况</w:t>
          </w:r>
          <w:r>
            <w:rPr>
              <w:sz w:val="24"/>
              <w:szCs w:val="24"/>
            </w:rPr>
            <w:tab/>
          </w:r>
          <w:r>
            <w:rPr>
              <w:sz w:val="24"/>
              <w:szCs w:val="24"/>
            </w:rPr>
            <w:fldChar w:fldCharType="begin"/>
          </w:r>
          <w:r>
            <w:rPr>
              <w:sz w:val="24"/>
              <w:szCs w:val="24"/>
            </w:rPr>
            <w:instrText xml:space="preserve"> PAGEREF _Toc5091 \h </w:instrText>
          </w:r>
          <w:r>
            <w:rPr>
              <w:sz w:val="24"/>
              <w:szCs w:val="24"/>
            </w:rPr>
            <w:fldChar w:fldCharType="separate"/>
          </w:r>
          <w:r>
            <w:rPr>
              <w:sz w:val="24"/>
              <w:szCs w:val="24"/>
            </w:rPr>
            <w:t>5</w:t>
          </w:r>
          <w:r>
            <w:rPr>
              <w:sz w:val="24"/>
              <w:szCs w:val="24"/>
            </w:rPr>
            <w:fldChar w:fldCharType="end"/>
          </w:r>
          <w:r>
            <w:rPr>
              <w:color w:val="auto"/>
              <w:sz w:val="24"/>
              <w:szCs w:val="24"/>
              <w:highlight w:val="none"/>
            </w:rPr>
            <w:fldChar w:fldCharType="end"/>
          </w:r>
        </w:p>
        <w:p w14:paraId="20354066">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_Toc2857 </w:instrText>
          </w:r>
          <w:r>
            <w:rPr>
              <w:sz w:val="24"/>
              <w:szCs w:val="24"/>
              <w:highlight w:val="none"/>
            </w:rPr>
            <w:fldChar w:fldCharType="separate"/>
          </w:r>
          <w:r>
            <w:rPr>
              <w:rFonts w:hint="eastAsia"/>
              <w:sz w:val="24"/>
              <w:szCs w:val="24"/>
              <w:highlight w:val="none"/>
              <w:lang w:val="en-US" w:eastAsia="zh-CN"/>
            </w:rPr>
            <w:t>2.2本项目主要系统描述</w:t>
          </w:r>
          <w:r>
            <w:rPr>
              <w:sz w:val="24"/>
              <w:szCs w:val="24"/>
            </w:rPr>
            <w:tab/>
          </w:r>
          <w:r>
            <w:rPr>
              <w:sz w:val="24"/>
              <w:szCs w:val="24"/>
            </w:rPr>
            <w:fldChar w:fldCharType="begin"/>
          </w:r>
          <w:r>
            <w:rPr>
              <w:sz w:val="24"/>
              <w:szCs w:val="24"/>
            </w:rPr>
            <w:instrText xml:space="preserve"> PAGEREF _Toc2857 \h </w:instrText>
          </w:r>
          <w:r>
            <w:rPr>
              <w:sz w:val="24"/>
              <w:szCs w:val="24"/>
            </w:rPr>
            <w:fldChar w:fldCharType="separate"/>
          </w:r>
          <w:r>
            <w:rPr>
              <w:sz w:val="24"/>
              <w:szCs w:val="24"/>
            </w:rPr>
            <w:t>6</w:t>
          </w:r>
          <w:r>
            <w:rPr>
              <w:sz w:val="24"/>
              <w:szCs w:val="24"/>
            </w:rPr>
            <w:fldChar w:fldCharType="end"/>
          </w:r>
          <w:r>
            <w:rPr>
              <w:color w:val="auto"/>
              <w:sz w:val="24"/>
              <w:szCs w:val="24"/>
              <w:highlight w:val="none"/>
            </w:rPr>
            <w:fldChar w:fldCharType="end"/>
          </w:r>
        </w:p>
        <w:p w14:paraId="7FF04397">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_Toc29512 </w:instrText>
          </w:r>
          <w:r>
            <w:rPr>
              <w:sz w:val="24"/>
              <w:szCs w:val="24"/>
              <w:highlight w:val="none"/>
            </w:rPr>
            <w:fldChar w:fldCharType="separate"/>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 本项目幕墙性能指标</w:t>
          </w:r>
          <w:r>
            <w:rPr>
              <w:sz w:val="24"/>
              <w:szCs w:val="24"/>
            </w:rPr>
            <w:tab/>
          </w:r>
          <w:r>
            <w:rPr>
              <w:sz w:val="24"/>
              <w:szCs w:val="24"/>
            </w:rPr>
            <w:fldChar w:fldCharType="begin"/>
          </w:r>
          <w:r>
            <w:rPr>
              <w:sz w:val="24"/>
              <w:szCs w:val="24"/>
            </w:rPr>
            <w:instrText xml:space="preserve"> PAGEREF _Toc29512 \h </w:instrText>
          </w:r>
          <w:r>
            <w:rPr>
              <w:sz w:val="24"/>
              <w:szCs w:val="24"/>
            </w:rPr>
            <w:fldChar w:fldCharType="separate"/>
          </w:r>
          <w:r>
            <w:rPr>
              <w:sz w:val="24"/>
              <w:szCs w:val="24"/>
            </w:rPr>
            <w:t>11</w:t>
          </w:r>
          <w:r>
            <w:rPr>
              <w:sz w:val="24"/>
              <w:szCs w:val="24"/>
            </w:rPr>
            <w:fldChar w:fldCharType="end"/>
          </w:r>
          <w:r>
            <w:rPr>
              <w:color w:val="auto"/>
              <w:sz w:val="24"/>
              <w:szCs w:val="24"/>
              <w:highlight w:val="none"/>
            </w:rPr>
            <w:fldChar w:fldCharType="end"/>
          </w:r>
        </w:p>
        <w:p w14:paraId="64EF79D1">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_Toc21126 </w:instrText>
          </w:r>
          <w:r>
            <w:rPr>
              <w:sz w:val="24"/>
              <w:szCs w:val="24"/>
              <w:highlight w:val="none"/>
            </w:rPr>
            <w:fldChar w:fldCharType="separate"/>
          </w:r>
          <w:r>
            <w:rPr>
              <w:rFonts w:hint="eastAsia"/>
              <w:sz w:val="24"/>
              <w:szCs w:val="24"/>
              <w:highlight w:val="none"/>
              <w:lang w:val="en-US" w:eastAsia="zh-CN"/>
            </w:rPr>
            <w:t>2.4.1 材料概述</w:t>
          </w:r>
          <w:r>
            <w:rPr>
              <w:sz w:val="24"/>
              <w:szCs w:val="24"/>
            </w:rPr>
            <w:tab/>
          </w:r>
          <w:r>
            <w:rPr>
              <w:sz w:val="24"/>
              <w:szCs w:val="24"/>
            </w:rPr>
            <w:fldChar w:fldCharType="begin"/>
          </w:r>
          <w:r>
            <w:rPr>
              <w:sz w:val="24"/>
              <w:szCs w:val="24"/>
            </w:rPr>
            <w:instrText xml:space="preserve"> PAGEREF _Toc21126 \h </w:instrText>
          </w:r>
          <w:r>
            <w:rPr>
              <w:sz w:val="24"/>
              <w:szCs w:val="24"/>
            </w:rPr>
            <w:fldChar w:fldCharType="separate"/>
          </w:r>
          <w:r>
            <w:rPr>
              <w:sz w:val="24"/>
              <w:szCs w:val="24"/>
            </w:rPr>
            <w:t>15</w:t>
          </w:r>
          <w:r>
            <w:rPr>
              <w:sz w:val="24"/>
              <w:szCs w:val="24"/>
            </w:rPr>
            <w:fldChar w:fldCharType="end"/>
          </w:r>
          <w:r>
            <w:rPr>
              <w:color w:val="auto"/>
              <w:sz w:val="24"/>
              <w:szCs w:val="24"/>
              <w:highlight w:val="none"/>
            </w:rPr>
            <w:fldChar w:fldCharType="end"/>
          </w:r>
        </w:p>
        <w:p w14:paraId="37BAB15B">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_Toc10666 </w:instrText>
          </w:r>
          <w:r>
            <w:rPr>
              <w:sz w:val="24"/>
              <w:szCs w:val="24"/>
              <w:highlight w:val="none"/>
            </w:rPr>
            <w:fldChar w:fldCharType="separate"/>
          </w:r>
          <w:r>
            <w:rPr>
              <w:rFonts w:hint="eastAsia"/>
              <w:sz w:val="24"/>
              <w:szCs w:val="24"/>
              <w:highlight w:val="none"/>
              <w:lang w:val="en-US" w:eastAsia="zh-CN"/>
            </w:rPr>
            <w:t>2.5 材料及系统构配件</w:t>
          </w:r>
          <w:r>
            <w:rPr>
              <w:sz w:val="24"/>
              <w:szCs w:val="24"/>
            </w:rPr>
            <w:tab/>
          </w:r>
          <w:r>
            <w:rPr>
              <w:sz w:val="24"/>
              <w:szCs w:val="24"/>
            </w:rPr>
            <w:fldChar w:fldCharType="begin"/>
          </w:r>
          <w:r>
            <w:rPr>
              <w:sz w:val="24"/>
              <w:szCs w:val="24"/>
            </w:rPr>
            <w:instrText xml:space="preserve"> PAGEREF _Toc10666 \h </w:instrText>
          </w:r>
          <w:r>
            <w:rPr>
              <w:sz w:val="24"/>
              <w:szCs w:val="24"/>
            </w:rPr>
            <w:fldChar w:fldCharType="separate"/>
          </w:r>
          <w:r>
            <w:rPr>
              <w:sz w:val="24"/>
              <w:szCs w:val="24"/>
            </w:rPr>
            <w:t>16</w:t>
          </w:r>
          <w:r>
            <w:rPr>
              <w:sz w:val="24"/>
              <w:szCs w:val="24"/>
            </w:rPr>
            <w:fldChar w:fldCharType="end"/>
          </w:r>
          <w:r>
            <w:rPr>
              <w:color w:val="auto"/>
              <w:sz w:val="24"/>
              <w:szCs w:val="24"/>
              <w:highlight w:val="none"/>
            </w:rPr>
            <w:fldChar w:fldCharType="end"/>
          </w:r>
        </w:p>
        <w:p w14:paraId="2B56BC8B">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_Toc21140 </w:instrText>
          </w:r>
          <w:r>
            <w:rPr>
              <w:sz w:val="24"/>
              <w:szCs w:val="24"/>
              <w:highlight w:val="none"/>
            </w:rPr>
            <w:fldChar w:fldCharType="separate"/>
          </w:r>
          <w:r>
            <w:rPr>
              <w:sz w:val="24"/>
              <w:szCs w:val="24"/>
              <w:highlight w:val="none"/>
            </w:rPr>
            <w:t>第</w:t>
          </w:r>
          <w:r>
            <w:rPr>
              <w:rFonts w:hint="eastAsia"/>
              <w:sz w:val="24"/>
              <w:szCs w:val="24"/>
              <w:highlight w:val="none"/>
              <w:lang w:val="en-US" w:eastAsia="zh-CN"/>
            </w:rPr>
            <w:t>三</w:t>
          </w:r>
          <w:r>
            <w:rPr>
              <w:sz w:val="24"/>
              <w:szCs w:val="24"/>
              <w:highlight w:val="none"/>
            </w:rPr>
            <w:t>章：幕墙构件制作规定</w:t>
          </w:r>
          <w:r>
            <w:rPr>
              <w:sz w:val="24"/>
              <w:szCs w:val="24"/>
            </w:rPr>
            <w:tab/>
          </w:r>
          <w:r>
            <w:rPr>
              <w:sz w:val="24"/>
              <w:szCs w:val="24"/>
            </w:rPr>
            <w:fldChar w:fldCharType="begin"/>
          </w:r>
          <w:r>
            <w:rPr>
              <w:sz w:val="24"/>
              <w:szCs w:val="24"/>
            </w:rPr>
            <w:instrText xml:space="preserve"> PAGEREF _Toc21140 \h </w:instrText>
          </w:r>
          <w:r>
            <w:rPr>
              <w:sz w:val="24"/>
              <w:szCs w:val="24"/>
            </w:rPr>
            <w:fldChar w:fldCharType="separate"/>
          </w:r>
          <w:r>
            <w:rPr>
              <w:sz w:val="24"/>
              <w:szCs w:val="24"/>
            </w:rPr>
            <w:t>45</w:t>
          </w:r>
          <w:r>
            <w:rPr>
              <w:sz w:val="24"/>
              <w:szCs w:val="24"/>
            </w:rPr>
            <w:fldChar w:fldCharType="end"/>
          </w:r>
          <w:r>
            <w:rPr>
              <w:color w:val="auto"/>
              <w:sz w:val="24"/>
              <w:szCs w:val="24"/>
              <w:highlight w:val="none"/>
            </w:rPr>
            <w:fldChar w:fldCharType="end"/>
          </w:r>
        </w:p>
        <w:p w14:paraId="1BCF3C47">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_Toc26121 </w:instrText>
          </w:r>
          <w:r>
            <w:rPr>
              <w:sz w:val="24"/>
              <w:szCs w:val="24"/>
              <w:highlight w:val="none"/>
            </w:rPr>
            <w:fldChar w:fldCharType="separate"/>
          </w:r>
          <w:r>
            <w:rPr>
              <w:sz w:val="24"/>
              <w:szCs w:val="24"/>
              <w:highlight w:val="none"/>
            </w:rPr>
            <w:t>第</w:t>
          </w:r>
          <w:r>
            <w:rPr>
              <w:rFonts w:hint="eastAsia"/>
              <w:sz w:val="24"/>
              <w:szCs w:val="24"/>
              <w:highlight w:val="none"/>
              <w:lang w:val="en-US" w:eastAsia="zh-CN"/>
            </w:rPr>
            <w:t>四</w:t>
          </w:r>
          <w:r>
            <w:rPr>
              <w:sz w:val="24"/>
              <w:szCs w:val="24"/>
              <w:highlight w:val="none"/>
            </w:rPr>
            <w:t>章：幕墙的安装施工要求</w:t>
          </w:r>
          <w:r>
            <w:rPr>
              <w:sz w:val="24"/>
              <w:szCs w:val="24"/>
            </w:rPr>
            <w:tab/>
          </w:r>
          <w:r>
            <w:rPr>
              <w:sz w:val="24"/>
              <w:szCs w:val="24"/>
            </w:rPr>
            <w:fldChar w:fldCharType="begin"/>
          </w:r>
          <w:r>
            <w:rPr>
              <w:sz w:val="24"/>
              <w:szCs w:val="24"/>
            </w:rPr>
            <w:instrText xml:space="preserve"> PAGEREF _Toc26121 \h </w:instrText>
          </w:r>
          <w:r>
            <w:rPr>
              <w:sz w:val="24"/>
              <w:szCs w:val="24"/>
            </w:rPr>
            <w:fldChar w:fldCharType="separate"/>
          </w:r>
          <w:r>
            <w:rPr>
              <w:sz w:val="24"/>
              <w:szCs w:val="24"/>
            </w:rPr>
            <w:t>46</w:t>
          </w:r>
          <w:r>
            <w:rPr>
              <w:sz w:val="24"/>
              <w:szCs w:val="24"/>
            </w:rPr>
            <w:fldChar w:fldCharType="end"/>
          </w:r>
          <w:r>
            <w:rPr>
              <w:color w:val="auto"/>
              <w:sz w:val="24"/>
              <w:szCs w:val="24"/>
              <w:highlight w:val="none"/>
            </w:rPr>
            <w:fldChar w:fldCharType="end"/>
          </w:r>
        </w:p>
        <w:p w14:paraId="2BC620DC">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_Toc30083 </w:instrText>
          </w:r>
          <w:r>
            <w:rPr>
              <w:sz w:val="24"/>
              <w:szCs w:val="24"/>
              <w:highlight w:val="none"/>
            </w:rPr>
            <w:fldChar w:fldCharType="separate"/>
          </w:r>
          <w:r>
            <w:rPr>
              <w:rFonts w:hint="eastAsia"/>
              <w:sz w:val="24"/>
              <w:szCs w:val="24"/>
              <w:highlight w:val="none"/>
              <w:lang w:val="en-US" w:eastAsia="zh-CN"/>
            </w:rPr>
            <w:t xml:space="preserve">4.1 </w:t>
          </w:r>
          <w:r>
            <w:rPr>
              <w:sz w:val="24"/>
              <w:szCs w:val="24"/>
              <w:highlight w:val="none"/>
            </w:rPr>
            <w:t>遵守相关国家规范要求。</w:t>
          </w:r>
          <w:r>
            <w:rPr>
              <w:sz w:val="24"/>
              <w:szCs w:val="24"/>
            </w:rPr>
            <w:tab/>
          </w:r>
          <w:r>
            <w:rPr>
              <w:sz w:val="24"/>
              <w:szCs w:val="24"/>
            </w:rPr>
            <w:fldChar w:fldCharType="begin"/>
          </w:r>
          <w:r>
            <w:rPr>
              <w:sz w:val="24"/>
              <w:szCs w:val="24"/>
            </w:rPr>
            <w:instrText xml:space="preserve"> PAGEREF _Toc30083 \h </w:instrText>
          </w:r>
          <w:r>
            <w:rPr>
              <w:sz w:val="24"/>
              <w:szCs w:val="24"/>
            </w:rPr>
            <w:fldChar w:fldCharType="separate"/>
          </w:r>
          <w:r>
            <w:rPr>
              <w:sz w:val="24"/>
              <w:szCs w:val="24"/>
            </w:rPr>
            <w:t>46</w:t>
          </w:r>
          <w:r>
            <w:rPr>
              <w:sz w:val="24"/>
              <w:szCs w:val="24"/>
            </w:rPr>
            <w:fldChar w:fldCharType="end"/>
          </w:r>
          <w:r>
            <w:rPr>
              <w:color w:val="auto"/>
              <w:sz w:val="24"/>
              <w:szCs w:val="24"/>
              <w:highlight w:val="none"/>
            </w:rPr>
            <w:fldChar w:fldCharType="end"/>
          </w:r>
        </w:p>
        <w:p w14:paraId="202E0A30">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_Toc19513 </w:instrText>
          </w:r>
          <w:r>
            <w:rPr>
              <w:sz w:val="24"/>
              <w:szCs w:val="24"/>
              <w:highlight w:val="none"/>
            </w:rPr>
            <w:fldChar w:fldCharType="separate"/>
          </w:r>
          <w:r>
            <w:rPr>
              <w:sz w:val="24"/>
              <w:szCs w:val="24"/>
              <w:highlight w:val="none"/>
            </w:rPr>
            <w:t>第</w:t>
          </w:r>
          <w:r>
            <w:rPr>
              <w:rFonts w:hint="eastAsia"/>
              <w:sz w:val="24"/>
              <w:szCs w:val="24"/>
              <w:highlight w:val="none"/>
              <w:lang w:val="en-US" w:eastAsia="zh-CN"/>
            </w:rPr>
            <w:t>五</w:t>
          </w:r>
          <w:r>
            <w:rPr>
              <w:sz w:val="24"/>
              <w:szCs w:val="24"/>
              <w:highlight w:val="none"/>
            </w:rPr>
            <w:t>章：试验</w:t>
          </w:r>
          <w:r>
            <w:rPr>
              <w:sz w:val="24"/>
              <w:szCs w:val="24"/>
            </w:rPr>
            <w:tab/>
          </w:r>
          <w:r>
            <w:rPr>
              <w:sz w:val="24"/>
              <w:szCs w:val="24"/>
            </w:rPr>
            <w:fldChar w:fldCharType="begin"/>
          </w:r>
          <w:r>
            <w:rPr>
              <w:sz w:val="24"/>
              <w:szCs w:val="24"/>
            </w:rPr>
            <w:instrText xml:space="preserve"> PAGEREF _Toc19513 \h </w:instrText>
          </w:r>
          <w:r>
            <w:rPr>
              <w:sz w:val="24"/>
              <w:szCs w:val="24"/>
            </w:rPr>
            <w:fldChar w:fldCharType="separate"/>
          </w:r>
          <w:r>
            <w:rPr>
              <w:sz w:val="24"/>
              <w:szCs w:val="24"/>
            </w:rPr>
            <w:t>47</w:t>
          </w:r>
          <w:r>
            <w:rPr>
              <w:sz w:val="24"/>
              <w:szCs w:val="24"/>
            </w:rPr>
            <w:fldChar w:fldCharType="end"/>
          </w:r>
          <w:r>
            <w:rPr>
              <w:color w:val="auto"/>
              <w:sz w:val="24"/>
              <w:szCs w:val="24"/>
              <w:highlight w:val="none"/>
            </w:rPr>
            <w:fldChar w:fldCharType="end"/>
          </w:r>
        </w:p>
        <w:p w14:paraId="0A654A82">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_Toc20630 </w:instrText>
          </w:r>
          <w:r>
            <w:rPr>
              <w:sz w:val="24"/>
              <w:szCs w:val="24"/>
              <w:highlight w:val="none"/>
            </w:rPr>
            <w:fldChar w:fldCharType="separate"/>
          </w:r>
          <w:r>
            <w:rPr>
              <w:rFonts w:hint="eastAsia"/>
              <w:sz w:val="24"/>
              <w:szCs w:val="24"/>
              <w:highlight w:val="none"/>
              <w:lang w:val="en-US" w:eastAsia="zh-CN"/>
            </w:rPr>
            <w:t>5.3 试验依据</w:t>
          </w:r>
          <w:r>
            <w:rPr>
              <w:sz w:val="24"/>
              <w:szCs w:val="24"/>
            </w:rPr>
            <w:tab/>
          </w:r>
          <w:r>
            <w:rPr>
              <w:sz w:val="24"/>
              <w:szCs w:val="24"/>
            </w:rPr>
            <w:fldChar w:fldCharType="begin"/>
          </w:r>
          <w:r>
            <w:rPr>
              <w:sz w:val="24"/>
              <w:szCs w:val="24"/>
            </w:rPr>
            <w:instrText xml:space="preserve"> PAGEREF _Toc20630 \h </w:instrText>
          </w:r>
          <w:r>
            <w:rPr>
              <w:sz w:val="24"/>
              <w:szCs w:val="24"/>
            </w:rPr>
            <w:fldChar w:fldCharType="separate"/>
          </w:r>
          <w:r>
            <w:rPr>
              <w:sz w:val="24"/>
              <w:szCs w:val="24"/>
            </w:rPr>
            <w:t>48</w:t>
          </w:r>
          <w:r>
            <w:rPr>
              <w:sz w:val="24"/>
              <w:szCs w:val="24"/>
            </w:rPr>
            <w:fldChar w:fldCharType="end"/>
          </w:r>
          <w:r>
            <w:rPr>
              <w:color w:val="auto"/>
              <w:sz w:val="24"/>
              <w:szCs w:val="24"/>
              <w:highlight w:val="none"/>
            </w:rPr>
            <w:fldChar w:fldCharType="end"/>
          </w:r>
        </w:p>
        <w:p w14:paraId="726A7D5E">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_Toc8752 </w:instrText>
          </w:r>
          <w:r>
            <w:rPr>
              <w:sz w:val="24"/>
              <w:szCs w:val="24"/>
              <w:highlight w:val="none"/>
            </w:rPr>
            <w:fldChar w:fldCharType="separate"/>
          </w:r>
          <w:r>
            <w:rPr>
              <w:rFonts w:hint="eastAsia"/>
              <w:sz w:val="24"/>
              <w:szCs w:val="24"/>
              <w:highlight w:val="none"/>
              <w:lang w:val="en-US" w:eastAsia="zh-CN"/>
            </w:rPr>
            <w:t>5.4 样板模型</w:t>
          </w:r>
          <w:r>
            <w:rPr>
              <w:sz w:val="24"/>
              <w:szCs w:val="24"/>
            </w:rPr>
            <w:tab/>
          </w:r>
          <w:r>
            <w:rPr>
              <w:sz w:val="24"/>
              <w:szCs w:val="24"/>
            </w:rPr>
            <w:fldChar w:fldCharType="begin"/>
          </w:r>
          <w:r>
            <w:rPr>
              <w:sz w:val="24"/>
              <w:szCs w:val="24"/>
            </w:rPr>
            <w:instrText xml:space="preserve"> PAGEREF _Toc8752 \h </w:instrText>
          </w:r>
          <w:r>
            <w:rPr>
              <w:sz w:val="24"/>
              <w:szCs w:val="24"/>
            </w:rPr>
            <w:fldChar w:fldCharType="separate"/>
          </w:r>
          <w:r>
            <w:rPr>
              <w:sz w:val="24"/>
              <w:szCs w:val="24"/>
            </w:rPr>
            <w:t>50</w:t>
          </w:r>
          <w:r>
            <w:rPr>
              <w:sz w:val="24"/>
              <w:szCs w:val="24"/>
            </w:rPr>
            <w:fldChar w:fldCharType="end"/>
          </w:r>
          <w:r>
            <w:rPr>
              <w:color w:val="auto"/>
              <w:sz w:val="24"/>
              <w:szCs w:val="24"/>
              <w:highlight w:val="none"/>
            </w:rPr>
            <w:fldChar w:fldCharType="end"/>
          </w:r>
        </w:p>
        <w:p w14:paraId="650C039D">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_Toc26820 </w:instrText>
          </w:r>
          <w:r>
            <w:rPr>
              <w:sz w:val="24"/>
              <w:szCs w:val="24"/>
              <w:highlight w:val="none"/>
            </w:rPr>
            <w:fldChar w:fldCharType="separate"/>
          </w:r>
          <w:r>
            <w:rPr>
              <w:sz w:val="24"/>
              <w:szCs w:val="24"/>
              <w:highlight w:val="none"/>
            </w:rPr>
            <w:t>第</w:t>
          </w:r>
          <w:r>
            <w:rPr>
              <w:rFonts w:hint="eastAsia"/>
              <w:sz w:val="24"/>
              <w:szCs w:val="24"/>
              <w:highlight w:val="none"/>
              <w:lang w:val="en-US" w:eastAsia="zh-CN"/>
            </w:rPr>
            <w:t>六</w:t>
          </w:r>
          <w:r>
            <w:rPr>
              <w:sz w:val="24"/>
              <w:szCs w:val="24"/>
              <w:highlight w:val="none"/>
            </w:rPr>
            <w:t>章：材料封样要求</w:t>
          </w:r>
          <w:r>
            <w:rPr>
              <w:sz w:val="24"/>
              <w:szCs w:val="24"/>
            </w:rPr>
            <w:tab/>
          </w:r>
          <w:r>
            <w:rPr>
              <w:sz w:val="24"/>
              <w:szCs w:val="24"/>
            </w:rPr>
            <w:fldChar w:fldCharType="begin"/>
          </w:r>
          <w:r>
            <w:rPr>
              <w:sz w:val="24"/>
              <w:szCs w:val="24"/>
            </w:rPr>
            <w:instrText xml:space="preserve"> PAGEREF _Toc26820 \h </w:instrText>
          </w:r>
          <w:r>
            <w:rPr>
              <w:sz w:val="24"/>
              <w:szCs w:val="24"/>
            </w:rPr>
            <w:fldChar w:fldCharType="separate"/>
          </w:r>
          <w:r>
            <w:rPr>
              <w:sz w:val="24"/>
              <w:szCs w:val="24"/>
            </w:rPr>
            <w:t>52</w:t>
          </w:r>
          <w:r>
            <w:rPr>
              <w:sz w:val="24"/>
              <w:szCs w:val="24"/>
            </w:rPr>
            <w:fldChar w:fldCharType="end"/>
          </w:r>
          <w:r>
            <w:rPr>
              <w:color w:val="auto"/>
              <w:sz w:val="24"/>
              <w:szCs w:val="24"/>
              <w:highlight w:val="none"/>
            </w:rPr>
            <w:fldChar w:fldCharType="end"/>
          </w:r>
        </w:p>
        <w:p w14:paraId="5F95FE88">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_Toc7312 </w:instrText>
          </w:r>
          <w:r>
            <w:rPr>
              <w:sz w:val="24"/>
              <w:szCs w:val="24"/>
              <w:highlight w:val="none"/>
            </w:rPr>
            <w:fldChar w:fldCharType="separate"/>
          </w:r>
          <w:r>
            <w:rPr>
              <w:sz w:val="24"/>
              <w:szCs w:val="24"/>
              <w:highlight w:val="none"/>
            </w:rPr>
            <w:t>第</w:t>
          </w:r>
          <w:r>
            <w:rPr>
              <w:rFonts w:hint="eastAsia"/>
              <w:sz w:val="24"/>
              <w:szCs w:val="24"/>
              <w:highlight w:val="none"/>
              <w:lang w:val="en-US" w:eastAsia="zh-CN"/>
            </w:rPr>
            <w:t>七</w:t>
          </w:r>
          <w:r>
            <w:rPr>
              <w:sz w:val="24"/>
              <w:szCs w:val="24"/>
              <w:highlight w:val="none"/>
            </w:rPr>
            <w:t>章：技术标回标要求</w:t>
          </w:r>
          <w:r>
            <w:rPr>
              <w:sz w:val="24"/>
              <w:szCs w:val="24"/>
            </w:rPr>
            <w:tab/>
          </w:r>
          <w:r>
            <w:rPr>
              <w:sz w:val="24"/>
              <w:szCs w:val="24"/>
            </w:rPr>
            <w:fldChar w:fldCharType="begin"/>
          </w:r>
          <w:r>
            <w:rPr>
              <w:sz w:val="24"/>
              <w:szCs w:val="24"/>
            </w:rPr>
            <w:instrText xml:space="preserve"> PAGEREF _Toc7312 \h </w:instrText>
          </w:r>
          <w:r>
            <w:rPr>
              <w:sz w:val="24"/>
              <w:szCs w:val="24"/>
            </w:rPr>
            <w:fldChar w:fldCharType="separate"/>
          </w:r>
          <w:r>
            <w:rPr>
              <w:sz w:val="24"/>
              <w:szCs w:val="24"/>
            </w:rPr>
            <w:t>52</w:t>
          </w:r>
          <w:r>
            <w:rPr>
              <w:sz w:val="24"/>
              <w:szCs w:val="24"/>
            </w:rPr>
            <w:fldChar w:fldCharType="end"/>
          </w:r>
          <w:r>
            <w:rPr>
              <w:color w:val="auto"/>
              <w:sz w:val="24"/>
              <w:szCs w:val="24"/>
              <w:highlight w:val="none"/>
            </w:rPr>
            <w:fldChar w:fldCharType="end"/>
          </w:r>
        </w:p>
        <w:p w14:paraId="79F87078">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_Toc32131 </w:instrText>
          </w:r>
          <w:r>
            <w:rPr>
              <w:sz w:val="24"/>
              <w:szCs w:val="24"/>
              <w:highlight w:val="none"/>
            </w:rPr>
            <w:fldChar w:fldCharType="separate"/>
          </w:r>
          <w:r>
            <w:rPr>
              <w:rFonts w:hint="eastAsia"/>
              <w:sz w:val="24"/>
              <w:szCs w:val="24"/>
              <w:highlight w:val="none"/>
              <w:lang w:val="en-US" w:eastAsia="zh-CN"/>
            </w:rPr>
            <w:t xml:space="preserve">7.1 </w:t>
          </w:r>
          <w:r>
            <w:rPr>
              <w:sz w:val="24"/>
              <w:szCs w:val="24"/>
              <w:highlight w:val="none"/>
            </w:rPr>
            <w:t>投标人的技术标应由以下部分组成：</w:t>
          </w:r>
          <w:r>
            <w:rPr>
              <w:sz w:val="24"/>
              <w:szCs w:val="24"/>
            </w:rPr>
            <w:tab/>
          </w:r>
          <w:r>
            <w:rPr>
              <w:sz w:val="24"/>
              <w:szCs w:val="24"/>
            </w:rPr>
            <w:fldChar w:fldCharType="begin"/>
          </w:r>
          <w:r>
            <w:rPr>
              <w:sz w:val="24"/>
              <w:szCs w:val="24"/>
            </w:rPr>
            <w:instrText xml:space="preserve"> PAGEREF _Toc32131 \h </w:instrText>
          </w:r>
          <w:r>
            <w:rPr>
              <w:sz w:val="24"/>
              <w:szCs w:val="24"/>
            </w:rPr>
            <w:fldChar w:fldCharType="separate"/>
          </w:r>
          <w:r>
            <w:rPr>
              <w:sz w:val="24"/>
              <w:szCs w:val="24"/>
            </w:rPr>
            <w:t>52</w:t>
          </w:r>
          <w:r>
            <w:rPr>
              <w:sz w:val="24"/>
              <w:szCs w:val="24"/>
            </w:rPr>
            <w:fldChar w:fldCharType="end"/>
          </w:r>
          <w:r>
            <w:rPr>
              <w:color w:val="auto"/>
              <w:sz w:val="24"/>
              <w:szCs w:val="24"/>
              <w:highlight w:val="none"/>
            </w:rPr>
            <w:fldChar w:fldCharType="end"/>
          </w:r>
        </w:p>
        <w:p w14:paraId="17219F0C">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_Toc27857 </w:instrText>
          </w:r>
          <w:r>
            <w:rPr>
              <w:sz w:val="24"/>
              <w:szCs w:val="24"/>
              <w:highlight w:val="none"/>
            </w:rPr>
            <w:fldChar w:fldCharType="separate"/>
          </w:r>
          <w:r>
            <w:rPr>
              <w:rFonts w:hint="eastAsia"/>
              <w:sz w:val="24"/>
              <w:szCs w:val="24"/>
              <w:highlight w:val="none"/>
              <w:lang w:val="en-US" w:eastAsia="zh-CN"/>
            </w:rPr>
            <w:t xml:space="preserve">7.2 </w:t>
          </w:r>
          <w:r>
            <w:rPr>
              <w:sz w:val="24"/>
              <w:szCs w:val="24"/>
              <w:highlight w:val="none"/>
            </w:rPr>
            <w:t>结构设计要求</w:t>
          </w:r>
          <w:r>
            <w:rPr>
              <w:sz w:val="24"/>
              <w:szCs w:val="24"/>
            </w:rPr>
            <w:tab/>
          </w:r>
          <w:r>
            <w:rPr>
              <w:sz w:val="24"/>
              <w:szCs w:val="24"/>
            </w:rPr>
            <w:fldChar w:fldCharType="begin"/>
          </w:r>
          <w:r>
            <w:rPr>
              <w:sz w:val="24"/>
              <w:szCs w:val="24"/>
            </w:rPr>
            <w:instrText xml:space="preserve"> PAGEREF _Toc27857 \h </w:instrText>
          </w:r>
          <w:r>
            <w:rPr>
              <w:sz w:val="24"/>
              <w:szCs w:val="24"/>
            </w:rPr>
            <w:fldChar w:fldCharType="separate"/>
          </w:r>
          <w:r>
            <w:rPr>
              <w:sz w:val="24"/>
              <w:szCs w:val="24"/>
            </w:rPr>
            <w:t>52</w:t>
          </w:r>
          <w:r>
            <w:rPr>
              <w:sz w:val="24"/>
              <w:szCs w:val="24"/>
            </w:rPr>
            <w:fldChar w:fldCharType="end"/>
          </w:r>
          <w:r>
            <w:rPr>
              <w:color w:val="auto"/>
              <w:sz w:val="24"/>
              <w:szCs w:val="24"/>
              <w:highlight w:val="none"/>
            </w:rPr>
            <w:fldChar w:fldCharType="end"/>
          </w:r>
        </w:p>
        <w:p w14:paraId="3B4B0444">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_Toc4832 </w:instrText>
          </w:r>
          <w:r>
            <w:rPr>
              <w:sz w:val="24"/>
              <w:szCs w:val="24"/>
              <w:highlight w:val="none"/>
            </w:rPr>
            <w:fldChar w:fldCharType="separate"/>
          </w:r>
          <w:r>
            <w:rPr>
              <w:rFonts w:hint="eastAsia"/>
              <w:sz w:val="24"/>
              <w:szCs w:val="24"/>
              <w:highlight w:val="none"/>
              <w:lang w:val="en-US" w:eastAsia="zh-CN"/>
            </w:rPr>
            <w:t xml:space="preserve">7.3 </w:t>
          </w:r>
          <w:r>
            <w:rPr>
              <w:sz w:val="24"/>
              <w:szCs w:val="24"/>
              <w:highlight w:val="none"/>
            </w:rPr>
            <w:t>图纸要求细则</w:t>
          </w:r>
          <w:r>
            <w:rPr>
              <w:sz w:val="24"/>
              <w:szCs w:val="24"/>
            </w:rPr>
            <w:tab/>
          </w:r>
          <w:r>
            <w:rPr>
              <w:sz w:val="24"/>
              <w:szCs w:val="24"/>
            </w:rPr>
            <w:fldChar w:fldCharType="begin"/>
          </w:r>
          <w:r>
            <w:rPr>
              <w:sz w:val="24"/>
              <w:szCs w:val="24"/>
            </w:rPr>
            <w:instrText xml:space="preserve"> PAGEREF _Toc4832 \h </w:instrText>
          </w:r>
          <w:r>
            <w:rPr>
              <w:sz w:val="24"/>
              <w:szCs w:val="24"/>
            </w:rPr>
            <w:fldChar w:fldCharType="separate"/>
          </w:r>
          <w:r>
            <w:rPr>
              <w:sz w:val="24"/>
              <w:szCs w:val="24"/>
            </w:rPr>
            <w:t>53</w:t>
          </w:r>
          <w:r>
            <w:rPr>
              <w:sz w:val="24"/>
              <w:szCs w:val="24"/>
            </w:rPr>
            <w:fldChar w:fldCharType="end"/>
          </w:r>
          <w:r>
            <w:rPr>
              <w:color w:val="auto"/>
              <w:sz w:val="24"/>
              <w:szCs w:val="24"/>
              <w:highlight w:val="none"/>
            </w:rPr>
            <w:fldChar w:fldCharType="end"/>
          </w:r>
        </w:p>
        <w:p w14:paraId="3CDD3DA4">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_Toc1403 </w:instrText>
          </w:r>
          <w:r>
            <w:rPr>
              <w:sz w:val="24"/>
              <w:szCs w:val="24"/>
              <w:highlight w:val="none"/>
            </w:rPr>
            <w:fldChar w:fldCharType="separate"/>
          </w:r>
          <w:r>
            <w:rPr>
              <w:rFonts w:hint="eastAsia"/>
              <w:sz w:val="24"/>
              <w:szCs w:val="24"/>
              <w:highlight w:val="none"/>
              <w:lang w:val="en-US" w:eastAsia="zh-CN"/>
            </w:rPr>
            <w:t xml:space="preserve">7.4 </w:t>
          </w:r>
          <w:r>
            <w:rPr>
              <w:sz w:val="24"/>
              <w:szCs w:val="24"/>
              <w:highlight w:val="none"/>
            </w:rPr>
            <w:t>施工组织设计一般要求</w:t>
          </w:r>
          <w:r>
            <w:rPr>
              <w:sz w:val="24"/>
              <w:szCs w:val="24"/>
            </w:rPr>
            <w:tab/>
          </w:r>
          <w:r>
            <w:rPr>
              <w:sz w:val="24"/>
              <w:szCs w:val="24"/>
            </w:rPr>
            <w:fldChar w:fldCharType="begin"/>
          </w:r>
          <w:r>
            <w:rPr>
              <w:sz w:val="24"/>
              <w:szCs w:val="24"/>
            </w:rPr>
            <w:instrText xml:space="preserve"> PAGEREF _Toc1403 \h </w:instrText>
          </w:r>
          <w:r>
            <w:rPr>
              <w:sz w:val="24"/>
              <w:szCs w:val="24"/>
            </w:rPr>
            <w:fldChar w:fldCharType="separate"/>
          </w:r>
          <w:r>
            <w:rPr>
              <w:sz w:val="24"/>
              <w:szCs w:val="24"/>
            </w:rPr>
            <w:t>54</w:t>
          </w:r>
          <w:r>
            <w:rPr>
              <w:sz w:val="24"/>
              <w:szCs w:val="24"/>
            </w:rPr>
            <w:fldChar w:fldCharType="end"/>
          </w:r>
          <w:r>
            <w:rPr>
              <w:color w:val="auto"/>
              <w:sz w:val="24"/>
              <w:szCs w:val="24"/>
              <w:highlight w:val="none"/>
            </w:rPr>
            <w:fldChar w:fldCharType="end"/>
          </w:r>
        </w:p>
        <w:p w14:paraId="6B4C6609">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_Toc32070 </w:instrText>
          </w:r>
          <w:r>
            <w:rPr>
              <w:sz w:val="24"/>
              <w:szCs w:val="24"/>
              <w:highlight w:val="none"/>
            </w:rPr>
            <w:fldChar w:fldCharType="separate"/>
          </w:r>
          <w:r>
            <w:rPr>
              <w:rFonts w:hint="eastAsia"/>
              <w:sz w:val="24"/>
              <w:szCs w:val="24"/>
              <w:highlight w:val="none"/>
              <w:lang w:val="en-US" w:eastAsia="zh-CN"/>
            </w:rPr>
            <w:t xml:space="preserve">7.5 </w:t>
          </w:r>
          <w:r>
            <w:rPr>
              <w:sz w:val="24"/>
              <w:szCs w:val="24"/>
              <w:highlight w:val="none"/>
            </w:rPr>
            <w:t>施工组织设计要求细则</w:t>
          </w:r>
          <w:r>
            <w:rPr>
              <w:sz w:val="24"/>
              <w:szCs w:val="24"/>
            </w:rPr>
            <w:tab/>
          </w:r>
          <w:r>
            <w:rPr>
              <w:sz w:val="24"/>
              <w:szCs w:val="24"/>
            </w:rPr>
            <w:fldChar w:fldCharType="begin"/>
          </w:r>
          <w:r>
            <w:rPr>
              <w:sz w:val="24"/>
              <w:szCs w:val="24"/>
            </w:rPr>
            <w:instrText xml:space="preserve"> PAGEREF _Toc32070 \h </w:instrText>
          </w:r>
          <w:r>
            <w:rPr>
              <w:sz w:val="24"/>
              <w:szCs w:val="24"/>
            </w:rPr>
            <w:fldChar w:fldCharType="separate"/>
          </w:r>
          <w:r>
            <w:rPr>
              <w:sz w:val="24"/>
              <w:szCs w:val="24"/>
            </w:rPr>
            <w:t>54</w:t>
          </w:r>
          <w:r>
            <w:rPr>
              <w:sz w:val="24"/>
              <w:szCs w:val="24"/>
            </w:rPr>
            <w:fldChar w:fldCharType="end"/>
          </w:r>
          <w:r>
            <w:rPr>
              <w:color w:val="auto"/>
              <w:sz w:val="24"/>
              <w:szCs w:val="24"/>
              <w:highlight w:val="none"/>
            </w:rPr>
            <w:fldChar w:fldCharType="end"/>
          </w:r>
        </w:p>
        <w:p w14:paraId="1C099F3E">
          <w:pPr>
            <w:pStyle w:val="10"/>
            <w:tabs>
              <w:tab w:val="right" w:leader="dot" w:pos="9070"/>
            </w:tabs>
            <w:ind w:left="0" w:leftChars="0" w:firstLine="0" w:firstLineChars="0"/>
            <w:rPr>
              <w:sz w:val="24"/>
              <w:szCs w:val="24"/>
            </w:rPr>
          </w:pPr>
          <w:r>
            <w:rPr>
              <w:color w:val="auto"/>
              <w:sz w:val="24"/>
              <w:szCs w:val="24"/>
              <w:highlight w:val="none"/>
            </w:rPr>
            <w:fldChar w:fldCharType="begin"/>
          </w:r>
          <w:r>
            <w:rPr>
              <w:sz w:val="24"/>
              <w:szCs w:val="24"/>
              <w:highlight w:val="none"/>
            </w:rPr>
            <w:instrText xml:space="preserve"> HYPERLINK \l _Toc27968 </w:instrText>
          </w:r>
          <w:r>
            <w:rPr>
              <w:sz w:val="24"/>
              <w:szCs w:val="24"/>
              <w:highlight w:val="none"/>
            </w:rPr>
            <w:fldChar w:fldCharType="separate"/>
          </w:r>
          <w:r>
            <w:rPr>
              <w:sz w:val="24"/>
              <w:szCs w:val="24"/>
              <w:highlight w:val="none"/>
            </w:rPr>
            <w:t>第</w:t>
          </w:r>
          <w:r>
            <w:rPr>
              <w:rFonts w:hint="eastAsia"/>
              <w:sz w:val="24"/>
              <w:szCs w:val="24"/>
              <w:highlight w:val="none"/>
              <w:lang w:val="en-US" w:eastAsia="zh-CN"/>
            </w:rPr>
            <w:t>八</w:t>
          </w:r>
          <w:r>
            <w:rPr>
              <w:sz w:val="24"/>
              <w:szCs w:val="24"/>
              <w:highlight w:val="none"/>
            </w:rPr>
            <w:t>章：中标人需提交资料内容及确认方式</w:t>
          </w:r>
          <w:r>
            <w:rPr>
              <w:sz w:val="24"/>
              <w:szCs w:val="24"/>
            </w:rPr>
            <w:tab/>
          </w:r>
          <w:r>
            <w:rPr>
              <w:sz w:val="24"/>
              <w:szCs w:val="24"/>
            </w:rPr>
            <w:fldChar w:fldCharType="begin"/>
          </w:r>
          <w:r>
            <w:rPr>
              <w:sz w:val="24"/>
              <w:szCs w:val="24"/>
            </w:rPr>
            <w:instrText xml:space="preserve"> PAGEREF _Toc27968 \h </w:instrText>
          </w:r>
          <w:r>
            <w:rPr>
              <w:sz w:val="24"/>
              <w:szCs w:val="24"/>
            </w:rPr>
            <w:fldChar w:fldCharType="separate"/>
          </w:r>
          <w:r>
            <w:rPr>
              <w:sz w:val="24"/>
              <w:szCs w:val="24"/>
            </w:rPr>
            <w:t>55</w:t>
          </w:r>
          <w:r>
            <w:rPr>
              <w:sz w:val="24"/>
              <w:szCs w:val="24"/>
            </w:rPr>
            <w:fldChar w:fldCharType="end"/>
          </w:r>
          <w:r>
            <w:rPr>
              <w:color w:val="auto"/>
              <w:sz w:val="24"/>
              <w:szCs w:val="24"/>
              <w:highlight w:val="none"/>
            </w:rPr>
            <w:fldChar w:fldCharType="end"/>
          </w:r>
        </w:p>
        <w:p w14:paraId="08BAFB6B">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_Toc1197 </w:instrText>
          </w:r>
          <w:r>
            <w:rPr>
              <w:sz w:val="24"/>
              <w:szCs w:val="24"/>
              <w:highlight w:val="none"/>
            </w:rPr>
            <w:fldChar w:fldCharType="separate"/>
          </w:r>
          <w:r>
            <w:rPr>
              <w:rFonts w:hint="eastAsia"/>
              <w:sz w:val="24"/>
              <w:szCs w:val="24"/>
              <w:highlight w:val="none"/>
              <w:lang w:val="en-US" w:eastAsia="zh-CN"/>
            </w:rPr>
            <w:t xml:space="preserve">8.1 </w:t>
          </w:r>
          <w:r>
            <w:rPr>
              <w:sz w:val="24"/>
              <w:szCs w:val="24"/>
              <w:highlight w:val="none"/>
            </w:rPr>
            <w:t>概述</w:t>
          </w:r>
          <w:r>
            <w:rPr>
              <w:sz w:val="24"/>
              <w:szCs w:val="24"/>
            </w:rPr>
            <w:tab/>
          </w:r>
          <w:r>
            <w:rPr>
              <w:sz w:val="24"/>
              <w:szCs w:val="24"/>
            </w:rPr>
            <w:fldChar w:fldCharType="begin"/>
          </w:r>
          <w:r>
            <w:rPr>
              <w:sz w:val="24"/>
              <w:szCs w:val="24"/>
            </w:rPr>
            <w:instrText xml:space="preserve"> PAGEREF _Toc1197 \h </w:instrText>
          </w:r>
          <w:r>
            <w:rPr>
              <w:sz w:val="24"/>
              <w:szCs w:val="24"/>
            </w:rPr>
            <w:fldChar w:fldCharType="separate"/>
          </w:r>
          <w:r>
            <w:rPr>
              <w:sz w:val="24"/>
              <w:szCs w:val="24"/>
            </w:rPr>
            <w:t>55</w:t>
          </w:r>
          <w:r>
            <w:rPr>
              <w:sz w:val="24"/>
              <w:szCs w:val="24"/>
            </w:rPr>
            <w:fldChar w:fldCharType="end"/>
          </w:r>
          <w:r>
            <w:rPr>
              <w:color w:val="auto"/>
              <w:sz w:val="24"/>
              <w:szCs w:val="24"/>
              <w:highlight w:val="none"/>
            </w:rPr>
            <w:fldChar w:fldCharType="end"/>
          </w:r>
        </w:p>
        <w:p w14:paraId="4EEC9822">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_Toc8 </w:instrText>
          </w:r>
          <w:r>
            <w:rPr>
              <w:sz w:val="24"/>
              <w:szCs w:val="24"/>
              <w:highlight w:val="none"/>
            </w:rPr>
            <w:fldChar w:fldCharType="separate"/>
          </w:r>
          <w:r>
            <w:rPr>
              <w:rFonts w:hint="eastAsia"/>
              <w:sz w:val="24"/>
              <w:szCs w:val="24"/>
              <w:highlight w:val="none"/>
              <w:lang w:val="en-US" w:eastAsia="zh-CN"/>
            </w:rPr>
            <w:t xml:space="preserve">8.2 </w:t>
          </w:r>
          <w:r>
            <w:rPr>
              <w:sz w:val="24"/>
              <w:szCs w:val="24"/>
              <w:highlight w:val="none"/>
            </w:rPr>
            <w:t>施工进度计划表和施工图纸计划：</w:t>
          </w:r>
          <w:r>
            <w:rPr>
              <w:sz w:val="24"/>
              <w:szCs w:val="24"/>
            </w:rPr>
            <w:tab/>
          </w:r>
          <w:r>
            <w:rPr>
              <w:sz w:val="24"/>
              <w:szCs w:val="24"/>
            </w:rPr>
            <w:fldChar w:fldCharType="begin"/>
          </w:r>
          <w:r>
            <w:rPr>
              <w:sz w:val="24"/>
              <w:szCs w:val="24"/>
            </w:rPr>
            <w:instrText xml:space="preserve"> PAGEREF _Toc8 \h </w:instrText>
          </w:r>
          <w:r>
            <w:rPr>
              <w:sz w:val="24"/>
              <w:szCs w:val="24"/>
            </w:rPr>
            <w:fldChar w:fldCharType="separate"/>
          </w:r>
          <w:r>
            <w:rPr>
              <w:sz w:val="24"/>
              <w:szCs w:val="24"/>
            </w:rPr>
            <w:t>55</w:t>
          </w:r>
          <w:r>
            <w:rPr>
              <w:sz w:val="24"/>
              <w:szCs w:val="24"/>
            </w:rPr>
            <w:fldChar w:fldCharType="end"/>
          </w:r>
          <w:r>
            <w:rPr>
              <w:color w:val="auto"/>
              <w:sz w:val="24"/>
              <w:szCs w:val="24"/>
              <w:highlight w:val="none"/>
            </w:rPr>
            <w:fldChar w:fldCharType="end"/>
          </w:r>
        </w:p>
        <w:p w14:paraId="77DABBE2">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_Toc8705 </w:instrText>
          </w:r>
          <w:r>
            <w:rPr>
              <w:sz w:val="24"/>
              <w:szCs w:val="24"/>
              <w:highlight w:val="none"/>
            </w:rPr>
            <w:fldChar w:fldCharType="separate"/>
          </w:r>
          <w:r>
            <w:rPr>
              <w:rFonts w:hint="eastAsia"/>
              <w:sz w:val="24"/>
              <w:szCs w:val="24"/>
              <w:highlight w:val="none"/>
              <w:lang w:val="en-US" w:eastAsia="zh-CN"/>
            </w:rPr>
            <w:t xml:space="preserve">8.3 </w:t>
          </w:r>
          <w:r>
            <w:rPr>
              <w:sz w:val="24"/>
              <w:szCs w:val="24"/>
              <w:highlight w:val="none"/>
            </w:rPr>
            <w:t>提交到政府主管部门的项目</w:t>
          </w:r>
          <w:r>
            <w:rPr>
              <w:sz w:val="24"/>
              <w:szCs w:val="24"/>
            </w:rPr>
            <w:tab/>
          </w:r>
          <w:r>
            <w:rPr>
              <w:sz w:val="24"/>
              <w:szCs w:val="24"/>
            </w:rPr>
            <w:fldChar w:fldCharType="begin"/>
          </w:r>
          <w:r>
            <w:rPr>
              <w:sz w:val="24"/>
              <w:szCs w:val="24"/>
            </w:rPr>
            <w:instrText xml:space="preserve"> PAGEREF _Toc8705 \h </w:instrText>
          </w:r>
          <w:r>
            <w:rPr>
              <w:sz w:val="24"/>
              <w:szCs w:val="24"/>
            </w:rPr>
            <w:fldChar w:fldCharType="separate"/>
          </w:r>
          <w:r>
            <w:rPr>
              <w:sz w:val="24"/>
              <w:szCs w:val="24"/>
            </w:rPr>
            <w:t>56</w:t>
          </w:r>
          <w:r>
            <w:rPr>
              <w:sz w:val="24"/>
              <w:szCs w:val="24"/>
            </w:rPr>
            <w:fldChar w:fldCharType="end"/>
          </w:r>
          <w:r>
            <w:rPr>
              <w:color w:val="auto"/>
              <w:sz w:val="24"/>
              <w:szCs w:val="24"/>
              <w:highlight w:val="none"/>
            </w:rPr>
            <w:fldChar w:fldCharType="end"/>
          </w:r>
        </w:p>
        <w:p w14:paraId="152C35AD">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_Toc13604 </w:instrText>
          </w:r>
          <w:r>
            <w:rPr>
              <w:sz w:val="24"/>
              <w:szCs w:val="24"/>
              <w:highlight w:val="none"/>
            </w:rPr>
            <w:fldChar w:fldCharType="separate"/>
          </w:r>
          <w:r>
            <w:rPr>
              <w:rFonts w:hint="eastAsia"/>
              <w:sz w:val="24"/>
              <w:szCs w:val="24"/>
              <w:highlight w:val="none"/>
              <w:lang w:val="en-US" w:eastAsia="zh-CN"/>
            </w:rPr>
            <w:t xml:space="preserve">8.4 </w:t>
          </w:r>
          <w:r>
            <w:rPr>
              <w:sz w:val="24"/>
              <w:szCs w:val="24"/>
              <w:highlight w:val="none"/>
            </w:rPr>
            <w:t>施工图和计算书</w:t>
          </w:r>
          <w:r>
            <w:rPr>
              <w:sz w:val="24"/>
              <w:szCs w:val="24"/>
            </w:rPr>
            <w:tab/>
          </w:r>
          <w:r>
            <w:rPr>
              <w:sz w:val="24"/>
              <w:szCs w:val="24"/>
            </w:rPr>
            <w:fldChar w:fldCharType="begin"/>
          </w:r>
          <w:r>
            <w:rPr>
              <w:sz w:val="24"/>
              <w:szCs w:val="24"/>
            </w:rPr>
            <w:instrText xml:space="preserve"> PAGEREF _Toc13604 \h </w:instrText>
          </w:r>
          <w:r>
            <w:rPr>
              <w:sz w:val="24"/>
              <w:szCs w:val="24"/>
            </w:rPr>
            <w:fldChar w:fldCharType="separate"/>
          </w:r>
          <w:r>
            <w:rPr>
              <w:sz w:val="24"/>
              <w:szCs w:val="24"/>
            </w:rPr>
            <w:t>56</w:t>
          </w:r>
          <w:r>
            <w:rPr>
              <w:sz w:val="24"/>
              <w:szCs w:val="24"/>
            </w:rPr>
            <w:fldChar w:fldCharType="end"/>
          </w:r>
          <w:r>
            <w:rPr>
              <w:color w:val="auto"/>
              <w:sz w:val="24"/>
              <w:szCs w:val="24"/>
              <w:highlight w:val="none"/>
            </w:rPr>
            <w:fldChar w:fldCharType="end"/>
          </w:r>
        </w:p>
        <w:p w14:paraId="28FB231C">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_Toc12547 </w:instrText>
          </w:r>
          <w:r>
            <w:rPr>
              <w:sz w:val="24"/>
              <w:szCs w:val="24"/>
              <w:highlight w:val="none"/>
            </w:rPr>
            <w:fldChar w:fldCharType="separate"/>
          </w:r>
          <w:r>
            <w:rPr>
              <w:rFonts w:hint="eastAsia"/>
              <w:sz w:val="24"/>
              <w:szCs w:val="24"/>
              <w:highlight w:val="none"/>
              <w:lang w:val="en-US" w:eastAsia="zh-CN"/>
            </w:rPr>
            <w:t xml:space="preserve">8.5 </w:t>
          </w:r>
          <w:r>
            <w:rPr>
              <w:sz w:val="24"/>
              <w:szCs w:val="24"/>
              <w:highlight w:val="none"/>
            </w:rPr>
            <w:t>完整的施工组织设计及专项施工方案</w:t>
          </w:r>
          <w:r>
            <w:rPr>
              <w:sz w:val="24"/>
              <w:szCs w:val="24"/>
            </w:rPr>
            <w:tab/>
          </w:r>
          <w:r>
            <w:rPr>
              <w:sz w:val="24"/>
              <w:szCs w:val="24"/>
            </w:rPr>
            <w:fldChar w:fldCharType="begin"/>
          </w:r>
          <w:r>
            <w:rPr>
              <w:sz w:val="24"/>
              <w:szCs w:val="24"/>
            </w:rPr>
            <w:instrText xml:space="preserve"> PAGEREF _Toc12547 \h </w:instrText>
          </w:r>
          <w:r>
            <w:rPr>
              <w:sz w:val="24"/>
              <w:szCs w:val="24"/>
            </w:rPr>
            <w:fldChar w:fldCharType="separate"/>
          </w:r>
          <w:r>
            <w:rPr>
              <w:sz w:val="24"/>
              <w:szCs w:val="24"/>
            </w:rPr>
            <w:t>56</w:t>
          </w:r>
          <w:r>
            <w:rPr>
              <w:sz w:val="24"/>
              <w:szCs w:val="24"/>
            </w:rPr>
            <w:fldChar w:fldCharType="end"/>
          </w:r>
          <w:r>
            <w:rPr>
              <w:color w:val="auto"/>
              <w:sz w:val="24"/>
              <w:szCs w:val="24"/>
              <w:highlight w:val="none"/>
            </w:rPr>
            <w:fldChar w:fldCharType="end"/>
          </w:r>
        </w:p>
        <w:p w14:paraId="06A5B353">
          <w:pPr>
            <w:pStyle w:val="11"/>
            <w:tabs>
              <w:tab w:val="right" w:leader="dot" w:pos="9070"/>
            </w:tabs>
            <w:rPr>
              <w:sz w:val="24"/>
              <w:szCs w:val="24"/>
            </w:rPr>
          </w:pPr>
          <w:r>
            <w:rPr>
              <w:color w:val="auto"/>
              <w:sz w:val="24"/>
              <w:szCs w:val="24"/>
              <w:highlight w:val="none"/>
            </w:rPr>
            <w:fldChar w:fldCharType="begin"/>
          </w:r>
          <w:r>
            <w:rPr>
              <w:sz w:val="24"/>
              <w:szCs w:val="24"/>
              <w:highlight w:val="none"/>
            </w:rPr>
            <w:instrText xml:space="preserve"> HYPERLINK \l _Toc31806 </w:instrText>
          </w:r>
          <w:r>
            <w:rPr>
              <w:sz w:val="24"/>
              <w:szCs w:val="24"/>
              <w:highlight w:val="none"/>
            </w:rPr>
            <w:fldChar w:fldCharType="separate"/>
          </w:r>
          <w:r>
            <w:rPr>
              <w:rFonts w:hint="eastAsia"/>
              <w:sz w:val="24"/>
              <w:szCs w:val="24"/>
              <w:highlight w:val="none"/>
              <w:lang w:val="en-US" w:eastAsia="zh-CN"/>
            </w:rPr>
            <w:t xml:space="preserve">8.6 </w:t>
          </w:r>
          <w:r>
            <w:rPr>
              <w:sz w:val="24"/>
              <w:szCs w:val="24"/>
              <w:highlight w:val="none"/>
            </w:rPr>
            <w:t>竣工资料（竣工图）</w:t>
          </w:r>
          <w:r>
            <w:rPr>
              <w:sz w:val="24"/>
              <w:szCs w:val="24"/>
            </w:rPr>
            <w:tab/>
          </w:r>
          <w:r>
            <w:rPr>
              <w:sz w:val="24"/>
              <w:szCs w:val="24"/>
            </w:rPr>
            <w:fldChar w:fldCharType="begin"/>
          </w:r>
          <w:r>
            <w:rPr>
              <w:sz w:val="24"/>
              <w:szCs w:val="24"/>
            </w:rPr>
            <w:instrText xml:space="preserve"> PAGEREF _Toc31806 \h </w:instrText>
          </w:r>
          <w:r>
            <w:rPr>
              <w:sz w:val="24"/>
              <w:szCs w:val="24"/>
            </w:rPr>
            <w:fldChar w:fldCharType="separate"/>
          </w:r>
          <w:r>
            <w:rPr>
              <w:sz w:val="24"/>
              <w:szCs w:val="24"/>
            </w:rPr>
            <w:t>56</w:t>
          </w:r>
          <w:r>
            <w:rPr>
              <w:sz w:val="24"/>
              <w:szCs w:val="24"/>
            </w:rPr>
            <w:fldChar w:fldCharType="end"/>
          </w:r>
          <w:r>
            <w:rPr>
              <w:color w:val="auto"/>
              <w:sz w:val="24"/>
              <w:szCs w:val="24"/>
              <w:highlight w:val="none"/>
            </w:rPr>
            <w:fldChar w:fldCharType="end"/>
          </w:r>
        </w:p>
        <w:p w14:paraId="12F313E5">
          <w:pPr>
            <w:pStyle w:val="10"/>
            <w:tabs>
              <w:tab w:val="right" w:leader="dot" w:pos="9070"/>
            </w:tabs>
            <w:ind w:left="0" w:leftChars="0" w:firstLine="0" w:firstLineChars="0"/>
          </w:pPr>
          <w:r>
            <w:rPr>
              <w:color w:val="auto"/>
              <w:sz w:val="24"/>
              <w:szCs w:val="24"/>
              <w:highlight w:val="none"/>
            </w:rPr>
            <w:fldChar w:fldCharType="begin"/>
          </w:r>
          <w:r>
            <w:rPr>
              <w:sz w:val="24"/>
              <w:szCs w:val="24"/>
              <w:highlight w:val="none"/>
            </w:rPr>
            <w:instrText xml:space="preserve"> HYPERLINK \l _Toc500 </w:instrText>
          </w:r>
          <w:r>
            <w:rPr>
              <w:sz w:val="24"/>
              <w:szCs w:val="24"/>
              <w:highlight w:val="none"/>
            </w:rPr>
            <w:fldChar w:fldCharType="separate"/>
          </w:r>
          <w:r>
            <w:rPr>
              <w:rFonts w:hint="eastAsia"/>
              <w:sz w:val="24"/>
              <w:szCs w:val="24"/>
              <w:highlight w:val="none"/>
              <w:lang w:val="en-US" w:eastAsia="zh-CN"/>
            </w:rPr>
            <w:t>第九章：附件</w:t>
          </w:r>
          <w:r>
            <w:rPr>
              <w:sz w:val="24"/>
              <w:szCs w:val="24"/>
            </w:rPr>
            <w:tab/>
          </w:r>
          <w:r>
            <w:rPr>
              <w:sz w:val="24"/>
              <w:szCs w:val="24"/>
            </w:rPr>
            <w:fldChar w:fldCharType="begin"/>
          </w:r>
          <w:r>
            <w:rPr>
              <w:sz w:val="24"/>
              <w:szCs w:val="24"/>
            </w:rPr>
            <w:instrText xml:space="preserve"> PAGEREF _Toc500 \h </w:instrText>
          </w:r>
          <w:r>
            <w:rPr>
              <w:sz w:val="24"/>
              <w:szCs w:val="24"/>
            </w:rPr>
            <w:fldChar w:fldCharType="separate"/>
          </w:r>
          <w:r>
            <w:rPr>
              <w:sz w:val="24"/>
              <w:szCs w:val="24"/>
            </w:rPr>
            <w:t>57</w:t>
          </w:r>
          <w:r>
            <w:rPr>
              <w:sz w:val="24"/>
              <w:szCs w:val="24"/>
            </w:rPr>
            <w:fldChar w:fldCharType="end"/>
          </w:r>
          <w:r>
            <w:rPr>
              <w:color w:val="auto"/>
              <w:sz w:val="24"/>
              <w:szCs w:val="24"/>
              <w:highlight w:val="none"/>
            </w:rPr>
            <w:fldChar w:fldCharType="end"/>
          </w:r>
        </w:p>
        <w:p w14:paraId="5888B8F1">
          <w:pPr>
            <w:widowControl/>
            <w:spacing w:before="0" w:beforeLines="0" w:after="0" w:afterLines="0" w:line="360" w:lineRule="auto"/>
            <w:ind w:left="0" w:leftChars="0" w:right="0" w:rightChars="0" w:firstLine="0" w:firstLineChars="0"/>
            <w:jc w:val="center"/>
            <w:outlineLvl w:val="9"/>
            <w:rPr>
              <w:rFonts w:hint="eastAsia"/>
              <w:b/>
              <w:color w:val="auto"/>
              <w:sz w:val="24"/>
              <w:szCs w:val="24"/>
              <w:highlight w:val="none"/>
              <w:lang w:val="en-US" w:eastAsia="zh-CN"/>
            </w:rPr>
          </w:pPr>
          <w:r>
            <w:rPr>
              <w:b/>
              <w:color w:val="auto"/>
              <w:sz w:val="24"/>
              <w:szCs w:val="24"/>
              <w:highlight w:val="none"/>
            </w:rPr>
            <w:fldChar w:fldCharType="end"/>
          </w:r>
          <w:r>
            <w:rPr>
              <w:rFonts w:hint="eastAsia"/>
              <w:b/>
              <w:color w:val="auto"/>
              <w:sz w:val="24"/>
              <w:szCs w:val="24"/>
              <w:highlight w:val="none"/>
              <w:lang w:val="en-US" w:eastAsia="zh-CN"/>
            </w:rPr>
            <w:t>第二部分（泛光照明）</w:t>
          </w:r>
        </w:p>
        <w:p w14:paraId="3BC4B808">
          <w:pPr>
            <w:pStyle w:val="40"/>
            <w:numPr>
              <w:ilvl w:val="0"/>
              <w:numId w:val="1"/>
            </w:numPr>
            <w:spacing w:line="260" w:lineRule="exact"/>
            <w:jc w:val="center"/>
            <w:outlineLvl w:val="0"/>
            <w:rPr>
              <w:rFonts w:hint="eastAsia" w:ascii="宋体" w:hAnsi="宋体"/>
              <w:b/>
              <w:lang w:eastAsia="zh-CN"/>
            </w:rPr>
          </w:pPr>
          <w:r>
            <w:rPr>
              <w:rFonts w:ascii="宋体" w:hAnsi="宋体"/>
              <w:b/>
              <w:caps w:val="0"/>
              <w:lang w:eastAsia="zh-CN"/>
            </w:rPr>
            <w:t>一般</w:t>
          </w:r>
          <w:r>
            <w:rPr>
              <w:rFonts w:hint="eastAsia" w:ascii="宋体" w:hAnsi="宋体"/>
              <w:b/>
              <w:caps w:val="0"/>
              <w:lang w:eastAsia="zh-CN"/>
            </w:rPr>
            <w:t>照明</w:t>
          </w:r>
          <w:r>
            <w:rPr>
              <w:rFonts w:hint="eastAsia" w:ascii="宋体" w:hAnsi="宋体"/>
              <w:b/>
              <w:lang w:eastAsia="zh-CN"/>
            </w:rPr>
            <w:t>设备及施工规范</w:t>
          </w:r>
        </w:p>
        <w:p w14:paraId="3A172380">
          <w:pPr>
            <w:pStyle w:val="40"/>
            <w:numPr>
              <w:ilvl w:val="0"/>
              <w:numId w:val="1"/>
            </w:numPr>
            <w:spacing w:line="260" w:lineRule="exact"/>
            <w:jc w:val="center"/>
            <w:outlineLvl w:val="0"/>
            <w:rPr>
              <w:rFonts w:hint="eastAsia" w:ascii="宋体" w:hAnsi="宋体"/>
              <w:b/>
              <w:lang w:eastAsia="zh-CN"/>
            </w:rPr>
          </w:pPr>
          <w:r>
            <w:rPr>
              <w:rFonts w:hint="eastAsia" w:ascii="宋体" w:hAnsi="宋体"/>
              <w:b/>
              <w:lang w:val="en-US" w:eastAsia="zh-CN"/>
            </w:rPr>
            <w:t>安装</w:t>
          </w:r>
        </w:p>
        <w:p w14:paraId="2A6AD888">
          <w:pPr>
            <w:pStyle w:val="40"/>
            <w:numPr>
              <w:numId w:val="0"/>
            </w:numPr>
            <w:spacing w:line="260" w:lineRule="exact"/>
            <w:ind w:leftChars="0"/>
            <w:jc w:val="both"/>
            <w:outlineLvl w:val="0"/>
            <w:rPr>
              <w:rFonts w:hint="eastAsia" w:ascii="宋体" w:hAnsi="宋体"/>
              <w:b/>
              <w:lang w:eastAsia="zh-CN"/>
            </w:rPr>
          </w:pPr>
        </w:p>
        <w:p w14:paraId="6AC8C262">
          <w:pPr>
            <w:widowControl/>
            <w:spacing w:before="0" w:beforeLines="0" w:after="0" w:afterLines="0" w:line="360" w:lineRule="auto"/>
            <w:ind w:left="0" w:leftChars="0" w:right="0" w:rightChars="0" w:firstLine="0" w:firstLineChars="0"/>
            <w:jc w:val="center"/>
            <w:outlineLvl w:val="9"/>
            <w:rPr>
              <w:b/>
              <w:color w:val="auto"/>
              <w:sz w:val="24"/>
              <w:highlight w:val="none"/>
            </w:rPr>
          </w:pPr>
        </w:p>
      </w:sdtContent>
    </w:sdt>
    <w:p w14:paraId="6A982B91">
      <w:pPr>
        <w:widowControl/>
        <w:ind w:left="0" w:firstLine="0"/>
        <w:jc w:val="center"/>
        <w:outlineLvl w:val="0"/>
        <w:rPr>
          <w:b/>
          <w:color w:val="auto"/>
          <w:sz w:val="24"/>
          <w:highlight w:val="none"/>
        </w:rPr>
      </w:pPr>
      <w:bookmarkStart w:id="24" w:name="_Toc31283"/>
      <w:r>
        <w:rPr>
          <w:rFonts w:hint="eastAsia" w:ascii="宋体" w:hAnsi="宋体"/>
          <w:b/>
          <w:bCs/>
          <w:sz w:val="28"/>
          <w:szCs w:val="28"/>
          <w:lang w:val="en-US" w:eastAsia="zh-CN"/>
        </w:rPr>
        <w:t>第一部分</w:t>
      </w:r>
    </w:p>
    <w:p w14:paraId="380E1586">
      <w:pPr>
        <w:widowControl/>
        <w:ind w:left="0" w:firstLine="0"/>
        <w:jc w:val="left"/>
        <w:outlineLvl w:val="0"/>
        <w:rPr>
          <w:b/>
          <w:color w:val="auto"/>
          <w:sz w:val="24"/>
          <w:highlight w:val="none"/>
        </w:rPr>
      </w:pPr>
      <w:r>
        <w:rPr>
          <w:b/>
          <w:color w:val="auto"/>
          <w:sz w:val="24"/>
          <w:highlight w:val="none"/>
        </w:rPr>
        <w:t>第</w:t>
      </w:r>
      <w:r>
        <w:rPr>
          <w:rFonts w:hint="eastAsia"/>
          <w:b/>
          <w:color w:val="auto"/>
          <w:sz w:val="24"/>
          <w:highlight w:val="none"/>
          <w:lang w:val="en-US" w:eastAsia="zh-CN"/>
        </w:rPr>
        <w:t>一</w:t>
      </w:r>
      <w:r>
        <w:rPr>
          <w:b/>
          <w:color w:val="auto"/>
          <w:sz w:val="24"/>
          <w:highlight w:val="none"/>
        </w:rPr>
        <w:t>章：</w:t>
      </w:r>
      <w:r>
        <w:rPr>
          <w:rFonts w:hint="eastAsia"/>
          <w:b/>
          <w:color w:val="auto"/>
          <w:sz w:val="24"/>
          <w:highlight w:val="none"/>
          <w:lang w:val="en-US" w:eastAsia="zh-CN"/>
        </w:rPr>
        <w:t>一般</w:t>
      </w:r>
      <w:r>
        <w:rPr>
          <w:b/>
          <w:color w:val="auto"/>
          <w:sz w:val="24"/>
          <w:highlight w:val="none"/>
        </w:rPr>
        <w:t>要求</w:t>
      </w:r>
      <w:bookmarkEnd w:id="24"/>
    </w:p>
    <w:p w14:paraId="57977B4C">
      <w:pPr>
        <w:pStyle w:val="3"/>
        <w:numPr>
          <w:ilvl w:val="0"/>
          <w:numId w:val="0"/>
        </w:numPr>
        <w:rPr>
          <w:rFonts w:hint="eastAsia" w:ascii="Times New Roman" w:hAnsi="Times New Roman" w:eastAsia="宋体" w:cs="Times New Roman"/>
          <w:b/>
          <w:color w:val="auto"/>
          <w:kern w:val="2"/>
          <w:sz w:val="24"/>
          <w:szCs w:val="20"/>
          <w:highlight w:val="none"/>
          <w:lang w:val="en-US" w:eastAsia="zh-CN" w:bidi="ar-SA"/>
        </w:rPr>
      </w:pPr>
      <w:bookmarkStart w:id="25" w:name="_Toc520909616"/>
      <w:bookmarkStart w:id="26" w:name="_Toc28999"/>
      <w:bookmarkStart w:id="27" w:name="_Toc8204"/>
      <w:r>
        <w:rPr>
          <w:rFonts w:hint="eastAsia" w:cs="Times New Roman"/>
          <w:b/>
          <w:color w:val="auto"/>
          <w:kern w:val="2"/>
          <w:sz w:val="24"/>
          <w:szCs w:val="20"/>
          <w:highlight w:val="none"/>
          <w:lang w:val="en-US" w:eastAsia="zh-CN" w:bidi="ar-SA"/>
        </w:rPr>
        <w:t xml:space="preserve">1 </w:t>
      </w:r>
      <w:r>
        <w:rPr>
          <w:rFonts w:hint="eastAsia" w:ascii="Times New Roman" w:hAnsi="Times New Roman" w:eastAsia="宋体" w:cs="Times New Roman"/>
          <w:b/>
          <w:color w:val="auto"/>
          <w:kern w:val="2"/>
          <w:sz w:val="24"/>
          <w:szCs w:val="20"/>
          <w:highlight w:val="none"/>
          <w:lang w:val="en-US" w:eastAsia="zh-CN" w:bidi="ar-SA"/>
        </w:rPr>
        <w:t>送审及深化设计</w:t>
      </w:r>
      <w:bookmarkEnd w:id="25"/>
      <w:bookmarkEnd w:id="26"/>
      <w:bookmarkEnd w:id="27"/>
    </w:p>
    <w:p w14:paraId="4956A63B">
      <w:pPr>
        <w:widowControl/>
        <w:ind w:left="0" w:firstLine="0"/>
        <w:jc w:val="left"/>
        <w:rPr>
          <w:rFonts w:hint="eastAsia"/>
          <w:b/>
          <w:color w:val="auto"/>
          <w:sz w:val="24"/>
          <w:highlight w:val="none"/>
          <w:lang w:val="en-US" w:eastAsia="zh-CN"/>
        </w:rPr>
      </w:pPr>
      <w:bookmarkStart w:id="28" w:name="_Toc10088"/>
      <w:bookmarkStart w:id="29" w:name="_Toc326591030"/>
      <w:bookmarkStart w:id="30" w:name="_Toc520909617"/>
      <w:r>
        <w:rPr>
          <w:rFonts w:hint="eastAsia"/>
          <w:b/>
          <w:color w:val="auto"/>
          <w:sz w:val="24"/>
          <w:highlight w:val="none"/>
          <w:lang w:val="en-US" w:eastAsia="zh-CN"/>
        </w:rPr>
        <w:t>2.1 送审及深化设计递交资料</w:t>
      </w:r>
      <w:bookmarkEnd w:id="28"/>
      <w:bookmarkEnd w:id="29"/>
      <w:bookmarkEnd w:id="30"/>
    </w:p>
    <w:p w14:paraId="02399A21">
      <w:pPr>
        <w:pStyle w:val="37"/>
        <w:tabs>
          <w:tab w:val="left" w:pos="993"/>
          <w:tab w:val="left" w:pos="1134"/>
        </w:tabs>
        <w:spacing w:after="0" w:line="360" w:lineRule="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.1.1送审任何文件或样品前，</w:t>
      </w:r>
      <w:r>
        <w:rPr>
          <w:rFonts w:hint="eastAsia" w:asciiTheme="minorEastAsia" w:hAnsiTheme="minorEastAsia" w:eastAsiaTheme="minorEastAsia" w:cstheme="minorEastAsia"/>
          <w:spacing w:val="2"/>
        </w:rPr>
        <w:t>幕墙</w:t>
      </w:r>
      <w:r>
        <w:rPr>
          <w:rFonts w:hint="eastAsia" w:asciiTheme="minorEastAsia" w:hAnsiTheme="minorEastAsia" w:eastAsiaTheme="minorEastAsia" w:cstheme="minorEastAsia"/>
        </w:rPr>
        <w:t>分包商应提供</w:t>
      </w:r>
      <w:r>
        <w:rPr>
          <w:rFonts w:hint="eastAsia" w:asciiTheme="minorEastAsia" w:hAnsiTheme="minorEastAsia" w:eastAsiaTheme="minorEastAsia" w:cstheme="minorEastAsia"/>
          <w:lang w:eastAsia="zh-CN"/>
        </w:rPr>
        <w:t>：</w:t>
      </w:r>
    </w:p>
    <w:p w14:paraId="1F8749F7">
      <w:pPr>
        <w:pStyle w:val="31"/>
        <w:numPr>
          <w:ilvl w:val="0"/>
          <w:numId w:val="2"/>
        </w:num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如无更改及差异，</w:t>
      </w:r>
      <w:r>
        <w:rPr>
          <w:rFonts w:hint="eastAsia" w:asciiTheme="minorEastAsia" w:hAnsiTheme="minorEastAsia" w:eastAsiaTheme="minorEastAsia" w:cstheme="minorEastAsia"/>
          <w:color w:val="auto"/>
          <w:spacing w:val="2"/>
        </w:rPr>
        <w:t>幕墙</w:t>
      </w:r>
      <w:r>
        <w:rPr>
          <w:rFonts w:hint="eastAsia" w:asciiTheme="minorEastAsia" w:hAnsiTheme="minorEastAsia" w:eastAsiaTheme="minorEastAsia" w:cstheme="minorEastAsia"/>
          <w:color w:val="auto"/>
        </w:rPr>
        <w:t>分包商应以书面说明其完全符合幕墙系统招标图及规范。</w:t>
      </w:r>
    </w:p>
    <w:p w14:paraId="77959704">
      <w:pPr>
        <w:pStyle w:val="31"/>
        <w:numPr>
          <w:ilvl w:val="0"/>
          <w:numId w:val="2"/>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中标后幕墙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施工图</w:t>
      </w:r>
      <w:r>
        <w:rPr>
          <w:rFonts w:hint="eastAsia" w:asciiTheme="minorEastAsia" w:hAnsiTheme="minorEastAsia" w:eastAsiaTheme="minorEastAsia" w:cstheme="minorEastAsia"/>
          <w:color w:val="auto"/>
          <w:lang w:val="en-US" w:eastAsia="zh-CN"/>
        </w:rPr>
        <w:t>深化</w:t>
      </w:r>
      <w:r>
        <w:rPr>
          <w:rFonts w:hint="eastAsia" w:asciiTheme="minorEastAsia" w:hAnsiTheme="minorEastAsia" w:eastAsiaTheme="minorEastAsia" w:cstheme="minorEastAsia"/>
          <w:color w:val="auto"/>
        </w:rPr>
        <w:t>设计的校核确认。</w:t>
      </w:r>
    </w:p>
    <w:p w14:paraId="06BD7392">
      <w:pPr>
        <w:pStyle w:val="31"/>
        <w:numPr>
          <w:ilvl w:val="0"/>
          <w:numId w:val="2"/>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招标人提供了幕墙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系统施工图，中标人应充分理解并进行消化，可对不合理或错误的地方提出优化建议，但不可以借此减薄材料厚度、降低系统或构件性能及质量，本工程的按图施工全部责任由</w:t>
      </w:r>
      <w:r>
        <w:rPr>
          <w:rFonts w:hint="eastAsia" w:asciiTheme="minorEastAsia" w:hAnsiTheme="minorEastAsia" w:eastAsiaTheme="minorEastAsia" w:cstheme="minorEastAsia"/>
          <w:color w:val="auto"/>
          <w:spacing w:val="2"/>
        </w:rPr>
        <w:t>幕墙</w:t>
      </w:r>
      <w:r>
        <w:rPr>
          <w:rFonts w:hint="eastAsia" w:asciiTheme="minorEastAsia" w:hAnsiTheme="minorEastAsia" w:eastAsiaTheme="minorEastAsia" w:cstheme="minorEastAsia"/>
          <w:color w:val="auto"/>
        </w:rPr>
        <w:t>分包商承担。</w:t>
      </w:r>
    </w:p>
    <w:p w14:paraId="073443F5">
      <w:pPr>
        <w:pStyle w:val="31"/>
        <w:numPr>
          <w:ilvl w:val="0"/>
          <w:numId w:val="2"/>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投标人参与了此次投标，就视为投标人认可了招标人提供的幕墙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w:t>
      </w:r>
      <w:r>
        <w:rPr>
          <w:rFonts w:hint="eastAsia" w:asciiTheme="minorEastAsia" w:hAnsiTheme="minorEastAsia" w:eastAsiaTheme="minorEastAsia" w:cstheme="minorEastAsia"/>
          <w:color w:val="auto"/>
          <w:lang w:val="en-US" w:eastAsia="zh-CN"/>
        </w:rPr>
        <w:t>施工</w:t>
      </w:r>
      <w:r>
        <w:rPr>
          <w:rFonts w:hint="eastAsia" w:asciiTheme="minorEastAsia" w:hAnsiTheme="minorEastAsia" w:eastAsiaTheme="minorEastAsia" w:cstheme="minorEastAsia"/>
          <w:color w:val="auto"/>
        </w:rPr>
        <w:t>图的有关设计规范或规定的要求，并认可招标人所规定的有关选用主要材料标准，包括：铝合金型材、钢制件、玻璃、金属板</w:t>
      </w:r>
      <w:r>
        <w:rPr>
          <w:rFonts w:hint="eastAsia" w:asciiTheme="minorEastAsia" w:hAnsiTheme="minorEastAsia" w:eastAsiaTheme="minorEastAsia" w:cstheme="minorEastAsia"/>
          <w:color w:val="auto"/>
          <w:lang w:eastAsia="zh-CN"/>
        </w:rPr>
        <w:t>、铝镁锰合金直立锁边屋面板、聚碳酸酯板、PTFE膜材料</w:t>
      </w:r>
      <w:r>
        <w:rPr>
          <w:rFonts w:hint="eastAsia" w:asciiTheme="minorEastAsia" w:hAnsiTheme="minorEastAsia" w:eastAsiaTheme="minorEastAsia" w:cstheme="minorEastAsia"/>
          <w:color w:val="auto"/>
        </w:rPr>
        <w:t>及其它板材，硅酮结构胶、耐候密封胶、各类紧固件、开启窗五金件及其它配套密封附件材质、规格、产地、主要性能和技术指标。</w:t>
      </w:r>
    </w:p>
    <w:p w14:paraId="75B1D619">
      <w:pPr>
        <w:pStyle w:val="31"/>
        <w:numPr>
          <w:ilvl w:val="0"/>
          <w:numId w:val="2"/>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从中标开始，全部</w:t>
      </w:r>
      <w:r>
        <w:rPr>
          <w:rFonts w:hint="eastAsia" w:asciiTheme="minorEastAsia" w:hAnsiTheme="minorEastAsia" w:eastAsiaTheme="minorEastAsia" w:cstheme="minorEastAsia"/>
          <w:color w:val="auto"/>
          <w:lang w:val="en-US" w:eastAsia="zh-CN"/>
        </w:rPr>
        <w:t>立面</w:t>
      </w:r>
      <w:r>
        <w:rPr>
          <w:rFonts w:hint="eastAsia" w:asciiTheme="minorEastAsia" w:hAnsiTheme="minorEastAsia" w:eastAsiaTheme="minorEastAsia" w:cstheme="minorEastAsia"/>
          <w:color w:val="auto"/>
        </w:rPr>
        <w:t>幕墙</w:t>
      </w:r>
      <w:r>
        <w:rPr>
          <w:rFonts w:hint="eastAsia" w:asciiTheme="minorEastAsia" w:hAnsiTheme="minorEastAsia" w:eastAsiaTheme="minorEastAsia" w:cstheme="minorEastAsia"/>
          <w:color w:val="auto"/>
          <w:lang w:val="en-US" w:eastAsia="zh-CN"/>
        </w:rPr>
        <w:t>系统及屋面</w:t>
      </w:r>
      <w:r>
        <w:rPr>
          <w:rFonts w:hint="eastAsia" w:asciiTheme="minorEastAsia" w:hAnsiTheme="minorEastAsia" w:eastAsiaTheme="minorEastAsia" w:cstheme="minorEastAsia"/>
          <w:color w:val="auto"/>
        </w:rPr>
        <w:t>系统施工图的责任由中标单位承担，并必须按招标文件的设计要求、技术要求以及其他相关要求完成幕墙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施工图</w:t>
      </w:r>
      <w:r>
        <w:rPr>
          <w:rFonts w:hint="eastAsia" w:asciiTheme="minorEastAsia" w:hAnsiTheme="minorEastAsia" w:eastAsiaTheme="minorEastAsia" w:cstheme="minorEastAsia"/>
          <w:color w:val="auto"/>
          <w:lang w:val="en-US" w:eastAsia="zh-CN"/>
        </w:rPr>
        <w:t>深化</w:t>
      </w:r>
      <w:r>
        <w:rPr>
          <w:rFonts w:hint="eastAsia" w:asciiTheme="minorEastAsia" w:hAnsiTheme="minorEastAsia" w:eastAsiaTheme="minorEastAsia" w:cstheme="minorEastAsia"/>
          <w:color w:val="auto"/>
        </w:rPr>
        <w:t>确认和工艺优化设计并加盖出图章。</w:t>
      </w:r>
    </w:p>
    <w:p w14:paraId="4F2921DD">
      <w:pPr>
        <w:pStyle w:val="31"/>
        <w:numPr>
          <w:ilvl w:val="0"/>
          <w:numId w:val="2"/>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系统施工</w:t>
      </w:r>
      <w:r>
        <w:rPr>
          <w:rFonts w:hint="eastAsia" w:asciiTheme="minorEastAsia" w:hAnsiTheme="minorEastAsia" w:eastAsiaTheme="minorEastAsia" w:cstheme="minorEastAsia"/>
          <w:color w:val="auto"/>
          <w:lang w:val="en-US" w:eastAsia="zh-CN"/>
        </w:rPr>
        <w:t>深化</w:t>
      </w:r>
      <w:r>
        <w:rPr>
          <w:rFonts w:hint="eastAsia" w:asciiTheme="minorEastAsia" w:hAnsiTheme="minorEastAsia" w:eastAsiaTheme="minorEastAsia" w:cstheme="minorEastAsia"/>
          <w:color w:val="auto"/>
        </w:rPr>
        <w:t>工艺设计通过设计单位的审核，招标人的最终确认后方可用于施工。</w:t>
      </w:r>
    </w:p>
    <w:p w14:paraId="5C0AB31F">
      <w:pPr>
        <w:pStyle w:val="31"/>
        <w:numPr>
          <w:ilvl w:val="0"/>
          <w:numId w:val="2"/>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需幕墙工程配合的事宜，如：幕墙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维护系统，幕墙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系统泛光照明</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立面标识</w:t>
      </w:r>
      <w:r>
        <w:rPr>
          <w:rFonts w:hint="eastAsia" w:asciiTheme="minorEastAsia" w:hAnsiTheme="minorEastAsia" w:eastAsiaTheme="minorEastAsia" w:cstheme="minorEastAsia"/>
          <w:color w:val="auto"/>
        </w:rPr>
        <w:t>等，幕墙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系统施工</w:t>
      </w:r>
      <w:r>
        <w:rPr>
          <w:rFonts w:hint="eastAsia" w:asciiTheme="minorEastAsia" w:hAnsiTheme="minorEastAsia" w:eastAsiaTheme="minorEastAsia" w:cstheme="minorEastAsia"/>
          <w:color w:val="auto"/>
          <w:lang w:val="en-US" w:eastAsia="zh-CN"/>
        </w:rPr>
        <w:t>图深化</w:t>
      </w:r>
      <w:r>
        <w:rPr>
          <w:rFonts w:hint="eastAsia" w:asciiTheme="minorEastAsia" w:hAnsiTheme="minorEastAsia" w:eastAsiaTheme="minorEastAsia" w:cstheme="minorEastAsia"/>
          <w:color w:val="auto"/>
        </w:rPr>
        <w:t>工艺中应有充分反映。</w:t>
      </w:r>
    </w:p>
    <w:p w14:paraId="4292590C">
      <w:pPr>
        <w:numPr>
          <w:ilvl w:val="0"/>
          <w:numId w:val="2"/>
        </w:num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投标人应认真进行：</w:t>
      </w:r>
    </w:p>
    <w:p w14:paraId="12BC4BFC">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研究招标文件；</w:t>
      </w:r>
    </w:p>
    <w:p w14:paraId="63316D47">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研究建筑图、结构图纸；</w:t>
      </w:r>
    </w:p>
    <w:p w14:paraId="02F861B9">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研究招标</w:t>
      </w:r>
      <w:r>
        <w:rPr>
          <w:rFonts w:hint="eastAsia" w:asciiTheme="minorEastAsia" w:hAnsiTheme="minorEastAsia" w:eastAsiaTheme="minorEastAsia" w:cstheme="minorEastAsia"/>
          <w:sz w:val="24"/>
          <w:szCs w:val="24"/>
          <w:lang w:val="en-US" w:eastAsia="zh-CN"/>
        </w:rPr>
        <w:t>施工图</w:t>
      </w:r>
      <w:r>
        <w:rPr>
          <w:rFonts w:hint="eastAsia" w:asciiTheme="minorEastAsia" w:hAnsiTheme="minorEastAsia" w:eastAsiaTheme="minorEastAsia" w:cstheme="minorEastAsia"/>
          <w:sz w:val="24"/>
          <w:szCs w:val="24"/>
        </w:rPr>
        <w:t>、技术说明书；</w:t>
      </w:r>
    </w:p>
    <w:p w14:paraId="7ADC3B36">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实地考察，了解工程周边环境和工地内环境；</w:t>
      </w:r>
    </w:p>
    <w:p w14:paraId="138000A2">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参加招标答疑会，研究相关文件；</w:t>
      </w:r>
    </w:p>
    <w:p w14:paraId="0C5CF430">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了解总包单位提供的工地设施的状况及范围。</w:t>
      </w:r>
    </w:p>
    <w:p w14:paraId="7759924E">
      <w:pPr>
        <w:pStyle w:val="28"/>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对上述文件有异议，应在投标期间向发包方以书面形式提出，否则视为全部认可。若投标人发现上述文件存在矛盾，应在投标期间向发包方以书面形式提出，否则发包方有权要求按其中最严格的条款理解和执行，分包商应独立承担上述矛盾和差异所导致的任何时间和经济上的损失。</w:t>
      </w:r>
    </w:p>
    <w:p w14:paraId="2F4B7D30">
      <w:pPr>
        <w:numPr>
          <w:ilvl w:val="0"/>
          <w:numId w:val="2"/>
        </w:num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投标者须严格遵循招标文件中的施工图，需满足技术规范的各项要求。</w:t>
      </w:r>
    </w:p>
    <w:p w14:paraId="0620E7C9">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投标阶段，投标者应将图纸及技术要求书中存在的差异或矛盾之处告知建筑师并要求澄清。所提供的施工图纸并不能表示所有的情况、部件、材料等。对于本施工图的任何优化设计及部件外观变动需得设计单位批准，否则不予执行。</w:t>
      </w:r>
    </w:p>
    <w:p w14:paraId="0AB0FC4C">
      <w:pPr>
        <w:numPr>
          <w:ilvl w:val="0"/>
          <w:numId w:val="2"/>
        </w:num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施工图</w:t>
      </w:r>
      <w:r>
        <w:rPr>
          <w:rFonts w:hint="eastAsia" w:asciiTheme="minorEastAsia" w:hAnsiTheme="minorEastAsia" w:eastAsiaTheme="minorEastAsia" w:cstheme="minorEastAsia"/>
          <w:bCs/>
          <w:kern w:val="44"/>
          <w:sz w:val="24"/>
          <w:szCs w:val="24"/>
          <w:lang w:val="en-US" w:eastAsia="zh-CN"/>
        </w:rPr>
        <w:t>深化</w:t>
      </w:r>
      <w:r>
        <w:rPr>
          <w:rFonts w:hint="eastAsia" w:asciiTheme="minorEastAsia" w:hAnsiTheme="minorEastAsia" w:eastAsiaTheme="minorEastAsia" w:cstheme="minorEastAsia"/>
          <w:bCs/>
          <w:kern w:val="44"/>
          <w:sz w:val="24"/>
          <w:szCs w:val="24"/>
        </w:rPr>
        <w:t>设计不允许变更招标施工图纸及材料清单中明确的材料，不得降低系统的性能，不得改变建筑外观，不得应补充深化设计而导致增加项目成本。</w:t>
      </w:r>
      <w:r>
        <w:rPr>
          <w:rFonts w:hint="eastAsia" w:asciiTheme="minorEastAsia" w:hAnsiTheme="minorEastAsia" w:eastAsiaTheme="minorEastAsia" w:cstheme="minorEastAsia"/>
          <w:sz w:val="24"/>
          <w:szCs w:val="24"/>
        </w:rPr>
        <w:t>如本技术说明书要求与图纸相关内容不一致时，以较严者执行。</w:t>
      </w:r>
    </w:p>
    <w:p w14:paraId="706014A7">
      <w:pPr>
        <w:spacing w:line="360" w:lineRule="auto"/>
        <w:ind w:left="0" w:leftChars="0"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施工图深化必须在如下前提下进行：</w:t>
      </w:r>
    </w:p>
    <w:p w14:paraId="2374B5C2">
      <w:pPr>
        <w:pStyle w:val="31"/>
        <w:numPr>
          <w:ilvl w:val="0"/>
          <w:numId w:val="3"/>
        </w:numPr>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施工</w:t>
      </w:r>
      <w:r>
        <w:rPr>
          <w:rFonts w:hint="eastAsia" w:asciiTheme="minorEastAsia" w:hAnsiTheme="minorEastAsia" w:eastAsiaTheme="minorEastAsia" w:cstheme="minorEastAsia"/>
          <w:color w:val="auto"/>
        </w:rPr>
        <w:t>图幕墙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系统面板之厚度为最低要求；</w:t>
      </w:r>
    </w:p>
    <w:p w14:paraId="18C5BB6A">
      <w:pPr>
        <w:pStyle w:val="31"/>
        <w:numPr>
          <w:ilvl w:val="0"/>
          <w:numId w:val="3"/>
        </w:numPr>
        <w:spacing w:line="360" w:lineRule="auto"/>
        <w:ind w:left="0" w:leftChars="0" w:firstLine="48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施工</w:t>
      </w:r>
      <w:r>
        <w:rPr>
          <w:rFonts w:hint="eastAsia" w:asciiTheme="minorEastAsia" w:hAnsiTheme="minorEastAsia" w:eastAsiaTheme="minorEastAsia" w:cstheme="minorEastAsia"/>
          <w:color w:val="auto"/>
        </w:rPr>
        <w:t>图幕墙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系统龙骨主受力壁厚为最低要求；</w:t>
      </w:r>
    </w:p>
    <w:p w14:paraId="0B80A2D2">
      <w:pPr>
        <w:pStyle w:val="31"/>
        <w:numPr>
          <w:ilvl w:val="0"/>
          <w:numId w:val="3"/>
        </w:numPr>
        <w:spacing w:line="360" w:lineRule="auto"/>
        <w:ind w:left="0" w:leftChars="0" w:firstLine="48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施工</w:t>
      </w:r>
      <w:r>
        <w:rPr>
          <w:rFonts w:hint="eastAsia" w:asciiTheme="minorEastAsia" w:hAnsiTheme="minorEastAsia" w:eastAsiaTheme="minorEastAsia" w:cstheme="minorEastAsia"/>
          <w:color w:val="auto"/>
        </w:rPr>
        <w:t>图幕墙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系统龙骨外观尺寸为建筑要求；以建筑师意见为准。</w:t>
      </w:r>
    </w:p>
    <w:p w14:paraId="54A287AE">
      <w:pPr>
        <w:pStyle w:val="31"/>
        <w:numPr>
          <w:ilvl w:val="0"/>
          <w:numId w:val="3"/>
        </w:numPr>
        <w:spacing w:line="360" w:lineRule="auto"/>
        <w:ind w:left="0" w:leftChars="0" w:firstLine="480" w:firstLineChars="0"/>
        <w:rPr>
          <w:rFonts w:hint="default" w:asciiTheme="minorEastAsia" w:hAnsiTheme="minorEastAsia" w:eastAsiaTheme="minorEastAsia" w:cstheme="minorEastAsia"/>
          <w:bCs/>
          <w:kern w:val="44"/>
          <w:sz w:val="24"/>
          <w:szCs w:val="24"/>
          <w:lang w:val="en-US" w:eastAsia="zh-CN"/>
        </w:rPr>
      </w:pPr>
      <w:r>
        <w:rPr>
          <w:rFonts w:hint="eastAsia" w:asciiTheme="minorEastAsia" w:hAnsiTheme="minorEastAsia" w:eastAsiaTheme="minorEastAsia" w:cstheme="minorEastAsia"/>
          <w:color w:val="auto"/>
        </w:rPr>
        <w:t>幕墙</w:t>
      </w:r>
      <w:r>
        <w:rPr>
          <w:rFonts w:hint="eastAsia" w:asciiTheme="minorEastAsia" w:hAnsiTheme="minorEastAsia" w:eastAsiaTheme="minorEastAsia" w:cstheme="minorEastAsia"/>
          <w:color w:val="auto"/>
          <w:lang w:val="en-US" w:eastAsia="zh-CN"/>
        </w:rPr>
        <w:t>及屋面</w:t>
      </w:r>
      <w:r>
        <w:rPr>
          <w:rFonts w:hint="eastAsia" w:asciiTheme="minorEastAsia" w:hAnsiTheme="minorEastAsia" w:eastAsiaTheme="minorEastAsia" w:cstheme="minorEastAsia"/>
          <w:color w:val="auto"/>
        </w:rPr>
        <w:t>系统的</w:t>
      </w:r>
      <w:r>
        <w:rPr>
          <w:rFonts w:hint="eastAsia" w:asciiTheme="minorEastAsia" w:hAnsiTheme="minorEastAsia" w:eastAsiaTheme="minorEastAsia" w:cstheme="minorEastAsia"/>
          <w:color w:val="auto"/>
          <w:lang w:val="en-US" w:eastAsia="zh-CN"/>
        </w:rPr>
        <w:t>连接</w:t>
      </w:r>
      <w:r>
        <w:rPr>
          <w:rFonts w:hint="eastAsia" w:asciiTheme="minorEastAsia" w:hAnsiTheme="minorEastAsia" w:eastAsiaTheme="minorEastAsia" w:cstheme="minorEastAsia"/>
          <w:color w:val="auto"/>
        </w:rPr>
        <w:t>如有更优越方案，可报设计单位，获得批准后同意优化。</w:t>
      </w:r>
    </w:p>
    <w:p w14:paraId="714BCA9B">
      <w:pPr>
        <w:spacing w:line="360" w:lineRule="auto"/>
        <w:ind w:left="0" w:leftChars="0" w:firstLine="482" w:firstLineChars="200"/>
        <w:jc w:val="left"/>
        <w:rPr>
          <w:rFonts w:hint="eastAsia" w:asciiTheme="minorEastAsia" w:hAnsiTheme="minorEastAsia" w:eastAsiaTheme="minorEastAsia" w:cstheme="minorEastAsia"/>
          <w:b/>
          <w:bCs/>
          <w:kern w:val="44"/>
          <w:sz w:val="24"/>
          <w:szCs w:val="24"/>
        </w:rPr>
      </w:pPr>
      <w:r>
        <w:rPr>
          <w:rFonts w:hint="eastAsia" w:asciiTheme="minorEastAsia" w:hAnsiTheme="minorEastAsia" w:eastAsiaTheme="minorEastAsia" w:cstheme="minorEastAsia"/>
          <w:b/>
          <w:bCs/>
          <w:kern w:val="44"/>
          <w:sz w:val="24"/>
          <w:szCs w:val="24"/>
        </w:rPr>
        <w:t>补充深化设计</w:t>
      </w:r>
      <w:r>
        <w:rPr>
          <w:rFonts w:hint="eastAsia" w:asciiTheme="minorEastAsia" w:hAnsiTheme="minorEastAsia" w:eastAsiaTheme="minorEastAsia" w:cstheme="minorEastAsia"/>
          <w:b/>
          <w:sz w:val="24"/>
          <w:szCs w:val="24"/>
        </w:rPr>
        <w:t>不允许修改的范围：</w:t>
      </w:r>
    </w:p>
    <w:p w14:paraId="79FE4A14">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幕墙</w:t>
      </w:r>
      <w:r>
        <w:rPr>
          <w:rFonts w:hint="eastAsia" w:asciiTheme="minorEastAsia" w:hAnsiTheme="minorEastAsia" w:eastAsiaTheme="minorEastAsia" w:cstheme="minorEastAsia"/>
          <w:sz w:val="24"/>
          <w:szCs w:val="24"/>
          <w:lang w:val="en-US" w:eastAsia="zh-CN"/>
        </w:rPr>
        <w:t>及屋面</w:t>
      </w:r>
      <w:r>
        <w:rPr>
          <w:rFonts w:hint="eastAsia" w:asciiTheme="minorEastAsia" w:hAnsiTheme="minorEastAsia" w:eastAsiaTheme="minorEastAsia" w:cstheme="minorEastAsia"/>
          <w:sz w:val="24"/>
          <w:szCs w:val="24"/>
        </w:rPr>
        <w:t>各系统外观效果及外观尺寸；</w:t>
      </w:r>
    </w:p>
    <w:p w14:paraId="5A29652E">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幕墙</w:t>
      </w:r>
      <w:r>
        <w:rPr>
          <w:rFonts w:hint="eastAsia" w:asciiTheme="minorEastAsia" w:hAnsiTheme="minorEastAsia" w:eastAsiaTheme="minorEastAsia" w:cstheme="minorEastAsia"/>
          <w:sz w:val="24"/>
          <w:szCs w:val="24"/>
          <w:lang w:val="en-US" w:eastAsia="zh-CN"/>
        </w:rPr>
        <w:t>及屋面</w:t>
      </w:r>
      <w:r>
        <w:rPr>
          <w:rFonts w:hint="eastAsia" w:asciiTheme="minorEastAsia" w:hAnsiTheme="minorEastAsia" w:eastAsiaTheme="minorEastAsia" w:cstheme="minorEastAsia"/>
          <w:sz w:val="24"/>
          <w:szCs w:val="24"/>
        </w:rPr>
        <w:t>各系统的构造层次、结构系统、锚固系统、后置埋件系统；</w:t>
      </w:r>
    </w:p>
    <w:p w14:paraId="52216EB1">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各系统构造的各种材料；</w:t>
      </w:r>
    </w:p>
    <w:p w14:paraId="15966012">
      <w:pPr>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kern w:val="44"/>
          <w:sz w:val="24"/>
          <w:szCs w:val="24"/>
        </w:rPr>
        <w:t>补充深化设计</w:t>
      </w:r>
      <w:r>
        <w:rPr>
          <w:rFonts w:hint="eastAsia" w:asciiTheme="minorEastAsia" w:hAnsiTheme="minorEastAsia" w:eastAsiaTheme="minorEastAsia" w:cstheme="minorEastAsia"/>
          <w:b/>
          <w:sz w:val="24"/>
          <w:szCs w:val="24"/>
        </w:rPr>
        <w:t>允许修改的范围：</w:t>
      </w:r>
    </w:p>
    <w:p w14:paraId="2B130076">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幕墙</w:t>
      </w:r>
      <w:r>
        <w:rPr>
          <w:rFonts w:hint="eastAsia" w:asciiTheme="minorEastAsia" w:hAnsiTheme="minorEastAsia" w:eastAsiaTheme="minorEastAsia" w:cstheme="minorEastAsia"/>
          <w:sz w:val="24"/>
          <w:szCs w:val="24"/>
          <w:lang w:val="en-US" w:eastAsia="zh-CN"/>
        </w:rPr>
        <w:t>及屋面</w:t>
      </w:r>
      <w:r>
        <w:rPr>
          <w:rFonts w:hint="eastAsia" w:asciiTheme="minorEastAsia" w:hAnsiTheme="minorEastAsia" w:eastAsiaTheme="minorEastAsia" w:cstheme="minorEastAsia"/>
          <w:sz w:val="24"/>
          <w:szCs w:val="24"/>
        </w:rPr>
        <w:t>装饰板结构构件之间的连接方式；</w:t>
      </w:r>
    </w:p>
    <w:p w14:paraId="6352AF84">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铝型材的内部细部尺寸和构造；</w:t>
      </w:r>
    </w:p>
    <w:p w14:paraId="5245C981">
      <w:pPr>
        <w:tabs>
          <w:tab w:val="left" w:pos="840"/>
          <w:tab w:val="left" w:pos="1260"/>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不可见构件构造尺寸微调。</w:t>
      </w:r>
    </w:p>
    <w:p w14:paraId="74E4B401">
      <w:pPr>
        <w:widowControl/>
        <w:ind w:left="0" w:firstLine="0"/>
        <w:jc w:val="left"/>
        <w:rPr>
          <w:rFonts w:hint="eastAsia"/>
          <w:b/>
          <w:color w:val="auto"/>
          <w:sz w:val="24"/>
          <w:highlight w:val="none"/>
          <w:lang w:val="en-US" w:eastAsia="zh-CN"/>
        </w:rPr>
      </w:pPr>
      <w:bookmarkStart w:id="31" w:name="_Toc11511"/>
      <w:bookmarkStart w:id="32" w:name="_Toc520909618"/>
      <w:r>
        <w:rPr>
          <w:rFonts w:hint="eastAsia"/>
          <w:b/>
          <w:color w:val="auto"/>
          <w:sz w:val="24"/>
          <w:highlight w:val="none"/>
          <w:lang w:val="en-US" w:eastAsia="zh-CN"/>
        </w:rPr>
        <w:t>1.2 送审资料的审核</w:t>
      </w:r>
      <w:bookmarkEnd w:id="31"/>
      <w:bookmarkEnd w:id="32"/>
    </w:p>
    <w:p w14:paraId="0225262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lang w:val="en-US" w:eastAsia="zh-CN"/>
        </w:rPr>
        <w:t>1</w:t>
      </w:r>
      <w:r>
        <w:rPr>
          <w:rFonts w:hint="eastAsia" w:asciiTheme="minorEastAsia" w:hAnsiTheme="minorEastAsia" w:eastAsiaTheme="minorEastAsia" w:cstheme="minorEastAsia"/>
          <w:b/>
          <w:color w:val="auto"/>
        </w:rPr>
        <w:t>.2.1</w:t>
      </w:r>
      <w:r>
        <w:rPr>
          <w:rFonts w:hint="eastAsia" w:asciiTheme="minorEastAsia" w:hAnsiTheme="minorEastAsia" w:eastAsiaTheme="minorEastAsia" w:cstheme="minorEastAsia"/>
          <w:color w:val="auto"/>
        </w:rPr>
        <w:t xml:space="preserve"> 所有必要的文件和样品必须完整，且符合规范要求并得到核准。</w:t>
      </w:r>
    </w:p>
    <w:p w14:paraId="40DDF6E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lang w:val="en-US" w:eastAsia="zh-CN"/>
        </w:rPr>
        <w:t>1</w:t>
      </w:r>
      <w:r>
        <w:rPr>
          <w:rFonts w:hint="eastAsia" w:asciiTheme="minorEastAsia" w:hAnsiTheme="minorEastAsia" w:eastAsiaTheme="minorEastAsia" w:cstheme="minorEastAsia"/>
          <w:b/>
          <w:color w:val="auto"/>
        </w:rPr>
        <w:t xml:space="preserve">.2.2 </w:t>
      </w:r>
      <w:r>
        <w:rPr>
          <w:rFonts w:hint="eastAsia" w:asciiTheme="minorEastAsia" w:hAnsiTheme="minorEastAsia" w:eastAsiaTheme="minorEastAsia" w:cstheme="minorEastAsia"/>
          <w:color w:val="auto"/>
        </w:rPr>
        <w:t>递交设计公司的所有与图纸、计算书和其它送审文件有关的快递费用（包括收件）都应由</w:t>
      </w:r>
      <w:r>
        <w:rPr>
          <w:rFonts w:hint="eastAsia" w:asciiTheme="minorEastAsia" w:hAnsiTheme="minorEastAsia" w:eastAsiaTheme="minorEastAsia" w:cstheme="minorEastAsia"/>
          <w:color w:val="auto"/>
          <w:spacing w:val="2"/>
        </w:rPr>
        <w:t>幕墙</w:t>
      </w:r>
      <w:r>
        <w:rPr>
          <w:rFonts w:hint="eastAsia" w:asciiTheme="minorEastAsia" w:hAnsiTheme="minorEastAsia" w:eastAsiaTheme="minorEastAsia" w:cstheme="minorEastAsia"/>
          <w:color w:val="auto"/>
        </w:rPr>
        <w:t>分包商负担。</w:t>
      </w:r>
    </w:p>
    <w:p w14:paraId="0966E98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spacing w:val="2"/>
          <w:lang w:val="en-US" w:eastAsia="zh-CN"/>
        </w:rPr>
        <w:t>1</w:t>
      </w:r>
      <w:r>
        <w:rPr>
          <w:rFonts w:hint="eastAsia" w:asciiTheme="minorEastAsia" w:hAnsiTheme="minorEastAsia" w:eastAsiaTheme="minorEastAsia" w:cstheme="minorEastAsia"/>
          <w:b/>
          <w:color w:val="auto"/>
          <w:spacing w:val="2"/>
        </w:rPr>
        <w:t>.2.3</w:t>
      </w:r>
      <w:r>
        <w:rPr>
          <w:rFonts w:hint="eastAsia" w:asciiTheme="minorEastAsia" w:hAnsiTheme="minorEastAsia" w:eastAsiaTheme="minorEastAsia" w:cstheme="minorEastAsia"/>
          <w:color w:val="auto"/>
          <w:spacing w:val="2"/>
        </w:rPr>
        <w:t xml:space="preserve"> 幕墙</w:t>
      </w:r>
      <w:r>
        <w:rPr>
          <w:rFonts w:hint="eastAsia" w:asciiTheme="minorEastAsia" w:hAnsiTheme="minorEastAsia" w:eastAsiaTheme="minorEastAsia" w:cstheme="minorEastAsia"/>
          <w:color w:val="auto"/>
        </w:rPr>
        <w:t>分包商需依合约文件所述的程序，送审所有文件先后至设计单位、业主单位进行文件的审核。</w:t>
      </w:r>
    </w:p>
    <w:p w14:paraId="6F61111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spacing w:val="2"/>
          <w:lang w:val="en-US" w:eastAsia="zh-CN"/>
        </w:rPr>
        <w:t>1</w:t>
      </w:r>
      <w:r>
        <w:rPr>
          <w:rFonts w:hint="eastAsia" w:asciiTheme="minorEastAsia" w:hAnsiTheme="minorEastAsia" w:eastAsiaTheme="minorEastAsia" w:cstheme="minorEastAsia"/>
          <w:b/>
          <w:color w:val="auto"/>
          <w:spacing w:val="2"/>
        </w:rPr>
        <w:t>.2.4</w:t>
      </w:r>
      <w:r>
        <w:rPr>
          <w:rFonts w:hint="eastAsia" w:asciiTheme="minorEastAsia" w:hAnsiTheme="minorEastAsia" w:eastAsiaTheme="minorEastAsia" w:cstheme="minorEastAsia"/>
          <w:color w:val="auto"/>
          <w:spacing w:val="2"/>
        </w:rPr>
        <w:t xml:space="preserve"> 幕墙</w:t>
      </w:r>
      <w:r>
        <w:rPr>
          <w:rFonts w:hint="eastAsia" w:asciiTheme="minorEastAsia" w:hAnsiTheme="minorEastAsia" w:eastAsiaTheme="minorEastAsia" w:cstheme="minorEastAsia"/>
          <w:color w:val="auto"/>
        </w:rPr>
        <w:t>分包商需依核准的工程进度表送审完整的文件，以便设计单位及业主单位如期完成审核工作。</w:t>
      </w:r>
    </w:p>
    <w:p w14:paraId="7BA966F4">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lang w:val="en-US" w:eastAsia="zh-CN"/>
        </w:rPr>
        <w:t>1</w:t>
      </w:r>
      <w:r>
        <w:rPr>
          <w:rFonts w:hint="eastAsia" w:asciiTheme="minorEastAsia" w:hAnsiTheme="minorEastAsia" w:eastAsiaTheme="minorEastAsia" w:cstheme="minorEastAsia"/>
          <w:b/>
          <w:color w:val="auto"/>
        </w:rPr>
        <w:t>.2.5</w:t>
      </w:r>
      <w:r>
        <w:rPr>
          <w:rFonts w:hint="eastAsia" w:asciiTheme="minorEastAsia" w:hAnsiTheme="minorEastAsia" w:eastAsiaTheme="minorEastAsia" w:cstheme="minorEastAsia"/>
          <w:color w:val="auto"/>
        </w:rPr>
        <w:t xml:space="preserve"> 若经过初次、二次送审仍未通过施工总承包商、设计单位及业主单位核准同意时，则</w:t>
      </w:r>
      <w:r>
        <w:rPr>
          <w:rFonts w:hint="eastAsia" w:asciiTheme="minorEastAsia" w:hAnsiTheme="minorEastAsia" w:eastAsiaTheme="minorEastAsia" w:cstheme="minorEastAsia"/>
          <w:color w:val="auto"/>
          <w:spacing w:val="2"/>
        </w:rPr>
        <w:t>幕墙</w:t>
      </w:r>
      <w:r>
        <w:rPr>
          <w:rFonts w:hint="eastAsia" w:asciiTheme="minorEastAsia" w:hAnsiTheme="minorEastAsia" w:eastAsiaTheme="minorEastAsia" w:cstheme="minorEastAsia"/>
          <w:color w:val="auto"/>
        </w:rPr>
        <w:t>分包商须承担总承包商、设计单位或业主单位重新审核的费用。</w:t>
      </w:r>
    </w:p>
    <w:p w14:paraId="6317AA63">
      <w:pPr>
        <w:pStyle w:val="31"/>
        <w:spacing w:line="360" w:lineRule="auto"/>
        <w:rPr>
          <w:rFonts w:hint="eastAsia"/>
          <w:color w:val="auto"/>
          <w:sz w:val="24"/>
          <w:highlight w:val="none"/>
          <w:lang w:val="en-US" w:eastAsia="zh-CN"/>
        </w:rPr>
      </w:pPr>
      <w:r>
        <w:rPr>
          <w:rFonts w:hint="eastAsia" w:asciiTheme="minorEastAsia" w:hAnsiTheme="minorEastAsia" w:eastAsiaTheme="minorEastAsia" w:cstheme="minorEastAsia"/>
          <w:b/>
          <w:color w:val="auto"/>
          <w:lang w:val="en-US" w:eastAsia="zh-CN"/>
        </w:rPr>
        <w:t>1</w:t>
      </w:r>
      <w:r>
        <w:rPr>
          <w:rFonts w:hint="eastAsia" w:asciiTheme="minorEastAsia" w:hAnsiTheme="minorEastAsia" w:eastAsiaTheme="minorEastAsia" w:cstheme="minorEastAsia"/>
          <w:b/>
          <w:color w:val="auto"/>
        </w:rPr>
        <w:t>.2.6</w:t>
      </w:r>
      <w:r>
        <w:rPr>
          <w:rFonts w:hint="eastAsia" w:asciiTheme="minorEastAsia" w:hAnsiTheme="minorEastAsia" w:eastAsiaTheme="minorEastAsia" w:cstheme="minorEastAsia"/>
          <w:color w:val="auto"/>
        </w:rPr>
        <w:t xml:space="preserve"> 需要送审提供给业主单位和设计单位审核的文件包括：模拟实验图纸和各种材料样品及结构计算、工程施工图及结构计算、传至主体结构的反力计算及相关资料、质量管理计划、检查及测试计划、人员名单、送审进度、施工顺序建议书、质保方案、安全计划、维修及操作手册、竣工资料、加工厂资料、施工进度、编号系统、所有金属屋面及玻璃单元安装进度、测试建议书、测试报告、第三方/制造商的审核报告、证明文件/批准信件、样品等。</w:t>
      </w:r>
    </w:p>
    <w:p w14:paraId="1888FA8C">
      <w:pPr>
        <w:widowControl/>
        <w:ind w:left="0" w:firstLine="0"/>
        <w:jc w:val="left"/>
        <w:outlineLvl w:val="0"/>
        <w:rPr>
          <w:rFonts w:hint="eastAsia"/>
          <w:b/>
          <w:color w:val="auto"/>
          <w:sz w:val="24"/>
          <w:highlight w:val="none"/>
        </w:rPr>
      </w:pPr>
      <w:bookmarkStart w:id="33" w:name="_Toc21747"/>
      <w:r>
        <w:rPr>
          <w:rFonts w:hint="eastAsia"/>
          <w:b/>
          <w:color w:val="auto"/>
          <w:sz w:val="24"/>
          <w:highlight w:val="none"/>
          <w:lang w:val="en-US" w:eastAsia="zh-CN"/>
        </w:rPr>
        <w:t xml:space="preserve">第二章 </w:t>
      </w:r>
      <w:r>
        <w:rPr>
          <w:rFonts w:hint="eastAsia"/>
          <w:b/>
          <w:color w:val="auto"/>
          <w:sz w:val="24"/>
          <w:highlight w:val="none"/>
        </w:rPr>
        <w:t>本项目专项资料</w:t>
      </w:r>
      <w:bookmarkEnd w:id="33"/>
    </w:p>
    <w:p w14:paraId="50D0CFBD">
      <w:pPr>
        <w:widowControl/>
        <w:ind w:left="0" w:firstLine="0"/>
        <w:jc w:val="left"/>
        <w:outlineLvl w:val="1"/>
        <w:rPr>
          <w:rFonts w:hint="eastAsia"/>
          <w:b/>
          <w:color w:val="auto"/>
          <w:sz w:val="24"/>
          <w:highlight w:val="none"/>
        </w:rPr>
      </w:pPr>
      <w:bookmarkStart w:id="34" w:name="_Toc520909626"/>
      <w:bookmarkStart w:id="35" w:name="_Toc5091"/>
      <w:bookmarkStart w:id="36" w:name="_Toc18169"/>
      <w:r>
        <w:rPr>
          <w:rFonts w:hint="eastAsia"/>
          <w:b/>
          <w:color w:val="auto"/>
          <w:sz w:val="24"/>
          <w:highlight w:val="none"/>
          <w:lang w:val="en-US" w:eastAsia="zh-CN"/>
        </w:rPr>
        <w:t>2</w:t>
      </w:r>
      <w:r>
        <w:rPr>
          <w:rFonts w:hint="eastAsia"/>
          <w:b/>
          <w:color w:val="auto"/>
          <w:sz w:val="24"/>
          <w:highlight w:val="none"/>
        </w:rPr>
        <w:t>.1 项目基本情况</w:t>
      </w:r>
      <w:bookmarkEnd w:id="34"/>
      <w:bookmarkEnd w:id="35"/>
      <w:bookmarkEnd w:id="36"/>
    </w:p>
    <w:p w14:paraId="2AEAE14F">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项目名称：广州市足球体育运动场项目幕墙、屋面及泛光照明工程施工专业承包</w:t>
      </w:r>
    </w:p>
    <w:p w14:paraId="12165B7D">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地址：广州市番禺区谢村地块，距广州南站2.6公里，东至钟屏路，西至规划路，南至兴业大道，北至规划路。</w:t>
      </w:r>
    </w:p>
    <w:p w14:paraId="270033C5">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项目描述：</w:t>
      </w:r>
    </w:p>
    <w:p w14:paraId="01E968E8">
      <w:pPr>
        <w:autoSpaceDE w:val="0"/>
        <w:autoSpaceDN w:val="0"/>
        <w:adjustRightInd w:val="0"/>
        <w:spacing w:line="360" w:lineRule="auto"/>
        <w:ind w:left="0" w:leftChars="0" w:right="160" w:rightChars="76" w:firstLine="0" w:firstLineChars="0"/>
        <w:jc w:val="left"/>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kern w:val="0"/>
          <w:sz w:val="24"/>
          <w:szCs w:val="24"/>
        </w:rPr>
        <w:t>广州足球公园目标为建设世界一流的专业足球场和世界级大型综合体育公园。广州足球公园主要功能为：专业赛场、竞赛用房、地下车库、体育配套功能、设备用房、运营办公用房、招待包厢、招待休息区、赛时零售、观众卫生间、体育工艺用房等功能。本工程包括</w:t>
      </w:r>
      <w:r>
        <w:rPr>
          <w:rFonts w:hint="eastAsia" w:asciiTheme="minorEastAsia" w:hAnsiTheme="minorEastAsia" w:eastAsiaTheme="minorEastAsia" w:cstheme="minorEastAsia"/>
          <w:sz w:val="24"/>
          <w:lang w:val="en-US" w:eastAsia="zh-CN"/>
        </w:rPr>
        <w:t>外装饰</w:t>
      </w:r>
      <w:r>
        <w:rPr>
          <w:rFonts w:hint="eastAsia" w:asciiTheme="minorEastAsia" w:hAnsiTheme="minorEastAsia" w:eastAsiaTheme="minorEastAsia" w:cstheme="minorEastAsia"/>
          <w:sz w:val="24"/>
        </w:rPr>
        <w:t>幕墙系统包括：</w:t>
      </w:r>
      <w:r>
        <w:rPr>
          <w:rFonts w:hint="eastAsia" w:asciiTheme="minorEastAsia" w:hAnsiTheme="minorEastAsia" w:eastAsiaTheme="minorEastAsia" w:cstheme="minorEastAsia"/>
          <w:sz w:val="24"/>
          <w:lang w:val="en-US" w:eastAsia="zh-CN"/>
        </w:rPr>
        <w:t>首二层横明竖隐玻璃幕墙系统、负一层竖明横隐玻璃幕墙系统、内场包厢全玻璃幕墙系统、立面铝板幕墙系统、铝合金格栅系统、</w:t>
      </w:r>
    </w:p>
    <w:p w14:paraId="0D2AB629">
      <w:pPr>
        <w:pStyle w:val="35"/>
        <w:numPr>
          <w:ilvl w:val="0"/>
          <w:numId w:val="0"/>
        </w:numPr>
        <w:spacing w:before="120" w:after="120" w:line="360" w:lineRule="auto"/>
        <w:jc w:val="left"/>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防火门窗幕墙系统、室外电梯幕墙系统；屋面</w:t>
      </w:r>
      <w:r>
        <w:rPr>
          <w:rFonts w:hint="eastAsia" w:asciiTheme="minorEastAsia" w:hAnsiTheme="minorEastAsia" w:eastAsiaTheme="minorEastAsia" w:cstheme="minorEastAsia"/>
          <w:sz w:val="24"/>
        </w:rPr>
        <w:t>系统包括：</w:t>
      </w:r>
      <w:r>
        <w:rPr>
          <w:rFonts w:hint="eastAsia" w:asciiTheme="minorEastAsia" w:hAnsiTheme="minorEastAsia" w:eastAsiaTheme="minorEastAsia" w:cstheme="minorEastAsia"/>
          <w:sz w:val="24"/>
          <w:lang w:val="en-US" w:eastAsia="zh-CN"/>
        </w:rPr>
        <w:t>金属屋面系统、聚碳酸酯板幕墙系统、PTFE膜系统。</w:t>
      </w:r>
    </w:p>
    <w:p w14:paraId="72F1745E">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建筑设计使用年限为：50</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年；</w:t>
      </w:r>
    </w:p>
    <w:p w14:paraId="7442BEF6">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外</w:t>
      </w:r>
      <w:r>
        <w:rPr>
          <w:rFonts w:hint="eastAsia" w:asciiTheme="minorEastAsia" w:hAnsiTheme="minorEastAsia" w:eastAsiaTheme="minorEastAsia" w:cstheme="minorEastAsia"/>
          <w:kern w:val="0"/>
          <w:sz w:val="24"/>
          <w:szCs w:val="24"/>
          <w:lang w:val="en-US" w:eastAsia="zh-CN"/>
        </w:rPr>
        <w:t>维护</w:t>
      </w:r>
      <w:r>
        <w:rPr>
          <w:rFonts w:hint="eastAsia" w:asciiTheme="minorEastAsia" w:hAnsiTheme="minorEastAsia" w:eastAsiaTheme="minorEastAsia" w:cstheme="minorEastAsia"/>
          <w:kern w:val="0"/>
          <w:sz w:val="24"/>
          <w:szCs w:val="24"/>
        </w:rPr>
        <w:t>结构设计使用年限：50</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年；</w:t>
      </w:r>
    </w:p>
    <w:p w14:paraId="5097B3BD">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外</w:t>
      </w:r>
      <w:r>
        <w:rPr>
          <w:rFonts w:hint="eastAsia" w:asciiTheme="minorEastAsia" w:hAnsiTheme="minorEastAsia" w:eastAsiaTheme="minorEastAsia" w:cstheme="minorEastAsia"/>
          <w:kern w:val="0"/>
          <w:sz w:val="24"/>
          <w:szCs w:val="24"/>
          <w:lang w:val="en-US" w:eastAsia="zh-CN"/>
        </w:rPr>
        <w:t>维护</w:t>
      </w:r>
      <w:r>
        <w:rPr>
          <w:rFonts w:hint="eastAsia" w:asciiTheme="minorEastAsia" w:hAnsiTheme="minorEastAsia" w:eastAsiaTheme="minorEastAsia" w:cstheme="minorEastAsia"/>
          <w:kern w:val="0"/>
          <w:sz w:val="24"/>
          <w:szCs w:val="24"/>
        </w:rPr>
        <w:t>设计使用年限</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25</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年；</w:t>
      </w:r>
    </w:p>
    <w:p w14:paraId="1F880D96">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所在地区粗糙度类型：</w:t>
      </w:r>
      <w:r>
        <w:rPr>
          <w:rFonts w:hint="eastAsia" w:asciiTheme="minorEastAsia" w:hAnsiTheme="minorEastAsia" w:eastAsiaTheme="minorEastAsia" w:cstheme="minorEastAsia"/>
          <w:kern w:val="0"/>
          <w:sz w:val="24"/>
          <w:szCs w:val="24"/>
          <w:lang w:val="en-US" w:eastAsia="zh-CN"/>
        </w:rPr>
        <w:t xml:space="preserve">B </w:t>
      </w:r>
      <w:r>
        <w:rPr>
          <w:rFonts w:hint="eastAsia" w:asciiTheme="minorEastAsia" w:hAnsiTheme="minorEastAsia" w:eastAsiaTheme="minorEastAsia" w:cstheme="minorEastAsia"/>
          <w:kern w:val="0"/>
          <w:sz w:val="24"/>
          <w:szCs w:val="24"/>
        </w:rPr>
        <w:t>类；</w:t>
      </w:r>
    </w:p>
    <w:p w14:paraId="25CC17D3">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抗震设防烈度：7</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度；</w:t>
      </w:r>
    </w:p>
    <w:p w14:paraId="2C37CBFC">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基本地震加速度：0.01g (第一组)；</w:t>
      </w:r>
    </w:p>
    <w:p w14:paraId="4EFA0EB0">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基本风压W0=0.6</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kN/</w:t>
      </w:r>
      <w:r>
        <w:rPr>
          <w:rFonts w:hint="eastAsia" w:asciiTheme="minorEastAsia" w:hAnsiTheme="minorEastAsia" w:eastAsiaTheme="minorEastAsia" w:cstheme="minorEastAsia"/>
          <w:kern w:val="0"/>
          <w:sz w:val="24"/>
          <w:szCs w:val="24"/>
          <w:lang w:val="en-US" w:eastAsia="zh-CN"/>
        </w:rPr>
        <w:t>㎡</w:t>
      </w:r>
      <w:r>
        <w:rPr>
          <w:rFonts w:hint="eastAsia" w:asciiTheme="minorEastAsia" w:hAnsiTheme="minorEastAsia" w:eastAsiaTheme="minorEastAsia" w:cstheme="minorEastAsia"/>
          <w:kern w:val="0"/>
          <w:sz w:val="24"/>
          <w:szCs w:val="24"/>
        </w:rPr>
        <w:t>（按</w:t>
      </w:r>
      <w:r>
        <w:rPr>
          <w:rFonts w:hint="eastAsia" w:asciiTheme="minorEastAsia" w:hAnsiTheme="minorEastAsia" w:eastAsiaTheme="minorEastAsia" w:cstheme="minorEastAsia"/>
          <w:kern w:val="0"/>
          <w:sz w:val="24"/>
          <w:szCs w:val="24"/>
          <w:lang w:val="en-US" w:eastAsia="zh-CN"/>
        </w:rPr>
        <w:t>50</w:t>
      </w:r>
      <w:r>
        <w:rPr>
          <w:rFonts w:hint="eastAsia" w:asciiTheme="minorEastAsia" w:hAnsiTheme="minorEastAsia" w:eastAsiaTheme="minorEastAsia" w:cstheme="minorEastAsia"/>
          <w:kern w:val="0"/>
          <w:sz w:val="24"/>
          <w:szCs w:val="24"/>
        </w:rPr>
        <w:t>年一遇）；</w:t>
      </w:r>
    </w:p>
    <w:p w14:paraId="1991864C">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建筑耐火等级：一级；</w:t>
      </w:r>
    </w:p>
    <w:p w14:paraId="2276568D">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建筑</w:t>
      </w:r>
      <w:r>
        <w:rPr>
          <w:rFonts w:hint="eastAsia" w:asciiTheme="minorEastAsia" w:hAnsiTheme="minorEastAsia" w:eastAsiaTheme="minorEastAsia" w:cstheme="minorEastAsia"/>
          <w:kern w:val="0"/>
          <w:sz w:val="24"/>
          <w:szCs w:val="24"/>
          <w:lang w:val="en-US" w:eastAsia="zh-CN"/>
        </w:rPr>
        <w:t>防雷</w:t>
      </w:r>
      <w:r>
        <w:rPr>
          <w:rFonts w:hint="eastAsia" w:asciiTheme="minorEastAsia" w:hAnsiTheme="minorEastAsia" w:eastAsiaTheme="minorEastAsia" w:cstheme="minorEastAsia"/>
          <w:kern w:val="0"/>
          <w:sz w:val="24"/>
          <w:szCs w:val="24"/>
        </w:rPr>
        <w:t>等级：</w:t>
      </w:r>
      <w:r>
        <w:rPr>
          <w:rFonts w:hint="eastAsia" w:asciiTheme="minorEastAsia" w:hAnsiTheme="minorEastAsia" w:eastAsiaTheme="minorEastAsia" w:cstheme="minorEastAsia"/>
          <w:kern w:val="0"/>
          <w:sz w:val="24"/>
          <w:szCs w:val="24"/>
          <w:lang w:val="en-US" w:eastAsia="zh-CN"/>
        </w:rPr>
        <w:t>二类</w:t>
      </w:r>
      <w:r>
        <w:rPr>
          <w:rFonts w:hint="eastAsia" w:asciiTheme="minorEastAsia" w:hAnsiTheme="minorEastAsia" w:eastAsiaTheme="minorEastAsia" w:cstheme="minorEastAsia"/>
          <w:kern w:val="0"/>
          <w:sz w:val="24"/>
          <w:szCs w:val="24"/>
        </w:rPr>
        <w:t>；</w:t>
      </w:r>
    </w:p>
    <w:p w14:paraId="114A82D8">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lang w:val="en-US" w:eastAsia="zh-CN"/>
        </w:rPr>
        <w:t>防水</w:t>
      </w:r>
      <w:r>
        <w:rPr>
          <w:rFonts w:hint="eastAsia" w:asciiTheme="minorEastAsia" w:hAnsiTheme="minorEastAsia" w:eastAsiaTheme="minorEastAsia" w:cstheme="minorEastAsia"/>
          <w:kern w:val="0"/>
          <w:sz w:val="24"/>
          <w:szCs w:val="24"/>
        </w:rPr>
        <w:t>等级：</w:t>
      </w:r>
      <w:r>
        <w:rPr>
          <w:rFonts w:hint="eastAsia" w:asciiTheme="minorEastAsia" w:hAnsiTheme="minorEastAsia" w:eastAsiaTheme="minorEastAsia" w:cstheme="minorEastAsia"/>
          <w:kern w:val="0"/>
          <w:sz w:val="24"/>
          <w:szCs w:val="24"/>
          <w:lang w:val="en-US" w:eastAsia="zh-CN"/>
        </w:rPr>
        <w:t>一级</w:t>
      </w:r>
      <w:r>
        <w:rPr>
          <w:rFonts w:hint="eastAsia" w:asciiTheme="minorEastAsia" w:hAnsiTheme="minorEastAsia" w:eastAsiaTheme="minorEastAsia" w:cstheme="minorEastAsia"/>
          <w:kern w:val="0"/>
          <w:sz w:val="24"/>
          <w:szCs w:val="24"/>
        </w:rPr>
        <w:t>；</w:t>
      </w:r>
    </w:p>
    <w:p w14:paraId="591246E0">
      <w:pPr>
        <w:pStyle w:val="28"/>
        <w:autoSpaceDE w:val="0"/>
        <w:autoSpaceDN w:val="0"/>
        <w:adjustRightInd w:val="0"/>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15"/>
          <w:szCs w:val="15"/>
          <w:lang w:val="en-US" w:eastAsia="zh-CN" w:bidi="ar-SA"/>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城市气候分区：夏热冬暖地区；</w:t>
      </w:r>
    </w:p>
    <w:p w14:paraId="3C82903B">
      <w:pPr>
        <w:widowControl/>
        <w:ind w:left="0" w:firstLine="0"/>
        <w:jc w:val="left"/>
        <w:outlineLvl w:val="1"/>
        <w:rPr>
          <w:rFonts w:hint="eastAsia"/>
          <w:b/>
          <w:color w:val="auto"/>
          <w:sz w:val="24"/>
          <w:highlight w:val="none"/>
          <w:lang w:val="en-US" w:eastAsia="zh-CN"/>
        </w:rPr>
      </w:pPr>
      <w:bookmarkStart w:id="37" w:name="_Toc520909627"/>
      <w:bookmarkStart w:id="38" w:name="_Toc31250"/>
      <w:bookmarkStart w:id="39" w:name="_Toc2857"/>
      <w:r>
        <w:rPr>
          <w:rFonts w:hint="eastAsia"/>
          <w:b/>
          <w:color w:val="auto"/>
          <w:sz w:val="24"/>
          <w:highlight w:val="none"/>
          <w:lang w:val="en-US" w:eastAsia="zh-CN"/>
        </w:rPr>
        <w:t>2.2本项目主要系统描述</w:t>
      </w:r>
      <w:bookmarkEnd w:id="37"/>
      <w:bookmarkEnd w:id="38"/>
      <w:bookmarkEnd w:id="39"/>
    </w:p>
    <w:p w14:paraId="70470A5B">
      <w:pPr>
        <w:pStyle w:val="36"/>
        <w:spacing w:after="0"/>
        <w:ind w:left="0" w:leftChars="0" w:firstLine="0" w:firstLineChars="0"/>
        <w:jc w:val="left"/>
        <w:rPr>
          <w:rFonts w:hint="eastAsia" w:asciiTheme="minorEastAsia" w:hAnsiTheme="minorEastAsia" w:eastAsiaTheme="minorEastAsia" w:cstheme="minorEastAsia"/>
          <w:b/>
        </w:rPr>
      </w:pPr>
      <w:r>
        <w:rPr>
          <w:rFonts w:hint="eastAsia" w:asciiTheme="minorEastAsia" w:hAnsiTheme="minorEastAsia" w:eastAsiaTheme="minorEastAsia" w:cstheme="minorEastAsia"/>
          <w:b/>
          <w:lang w:val="en-US" w:eastAsia="zh-CN"/>
        </w:rPr>
        <w:t>2</w:t>
      </w:r>
      <w:r>
        <w:rPr>
          <w:rFonts w:hint="eastAsia" w:asciiTheme="minorEastAsia" w:hAnsiTheme="minorEastAsia" w:eastAsiaTheme="minorEastAsia" w:cstheme="minorEastAsia"/>
          <w:b/>
        </w:rPr>
        <w:t>.2.1首二层横明竖隐玻璃幕墙系统</w:t>
      </w:r>
    </w:p>
    <w:p w14:paraId="34BA8446">
      <w:pPr>
        <w:pStyle w:val="36"/>
        <w:spacing w:after="0"/>
        <w:ind w:left="960" w:leftChars="0" w:hanging="960" w:hangingChars="4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1.1）地面第一块玻璃：8HS普白（彩釉） +1.52PVB+8HS 普白（双银Low-E） +12A+12TP</w:t>
      </w:r>
    </w:p>
    <w:p w14:paraId="42917D5B">
      <w:pPr>
        <w:pStyle w:val="36"/>
        <w:spacing w:after="0"/>
        <w:ind w:left="959" w:leftChars="228" w:hanging="480" w:hangingChars="2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超白夹胶中空彩釉钢化玻璃</w:t>
      </w:r>
      <w:r>
        <w:rPr>
          <w:rFonts w:hint="eastAsia" w:asciiTheme="minorEastAsia" w:hAnsiTheme="minorEastAsia" w:eastAsiaTheme="minorEastAsia" w:cstheme="minorEastAsia"/>
          <w:lang w:eastAsia="zh-CN"/>
        </w:rPr>
        <w:t>；</w:t>
      </w:r>
    </w:p>
    <w:p w14:paraId="369D5F29">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1.2）地面第二块以上位置玻璃：8HS普白（彩釉） +1.52PVB+8HS 普白（双银Low-E） +12A+12TP普白夹胶中空彩釉钢化玻璃；</w:t>
      </w:r>
    </w:p>
    <w:p w14:paraId="1F88F77E">
      <w:pPr>
        <w:pStyle w:val="36"/>
        <w:spacing w:after="0"/>
        <w:ind w:left="0" w:leftChars="0" w:firstLine="0" w:firstLineChars="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1.3）300/400/500*100横向铝合金装饰线条（氟碳喷涂）；</w:t>
      </w:r>
    </w:p>
    <w:p w14:paraId="26B02A2F">
      <w:pPr>
        <w:pStyle w:val="36"/>
        <w:spacing w:after="0"/>
        <w:ind w:left="720" w:leftChars="0" w:hanging="720" w:hangingChars="3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1.4）100x240x6mm厚焊接竖向钢通（氟碳喷涂）/150x340x14mm厚焊接竖向钢通（氟</w:t>
      </w:r>
    </w:p>
    <w:p w14:paraId="1CF78247">
      <w:pPr>
        <w:pStyle w:val="36"/>
        <w:spacing w:after="0"/>
        <w:ind w:left="719" w:leftChars="228" w:hanging="240" w:hangingChars="1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碳喷涂）；</w:t>
      </w:r>
    </w:p>
    <w:p w14:paraId="57F88C4D">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1.5）室内横梁：钢管（热浸镀锌）： 80x140x5mm， 外包铝合金装饰盖（氟碳喷涂）： 100x200x2.5mm；</w:t>
      </w:r>
    </w:p>
    <w:p w14:paraId="0842EAB8">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1.6）层间/墙体/钢结构位置：2mm厚单层铝背板（粉末喷涂）铝合金室内外可视面为氟碳喷涂处理，不可视面为阳极氧化处理，颜色待封样确定，具体做法详相关图纸。</w:t>
      </w:r>
    </w:p>
    <w:p w14:paraId="2B1882EA">
      <w:pPr>
        <w:pStyle w:val="36"/>
        <w:spacing w:after="0"/>
        <w:ind w:left="0" w:leftChars="0" w:firstLine="0" w:firstLineChars="0"/>
        <w:jc w:val="left"/>
        <w:rPr>
          <w:rFonts w:hint="eastAsia" w:asciiTheme="minorEastAsia" w:hAnsiTheme="minorEastAsia" w:eastAsiaTheme="minorEastAsia" w:cstheme="minorEastAsia"/>
          <w:b/>
        </w:rPr>
      </w:pPr>
      <w:r>
        <w:rPr>
          <w:rFonts w:hint="eastAsia" w:asciiTheme="minorEastAsia" w:hAnsiTheme="minorEastAsia" w:eastAsiaTheme="minorEastAsia" w:cstheme="minorEastAsia"/>
          <w:b/>
          <w:lang w:val="en-US" w:eastAsia="zh-CN"/>
        </w:rPr>
        <w:t>2</w:t>
      </w:r>
      <w:r>
        <w:rPr>
          <w:rFonts w:hint="eastAsia" w:asciiTheme="minorEastAsia" w:hAnsiTheme="minorEastAsia" w:eastAsiaTheme="minorEastAsia" w:cstheme="minorEastAsia"/>
          <w:b/>
        </w:rPr>
        <w:t>.2.2负一层竖明横隐玻璃幕墙系统</w:t>
      </w:r>
    </w:p>
    <w:p w14:paraId="00F85C8E">
      <w:pPr>
        <w:pStyle w:val="36"/>
        <w:spacing w:after="0"/>
        <w:ind w:left="480" w:leftChars="0" w:hanging="480" w:hangingChars="200"/>
        <w:jc w:val="left"/>
        <w:rPr>
          <w:rFonts w:hint="eastAsia" w:asciiTheme="minorEastAsia" w:hAnsiTheme="minorEastAsia" w:eastAsiaTheme="minorEastAsia" w:cstheme="minorEastAsia"/>
          <w:lang w:eastAsia="zh-CN"/>
        </w:rPr>
      </w:pPr>
      <w:bookmarkStart w:id="40" w:name="_Toc486499314"/>
      <w:bookmarkStart w:id="41" w:name="_Toc486499104"/>
      <w:r>
        <w:rPr>
          <w:rFonts w:hint="eastAsia" w:asciiTheme="minorEastAsia" w:hAnsiTheme="minorEastAsia" w:eastAsiaTheme="minorEastAsia" w:cstheme="minorEastAsia"/>
          <w:lang w:eastAsia="zh-CN"/>
        </w:rPr>
        <w:t>2.1）12TP普白（双银Low-E）+12A+12TP普白中空彩釉钢化玻璃；</w:t>
      </w:r>
    </w:p>
    <w:p w14:paraId="05D1DB29">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2.2）200*100竖向铝合金装饰线条（氟碳喷涂）；</w:t>
      </w:r>
    </w:p>
    <w:p w14:paraId="0B2E26F7">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2.3）200*100铝合金立柱（粉末喷涂）；</w:t>
      </w:r>
    </w:p>
    <w:p w14:paraId="501B5F61">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2.4）100*100铝合金横梁（粉末喷涂）；</w:t>
      </w:r>
    </w:p>
    <w:p w14:paraId="0494C979">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铝合金室内可视面粉末喷涂处理，室外可视面为氟碳喷涂处理，不可视面为阳极氧化处理，颜色待封样确定，具体做法详相关图纸。</w:t>
      </w:r>
    </w:p>
    <w:p w14:paraId="23604C27">
      <w:pPr>
        <w:spacing w:line="360" w:lineRule="auto"/>
        <w:ind w:left="0" w:leftChars="0"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 xml:space="preserve">.2.3 </w:t>
      </w:r>
      <w:bookmarkEnd w:id="40"/>
      <w:bookmarkEnd w:id="41"/>
      <w:r>
        <w:rPr>
          <w:rFonts w:hint="eastAsia" w:asciiTheme="minorEastAsia" w:hAnsiTheme="minorEastAsia" w:eastAsiaTheme="minorEastAsia" w:cstheme="minorEastAsia"/>
          <w:b/>
          <w:sz w:val="24"/>
          <w:szCs w:val="24"/>
        </w:rPr>
        <w:t>内场包厢全玻璃幕墙系统</w:t>
      </w:r>
    </w:p>
    <w:p w14:paraId="4D601A5F">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3.1）12TP（双银Low-E）+12A+12TP全超白中空钢化玻璃（二层包厢）10TP+2.28SGP+10TP（双银Low-E）+12A+10TP+2.28SGP+10TP双夹胶全超白中空钢化玻璃（三层包厢）；</w:t>
      </w:r>
    </w:p>
    <w:p w14:paraId="6A870045">
      <w:pPr>
        <w:pStyle w:val="36"/>
        <w:spacing w:after="0"/>
        <w:ind w:left="480" w:leftChars="0" w:hanging="480" w:hanging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3.2）顶部室外60x60横向铝合金装饰线条（氟碳喷涂），室内110x55铝合金横梁（粉末喷涂）；</w:t>
      </w:r>
    </w:p>
    <w:p w14:paraId="12957467">
      <w:pPr>
        <w:pStyle w:val="36"/>
        <w:spacing w:after="0"/>
        <w:ind w:left="0" w:leftChars="0" w:firstLine="0" w:firstLineChars="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3.3）顶部室内110x55铝合金横梁（粉末喷涂）+36x88x5mm厚钢槽（热浸镀锌）；</w:t>
      </w:r>
    </w:p>
    <w:p w14:paraId="78591647">
      <w:pPr>
        <w:pStyle w:val="36"/>
        <w:spacing w:after="0"/>
        <w:ind w:left="0" w:leftChars="0" w:firstLine="0" w:firstLineChars="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3.4）底部6mm厚钢槽（热浸镀锌）+1mm厚拉丝316L不锈钢装饰板；</w:t>
      </w:r>
    </w:p>
    <w:p w14:paraId="5A809938">
      <w:pPr>
        <w:pStyle w:val="36"/>
        <w:spacing w:after="0"/>
        <w:ind w:left="0" w:leftChars="0" w:firstLine="0" w:firstLineChars="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铝合金室内可视面粉末喷涂处理，室外可视面为氟碳喷涂处理，不可视面为阳极氧化处理，颜色待封样确定，幕墙底部外包1mm厚不锈钢装饰板（材质316L）,不锈钢装饰板颜色待封样确定，具体做法详相关图纸。</w:t>
      </w:r>
    </w:p>
    <w:p w14:paraId="33E2B5C8">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.2.4</w:t>
      </w:r>
      <w:r>
        <w:rPr>
          <w:rFonts w:hint="eastAsia" w:asciiTheme="minorEastAsia" w:hAnsiTheme="minorEastAsia" w:eastAsiaTheme="minorEastAsia" w:cstheme="minorEastAsia"/>
          <w:b/>
          <w:spacing w:val="10"/>
          <w:sz w:val="24"/>
          <w:szCs w:val="24"/>
          <w:lang w:val="en-US" w:eastAsia="zh-CN"/>
        </w:rPr>
        <w:t xml:space="preserve"> </w:t>
      </w:r>
      <w:r>
        <w:rPr>
          <w:rFonts w:hint="eastAsia" w:asciiTheme="minorEastAsia" w:hAnsiTheme="minorEastAsia" w:eastAsiaTheme="minorEastAsia" w:cstheme="minorEastAsia"/>
          <w:b/>
          <w:spacing w:val="10"/>
          <w:sz w:val="24"/>
          <w:szCs w:val="24"/>
        </w:rPr>
        <w:t>3F室内玻璃幕墙系统</w:t>
      </w:r>
    </w:p>
    <w:p w14:paraId="4F4A34A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4.1）8TP超白（双银Low-E）+12A+8TP超白中空钢化玻璃；</w:t>
      </w:r>
    </w:p>
    <w:p w14:paraId="183DAE9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4.2）50*80横向铝合金装饰线条（氟碳喷涂）；</w:t>
      </w:r>
    </w:p>
    <w:p w14:paraId="51F22F4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4.3）80*250铝合金立柱（粉末喷涂）；</w:t>
      </w:r>
    </w:p>
    <w:p w14:paraId="74B413EF">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4.4）80*124铝合金横梁（粉末喷涂）；</w:t>
      </w:r>
    </w:p>
    <w:p w14:paraId="2256BDC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铝合金室内可视面粉末喷涂处理，室外可视面为氟碳喷涂处理，不可视面为阳极氧化处理，颜色待封样确定，幕墙底部外包1mm厚不锈钢装饰板（材质316L）,不锈钢装饰板颜色待封样确定，具体做法详相关图纸。</w:t>
      </w:r>
    </w:p>
    <w:p w14:paraId="240B2519">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bookmarkStart w:id="42" w:name="_Toc441344997"/>
      <w:bookmarkStart w:id="43" w:name="_Toc520909628"/>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.2.5室内防火玻璃幕墙系统</w:t>
      </w:r>
    </w:p>
    <w:p w14:paraId="51BEB63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5.1）3F西侧：A类1.5小时中空防火玻璃（彩釉）；其他：A类1.5小时中空防火玻璃；</w:t>
      </w:r>
    </w:p>
    <w:p w14:paraId="01961147">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5.2）80*150竖向铝合金装饰线条（氟碳喷涂）;22*80横向铝合金装饰线条（氟碳喷涂）；</w:t>
      </w:r>
    </w:p>
    <w:p w14:paraId="0A07F496">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5.3）80*120防火钢立柱（氟碳喷涂）；局部采用80*300防火加强钢立柱（氟碳喷涂）；</w:t>
      </w:r>
    </w:p>
    <w:p w14:paraId="6DB4E2C7">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5.4）80*80防火钢横梁（氟碳喷涂）；</w:t>
      </w:r>
    </w:p>
    <w:p w14:paraId="6CB45677">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铝合金室内可视面粉末喷涂处理，室外可视面为氟碳喷涂处理，不可视面为阳极氧化处理，颜色待封样确定。</w:t>
      </w:r>
    </w:p>
    <w:p w14:paraId="71D45338">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6</w:t>
      </w:r>
      <w:r>
        <w:rPr>
          <w:rFonts w:hint="eastAsia" w:asciiTheme="minorEastAsia" w:hAnsiTheme="minorEastAsia" w:eastAsiaTheme="minorEastAsia" w:cstheme="minorEastAsia"/>
          <w:b/>
          <w:spacing w:val="10"/>
          <w:sz w:val="24"/>
          <w:szCs w:val="24"/>
        </w:rPr>
        <w:t>玻璃门系统</w:t>
      </w:r>
    </w:p>
    <w:p w14:paraId="7A917B5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6.1）15TP钢化玻璃（包厢玻璃门为超白玻璃）；</w:t>
      </w:r>
    </w:p>
    <w:p w14:paraId="250BA7D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6.2）顶底1mm厚拉丝316L不锈钢包边通长夹具；</w:t>
      </w:r>
    </w:p>
    <w:p w14:paraId="6C6D417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6.3）平开门地弹簧、上下配套转轴、平开门闭门器、平开门地锁；</w:t>
      </w:r>
    </w:p>
    <w:p w14:paraId="49AC7580">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6.4）拉丝不锈钢拉手；</w:t>
      </w:r>
    </w:p>
    <w:p w14:paraId="4302E96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平开门顶底1mm厚不锈钢包边（材质316L）,不锈钢装饰板颜色待封样确定，具体做法详相关图纸。</w:t>
      </w:r>
    </w:p>
    <w:p w14:paraId="7C628E4F">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7</w:t>
      </w:r>
      <w:r>
        <w:rPr>
          <w:rFonts w:hint="eastAsia" w:asciiTheme="minorEastAsia" w:hAnsiTheme="minorEastAsia" w:eastAsiaTheme="minorEastAsia" w:cstheme="minorEastAsia"/>
          <w:b/>
          <w:spacing w:val="10"/>
          <w:sz w:val="24"/>
          <w:szCs w:val="24"/>
        </w:rPr>
        <w:t>室外电梯幕墙系统</w:t>
      </w:r>
    </w:p>
    <w:p w14:paraId="466F094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7.1）10TP+1.52PVB+10TP普白夹胶钢化玻璃；</w:t>
      </w:r>
    </w:p>
    <w:p w14:paraId="1EB73AD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7.2）80*81铝合金立柱/横梁（粉末喷涂）；</w:t>
      </w:r>
    </w:p>
    <w:p w14:paraId="45A86E53">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7.3）10mm厚钢连接件（氟碳喷涂）；</w:t>
      </w:r>
    </w:p>
    <w:p w14:paraId="234B68FF">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7.4）底部5mm厚钢槽（热浸镀锌）+1mm厚拉丝316L不锈钢装饰板；</w:t>
      </w:r>
    </w:p>
    <w:p w14:paraId="31960E64">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铝合金室内可视面粉末喷涂处理，室外可视面为氟碳喷涂处理，不可视面为阳极氧化处理，颜色待封样确定，</w:t>
      </w:r>
    </w:p>
    <w:p w14:paraId="137EFCEB">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8</w:t>
      </w:r>
      <w:r>
        <w:rPr>
          <w:rFonts w:hint="eastAsia" w:asciiTheme="minorEastAsia" w:hAnsiTheme="minorEastAsia" w:eastAsiaTheme="minorEastAsia" w:cstheme="minorEastAsia"/>
          <w:b/>
          <w:spacing w:val="10"/>
          <w:sz w:val="24"/>
          <w:szCs w:val="24"/>
        </w:rPr>
        <w:t>洞口门窗系统</w:t>
      </w:r>
    </w:p>
    <w:p w14:paraId="0A3EF55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8.1）6TP+12A+6TP普白中空钢化玻璃（局部彩釉玻璃）；</w:t>
      </w:r>
    </w:p>
    <w:p w14:paraId="7F68833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8.2）60系列铝合金门窗型材（氟碳喷涂）；</w:t>
      </w:r>
    </w:p>
    <w:p w14:paraId="7739894A">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8.3）配套平开门合页、平开门闭门器、平开门把手；</w:t>
      </w:r>
    </w:p>
    <w:p w14:paraId="07E5517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8.4）电动排烟窗配套电动开窗器；</w:t>
      </w:r>
    </w:p>
    <w:p w14:paraId="7218930B">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铝合金室内可视面粉末喷涂处理，室外可视面为氟碳喷涂处理，不可视面为阳极氧化处理，颜色待封样确定。</w:t>
      </w:r>
    </w:p>
    <w:p w14:paraId="19A5CF60">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9</w:t>
      </w:r>
      <w:r>
        <w:rPr>
          <w:rFonts w:hint="eastAsia" w:asciiTheme="minorEastAsia" w:hAnsiTheme="minorEastAsia" w:eastAsiaTheme="minorEastAsia" w:cstheme="minorEastAsia"/>
          <w:b/>
          <w:spacing w:val="10"/>
          <w:sz w:val="24"/>
          <w:szCs w:val="24"/>
        </w:rPr>
        <w:t>立面铝板幕墙系统</w:t>
      </w:r>
    </w:p>
    <w:p w14:paraId="7E707EE0">
      <w:pPr>
        <w:spacing w:line="360" w:lineRule="auto"/>
        <w:ind w:left="0" w:leftChars="0" w:firstLine="0" w:firstLineChars="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外圈排水天沟外侧铝板幕墙（室内侧为压型钢板）：</w:t>
      </w:r>
    </w:p>
    <w:p w14:paraId="7F8C22AE">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1.1）3mm厚氟碳喷涂铝单板</w:t>
      </w:r>
    </w:p>
    <w:p w14:paraId="55005107">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1.2）阳极氧化铝合金龙骨（6063-T5）</w:t>
      </w:r>
    </w:p>
    <w:p w14:paraId="2C645D08">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1.3）1.5mm厚防水铝板（钝化处理）</w:t>
      </w:r>
    </w:p>
    <w:p w14:paraId="3FBB87D2">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1.4）90x60x4竖向钢管钢（Q235B，热浸镀锌）</w:t>
      </w:r>
    </w:p>
    <w:p w14:paraId="7C4EF47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1.5）200x100x4横向钢管钢（Q355B，热浸镀锌）</w:t>
      </w:r>
    </w:p>
    <w:p w14:paraId="43CAA804">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1.6）100mm厚玻璃纤维吸音棉（压缩到75mm），容重48kg/m2（填充底板凹槽）</w:t>
      </w:r>
    </w:p>
    <w:p w14:paraId="31EE2203">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1.7）0.8mm厚YX65-170-510镀铝锌穿孔压型钢底板 </w:t>
      </w:r>
    </w:p>
    <w:p w14:paraId="4ACDEE97">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面板采用铝合金角码固定，满足结构安全要求，铝合金饰板颜色待封样确定，具体构造详见图纸。</w:t>
      </w:r>
    </w:p>
    <w:p w14:paraId="4298B3EC">
      <w:pPr>
        <w:spacing w:line="360" w:lineRule="auto"/>
        <w:ind w:left="0" w:leftChars="0" w:firstLine="0" w:firstLineChars="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外圈排水天沟外侧铝板幕墙（室内侧为铝板）：</w:t>
      </w:r>
    </w:p>
    <w:p w14:paraId="73A237EB">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2.1）3mm厚氟碳喷涂铝单板</w:t>
      </w:r>
    </w:p>
    <w:p w14:paraId="7CC76F5E">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2.2）阳极氧化铝合金龙骨（6063-T5）</w:t>
      </w:r>
    </w:p>
    <w:p w14:paraId="727AB07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2.3）1.5mm厚防水铝板（钝化处理）</w:t>
      </w:r>
    </w:p>
    <w:p w14:paraId="251282C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2.4）90x60x4竖向钢管钢（Q235B，热浸镀锌）</w:t>
      </w:r>
    </w:p>
    <w:p w14:paraId="76F7B66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2.5）250x120x8横向钢管钢（Q235B，热浸镀锌）</w:t>
      </w:r>
    </w:p>
    <w:p w14:paraId="7181E586">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2.6）1.5mm厚防水铝板（钝化处理）</w:t>
      </w:r>
    </w:p>
    <w:p w14:paraId="2F4C83AF">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2.7）3mm厚氟碳喷涂铝单板</w:t>
      </w:r>
    </w:p>
    <w:p w14:paraId="74ED012A">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面板采用铝合金角码固定，满足结构安全要求，铝合金饰板颜色待封样确定，具体构造详见图纸。</w:t>
      </w:r>
    </w:p>
    <w:p w14:paraId="36F7EE48">
      <w:pPr>
        <w:spacing w:line="360" w:lineRule="auto"/>
        <w:ind w:left="0" w:leftChars="0" w:firstLine="0" w:firstLineChars="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吊顶铝板幕墙系统：</w:t>
      </w:r>
    </w:p>
    <w:p w14:paraId="033E1623">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3.1）3mm厚氟碳喷涂铝单板</w:t>
      </w:r>
    </w:p>
    <w:p w14:paraId="01792E38">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3.2）60x60x3铝型材横梁（阳极氧化）</w:t>
      </w:r>
    </w:p>
    <w:p w14:paraId="095FDAC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3.3）1.5mm防水铝板（钝化处理）</w:t>
      </w:r>
    </w:p>
    <w:p w14:paraId="11C3B074">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3.4）120x120x5钢龙骨（Q355B，热浸镀锌）</w:t>
      </w:r>
    </w:p>
    <w:p w14:paraId="710B792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面板采用铝合金型材固定，满足结构安全要求，铝合金饰板颜色待封样确定，具体构造详见图纸。</w:t>
      </w:r>
    </w:p>
    <w:p w14:paraId="22353D2D">
      <w:pPr>
        <w:spacing w:line="360" w:lineRule="auto"/>
        <w:ind w:left="0" w:leftChars="0" w:firstLine="0" w:firstLineChars="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单层铝板幕墙系统（负一层）：</w:t>
      </w:r>
    </w:p>
    <w:p w14:paraId="116CF2FF">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4.1）3mm厚氟碳喷涂铝单板</w:t>
      </w:r>
    </w:p>
    <w:p w14:paraId="16BC1914">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4.2）阳极氧化铝合金龙骨（6063-T5）</w:t>
      </w:r>
    </w:p>
    <w:p w14:paraId="6B33C3F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4.3）1.5mm防水铝板（钝化处理）</w:t>
      </w:r>
    </w:p>
    <w:p w14:paraId="58D5FA3F">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4.4）120x60x4钢管龙骨（Q235B，热浸镀锌）</w:t>
      </w:r>
    </w:p>
    <w:p w14:paraId="510D51D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面板采用铝合金型材固定，满足结构安全要求，铝合金饰板颜色待封样确定，具体构造详见图纸。</w:t>
      </w:r>
    </w:p>
    <w:p w14:paraId="48A60D09">
      <w:pPr>
        <w:spacing w:line="360" w:lineRule="auto"/>
        <w:ind w:left="0" w:leftChars="0" w:firstLine="0" w:firstLineChars="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东西侧立面大格栅铝板幕墙系统</w:t>
      </w:r>
    </w:p>
    <w:p w14:paraId="09791EF4">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5.1）3mm厚氟碳喷涂铝单板</w:t>
      </w:r>
    </w:p>
    <w:p w14:paraId="05EB3DC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5.2）阳极氧化铝合金龙骨（6063-T5）</w:t>
      </w:r>
    </w:p>
    <w:p w14:paraId="065E72C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5.3）1.5mm厚防水铝板（钝化处理）</w:t>
      </w:r>
    </w:p>
    <w:p w14:paraId="6575ADE6">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5.4）60x60x5mm横向钢方通（Q235B，热浸镀锌）</w:t>
      </w:r>
    </w:p>
    <w:p w14:paraId="3A8BF39F">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5.5）450x350x20mm竖向焊接钢通（Q235B，热浸镀锌）</w:t>
      </w:r>
    </w:p>
    <w:p w14:paraId="530BBBB6">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面板采用铝合金角码固定，满足结构安全要求，铝合金饰板颜色待封样确定，具体构造详见图纸。</w:t>
      </w:r>
    </w:p>
    <w:p w14:paraId="479A64CC">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10</w:t>
      </w:r>
      <w:r>
        <w:rPr>
          <w:rFonts w:hint="eastAsia" w:asciiTheme="minorEastAsia" w:hAnsiTheme="minorEastAsia" w:eastAsiaTheme="minorEastAsia" w:cstheme="minorEastAsia"/>
          <w:b/>
          <w:spacing w:val="10"/>
          <w:sz w:val="24"/>
          <w:szCs w:val="24"/>
        </w:rPr>
        <w:t>铝合金格栅系统</w:t>
      </w:r>
    </w:p>
    <w:p w14:paraId="24BA2E9E">
      <w:pPr>
        <w:spacing w:line="360" w:lineRule="auto"/>
        <w:ind w:left="0" w:leftChars="0" w:firstLine="0" w:firstLineChars="0"/>
        <w:jc w:val="left"/>
        <w:rPr>
          <w:rFonts w:hint="eastAsia" w:asciiTheme="minorEastAsia" w:hAnsiTheme="minorEastAsia" w:eastAsiaTheme="minorEastAsia" w:cstheme="minorEastAsia"/>
          <w:b/>
          <w:spacing w:val="10"/>
          <w:sz w:val="24"/>
          <w:szCs w:val="24"/>
          <w:lang w:eastAsia="zh-CN"/>
        </w:rPr>
      </w:pPr>
      <w:r>
        <w:rPr>
          <w:rFonts w:hint="eastAsia" w:asciiTheme="minorEastAsia" w:hAnsiTheme="minorEastAsia" w:eastAsiaTheme="minorEastAsia" w:cstheme="minorEastAsia"/>
          <w:b/>
          <w:spacing w:val="10"/>
          <w:sz w:val="24"/>
          <w:szCs w:val="24"/>
        </w:rPr>
        <w:t>负一层设备间格栅幕墙系统</w:t>
      </w:r>
      <w:r>
        <w:rPr>
          <w:rFonts w:hint="eastAsia" w:asciiTheme="minorEastAsia" w:hAnsiTheme="minorEastAsia" w:eastAsiaTheme="minorEastAsia" w:cstheme="minorEastAsia"/>
          <w:b/>
          <w:spacing w:val="10"/>
          <w:sz w:val="24"/>
          <w:szCs w:val="24"/>
          <w:lang w:eastAsia="zh-CN"/>
        </w:rPr>
        <w:t>：</w:t>
      </w:r>
    </w:p>
    <w:p w14:paraId="1F58C8C3">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1.1）100x300mm顶部铝合金格栅（氟碳喷涂）</w:t>
      </w:r>
    </w:p>
    <w:p w14:paraId="756BDF1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1.2）20x100mm铝合金百叶（氟碳喷涂）</w:t>
      </w:r>
    </w:p>
    <w:p w14:paraId="3485ADD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1.3）108x170x5mm铝合金立柱（氟碳喷涂）</w:t>
      </w:r>
    </w:p>
    <w:p w14:paraId="70416870">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1.4）400x200x12mm厚钢龙骨（Q235B，氟碳喷涂）</w:t>
      </w:r>
    </w:p>
    <w:p w14:paraId="7D4D2FAB">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铝合金格栅采用钢角码固定，满足结构安全要求，铝合金格栅颜色待封样确定，具体构造详见图纸。</w:t>
      </w:r>
    </w:p>
    <w:p w14:paraId="5517C1EB">
      <w:pPr>
        <w:spacing w:line="360" w:lineRule="auto"/>
        <w:ind w:left="0" w:leftChars="0" w:firstLine="0" w:firstLineChars="0"/>
        <w:jc w:val="left"/>
        <w:rPr>
          <w:rFonts w:hint="eastAsia" w:asciiTheme="minorEastAsia" w:hAnsiTheme="minorEastAsia" w:eastAsiaTheme="minorEastAsia" w:cstheme="minorEastAsia"/>
          <w:b/>
          <w:spacing w:val="10"/>
          <w:sz w:val="24"/>
          <w:szCs w:val="24"/>
          <w:lang w:val="en-US" w:eastAsia="zh-CN"/>
        </w:rPr>
      </w:pPr>
      <w:r>
        <w:rPr>
          <w:rFonts w:hint="eastAsia" w:asciiTheme="minorEastAsia" w:hAnsiTheme="minorEastAsia" w:eastAsiaTheme="minorEastAsia" w:cstheme="minorEastAsia"/>
          <w:b/>
          <w:spacing w:val="10"/>
          <w:sz w:val="24"/>
          <w:szCs w:val="24"/>
          <w:lang w:val="en-US" w:eastAsia="zh-CN"/>
        </w:rPr>
        <w:t>负一层格栅幕墙系统：</w:t>
      </w:r>
    </w:p>
    <w:p w14:paraId="483EDE2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2.1）20x100mm铝合金百叶（氟碳喷涂）</w:t>
      </w:r>
    </w:p>
    <w:p w14:paraId="3B5599B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2.2）铝合金龙骨（6063-T5，氟碳喷涂）</w:t>
      </w:r>
    </w:p>
    <w:p w14:paraId="08120BA8">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2.3）120x60x4mm钢管龙骨（Q235B，氟碳喷涂）</w:t>
      </w:r>
    </w:p>
    <w:p w14:paraId="5F9AF3F0">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铝合金格栅采用钢角码固定，满足结构安全要求，铝合金格栅颜色待封样确定，具体构造详见图纸。</w:t>
      </w:r>
    </w:p>
    <w:p w14:paraId="2BA4BDE1">
      <w:pPr>
        <w:spacing w:line="360" w:lineRule="auto"/>
        <w:ind w:left="0" w:leftChars="0" w:firstLine="0" w:firstLineChars="0"/>
        <w:jc w:val="left"/>
        <w:rPr>
          <w:rFonts w:hint="eastAsia" w:asciiTheme="minorEastAsia" w:hAnsiTheme="minorEastAsia" w:eastAsiaTheme="minorEastAsia" w:cstheme="minorEastAsia"/>
          <w:b/>
          <w:spacing w:val="10"/>
          <w:sz w:val="24"/>
          <w:szCs w:val="24"/>
          <w:lang w:val="en-US" w:eastAsia="zh-CN"/>
        </w:rPr>
      </w:pPr>
      <w:r>
        <w:rPr>
          <w:rFonts w:hint="eastAsia" w:asciiTheme="minorEastAsia" w:hAnsiTheme="minorEastAsia" w:eastAsiaTheme="minorEastAsia" w:cstheme="minorEastAsia"/>
          <w:b/>
          <w:spacing w:val="10"/>
          <w:sz w:val="24"/>
          <w:szCs w:val="24"/>
          <w:lang w:val="en-US" w:eastAsia="zh-CN"/>
        </w:rPr>
        <w:t>洞口格栅幕墙系统：</w:t>
      </w:r>
    </w:p>
    <w:p w14:paraId="526E547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3.1）40x72mm铝合金格栅（氟碳喷涂）</w:t>
      </w:r>
    </w:p>
    <w:p w14:paraId="6F86DB2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3.2）铝合金龙骨支座（6063-T6，氟碳喷涂）</w:t>
      </w:r>
    </w:p>
    <w:p w14:paraId="026C04B5">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3.3）70x50x5/120x50x5/180x100x5mm钢管(Q235B，氟碳喷涂)</w:t>
      </w:r>
    </w:p>
    <w:p w14:paraId="75A55EAA">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kern w:val="2"/>
          <w:sz w:val="24"/>
          <w:szCs w:val="24"/>
          <w:lang w:val="en-US" w:eastAsia="zh-CN" w:bidi="ar-SA"/>
        </w:rPr>
        <w:t>铝合金格栅采用钢角码固定，满足结构安全要求，铝合金格栅颜色待封样确定，具体构造详见图纸。</w:t>
      </w:r>
    </w:p>
    <w:p w14:paraId="223EF944">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11</w:t>
      </w:r>
      <w:r>
        <w:rPr>
          <w:rFonts w:hint="eastAsia" w:asciiTheme="minorEastAsia" w:hAnsiTheme="minorEastAsia" w:eastAsiaTheme="minorEastAsia" w:cstheme="minorEastAsia"/>
          <w:b/>
          <w:spacing w:val="10"/>
          <w:sz w:val="24"/>
          <w:szCs w:val="24"/>
        </w:rPr>
        <w:t>不锈钢门套系统</w:t>
      </w:r>
    </w:p>
    <w:p w14:paraId="2BBD36C0">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11.1）2mm厚316L拉丝不锈钢板</w:t>
      </w:r>
    </w:p>
    <w:p w14:paraId="0152AE2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11.2）50x5mm厚钢通/L50x4角钢（Q235B，热浸镀锌）</w:t>
      </w:r>
    </w:p>
    <w:p w14:paraId="70E359A4">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12</w:t>
      </w:r>
      <w:r>
        <w:rPr>
          <w:rFonts w:hint="eastAsia" w:asciiTheme="minorEastAsia" w:hAnsiTheme="minorEastAsia" w:eastAsiaTheme="minorEastAsia" w:cstheme="minorEastAsia"/>
          <w:b/>
          <w:spacing w:val="10"/>
          <w:sz w:val="24"/>
          <w:szCs w:val="24"/>
        </w:rPr>
        <w:t>屋盖顶部金属屋面系统</w:t>
      </w:r>
    </w:p>
    <w:p w14:paraId="2D28F01F">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12.1）3mm厚氟碳喷涂铝单板</w:t>
      </w:r>
    </w:p>
    <w:p w14:paraId="0CB3960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12.2）铝合金龙骨 阳极氧化 6063-T5</w:t>
      </w:r>
    </w:p>
    <w:p w14:paraId="4E8EF41B">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12.3）0.9mm厚65/400铝镁锰合金直立锁边屋面板</w:t>
      </w:r>
    </w:p>
    <w:p w14:paraId="5866831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12.4）铝合金固定支座 阳极氧化 6061-T6</w:t>
      </w:r>
    </w:p>
    <w:p w14:paraId="5B2EE634">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12.5）1.5mm厚TPO防水卷材</w:t>
      </w:r>
    </w:p>
    <w:p w14:paraId="33DAA15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12.6）50mm保温岩棉（单面铝箔），容重180kg/m³</w:t>
      </w:r>
    </w:p>
    <w:p w14:paraId="23797D73">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12.7）0.8mm厚YX38-150-900镀铝锌压型钢底板（SGD350,AZ150）</w:t>
      </w:r>
    </w:p>
    <w:p w14:paraId="76360337">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12.8）檩条180x90x5钢管（Q235B，热浸镀锌）（其他规格详见檩条布置图）</w:t>
      </w:r>
    </w:p>
    <w:p w14:paraId="20E75C8D">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12.9）100mm厚玻璃纤维吸音棉（带单面铝箔），容重48kg/m3</w:t>
      </w:r>
    </w:p>
    <w:p w14:paraId="4F08EE92">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12.10）0.5mm厚聚丙烯（PP）隔汽膜</w:t>
      </w:r>
    </w:p>
    <w:p w14:paraId="560021E4">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12.11）0.8mm厚YX65-170-510镀铝锌穿孔压型钢底板，（穿孔率20%，S350GD，AZ150，可视表面氟碳喷涂）饰面板颜色待封样确定，具体构造详见图纸。</w:t>
      </w:r>
    </w:p>
    <w:p w14:paraId="123AE4E1">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13</w:t>
      </w:r>
      <w:r>
        <w:rPr>
          <w:rFonts w:hint="eastAsia" w:asciiTheme="minorEastAsia" w:hAnsiTheme="minorEastAsia" w:eastAsiaTheme="minorEastAsia" w:cstheme="minorEastAsia"/>
          <w:b/>
          <w:spacing w:val="10"/>
          <w:sz w:val="24"/>
          <w:szCs w:val="24"/>
        </w:rPr>
        <w:t>屋盖内檐口聚碳酸酯板幕墙系统</w:t>
      </w:r>
    </w:p>
    <w:p w14:paraId="54BF1E8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13.1）40*6mm铝合金装饰扣盖</w:t>
      </w:r>
    </w:p>
    <w:p w14:paraId="45F29D08">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13.2）12mm厚聚碳酸酯板,极限偏差±0.5</w:t>
      </w:r>
    </w:p>
    <w:p w14:paraId="38842AB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13.3）220x100x4mm环向钢管（Q355，氟碳喷涂）</w:t>
      </w:r>
    </w:p>
    <w:p w14:paraId="2BF254E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13.4）70x3mm径向钢管（Q235，氟碳喷涂）-钢材厚度允许偏差应采用正偏差</w:t>
      </w:r>
    </w:p>
    <w:p w14:paraId="577D8F06">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聚碳酸酯面板采用铝合金龙骨固定在钢龙骨上，钢龙骨均为氟碳喷涂处理,具体构造详见图纸。</w:t>
      </w:r>
    </w:p>
    <w:p w14:paraId="51179923">
      <w:pPr>
        <w:spacing w:line="360" w:lineRule="auto"/>
        <w:ind w:left="0" w:leftChars="0" w:firstLine="0" w:firstLineChars="0"/>
        <w:jc w:val="left"/>
        <w:rPr>
          <w:rFonts w:hint="eastAsia" w:asciiTheme="minorEastAsia" w:hAnsiTheme="minorEastAsia" w:eastAsiaTheme="minorEastAsia" w:cstheme="minorEastAsia"/>
          <w:b/>
          <w:spacing w:val="10"/>
          <w:sz w:val="24"/>
          <w:szCs w:val="24"/>
        </w:rPr>
      </w:pPr>
      <w:r>
        <w:rPr>
          <w:rFonts w:hint="eastAsia" w:asciiTheme="minorEastAsia" w:hAnsiTheme="minorEastAsia" w:eastAsiaTheme="minorEastAsia" w:cstheme="minorEastAsia"/>
          <w:b/>
          <w:spacing w:val="10"/>
          <w:sz w:val="24"/>
          <w:szCs w:val="24"/>
          <w:lang w:val="en-US" w:eastAsia="zh-CN"/>
        </w:rPr>
        <w:t>2</w:t>
      </w:r>
      <w:r>
        <w:rPr>
          <w:rFonts w:hint="eastAsia" w:asciiTheme="minorEastAsia" w:hAnsiTheme="minorEastAsia" w:eastAsiaTheme="minorEastAsia" w:cstheme="minorEastAsia"/>
          <w:b/>
          <w:spacing w:val="10"/>
          <w:sz w:val="24"/>
          <w:szCs w:val="24"/>
        </w:rPr>
        <w:t>.2.</w:t>
      </w:r>
      <w:r>
        <w:rPr>
          <w:rFonts w:hint="eastAsia" w:asciiTheme="minorEastAsia" w:hAnsiTheme="minorEastAsia" w:eastAsiaTheme="minorEastAsia" w:cstheme="minorEastAsia"/>
          <w:b/>
          <w:spacing w:val="10"/>
          <w:sz w:val="24"/>
          <w:szCs w:val="24"/>
          <w:lang w:val="en-US" w:eastAsia="zh-CN"/>
        </w:rPr>
        <w:t>14</w:t>
      </w:r>
      <w:r>
        <w:rPr>
          <w:rFonts w:hint="eastAsia" w:asciiTheme="minorEastAsia" w:hAnsiTheme="minorEastAsia" w:eastAsiaTheme="minorEastAsia" w:cstheme="minorEastAsia"/>
          <w:b/>
          <w:spacing w:val="10"/>
          <w:sz w:val="24"/>
          <w:szCs w:val="24"/>
        </w:rPr>
        <w:t>屋盖中部采用PTFE主膜系统</w:t>
      </w:r>
    </w:p>
    <w:p w14:paraId="05D50897">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14.1）0.8mm厚PTFE膜材料（聚四氟乙烯涂层，玻璃纤维基布，耐火等级B1）</w:t>
      </w:r>
    </w:p>
    <w:p w14:paraId="33BABC11">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14.2）拉膜铝合金夹具（氟碳喷涂）</w:t>
      </w:r>
    </w:p>
    <w:p w14:paraId="755CEC78">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14.3）环向拱杆及斜拱钢管（氟碳喷涂） </w:t>
      </w:r>
    </w:p>
    <w:p w14:paraId="28A80F49">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14.4）铸钢支座、钢板连接件、钢支凳（氟碳喷涂） </w:t>
      </w:r>
    </w:p>
    <w:p w14:paraId="1BFCD13C">
      <w:pPr>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主体结构（规格详钢结构图纸），PTFE膜材料颜色待封样确定，具体构造详见图纸。</w:t>
      </w:r>
    </w:p>
    <w:p w14:paraId="78C70545">
      <w:pPr>
        <w:pStyle w:val="36"/>
        <w:spacing w:after="0"/>
        <w:ind w:left="0" w:leftChars="0" w:firstLine="0" w:firstLineChars="0"/>
        <w:jc w:val="left"/>
        <w:outlineLvl w:val="1"/>
        <w:rPr>
          <w:rFonts w:hint="eastAsia" w:asciiTheme="minorEastAsia" w:hAnsiTheme="minorEastAsia" w:eastAsiaTheme="minorEastAsia" w:cstheme="minorEastAsia"/>
          <w:b/>
        </w:rPr>
      </w:pPr>
      <w:bookmarkStart w:id="44" w:name="_Toc29512"/>
      <w:r>
        <w:rPr>
          <w:rFonts w:hint="eastAsia" w:asciiTheme="minorEastAsia" w:hAnsiTheme="minorEastAsia" w:eastAsiaTheme="minorEastAsia" w:cstheme="minorEastAsia"/>
          <w:b/>
          <w:lang w:val="en-US" w:eastAsia="zh-CN"/>
        </w:rPr>
        <w:t>2</w:t>
      </w:r>
      <w:r>
        <w:rPr>
          <w:rFonts w:hint="eastAsia" w:asciiTheme="minorEastAsia" w:hAnsiTheme="minorEastAsia" w:eastAsiaTheme="minorEastAsia" w:cstheme="minorEastAsia"/>
          <w:b/>
        </w:rPr>
        <w:t>.3 本项目幕墙性能指标</w:t>
      </w:r>
      <w:bookmarkEnd w:id="42"/>
      <w:bookmarkEnd w:id="43"/>
      <w:bookmarkEnd w:id="44"/>
    </w:p>
    <w:p w14:paraId="25BDA407">
      <w:pPr>
        <w:spacing w:line="360" w:lineRule="auto"/>
        <w:ind w:left="0" w:leftChars="0"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依据现行国家标准《建筑幕墙》</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GB/T21086-2007、GB/T15227-2007、GB/T18250-2015的规定，结合本工程所在地区的地理、气候条件、建筑物高度、体形和周围环境要求，本工程的玻璃幕墙物理性能指标应达到以下标准</w:t>
      </w:r>
    </w:p>
    <w:p w14:paraId="5EDEB59F">
      <w:pPr>
        <w:tabs>
          <w:tab w:val="left" w:pos="851"/>
        </w:tabs>
        <w:spacing w:line="360" w:lineRule="auto"/>
        <w:ind w:left="0" w:leftChars="0" w:firstLine="0" w:firstLineChars="0"/>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.3.1抗风压性能</w:t>
      </w:r>
    </w:p>
    <w:p w14:paraId="64741BE6">
      <w:pPr>
        <w:tabs>
          <w:tab w:val="left" w:pos="993"/>
        </w:tabs>
        <w:spacing w:line="360" w:lineRule="auto"/>
        <w:ind w:left="0" w:leftChars="0" w:firstLine="420"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幕墙的可开启部分处于关闭状态时，在风压作用下，幕墙变形不超过允许值且不发生结构损坏（如：裂缝、面板破损、局部屈服、粘结失效等）及五金件松动、开启困难等功能障碍的能力。幕墙的抗风压性能指标应根据幕墙所受的风荷载标准值Wk确定，其指标值不应低于Wk，且不应小于1.0kPa。Wk的计算应符合GB50009的规定。</w:t>
      </w:r>
    </w:p>
    <w:tbl>
      <w:tblPr>
        <w:tblStyle w:val="12"/>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1"/>
        <w:gridCol w:w="901"/>
        <w:gridCol w:w="901"/>
        <w:gridCol w:w="901"/>
        <w:gridCol w:w="901"/>
        <w:gridCol w:w="901"/>
        <w:gridCol w:w="901"/>
        <w:gridCol w:w="901"/>
        <w:gridCol w:w="901"/>
        <w:gridCol w:w="907"/>
      </w:tblGrid>
      <w:tr w14:paraId="17C4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9016" w:type="dxa"/>
            <w:gridSpan w:val="10"/>
            <w:tcMar>
              <w:top w:w="15" w:type="dxa"/>
              <w:left w:w="15" w:type="dxa"/>
              <w:right w:w="15" w:type="dxa"/>
            </w:tcMar>
            <w:vAlign w:val="center"/>
          </w:tcPr>
          <w:p w14:paraId="20E7473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建筑幕墙抗风压性能分级</w:t>
            </w:r>
          </w:p>
        </w:tc>
      </w:tr>
      <w:tr w14:paraId="3AA7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01" w:type="dxa"/>
            <w:tcMar>
              <w:top w:w="15" w:type="dxa"/>
              <w:left w:w="15" w:type="dxa"/>
              <w:right w:w="15" w:type="dxa"/>
            </w:tcMar>
            <w:vAlign w:val="center"/>
          </w:tcPr>
          <w:p w14:paraId="36DE93B8">
            <w:pPr>
              <w:ind w:left="0" w:leftChars="0" w:firstLine="0" w:firstLineChars="0"/>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分级代号</w:t>
            </w:r>
          </w:p>
        </w:tc>
        <w:tc>
          <w:tcPr>
            <w:tcW w:w="901" w:type="dxa"/>
            <w:tcMar>
              <w:top w:w="15" w:type="dxa"/>
              <w:left w:w="15" w:type="dxa"/>
              <w:right w:w="15" w:type="dxa"/>
            </w:tcMar>
            <w:vAlign w:val="center"/>
          </w:tcPr>
          <w:p w14:paraId="12BB6DAB">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1</w:t>
            </w:r>
          </w:p>
        </w:tc>
        <w:tc>
          <w:tcPr>
            <w:tcW w:w="901" w:type="dxa"/>
            <w:tcMar>
              <w:top w:w="15" w:type="dxa"/>
              <w:left w:w="15" w:type="dxa"/>
              <w:right w:w="15" w:type="dxa"/>
            </w:tcMar>
            <w:vAlign w:val="center"/>
          </w:tcPr>
          <w:p w14:paraId="7B00CD09">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2</w:t>
            </w:r>
          </w:p>
        </w:tc>
        <w:tc>
          <w:tcPr>
            <w:tcW w:w="901" w:type="dxa"/>
            <w:tcMar>
              <w:top w:w="15" w:type="dxa"/>
              <w:left w:w="15" w:type="dxa"/>
              <w:right w:w="15" w:type="dxa"/>
            </w:tcMar>
            <w:vAlign w:val="center"/>
          </w:tcPr>
          <w:p w14:paraId="761E9249">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3</w:t>
            </w:r>
          </w:p>
        </w:tc>
        <w:tc>
          <w:tcPr>
            <w:tcW w:w="901" w:type="dxa"/>
            <w:tcMar>
              <w:top w:w="15" w:type="dxa"/>
              <w:left w:w="15" w:type="dxa"/>
              <w:right w:w="15" w:type="dxa"/>
            </w:tcMar>
            <w:vAlign w:val="center"/>
          </w:tcPr>
          <w:p w14:paraId="14976B08">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4</w:t>
            </w:r>
          </w:p>
        </w:tc>
        <w:tc>
          <w:tcPr>
            <w:tcW w:w="901" w:type="dxa"/>
            <w:tcMar>
              <w:top w:w="15" w:type="dxa"/>
              <w:left w:w="15" w:type="dxa"/>
              <w:right w:w="15" w:type="dxa"/>
            </w:tcMar>
            <w:vAlign w:val="center"/>
          </w:tcPr>
          <w:p w14:paraId="6DAC9A5A">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5</w:t>
            </w:r>
          </w:p>
        </w:tc>
        <w:tc>
          <w:tcPr>
            <w:tcW w:w="901" w:type="dxa"/>
            <w:tcMar>
              <w:top w:w="15" w:type="dxa"/>
              <w:left w:w="15" w:type="dxa"/>
              <w:right w:w="15" w:type="dxa"/>
            </w:tcMar>
            <w:vAlign w:val="center"/>
          </w:tcPr>
          <w:p w14:paraId="0E4F2AC5">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6</w:t>
            </w:r>
          </w:p>
        </w:tc>
        <w:tc>
          <w:tcPr>
            <w:tcW w:w="901" w:type="dxa"/>
            <w:tcMar>
              <w:top w:w="15" w:type="dxa"/>
              <w:left w:w="15" w:type="dxa"/>
              <w:right w:w="15" w:type="dxa"/>
            </w:tcMar>
            <w:vAlign w:val="center"/>
          </w:tcPr>
          <w:p w14:paraId="27EA4504">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7</w:t>
            </w:r>
          </w:p>
        </w:tc>
        <w:tc>
          <w:tcPr>
            <w:tcW w:w="901" w:type="dxa"/>
            <w:tcMar>
              <w:top w:w="15" w:type="dxa"/>
              <w:left w:w="15" w:type="dxa"/>
              <w:right w:w="15" w:type="dxa"/>
            </w:tcMar>
            <w:vAlign w:val="center"/>
          </w:tcPr>
          <w:p w14:paraId="1FF9E39E">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8</w:t>
            </w:r>
          </w:p>
        </w:tc>
        <w:tc>
          <w:tcPr>
            <w:tcW w:w="907" w:type="dxa"/>
            <w:tcMar>
              <w:top w:w="15" w:type="dxa"/>
              <w:left w:w="15" w:type="dxa"/>
              <w:right w:w="15" w:type="dxa"/>
            </w:tcMar>
            <w:vAlign w:val="center"/>
          </w:tcPr>
          <w:p w14:paraId="310C1BE0">
            <w:pPr>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9</w:t>
            </w:r>
          </w:p>
        </w:tc>
      </w:tr>
      <w:tr w14:paraId="018A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901" w:type="dxa"/>
            <w:tcMar>
              <w:top w:w="15" w:type="dxa"/>
              <w:left w:w="15" w:type="dxa"/>
              <w:right w:w="15" w:type="dxa"/>
            </w:tcMar>
            <w:vAlign w:val="center"/>
          </w:tcPr>
          <w:p w14:paraId="6E3CD555">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分级指标值</w:t>
            </w:r>
          </w:p>
          <w:p w14:paraId="79F27F0C">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P3/kPa</w:t>
            </w:r>
          </w:p>
        </w:tc>
        <w:tc>
          <w:tcPr>
            <w:tcW w:w="901" w:type="dxa"/>
            <w:tcMar>
              <w:top w:w="15" w:type="dxa"/>
              <w:left w:w="15" w:type="dxa"/>
              <w:right w:w="15" w:type="dxa"/>
            </w:tcMar>
            <w:vAlign w:val="center"/>
          </w:tcPr>
          <w:p w14:paraId="0EED98A8">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1.0≤P3</w:t>
            </w:r>
          </w:p>
          <w:p w14:paraId="1E4A63FA">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&lt;1.5</w:t>
            </w:r>
          </w:p>
        </w:tc>
        <w:tc>
          <w:tcPr>
            <w:tcW w:w="901" w:type="dxa"/>
            <w:tcMar>
              <w:top w:w="15" w:type="dxa"/>
              <w:left w:w="15" w:type="dxa"/>
              <w:right w:w="15" w:type="dxa"/>
            </w:tcMar>
            <w:vAlign w:val="center"/>
          </w:tcPr>
          <w:p w14:paraId="182C9E1F">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1.5≤P3</w:t>
            </w:r>
          </w:p>
          <w:p w14:paraId="4E4A98F6">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&lt;2.0</w:t>
            </w:r>
          </w:p>
        </w:tc>
        <w:tc>
          <w:tcPr>
            <w:tcW w:w="901" w:type="dxa"/>
            <w:tcMar>
              <w:top w:w="15" w:type="dxa"/>
              <w:left w:w="15" w:type="dxa"/>
              <w:right w:w="15" w:type="dxa"/>
            </w:tcMar>
            <w:vAlign w:val="center"/>
          </w:tcPr>
          <w:p w14:paraId="5AEECDE0">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2.0≤P3&lt;2.5</w:t>
            </w:r>
          </w:p>
        </w:tc>
        <w:tc>
          <w:tcPr>
            <w:tcW w:w="901" w:type="dxa"/>
            <w:tcMar>
              <w:top w:w="15" w:type="dxa"/>
              <w:left w:w="15" w:type="dxa"/>
              <w:right w:w="15" w:type="dxa"/>
            </w:tcMar>
            <w:vAlign w:val="center"/>
          </w:tcPr>
          <w:p w14:paraId="437F4E85">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2.5≤P3</w:t>
            </w:r>
          </w:p>
          <w:p w14:paraId="603626FA">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&lt;3.0</w:t>
            </w:r>
          </w:p>
        </w:tc>
        <w:tc>
          <w:tcPr>
            <w:tcW w:w="901" w:type="dxa"/>
            <w:tcMar>
              <w:top w:w="15" w:type="dxa"/>
              <w:left w:w="15" w:type="dxa"/>
              <w:right w:w="15" w:type="dxa"/>
            </w:tcMar>
            <w:vAlign w:val="center"/>
          </w:tcPr>
          <w:p w14:paraId="66B389C8">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3.0≤P3</w:t>
            </w:r>
          </w:p>
          <w:p w14:paraId="4ABFAFED">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&lt;3.5</w:t>
            </w:r>
          </w:p>
        </w:tc>
        <w:tc>
          <w:tcPr>
            <w:tcW w:w="901" w:type="dxa"/>
            <w:tcMar>
              <w:top w:w="15" w:type="dxa"/>
              <w:left w:w="15" w:type="dxa"/>
              <w:right w:w="15" w:type="dxa"/>
            </w:tcMar>
            <w:vAlign w:val="center"/>
          </w:tcPr>
          <w:p w14:paraId="4AF33906">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3.5≤P3</w:t>
            </w:r>
          </w:p>
          <w:p w14:paraId="009BB1F0">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&lt;4.0</w:t>
            </w:r>
          </w:p>
        </w:tc>
        <w:tc>
          <w:tcPr>
            <w:tcW w:w="901" w:type="dxa"/>
            <w:tcMar>
              <w:top w:w="15" w:type="dxa"/>
              <w:left w:w="15" w:type="dxa"/>
              <w:right w:w="15" w:type="dxa"/>
            </w:tcMar>
            <w:vAlign w:val="center"/>
          </w:tcPr>
          <w:p w14:paraId="19CE9F77">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4.0≤P3&lt;4.5</w:t>
            </w:r>
          </w:p>
        </w:tc>
        <w:tc>
          <w:tcPr>
            <w:tcW w:w="901" w:type="dxa"/>
            <w:tcMar>
              <w:top w:w="15" w:type="dxa"/>
              <w:left w:w="15" w:type="dxa"/>
              <w:right w:w="15" w:type="dxa"/>
            </w:tcMar>
            <w:vAlign w:val="center"/>
          </w:tcPr>
          <w:p w14:paraId="0F62709C">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4.5≤P3&lt;5.0</w:t>
            </w:r>
          </w:p>
        </w:tc>
        <w:tc>
          <w:tcPr>
            <w:tcW w:w="907" w:type="dxa"/>
            <w:tcMar>
              <w:top w:w="15" w:type="dxa"/>
              <w:left w:w="15" w:type="dxa"/>
              <w:right w:w="15" w:type="dxa"/>
            </w:tcMar>
            <w:vAlign w:val="center"/>
          </w:tcPr>
          <w:p w14:paraId="2F8A1643">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P3≥5.0</w:t>
            </w:r>
          </w:p>
        </w:tc>
      </w:tr>
      <w:tr w14:paraId="2012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6" w:hRule="atLeast"/>
        </w:trPr>
        <w:tc>
          <w:tcPr>
            <w:tcW w:w="9016" w:type="dxa"/>
            <w:gridSpan w:val="10"/>
            <w:tcMar>
              <w:top w:w="15" w:type="dxa"/>
              <w:left w:w="15" w:type="dxa"/>
              <w:right w:w="15" w:type="dxa"/>
            </w:tcMar>
            <w:vAlign w:val="center"/>
          </w:tcPr>
          <w:p w14:paraId="226DE440">
            <w:pPr>
              <w:widowControl/>
              <w:ind w:left="0" w:leftChars="0" w:firstLine="0" w:firstLine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注1：9级时需同时标注P</w:t>
            </w:r>
            <w:r>
              <w:rPr>
                <w:rFonts w:hint="eastAsia" w:asciiTheme="minorEastAsia" w:hAnsiTheme="minorEastAsia" w:eastAsiaTheme="minorEastAsia" w:cstheme="minorEastAsia"/>
                <w:kern w:val="0"/>
                <w:sz w:val="24"/>
                <w:szCs w:val="24"/>
                <w:vertAlign w:val="subscript"/>
              </w:rPr>
              <w:t>3</w:t>
            </w:r>
            <w:r>
              <w:rPr>
                <w:rFonts w:hint="eastAsia" w:asciiTheme="minorEastAsia" w:hAnsiTheme="minorEastAsia" w:eastAsiaTheme="minorEastAsia" w:cstheme="minorEastAsia"/>
                <w:kern w:val="0"/>
                <w:sz w:val="24"/>
                <w:szCs w:val="24"/>
              </w:rPr>
              <w:t>的测试值。如：属9级（5.5kPa）。</w:t>
            </w:r>
          </w:p>
          <w:p w14:paraId="7B42B86C">
            <w:pPr>
              <w:widowControl/>
              <w:ind w:left="0" w:leftChars="0" w:firstLine="0" w:firstLine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注2：分级指标值P</w:t>
            </w:r>
            <w:r>
              <w:rPr>
                <w:rFonts w:hint="eastAsia" w:asciiTheme="minorEastAsia" w:hAnsiTheme="minorEastAsia" w:eastAsiaTheme="minorEastAsia" w:cstheme="minorEastAsia"/>
                <w:kern w:val="0"/>
                <w:sz w:val="24"/>
                <w:szCs w:val="24"/>
                <w:vertAlign w:val="subscript"/>
              </w:rPr>
              <w:t>3</w:t>
            </w:r>
            <w:r>
              <w:rPr>
                <w:rFonts w:hint="eastAsia" w:asciiTheme="minorEastAsia" w:hAnsiTheme="minorEastAsia" w:eastAsiaTheme="minorEastAsia" w:cstheme="minorEastAsia"/>
                <w:kern w:val="0"/>
                <w:sz w:val="24"/>
                <w:szCs w:val="24"/>
              </w:rPr>
              <w:t>为正、负风压测试值绝对值的较小值。</w:t>
            </w:r>
          </w:p>
        </w:tc>
      </w:tr>
      <w:tr w14:paraId="76F6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1" w:hRule="atLeast"/>
        </w:trPr>
        <w:tc>
          <w:tcPr>
            <w:tcW w:w="9016" w:type="dxa"/>
            <w:gridSpan w:val="10"/>
            <w:tcMar>
              <w:top w:w="15" w:type="dxa"/>
              <w:left w:w="15" w:type="dxa"/>
              <w:right w:w="15" w:type="dxa"/>
            </w:tcMar>
            <w:vAlign w:val="center"/>
          </w:tcPr>
          <w:p w14:paraId="4A498783">
            <w:pPr>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按照《玻璃幕墙工程技术规范》JGJ102、《金属与石材幕墙工程技术规范》JGJ133-2001以及《建筑结构荷载规范》GB50009对风荷载标准值进行计算，按其计算值将玻璃、金属幕墙风压变形性能分级。</w:t>
            </w:r>
          </w:p>
          <w:p w14:paraId="61BDA528">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本工程基本风压 Wo =0.6 kN/m2/，地面粗糙度取B类，根据荷载计算及风洞试验数据对比，外立面风荷载Wk如下：</w:t>
            </w:r>
          </w:p>
          <w:p w14:paraId="55121D53">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1）立面铝板幕墙：风荷载Wk为3.317kN/m2/，抗风压性能为 5 级； </w:t>
            </w:r>
          </w:p>
          <w:p w14:paraId="531A46B4">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2）檐口底铝板幕墙：风荷载Wk为3.147kN/m2/，抗风压性能为 5 级； </w:t>
            </w:r>
          </w:p>
          <w:p w14:paraId="3DBC818F">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3）地下室铝板幕墙：风荷载Wk为1.88kN/m2/，抗风压性能为 2 级； </w:t>
            </w:r>
          </w:p>
          <w:p w14:paraId="585D1A32">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4）框架玻璃幕墙：风荷载Wk为2.426 kN/m2/，抗风压性能为 3 级; </w:t>
            </w:r>
          </w:p>
          <w:p w14:paraId="77B166A8">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5）3F室内侧玻璃幕墙：风荷载Wk为2.21kN/m2/，抗风压性能为 3 级； </w:t>
            </w:r>
          </w:p>
          <w:p w14:paraId="4BA4EC81">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6）内场VIP包厢玻璃幕墙：风荷载Wk为1.726kN/m2/，抗风压性能为 2 级； </w:t>
            </w:r>
          </w:p>
          <w:p w14:paraId="478E48E6">
            <w:pPr>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7）下沉广场电梯玻璃幕墙：风荷载Wk为1.88kN/m2/，抗风压性能为 2 级； </w:t>
            </w:r>
          </w:p>
          <w:p w14:paraId="0F318E96">
            <w:pPr>
              <w:ind w:left="0" w:leftChars="0" w:firstLine="0" w:firstLineChars="0"/>
              <w:rPr>
                <w:rFonts w:hint="eastAsia" w:asciiTheme="minorEastAsia" w:hAnsiTheme="minorEastAsia" w:eastAsiaTheme="minorEastAsia" w:cstheme="minorEastAsia"/>
                <w:color w:val="93278F"/>
                <w:sz w:val="24"/>
                <w:szCs w:val="24"/>
              </w:rPr>
            </w:pPr>
            <w:r>
              <w:rPr>
                <w:rFonts w:hint="eastAsia" w:asciiTheme="minorEastAsia" w:hAnsiTheme="minorEastAsia" w:eastAsiaTheme="minorEastAsia" w:cstheme="minorEastAsia"/>
                <w:kern w:val="0"/>
                <w:sz w:val="24"/>
                <w:szCs w:val="24"/>
              </w:rPr>
              <w:t xml:space="preserve">8）防火玻璃幕墙：风荷载Wk为2.25kN/m2/，抗风压性能为 3 级； </w:t>
            </w:r>
          </w:p>
        </w:tc>
      </w:tr>
    </w:tbl>
    <w:p w14:paraId="0A6DE329">
      <w:pPr>
        <w:tabs>
          <w:tab w:val="left" w:pos="1560"/>
        </w:tabs>
        <w:spacing w:line="360" w:lineRule="auto"/>
        <w:ind w:left="0" w:leftChars="0" w:firstLine="0" w:firstLineChars="0"/>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.3.2水密性能</w:t>
      </w:r>
    </w:p>
    <w:p w14:paraId="7647E6C3">
      <w:pPr>
        <w:spacing w:line="360" w:lineRule="auto"/>
        <w:ind w:left="0" w:leftChars="0"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幕墙可开启部分为关闭状态时，在风雨同时作用下，阻止雨水渗漏的能力。</w:t>
      </w:r>
    </w:p>
    <w:tbl>
      <w:tblPr>
        <w:tblStyle w:val="12"/>
        <w:tblW w:w="9142"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0"/>
        <w:gridCol w:w="986"/>
        <w:gridCol w:w="1291"/>
        <w:gridCol w:w="1433"/>
        <w:gridCol w:w="1578"/>
        <w:gridCol w:w="1576"/>
        <w:gridCol w:w="1148"/>
      </w:tblGrid>
      <w:tr w14:paraId="083E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9142" w:type="dxa"/>
            <w:gridSpan w:val="7"/>
            <w:tcMar>
              <w:top w:w="15" w:type="dxa"/>
              <w:left w:w="15" w:type="dxa"/>
              <w:right w:w="15" w:type="dxa"/>
            </w:tcMar>
            <w:vAlign w:val="center"/>
          </w:tcPr>
          <w:p w14:paraId="5FE51E4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建筑幕墙水密性能分级</w:t>
            </w:r>
          </w:p>
        </w:tc>
      </w:tr>
      <w:tr w14:paraId="0F4D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130" w:type="dxa"/>
            <w:tcMar>
              <w:top w:w="15" w:type="dxa"/>
              <w:left w:w="15" w:type="dxa"/>
              <w:right w:w="15" w:type="dxa"/>
            </w:tcMar>
            <w:vAlign w:val="center"/>
          </w:tcPr>
          <w:p w14:paraId="4D5B8858">
            <w:pPr>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分级</w:t>
            </w:r>
          </w:p>
          <w:p w14:paraId="0AE68F9A">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指标值</w:t>
            </w:r>
          </w:p>
        </w:tc>
        <w:tc>
          <w:tcPr>
            <w:tcW w:w="986" w:type="dxa"/>
            <w:tcMar>
              <w:top w:w="15" w:type="dxa"/>
              <w:left w:w="15" w:type="dxa"/>
              <w:right w:w="15" w:type="dxa"/>
            </w:tcMar>
            <w:vAlign w:val="center"/>
          </w:tcPr>
          <w:p w14:paraId="57BFABB1">
            <w:pPr>
              <w:ind w:left="0" w:leftChars="0" w:firstLine="0" w:firstLineChars="0"/>
              <w:jc w:val="center"/>
              <w:rPr>
                <w:rFonts w:hint="eastAsia" w:asciiTheme="minorEastAsia" w:hAnsiTheme="minorEastAsia" w:eastAsiaTheme="minorEastAsia" w:cstheme="minorEastAsia"/>
                <w:sz w:val="24"/>
                <w:szCs w:val="24"/>
              </w:rPr>
            </w:pPr>
          </w:p>
        </w:tc>
        <w:tc>
          <w:tcPr>
            <w:tcW w:w="1291" w:type="dxa"/>
            <w:tcMar>
              <w:top w:w="15" w:type="dxa"/>
              <w:left w:w="15" w:type="dxa"/>
              <w:right w:w="15" w:type="dxa"/>
            </w:tcMar>
            <w:vAlign w:val="center"/>
          </w:tcPr>
          <w:p w14:paraId="7368CF29">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1433" w:type="dxa"/>
            <w:tcMar>
              <w:top w:w="15" w:type="dxa"/>
              <w:left w:w="15" w:type="dxa"/>
              <w:right w:w="15" w:type="dxa"/>
            </w:tcMar>
            <w:vAlign w:val="center"/>
          </w:tcPr>
          <w:p w14:paraId="66E4D937">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1578" w:type="dxa"/>
            <w:tcMar>
              <w:top w:w="15" w:type="dxa"/>
              <w:left w:w="15" w:type="dxa"/>
              <w:right w:w="15" w:type="dxa"/>
            </w:tcMar>
            <w:vAlign w:val="center"/>
          </w:tcPr>
          <w:p w14:paraId="30B68E93">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1576" w:type="dxa"/>
            <w:tcMar>
              <w:top w:w="15" w:type="dxa"/>
              <w:left w:w="15" w:type="dxa"/>
              <w:right w:w="15" w:type="dxa"/>
            </w:tcMar>
            <w:vAlign w:val="center"/>
          </w:tcPr>
          <w:p w14:paraId="2674DA98">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p>
        </w:tc>
        <w:tc>
          <w:tcPr>
            <w:tcW w:w="1148" w:type="dxa"/>
            <w:tcMar>
              <w:top w:w="15" w:type="dxa"/>
              <w:left w:w="15" w:type="dxa"/>
              <w:right w:w="15" w:type="dxa"/>
            </w:tcMar>
            <w:vAlign w:val="center"/>
          </w:tcPr>
          <w:p w14:paraId="11C8879E">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r>
      <w:tr w14:paraId="4479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30" w:type="dxa"/>
            <w:vMerge w:val="restart"/>
            <w:tcMar>
              <w:top w:w="15" w:type="dxa"/>
              <w:left w:w="15" w:type="dxa"/>
              <w:right w:w="15" w:type="dxa"/>
            </w:tcMar>
            <w:vAlign w:val="center"/>
          </w:tcPr>
          <w:p w14:paraId="0D49B415">
            <w:pPr>
              <w:widowControl/>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分级代号</w:t>
            </w:r>
          </w:p>
          <w:p w14:paraId="27969994">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P/Pa</w:t>
            </w:r>
          </w:p>
        </w:tc>
        <w:tc>
          <w:tcPr>
            <w:tcW w:w="986" w:type="dxa"/>
            <w:tcMar>
              <w:top w:w="15" w:type="dxa"/>
              <w:left w:w="15" w:type="dxa"/>
              <w:right w:w="15" w:type="dxa"/>
            </w:tcMar>
            <w:vAlign w:val="center"/>
          </w:tcPr>
          <w:p w14:paraId="759EA5DE">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固定部分</w:t>
            </w:r>
          </w:p>
        </w:tc>
        <w:tc>
          <w:tcPr>
            <w:tcW w:w="1291" w:type="dxa"/>
            <w:tcMar>
              <w:top w:w="15" w:type="dxa"/>
              <w:left w:w="15" w:type="dxa"/>
              <w:right w:w="15" w:type="dxa"/>
            </w:tcMar>
            <w:vAlign w:val="center"/>
          </w:tcPr>
          <w:p w14:paraId="368F715B">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500≤P&lt;700</w:t>
            </w:r>
          </w:p>
        </w:tc>
        <w:tc>
          <w:tcPr>
            <w:tcW w:w="1433" w:type="dxa"/>
            <w:tcMar>
              <w:top w:w="15" w:type="dxa"/>
              <w:left w:w="15" w:type="dxa"/>
              <w:right w:w="15" w:type="dxa"/>
            </w:tcMar>
            <w:vAlign w:val="center"/>
          </w:tcPr>
          <w:p w14:paraId="0E1B26B1">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700≤P&lt;1000</w:t>
            </w:r>
          </w:p>
        </w:tc>
        <w:tc>
          <w:tcPr>
            <w:tcW w:w="1578" w:type="dxa"/>
            <w:tcMar>
              <w:top w:w="15" w:type="dxa"/>
              <w:left w:w="15" w:type="dxa"/>
              <w:right w:w="15" w:type="dxa"/>
            </w:tcMar>
            <w:vAlign w:val="center"/>
          </w:tcPr>
          <w:p w14:paraId="235DF9A9">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1000≤P&lt;1500</w:t>
            </w:r>
          </w:p>
        </w:tc>
        <w:tc>
          <w:tcPr>
            <w:tcW w:w="1576" w:type="dxa"/>
            <w:tcMar>
              <w:top w:w="15" w:type="dxa"/>
              <w:left w:w="15" w:type="dxa"/>
              <w:right w:w="15" w:type="dxa"/>
            </w:tcMar>
            <w:vAlign w:val="center"/>
          </w:tcPr>
          <w:p w14:paraId="67D15C88">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1500≤P&lt;2000</w:t>
            </w:r>
          </w:p>
        </w:tc>
        <w:tc>
          <w:tcPr>
            <w:tcW w:w="1148" w:type="dxa"/>
            <w:tcMar>
              <w:top w:w="15" w:type="dxa"/>
              <w:left w:w="15" w:type="dxa"/>
              <w:right w:w="15" w:type="dxa"/>
            </w:tcMar>
            <w:vAlign w:val="center"/>
          </w:tcPr>
          <w:p w14:paraId="22FCA160">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P≥2000</w:t>
            </w:r>
          </w:p>
        </w:tc>
      </w:tr>
      <w:tr w14:paraId="6E93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30" w:type="dxa"/>
            <w:vMerge w:val="continue"/>
            <w:tcMar>
              <w:top w:w="15" w:type="dxa"/>
              <w:left w:w="15" w:type="dxa"/>
              <w:right w:w="15" w:type="dxa"/>
            </w:tcMar>
            <w:vAlign w:val="center"/>
          </w:tcPr>
          <w:p w14:paraId="15F562BF">
            <w:pPr>
              <w:widowControl/>
              <w:jc w:val="center"/>
              <w:textAlignment w:val="center"/>
              <w:rPr>
                <w:rFonts w:hint="eastAsia" w:asciiTheme="minorEastAsia" w:hAnsiTheme="minorEastAsia" w:eastAsiaTheme="minorEastAsia" w:cstheme="minorEastAsia"/>
                <w:sz w:val="24"/>
                <w:szCs w:val="24"/>
              </w:rPr>
            </w:pPr>
          </w:p>
        </w:tc>
        <w:tc>
          <w:tcPr>
            <w:tcW w:w="986" w:type="dxa"/>
            <w:tcMar>
              <w:top w:w="15" w:type="dxa"/>
              <w:left w:w="15" w:type="dxa"/>
              <w:right w:w="15" w:type="dxa"/>
            </w:tcMar>
            <w:vAlign w:val="center"/>
          </w:tcPr>
          <w:p w14:paraId="66604C5A">
            <w:pPr>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可开启</w:t>
            </w:r>
          </w:p>
          <w:p w14:paraId="520E18D6">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部分</w:t>
            </w:r>
          </w:p>
        </w:tc>
        <w:tc>
          <w:tcPr>
            <w:tcW w:w="1291" w:type="dxa"/>
            <w:tcMar>
              <w:top w:w="15" w:type="dxa"/>
              <w:left w:w="15" w:type="dxa"/>
              <w:right w:w="15" w:type="dxa"/>
            </w:tcMar>
            <w:vAlign w:val="center"/>
          </w:tcPr>
          <w:p w14:paraId="47699C60">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250≤P&lt;350</w:t>
            </w:r>
          </w:p>
        </w:tc>
        <w:tc>
          <w:tcPr>
            <w:tcW w:w="1433" w:type="dxa"/>
            <w:tcMar>
              <w:top w:w="15" w:type="dxa"/>
              <w:left w:w="15" w:type="dxa"/>
              <w:right w:w="15" w:type="dxa"/>
            </w:tcMar>
            <w:vAlign w:val="center"/>
          </w:tcPr>
          <w:p w14:paraId="4FA4A139">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350≤P&lt;500</w:t>
            </w:r>
          </w:p>
        </w:tc>
        <w:tc>
          <w:tcPr>
            <w:tcW w:w="1578" w:type="dxa"/>
            <w:tcMar>
              <w:top w:w="15" w:type="dxa"/>
              <w:left w:w="15" w:type="dxa"/>
              <w:right w:w="15" w:type="dxa"/>
            </w:tcMar>
            <w:vAlign w:val="center"/>
          </w:tcPr>
          <w:p w14:paraId="34A21342">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500≤P&lt;700</w:t>
            </w:r>
          </w:p>
        </w:tc>
        <w:tc>
          <w:tcPr>
            <w:tcW w:w="1576" w:type="dxa"/>
            <w:tcMar>
              <w:top w:w="15" w:type="dxa"/>
              <w:left w:w="15" w:type="dxa"/>
              <w:right w:w="15" w:type="dxa"/>
            </w:tcMar>
            <w:vAlign w:val="center"/>
          </w:tcPr>
          <w:p w14:paraId="76526705">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700≤P&lt;1000</w:t>
            </w:r>
          </w:p>
        </w:tc>
        <w:tc>
          <w:tcPr>
            <w:tcW w:w="1148" w:type="dxa"/>
            <w:tcMar>
              <w:top w:w="15" w:type="dxa"/>
              <w:left w:w="15" w:type="dxa"/>
              <w:right w:w="15" w:type="dxa"/>
            </w:tcMar>
            <w:vAlign w:val="center"/>
          </w:tcPr>
          <w:p w14:paraId="619FC1AC">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P≥1000</w:t>
            </w:r>
          </w:p>
        </w:tc>
      </w:tr>
      <w:tr w14:paraId="6612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4" w:hRule="atLeast"/>
        </w:trPr>
        <w:tc>
          <w:tcPr>
            <w:tcW w:w="9142" w:type="dxa"/>
            <w:gridSpan w:val="7"/>
            <w:tcMar>
              <w:top w:w="15" w:type="dxa"/>
              <w:left w:w="15" w:type="dxa"/>
              <w:right w:w="15" w:type="dxa"/>
            </w:tcMar>
            <w:vAlign w:val="center"/>
          </w:tcPr>
          <w:p w14:paraId="728A9A4D">
            <w:pPr>
              <w:widowControl/>
              <w:ind w:left="0" w:leftChars="0" w:firstLine="0" w:firstLine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注：5级时需同时标注固定部分和开启部分P的测试值。</w:t>
            </w:r>
          </w:p>
          <w:p w14:paraId="23A0F418">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有热带风暴和台风多发的地区的幕墙水密性设计值，其固定部分不宜小于1000pa。可开启部分与固定部分同级。</w:t>
            </w:r>
          </w:p>
          <w:p w14:paraId="3376CE8C">
            <w:pPr>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经计算得，P＝813Pa，水密性能要求固定部分不宜小于1000Pa，故本工程建筑幕墙水密性能分级定为 3级。</w:t>
            </w:r>
          </w:p>
        </w:tc>
      </w:tr>
    </w:tbl>
    <w:p w14:paraId="54E11DCE">
      <w:pPr>
        <w:tabs>
          <w:tab w:val="left" w:pos="1560"/>
        </w:tabs>
        <w:spacing w:line="360" w:lineRule="auto"/>
        <w:ind w:left="0" w:leftChars="0" w:firstLine="0" w:firstLineChars="0"/>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.3.3气密性能</w:t>
      </w:r>
    </w:p>
    <w:p w14:paraId="15253E50">
      <w:pPr>
        <w:spacing w:line="360" w:lineRule="auto"/>
        <w:ind w:left="0" w:leftChars="0"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幕墙可开启部分在关闭状态时，可开启部分以及幕墙整体阻止空气渗透的能力。</w:t>
      </w:r>
    </w:p>
    <w:tbl>
      <w:tblPr>
        <w:tblStyle w:val="12"/>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22"/>
        <w:gridCol w:w="2332"/>
        <w:gridCol w:w="1866"/>
        <w:gridCol w:w="1709"/>
        <w:gridCol w:w="1087"/>
      </w:tblGrid>
      <w:tr w14:paraId="206F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9016" w:type="dxa"/>
            <w:gridSpan w:val="5"/>
            <w:tcMar>
              <w:top w:w="15" w:type="dxa"/>
              <w:left w:w="15" w:type="dxa"/>
              <w:right w:w="15" w:type="dxa"/>
            </w:tcMar>
            <w:vAlign w:val="center"/>
          </w:tcPr>
          <w:p w14:paraId="3E74F0F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建筑幕墙开启部分气密性能分级</w:t>
            </w:r>
          </w:p>
        </w:tc>
      </w:tr>
      <w:tr w14:paraId="3BD6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22" w:type="dxa"/>
            <w:tcMar>
              <w:top w:w="15" w:type="dxa"/>
              <w:left w:w="15" w:type="dxa"/>
              <w:right w:w="15" w:type="dxa"/>
            </w:tcMar>
            <w:vAlign w:val="center"/>
          </w:tcPr>
          <w:p w14:paraId="7199813D">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分级代号</w:t>
            </w:r>
          </w:p>
        </w:tc>
        <w:tc>
          <w:tcPr>
            <w:tcW w:w="2332" w:type="dxa"/>
            <w:tcMar>
              <w:top w:w="15" w:type="dxa"/>
              <w:left w:w="15" w:type="dxa"/>
              <w:right w:w="15" w:type="dxa"/>
            </w:tcMar>
            <w:vAlign w:val="center"/>
          </w:tcPr>
          <w:p w14:paraId="1CBFE480">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1866" w:type="dxa"/>
            <w:tcMar>
              <w:top w:w="15" w:type="dxa"/>
              <w:left w:w="15" w:type="dxa"/>
              <w:right w:w="15" w:type="dxa"/>
            </w:tcMar>
            <w:vAlign w:val="center"/>
          </w:tcPr>
          <w:p w14:paraId="72254F43">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1709" w:type="dxa"/>
            <w:tcMar>
              <w:top w:w="15" w:type="dxa"/>
              <w:left w:w="15" w:type="dxa"/>
              <w:right w:w="15" w:type="dxa"/>
            </w:tcMar>
            <w:vAlign w:val="center"/>
          </w:tcPr>
          <w:p w14:paraId="70ABB33E">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1087" w:type="dxa"/>
            <w:tcMar>
              <w:top w:w="15" w:type="dxa"/>
              <w:left w:w="15" w:type="dxa"/>
              <w:right w:w="15" w:type="dxa"/>
            </w:tcMar>
            <w:vAlign w:val="center"/>
          </w:tcPr>
          <w:p w14:paraId="371A22B7">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p>
        </w:tc>
      </w:tr>
      <w:tr w14:paraId="1679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3" w:hRule="atLeast"/>
        </w:trPr>
        <w:tc>
          <w:tcPr>
            <w:tcW w:w="2022" w:type="dxa"/>
            <w:tcMar>
              <w:top w:w="15" w:type="dxa"/>
              <w:left w:w="15" w:type="dxa"/>
              <w:right w:w="15" w:type="dxa"/>
            </w:tcMar>
            <w:vAlign w:val="center"/>
          </w:tcPr>
          <w:p w14:paraId="4373B984">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分级指标值</w:t>
            </w:r>
          </w:p>
          <w:p w14:paraId="1FCAF9BB">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q</w:t>
            </w:r>
            <w:r>
              <w:rPr>
                <w:rFonts w:hint="eastAsia" w:asciiTheme="minorEastAsia" w:hAnsiTheme="minorEastAsia" w:eastAsiaTheme="minorEastAsia" w:cstheme="minorEastAsia"/>
                <w:kern w:val="0"/>
                <w:sz w:val="24"/>
                <w:szCs w:val="24"/>
                <w:vertAlign w:val="subscript"/>
              </w:rPr>
              <w:t>L</w:t>
            </w:r>
            <w:r>
              <w:rPr>
                <w:rFonts w:hint="eastAsia" w:asciiTheme="minorEastAsia" w:hAnsiTheme="minorEastAsia" w:eastAsiaTheme="minorEastAsia" w:cstheme="minorEastAsia"/>
                <w:kern w:val="0"/>
                <w:sz w:val="24"/>
                <w:szCs w:val="24"/>
              </w:rPr>
              <w:t>/[m/(m</w:t>
            </w:r>
            <w:r>
              <w:rPr>
                <w:rFonts w:hint="eastAsia" w:asciiTheme="minorEastAsia" w:hAnsiTheme="minorEastAsia" w:eastAsiaTheme="minorEastAsia" w:cstheme="minorEastAsia"/>
                <w:kern w:val="0"/>
                <w:sz w:val="24"/>
                <w:szCs w:val="24"/>
                <w:vertAlign w:val="superscript"/>
              </w:rPr>
              <w:t>3</w:t>
            </w:r>
            <w:r>
              <w:rPr>
                <w:rFonts w:hint="eastAsia" w:asciiTheme="minorEastAsia" w:hAnsiTheme="minorEastAsia" w:eastAsiaTheme="minorEastAsia" w:cstheme="minorEastAsia"/>
                <w:kern w:val="0"/>
                <w:sz w:val="24"/>
                <w:szCs w:val="24"/>
              </w:rPr>
              <w:t>.h)]</w:t>
            </w:r>
          </w:p>
        </w:tc>
        <w:tc>
          <w:tcPr>
            <w:tcW w:w="2332" w:type="dxa"/>
            <w:tcMar>
              <w:top w:w="15" w:type="dxa"/>
              <w:left w:w="15" w:type="dxa"/>
              <w:right w:w="15" w:type="dxa"/>
            </w:tcMar>
            <w:vAlign w:val="center"/>
          </w:tcPr>
          <w:p w14:paraId="4271EA2C">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4.0≥q</w:t>
            </w:r>
            <w:r>
              <w:rPr>
                <w:rFonts w:hint="eastAsia" w:asciiTheme="minorEastAsia" w:hAnsiTheme="minorEastAsia" w:eastAsiaTheme="minorEastAsia" w:cstheme="minorEastAsia"/>
                <w:kern w:val="0"/>
                <w:sz w:val="24"/>
                <w:szCs w:val="24"/>
                <w:vertAlign w:val="subscript"/>
              </w:rPr>
              <w:t>L</w:t>
            </w:r>
            <w:r>
              <w:rPr>
                <w:rFonts w:hint="eastAsia" w:asciiTheme="minorEastAsia" w:hAnsiTheme="minorEastAsia" w:eastAsiaTheme="minorEastAsia" w:cstheme="minorEastAsia"/>
                <w:kern w:val="0"/>
                <w:sz w:val="24"/>
                <w:szCs w:val="24"/>
              </w:rPr>
              <w:t>&gt;2.5</w:t>
            </w:r>
          </w:p>
        </w:tc>
        <w:tc>
          <w:tcPr>
            <w:tcW w:w="1866" w:type="dxa"/>
            <w:tcMar>
              <w:top w:w="15" w:type="dxa"/>
              <w:left w:w="15" w:type="dxa"/>
              <w:right w:w="15" w:type="dxa"/>
            </w:tcMar>
            <w:vAlign w:val="center"/>
          </w:tcPr>
          <w:p w14:paraId="01BEAA54">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2.5≥q</w:t>
            </w:r>
            <w:r>
              <w:rPr>
                <w:rFonts w:hint="eastAsia" w:asciiTheme="minorEastAsia" w:hAnsiTheme="minorEastAsia" w:eastAsiaTheme="minorEastAsia" w:cstheme="minorEastAsia"/>
                <w:kern w:val="0"/>
                <w:sz w:val="24"/>
                <w:szCs w:val="24"/>
                <w:vertAlign w:val="subscript"/>
              </w:rPr>
              <w:t>L</w:t>
            </w:r>
            <w:r>
              <w:rPr>
                <w:rFonts w:hint="eastAsia" w:asciiTheme="minorEastAsia" w:hAnsiTheme="minorEastAsia" w:eastAsiaTheme="minorEastAsia" w:cstheme="minorEastAsia"/>
                <w:kern w:val="0"/>
                <w:sz w:val="24"/>
                <w:szCs w:val="24"/>
              </w:rPr>
              <w:t>&gt;1.5</w:t>
            </w:r>
          </w:p>
        </w:tc>
        <w:tc>
          <w:tcPr>
            <w:tcW w:w="1709" w:type="dxa"/>
            <w:tcMar>
              <w:top w:w="15" w:type="dxa"/>
              <w:left w:w="15" w:type="dxa"/>
              <w:right w:w="15" w:type="dxa"/>
            </w:tcMar>
            <w:vAlign w:val="center"/>
          </w:tcPr>
          <w:p w14:paraId="5AC2F22D">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1.5≥q</w:t>
            </w:r>
            <w:r>
              <w:rPr>
                <w:rFonts w:hint="eastAsia" w:asciiTheme="minorEastAsia" w:hAnsiTheme="minorEastAsia" w:eastAsiaTheme="minorEastAsia" w:cstheme="minorEastAsia"/>
                <w:kern w:val="0"/>
                <w:sz w:val="24"/>
                <w:szCs w:val="24"/>
                <w:vertAlign w:val="subscript"/>
              </w:rPr>
              <w:t>L</w:t>
            </w:r>
            <w:r>
              <w:rPr>
                <w:rFonts w:hint="eastAsia" w:asciiTheme="minorEastAsia" w:hAnsiTheme="minorEastAsia" w:eastAsiaTheme="minorEastAsia" w:cstheme="minorEastAsia"/>
                <w:kern w:val="0"/>
                <w:sz w:val="24"/>
                <w:szCs w:val="24"/>
              </w:rPr>
              <w:t>&gt;0.5</w:t>
            </w:r>
          </w:p>
        </w:tc>
        <w:tc>
          <w:tcPr>
            <w:tcW w:w="1087" w:type="dxa"/>
            <w:tcMar>
              <w:top w:w="15" w:type="dxa"/>
              <w:left w:w="15" w:type="dxa"/>
              <w:right w:w="15" w:type="dxa"/>
            </w:tcMar>
            <w:vAlign w:val="center"/>
          </w:tcPr>
          <w:p w14:paraId="31A2AA3D">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q</w:t>
            </w:r>
            <w:r>
              <w:rPr>
                <w:rFonts w:hint="eastAsia" w:asciiTheme="minorEastAsia" w:hAnsiTheme="minorEastAsia" w:eastAsiaTheme="minorEastAsia" w:cstheme="minorEastAsia"/>
                <w:kern w:val="0"/>
                <w:sz w:val="24"/>
                <w:szCs w:val="24"/>
                <w:vertAlign w:val="subscript"/>
              </w:rPr>
              <w:t>L</w:t>
            </w:r>
            <w:r>
              <w:rPr>
                <w:rFonts w:hint="eastAsia" w:asciiTheme="minorEastAsia" w:hAnsiTheme="minorEastAsia" w:eastAsiaTheme="minorEastAsia" w:cstheme="minorEastAsia"/>
                <w:kern w:val="0"/>
                <w:sz w:val="24"/>
                <w:szCs w:val="24"/>
              </w:rPr>
              <w:t>≤0.5</w:t>
            </w:r>
          </w:p>
        </w:tc>
      </w:tr>
      <w:tr w14:paraId="4F1B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trPr>
        <w:tc>
          <w:tcPr>
            <w:tcW w:w="9016" w:type="dxa"/>
            <w:gridSpan w:val="5"/>
            <w:tcMar>
              <w:top w:w="15" w:type="dxa"/>
              <w:left w:w="15" w:type="dxa"/>
              <w:right w:w="15" w:type="dxa"/>
            </w:tcMar>
            <w:vAlign w:val="center"/>
          </w:tcPr>
          <w:p w14:paraId="3CF63DA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建筑幕墙整体气密性能分级</w:t>
            </w:r>
          </w:p>
        </w:tc>
      </w:tr>
      <w:tr w14:paraId="21E4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22" w:type="dxa"/>
            <w:tcMar>
              <w:top w:w="15" w:type="dxa"/>
              <w:left w:w="15" w:type="dxa"/>
              <w:right w:w="15" w:type="dxa"/>
            </w:tcMar>
            <w:vAlign w:val="center"/>
          </w:tcPr>
          <w:p w14:paraId="19A299B0">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分级代号</w:t>
            </w:r>
          </w:p>
        </w:tc>
        <w:tc>
          <w:tcPr>
            <w:tcW w:w="2332" w:type="dxa"/>
            <w:tcMar>
              <w:top w:w="15" w:type="dxa"/>
              <w:left w:w="15" w:type="dxa"/>
              <w:right w:w="15" w:type="dxa"/>
            </w:tcMar>
            <w:vAlign w:val="center"/>
          </w:tcPr>
          <w:p w14:paraId="7EEC7E55">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1866" w:type="dxa"/>
            <w:tcMar>
              <w:top w:w="15" w:type="dxa"/>
              <w:left w:w="15" w:type="dxa"/>
              <w:right w:w="15" w:type="dxa"/>
            </w:tcMar>
            <w:vAlign w:val="center"/>
          </w:tcPr>
          <w:p w14:paraId="4FA35FAE">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1709" w:type="dxa"/>
            <w:tcMar>
              <w:top w:w="15" w:type="dxa"/>
              <w:left w:w="15" w:type="dxa"/>
              <w:right w:w="15" w:type="dxa"/>
            </w:tcMar>
            <w:vAlign w:val="center"/>
          </w:tcPr>
          <w:p w14:paraId="6AB1A8F2">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1087" w:type="dxa"/>
            <w:tcMar>
              <w:top w:w="15" w:type="dxa"/>
              <w:left w:w="15" w:type="dxa"/>
              <w:right w:w="15" w:type="dxa"/>
            </w:tcMar>
            <w:vAlign w:val="center"/>
          </w:tcPr>
          <w:p w14:paraId="0C7B5AA7">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p>
        </w:tc>
      </w:tr>
      <w:tr w14:paraId="2DC4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5" w:hRule="atLeast"/>
        </w:trPr>
        <w:tc>
          <w:tcPr>
            <w:tcW w:w="2022" w:type="dxa"/>
            <w:tcMar>
              <w:top w:w="15" w:type="dxa"/>
              <w:left w:w="15" w:type="dxa"/>
              <w:right w:w="15" w:type="dxa"/>
            </w:tcMar>
            <w:vAlign w:val="center"/>
          </w:tcPr>
          <w:p w14:paraId="63FB589E">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分级指标值</w:t>
            </w:r>
          </w:p>
          <w:p w14:paraId="7678E254">
            <w:pPr>
              <w:widowControl/>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q</w:t>
            </w:r>
            <w:r>
              <w:rPr>
                <w:rFonts w:hint="eastAsia" w:asciiTheme="minorEastAsia" w:hAnsiTheme="minorEastAsia" w:eastAsiaTheme="minorEastAsia" w:cstheme="minorEastAsia"/>
                <w:kern w:val="0"/>
                <w:sz w:val="24"/>
                <w:szCs w:val="24"/>
                <w:vertAlign w:val="subscript"/>
              </w:rPr>
              <w:t>A</w:t>
            </w:r>
            <w:r>
              <w:rPr>
                <w:rFonts w:hint="eastAsia" w:asciiTheme="minorEastAsia" w:hAnsiTheme="minorEastAsia" w:eastAsiaTheme="minorEastAsia" w:cstheme="minorEastAsia"/>
                <w:kern w:val="0"/>
                <w:sz w:val="24"/>
                <w:szCs w:val="24"/>
              </w:rPr>
              <w:t>/[m</w:t>
            </w:r>
            <w:r>
              <w:rPr>
                <w:rFonts w:hint="eastAsia" w:asciiTheme="minorEastAsia" w:hAnsiTheme="minorEastAsia" w:eastAsiaTheme="minorEastAsia" w:cstheme="minorEastAsia"/>
                <w:kern w:val="0"/>
                <w:sz w:val="24"/>
                <w:szCs w:val="24"/>
                <w:vertAlign w:val="superscript"/>
              </w:rPr>
              <w:t>3</w:t>
            </w:r>
            <w:r>
              <w:rPr>
                <w:rFonts w:hint="eastAsia" w:asciiTheme="minorEastAsia" w:hAnsiTheme="minorEastAsia" w:eastAsiaTheme="minorEastAsia" w:cstheme="minorEastAsia"/>
                <w:kern w:val="0"/>
                <w:sz w:val="24"/>
                <w:szCs w:val="24"/>
              </w:rPr>
              <w:t>/(m</w:t>
            </w:r>
            <w:r>
              <w:rPr>
                <w:rFonts w:hint="eastAsia" w:asciiTheme="minorEastAsia" w:hAnsiTheme="minorEastAsia" w:eastAsiaTheme="minorEastAsia" w:cstheme="minorEastAsia"/>
                <w:kern w:val="0"/>
                <w:sz w:val="24"/>
                <w:szCs w:val="24"/>
                <w:vertAlign w:val="superscript"/>
              </w:rPr>
              <w:t>2</w:t>
            </w:r>
            <w:r>
              <w:rPr>
                <w:rFonts w:hint="eastAsia" w:asciiTheme="minorEastAsia" w:hAnsiTheme="minorEastAsia" w:eastAsiaTheme="minorEastAsia" w:cstheme="minorEastAsia"/>
                <w:kern w:val="0"/>
                <w:sz w:val="24"/>
                <w:szCs w:val="24"/>
              </w:rPr>
              <w:t>.h)]</w:t>
            </w:r>
          </w:p>
        </w:tc>
        <w:tc>
          <w:tcPr>
            <w:tcW w:w="2332" w:type="dxa"/>
            <w:tcMar>
              <w:top w:w="15" w:type="dxa"/>
              <w:left w:w="15" w:type="dxa"/>
              <w:right w:w="15" w:type="dxa"/>
            </w:tcMar>
            <w:vAlign w:val="center"/>
          </w:tcPr>
          <w:p w14:paraId="1F9B317A">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4.0≥q</w:t>
            </w:r>
            <w:r>
              <w:rPr>
                <w:rFonts w:hint="eastAsia" w:asciiTheme="minorEastAsia" w:hAnsiTheme="minorEastAsia" w:eastAsiaTheme="minorEastAsia" w:cstheme="minorEastAsia"/>
                <w:kern w:val="0"/>
                <w:sz w:val="24"/>
                <w:szCs w:val="24"/>
                <w:vertAlign w:val="subscript"/>
              </w:rPr>
              <w:t>A</w:t>
            </w:r>
            <w:r>
              <w:rPr>
                <w:rFonts w:hint="eastAsia" w:asciiTheme="minorEastAsia" w:hAnsiTheme="minorEastAsia" w:eastAsiaTheme="minorEastAsia" w:cstheme="minorEastAsia"/>
                <w:kern w:val="0"/>
                <w:sz w:val="24"/>
                <w:szCs w:val="24"/>
              </w:rPr>
              <w:t>&gt;2.0</w:t>
            </w:r>
          </w:p>
        </w:tc>
        <w:tc>
          <w:tcPr>
            <w:tcW w:w="1866" w:type="dxa"/>
            <w:tcMar>
              <w:top w:w="15" w:type="dxa"/>
              <w:left w:w="15" w:type="dxa"/>
              <w:right w:w="15" w:type="dxa"/>
            </w:tcMar>
            <w:vAlign w:val="center"/>
          </w:tcPr>
          <w:p w14:paraId="36BCA410">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2.0≥q</w:t>
            </w:r>
            <w:r>
              <w:rPr>
                <w:rFonts w:hint="eastAsia" w:asciiTheme="minorEastAsia" w:hAnsiTheme="minorEastAsia" w:eastAsiaTheme="minorEastAsia" w:cstheme="minorEastAsia"/>
                <w:kern w:val="0"/>
                <w:sz w:val="24"/>
                <w:szCs w:val="24"/>
                <w:vertAlign w:val="subscript"/>
              </w:rPr>
              <w:t>A</w:t>
            </w:r>
            <w:r>
              <w:rPr>
                <w:rFonts w:hint="eastAsia" w:asciiTheme="minorEastAsia" w:hAnsiTheme="minorEastAsia" w:eastAsiaTheme="minorEastAsia" w:cstheme="minorEastAsia"/>
                <w:kern w:val="0"/>
                <w:sz w:val="24"/>
                <w:szCs w:val="24"/>
              </w:rPr>
              <w:t>&gt;1.2</w:t>
            </w:r>
          </w:p>
        </w:tc>
        <w:tc>
          <w:tcPr>
            <w:tcW w:w="1709" w:type="dxa"/>
            <w:tcMar>
              <w:top w:w="15" w:type="dxa"/>
              <w:left w:w="15" w:type="dxa"/>
              <w:right w:w="15" w:type="dxa"/>
            </w:tcMar>
            <w:vAlign w:val="center"/>
          </w:tcPr>
          <w:p w14:paraId="03B3B4E9">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1.2≥q</w:t>
            </w:r>
            <w:r>
              <w:rPr>
                <w:rFonts w:hint="eastAsia" w:asciiTheme="minorEastAsia" w:hAnsiTheme="minorEastAsia" w:eastAsiaTheme="minorEastAsia" w:cstheme="minorEastAsia"/>
                <w:kern w:val="0"/>
                <w:sz w:val="24"/>
                <w:szCs w:val="24"/>
                <w:vertAlign w:val="subscript"/>
              </w:rPr>
              <w:t>A</w:t>
            </w:r>
            <w:r>
              <w:rPr>
                <w:rFonts w:hint="eastAsia" w:asciiTheme="minorEastAsia" w:hAnsiTheme="minorEastAsia" w:eastAsiaTheme="minorEastAsia" w:cstheme="minorEastAsia"/>
                <w:kern w:val="0"/>
                <w:sz w:val="24"/>
                <w:szCs w:val="24"/>
              </w:rPr>
              <w:t>&gt;0.5</w:t>
            </w:r>
          </w:p>
        </w:tc>
        <w:tc>
          <w:tcPr>
            <w:tcW w:w="1087" w:type="dxa"/>
            <w:tcMar>
              <w:top w:w="15" w:type="dxa"/>
              <w:left w:w="15" w:type="dxa"/>
              <w:right w:w="15" w:type="dxa"/>
            </w:tcMar>
            <w:vAlign w:val="center"/>
          </w:tcPr>
          <w:p w14:paraId="02482A0B">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q</w:t>
            </w:r>
            <w:r>
              <w:rPr>
                <w:rFonts w:hint="eastAsia" w:asciiTheme="minorEastAsia" w:hAnsiTheme="minorEastAsia" w:eastAsiaTheme="minorEastAsia" w:cstheme="minorEastAsia"/>
                <w:kern w:val="0"/>
                <w:sz w:val="24"/>
                <w:szCs w:val="24"/>
                <w:vertAlign w:val="subscript"/>
              </w:rPr>
              <w:t>A</w:t>
            </w:r>
            <w:r>
              <w:rPr>
                <w:rFonts w:hint="eastAsia" w:asciiTheme="minorEastAsia" w:hAnsiTheme="minorEastAsia" w:eastAsiaTheme="minorEastAsia" w:cstheme="minorEastAsia"/>
                <w:kern w:val="0"/>
                <w:sz w:val="24"/>
                <w:szCs w:val="24"/>
              </w:rPr>
              <w:t>≤0.5</w:t>
            </w:r>
          </w:p>
        </w:tc>
      </w:tr>
      <w:tr w14:paraId="3B81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9016" w:type="dxa"/>
            <w:gridSpan w:val="5"/>
            <w:tcMar>
              <w:top w:w="15" w:type="dxa"/>
              <w:left w:w="15" w:type="dxa"/>
              <w:right w:w="15" w:type="dxa"/>
            </w:tcMar>
            <w:vAlign w:val="center"/>
          </w:tcPr>
          <w:p w14:paraId="2BA3413D">
            <w:pPr>
              <w:ind w:left="0" w:leftChars="0" w:firstLine="0" w:firstLineChars="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本工程气密性能定为3级。</w:t>
            </w:r>
          </w:p>
        </w:tc>
      </w:tr>
    </w:tbl>
    <w:p w14:paraId="40F15EC7">
      <w:pPr>
        <w:tabs>
          <w:tab w:val="left" w:pos="1560"/>
        </w:tabs>
        <w:spacing w:line="360" w:lineRule="auto"/>
        <w:ind w:left="0" w:leftChars="0" w:firstLine="0" w:firstLineChars="0"/>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.3.4 平面内变形性能</w:t>
      </w:r>
    </w:p>
    <w:p w14:paraId="5208FEC2">
      <w:pPr>
        <w:spacing w:line="360" w:lineRule="auto"/>
        <w:ind w:left="0" w:leftChars="0"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幕墙在楼层反复变位作用下保持其墙体及连接部位不发生危及人身安全的破损的平面内变形能力，有平面内层间位移角进行度量。结构弹性层间位移角控制值的3倍。</w:t>
      </w:r>
    </w:p>
    <w:tbl>
      <w:tblPr>
        <w:tblStyle w:val="12"/>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50"/>
        <w:gridCol w:w="1129"/>
        <w:gridCol w:w="1553"/>
        <w:gridCol w:w="1693"/>
        <w:gridCol w:w="1693"/>
        <w:gridCol w:w="1098"/>
      </w:tblGrid>
      <w:tr w14:paraId="7DC8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9016" w:type="dxa"/>
            <w:gridSpan w:val="6"/>
            <w:tcMar>
              <w:top w:w="15" w:type="dxa"/>
              <w:left w:w="15" w:type="dxa"/>
              <w:right w:w="15" w:type="dxa"/>
            </w:tcMar>
            <w:vAlign w:val="center"/>
          </w:tcPr>
          <w:p w14:paraId="41F18159">
            <w:pPr>
              <w:spacing w:line="276"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建筑幕墙平面内变形性能分级</w:t>
            </w:r>
          </w:p>
        </w:tc>
      </w:tr>
      <w:tr w14:paraId="7301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1850" w:type="dxa"/>
            <w:tcMar>
              <w:top w:w="15" w:type="dxa"/>
              <w:left w:w="15" w:type="dxa"/>
              <w:right w:w="15" w:type="dxa"/>
            </w:tcMar>
            <w:vAlign w:val="center"/>
          </w:tcPr>
          <w:p w14:paraId="01B62D55">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分级代号</w:t>
            </w:r>
          </w:p>
        </w:tc>
        <w:tc>
          <w:tcPr>
            <w:tcW w:w="1129" w:type="dxa"/>
            <w:tcMar>
              <w:top w:w="15" w:type="dxa"/>
              <w:left w:w="15" w:type="dxa"/>
              <w:right w:w="15" w:type="dxa"/>
            </w:tcMar>
            <w:vAlign w:val="center"/>
          </w:tcPr>
          <w:p w14:paraId="0E526505">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553" w:type="dxa"/>
            <w:tcMar>
              <w:top w:w="15" w:type="dxa"/>
              <w:left w:w="15" w:type="dxa"/>
              <w:right w:w="15" w:type="dxa"/>
            </w:tcMar>
            <w:vAlign w:val="center"/>
          </w:tcPr>
          <w:p w14:paraId="1FC3DA0B">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693" w:type="dxa"/>
            <w:tcMar>
              <w:top w:w="15" w:type="dxa"/>
              <w:left w:w="15" w:type="dxa"/>
              <w:right w:w="15" w:type="dxa"/>
            </w:tcMar>
            <w:vAlign w:val="center"/>
          </w:tcPr>
          <w:p w14:paraId="5631320E">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693" w:type="dxa"/>
            <w:tcMar>
              <w:top w:w="15" w:type="dxa"/>
              <w:left w:w="15" w:type="dxa"/>
              <w:right w:w="15" w:type="dxa"/>
            </w:tcMar>
            <w:vAlign w:val="center"/>
          </w:tcPr>
          <w:p w14:paraId="0644F85A">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098" w:type="dxa"/>
            <w:tcMar>
              <w:top w:w="15" w:type="dxa"/>
              <w:left w:w="15" w:type="dxa"/>
              <w:right w:w="15" w:type="dxa"/>
            </w:tcMar>
            <w:vAlign w:val="center"/>
          </w:tcPr>
          <w:p w14:paraId="641886F6">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r>
      <w:tr w14:paraId="34E1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1850" w:type="dxa"/>
            <w:tcMar>
              <w:top w:w="15" w:type="dxa"/>
              <w:left w:w="15" w:type="dxa"/>
              <w:right w:w="15" w:type="dxa"/>
            </w:tcMar>
            <w:vAlign w:val="center"/>
          </w:tcPr>
          <w:p w14:paraId="5ED8D0A8">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分级指标值</w:t>
            </w:r>
          </w:p>
        </w:tc>
        <w:tc>
          <w:tcPr>
            <w:tcW w:w="1129" w:type="dxa"/>
            <w:tcMar>
              <w:top w:w="15" w:type="dxa"/>
              <w:left w:w="15" w:type="dxa"/>
              <w:right w:w="15" w:type="dxa"/>
            </w:tcMar>
            <w:vAlign w:val="center"/>
          </w:tcPr>
          <w:p w14:paraId="1062F28D">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γ&lt;1/300</w:t>
            </w:r>
          </w:p>
        </w:tc>
        <w:tc>
          <w:tcPr>
            <w:tcW w:w="1553" w:type="dxa"/>
            <w:tcMar>
              <w:top w:w="15" w:type="dxa"/>
              <w:left w:w="15" w:type="dxa"/>
              <w:right w:w="15" w:type="dxa"/>
            </w:tcMar>
            <w:vAlign w:val="center"/>
          </w:tcPr>
          <w:p w14:paraId="5FEB6A0E">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1/300≤γ&lt;1/200</w:t>
            </w:r>
          </w:p>
        </w:tc>
        <w:tc>
          <w:tcPr>
            <w:tcW w:w="1693" w:type="dxa"/>
            <w:tcMar>
              <w:top w:w="15" w:type="dxa"/>
              <w:left w:w="15" w:type="dxa"/>
              <w:right w:w="15" w:type="dxa"/>
            </w:tcMar>
            <w:vAlign w:val="center"/>
          </w:tcPr>
          <w:p w14:paraId="1814168C">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1/200≤γ&lt;1/150</w:t>
            </w:r>
          </w:p>
        </w:tc>
        <w:tc>
          <w:tcPr>
            <w:tcW w:w="1693" w:type="dxa"/>
            <w:tcMar>
              <w:top w:w="15" w:type="dxa"/>
              <w:left w:w="15" w:type="dxa"/>
              <w:right w:w="15" w:type="dxa"/>
            </w:tcMar>
            <w:vAlign w:val="center"/>
          </w:tcPr>
          <w:p w14:paraId="69307B34">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1/150≤γ&lt;1/100</w:t>
            </w:r>
          </w:p>
        </w:tc>
        <w:tc>
          <w:tcPr>
            <w:tcW w:w="1098" w:type="dxa"/>
            <w:tcMar>
              <w:top w:w="15" w:type="dxa"/>
              <w:left w:w="15" w:type="dxa"/>
              <w:right w:w="15" w:type="dxa"/>
            </w:tcMar>
            <w:vAlign w:val="center"/>
          </w:tcPr>
          <w:p w14:paraId="74C0DEF9">
            <w:pPr>
              <w:spacing w:line="276"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γ≥1/100</w:t>
            </w:r>
          </w:p>
        </w:tc>
      </w:tr>
      <w:tr w14:paraId="651C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9016" w:type="dxa"/>
            <w:gridSpan w:val="6"/>
            <w:tcMar>
              <w:top w:w="15" w:type="dxa"/>
              <w:left w:w="15" w:type="dxa"/>
              <w:right w:w="15" w:type="dxa"/>
            </w:tcMar>
            <w:vAlign w:val="center"/>
          </w:tcPr>
          <w:p w14:paraId="2C7868AA">
            <w:pPr>
              <w:spacing w:line="276"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注：表中分级指标为建筑幕墙层间位移角。</w:t>
            </w:r>
          </w:p>
        </w:tc>
      </w:tr>
      <w:tr w14:paraId="1F0E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9016" w:type="dxa"/>
            <w:gridSpan w:val="6"/>
            <w:tcMar>
              <w:top w:w="15" w:type="dxa"/>
              <w:left w:w="15" w:type="dxa"/>
              <w:right w:w="15" w:type="dxa"/>
            </w:tcMar>
            <w:vAlign w:val="center"/>
          </w:tcPr>
          <w:p w14:paraId="3951726A">
            <w:pPr>
              <w:spacing w:line="276"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本建筑钢筋混凝土框架-剪力墙结构部位，层间变形性能分级指标值应不小于1/800，本工程建筑幕墙的层间位移角为3×1/800＝1/267，本工程幕墙的层间变形性能为 2 级。</w:t>
            </w:r>
          </w:p>
          <w:p w14:paraId="2E54240B">
            <w:pPr>
              <w:spacing w:line="276"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屋面及外围幕部分钢结构无完全对应的结构类型，根据主体结构提资，在D+L荷载下:</w:t>
            </w:r>
          </w:p>
          <w:p w14:paraId="374BB603">
            <w:pPr>
              <w:spacing w:line="276"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外围幕交叉网格及桁架结构相邻的结构最大变形量约为15mm。</w:t>
            </w:r>
          </w:p>
          <w:p w14:paraId="47C01106">
            <w:pPr>
              <w:spacing w:line="276"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内罩棚采用半刚性轮辐式索承网格相邻的结构最大变形量约为45mm。</w:t>
            </w:r>
          </w:p>
        </w:tc>
      </w:tr>
    </w:tbl>
    <w:p w14:paraId="5DB0CB4B">
      <w:pPr>
        <w:tabs>
          <w:tab w:val="left" w:pos="1560"/>
        </w:tabs>
        <w:spacing w:line="360" w:lineRule="auto"/>
        <w:ind w:left="0" w:leftChars="0" w:firstLine="0" w:firstLineChars="0"/>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.3.5 空气声隔声性能</w:t>
      </w:r>
    </w:p>
    <w:p w14:paraId="03925011">
      <w:pPr>
        <w:spacing w:line="360" w:lineRule="auto"/>
        <w:ind w:left="0" w:leftChars="0"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幕墙的隔声性能是指通过空气传到建筑幕墙外表</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的噪声，经幕墙反射，吸收和其他能量转化后的减少量。影响幕墙的隔声性能的因素是多方面的，需要通过综合性设计来满足其分级指标RW。一般中空玻璃的有效隔声量为32dB-35dB；而石材幕墙通过面板层、保温层和实体墙形成的综合隔声量可大于40dB。玻璃幕墙部分隔声性量可大于35dB，因此玻璃幕墙部分隔声性能分级值为3级。</w:t>
      </w:r>
    </w:p>
    <w:tbl>
      <w:tblPr>
        <w:tblStyle w:val="12"/>
        <w:tblpPr w:leftFromText="180" w:rightFromText="180" w:vertAnchor="text" w:horzAnchor="margin" w:tblpXSpec="center" w:tblpY="277"/>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2"/>
        <w:gridCol w:w="1583"/>
        <w:gridCol w:w="1612"/>
        <w:gridCol w:w="1452"/>
        <w:gridCol w:w="1489"/>
        <w:gridCol w:w="1298"/>
      </w:tblGrid>
      <w:tr w14:paraId="1C49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9016" w:type="dxa"/>
            <w:gridSpan w:val="6"/>
            <w:tcMar>
              <w:top w:w="15" w:type="dxa"/>
              <w:left w:w="15" w:type="dxa"/>
              <w:right w:w="15" w:type="dxa"/>
            </w:tcMar>
            <w:vAlign w:val="center"/>
          </w:tcPr>
          <w:p w14:paraId="58C232E2">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建筑幕墙空气隔声性能分级：</w:t>
            </w:r>
          </w:p>
        </w:tc>
      </w:tr>
      <w:tr w14:paraId="61C8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1582" w:type="dxa"/>
            <w:tcMar>
              <w:top w:w="15" w:type="dxa"/>
              <w:left w:w="15" w:type="dxa"/>
              <w:right w:w="15" w:type="dxa"/>
            </w:tcMar>
            <w:vAlign w:val="center"/>
          </w:tcPr>
          <w:p w14:paraId="51CF42DC">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分级代号</w:t>
            </w:r>
          </w:p>
        </w:tc>
        <w:tc>
          <w:tcPr>
            <w:tcW w:w="1583" w:type="dxa"/>
            <w:tcMar>
              <w:top w:w="15" w:type="dxa"/>
              <w:left w:w="15" w:type="dxa"/>
              <w:right w:w="15" w:type="dxa"/>
            </w:tcMar>
            <w:vAlign w:val="center"/>
          </w:tcPr>
          <w:p w14:paraId="779C06A1">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1612" w:type="dxa"/>
            <w:tcMar>
              <w:top w:w="15" w:type="dxa"/>
              <w:left w:w="15" w:type="dxa"/>
              <w:right w:w="15" w:type="dxa"/>
            </w:tcMar>
            <w:vAlign w:val="center"/>
          </w:tcPr>
          <w:p w14:paraId="01FC487D">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1452" w:type="dxa"/>
            <w:tcMar>
              <w:top w:w="15" w:type="dxa"/>
              <w:left w:w="15" w:type="dxa"/>
              <w:right w:w="15" w:type="dxa"/>
            </w:tcMar>
            <w:vAlign w:val="center"/>
          </w:tcPr>
          <w:p w14:paraId="03A4A238">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1489" w:type="dxa"/>
            <w:tcMar>
              <w:top w:w="15" w:type="dxa"/>
              <w:left w:w="15" w:type="dxa"/>
              <w:right w:w="15" w:type="dxa"/>
            </w:tcMar>
            <w:vAlign w:val="center"/>
          </w:tcPr>
          <w:p w14:paraId="4419920D">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p>
        </w:tc>
        <w:tc>
          <w:tcPr>
            <w:tcW w:w="1298" w:type="dxa"/>
            <w:tcMar>
              <w:top w:w="15" w:type="dxa"/>
              <w:left w:w="15" w:type="dxa"/>
              <w:right w:w="15" w:type="dxa"/>
            </w:tcMar>
            <w:vAlign w:val="center"/>
          </w:tcPr>
          <w:p w14:paraId="0A28064E">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r>
      <w:tr w14:paraId="188C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1582" w:type="dxa"/>
            <w:tcMar>
              <w:top w:w="15" w:type="dxa"/>
              <w:left w:w="15" w:type="dxa"/>
              <w:right w:w="15" w:type="dxa"/>
            </w:tcMar>
            <w:vAlign w:val="center"/>
          </w:tcPr>
          <w:p w14:paraId="303B2639">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分级指标值</w:t>
            </w:r>
          </w:p>
          <w:p w14:paraId="6ADC538B">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Rw(dB)</w:t>
            </w:r>
          </w:p>
        </w:tc>
        <w:tc>
          <w:tcPr>
            <w:tcW w:w="1583" w:type="dxa"/>
            <w:tcMar>
              <w:top w:w="15" w:type="dxa"/>
              <w:left w:w="15" w:type="dxa"/>
              <w:right w:w="15" w:type="dxa"/>
            </w:tcMar>
            <w:vAlign w:val="center"/>
          </w:tcPr>
          <w:p w14:paraId="32C98D8D">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25≤Rw&lt;30</w:t>
            </w:r>
          </w:p>
        </w:tc>
        <w:tc>
          <w:tcPr>
            <w:tcW w:w="1612" w:type="dxa"/>
            <w:tcMar>
              <w:top w:w="15" w:type="dxa"/>
              <w:left w:w="15" w:type="dxa"/>
              <w:right w:w="15" w:type="dxa"/>
            </w:tcMar>
            <w:vAlign w:val="center"/>
          </w:tcPr>
          <w:p w14:paraId="6AC7F112">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30≤Rw&lt;35</w:t>
            </w:r>
          </w:p>
        </w:tc>
        <w:tc>
          <w:tcPr>
            <w:tcW w:w="1452" w:type="dxa"/>
            <w:tcMar>
              <w:top w:w="15" w:type="dxa"/>
              <w:left w:w="15" w:type="dxa"/>
              <w:right w:w="15" w:type="dxa"/>
            </w:tcMar>
            <w:vAlign w:val="center"/>
          </w:tcPr>
          <w:p w14:paraId="73D4A811">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35≤Rw&lt;40</w:t>
            </w:r>
          </w:p>
        </w:tc>
        <w:tc>
          <w:tcPr>
            <w:tcW w:w="1489" w:type="dxa"/>
            <w:tcMar>
              <w:top w:w="15" w:type="dxa"/>
              <w:left w:w="15" w:type="dxa"/>
              <w:right w:w="15" w:type="dxa"/>
            </w:tcMar>
            <w:vAlign w:val="center"/>
          </w:tcPr>
          <w:p w14:paraId="026328C4">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45≤Rw&lt;45</w:t>
            </w:r>
          </w:p>
        </w:tc>
        <w:tc>
          <w:tcPr>
            <w:tcW w:w="1298" w:type="dxa"/>
            <w:tcMar>
              <w:top w:w="15" w:type="dxa"/>
              <w:left w:w="15" w:type="dxa"/>
              <w:right w:w="15" w:type="dxa"/>
            </w:tcMar>
            <w:vAlign w:val="center"/>
          </w:tcPr>
          <w:p w14:paraId="4E524D22">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Rw≥45</w:t>
            </w:r>
          </w:p>
        </w:tc>
      </w:tr>
      <w:tr w14:paraId="1386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9016" w:type="dxa"/>
            <w:gridSpan w:val="6"/>
            <w:tcMar>
              <w:top w:w="15" w:type="dxa"/>
              <w:left w:w="15" w:type="dxa"/>
              <w:right w:w="15" w:type="dxa"/>
            </w:tcMar>
            <w:vAlign w:val="center"/>
          </w:tcPr>
          <w:p w14:paraId="0D5AAF79">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本工程玻璃幕墙部分空气声隔声性能分级值为3级。</w:t>
            </w:r>
          </w:p>
        </w:tc>
      </w:tr>
    </w:tbl>
    <w:p w14:paraId="70258545">
      <w:pPr>
        <w:tabs>
          <w:tab w:val="left" w:pos="1560"/>
        </w:tabs>
        <w:spacing w:line="360" w:lineRule="auto"/>
        <w:ind w:left="0" w:leftChars="0" w:firstLine="0" w:firstLineChars="0"/>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.3.6 幕墙耐撞击性能</w:t>
      </w:r>
    </w:p>
    <w:p w14:paraId="0D2EDCCE">
      <w:pPr>
        <w:spacing w:line="360" w:lineRule="auto"/>
        <w:ind w:left="0" w:leftChars="0"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幕墙的耐撞击性能是指建筑幕墙对冰雹、大风时飞来物，人的动作，鸟等撞击力的耐力，用撞击外力的运动量值分级。</w:t>
      </w:r>
    </w:p>
    <w:tbl>
      <w:tblPr>
        <w:tblStyle w:val="12"/>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3"/>
        <w:gridCol w:w="2918"/>
        <w:gridCol w:w="1280"/>
        <w:gridCol w:w="1581"/>
        <w:gridCol w:w="1109"/>
        <w:gridCol w:w="1105"/>
      </w:tblGrid>
      <w:tr w14:paraId="37C7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9016" w:type="dxa"/>
            <w:gridSpan w:val="6"/>
            <w:tcMar>
              <w:top w:w="15" w:type="dxa"/>
              <w:left w:w="15" w:type="dxa"/>
              <w:right w:w="15" w:type="dxa"/>
            </w:tcMar>
            <w:vAlign w:val="center"/>
          </w:tcPr>
          <w:p w14:paraId="3181AB73">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建筑幕墙耐撞击性能分级：</w:t>
            </w:r>
          </w:p>
        </w:tc>
      </w:tr>
      <w:tr w14:paraId="4EEC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023" w:type="dxa"/>
            <w:tcMar>
              <w:top w:w="15" w:type="dxa"/>
              <w:left w:w="15" w:type="dxa"/>
              <w:right w:w="15" w:type="dxa"/>
            </w:tcMar>
            <w:vAlign w:val="center"/>
          </w:tcPr>
          <w:p w14:paraId="11F84635">
            <w:pPr>
              <w:spacing w:line="360" w:lineRule="auto"/>
              <w:ind w:left="0" w:leftChars="0" w:firstLine="0" w:firstLineChars="0"/>
              <w:jc w:val="center"/>
              <w:rPr>
                <w:rFonts w:hint="eastAsia" w:asciiTheme="minorEastAsia" w:hAnsiTheme="minorEastAsia" w:eastAsiaTheme="minorEastAsia" w:cstheme="minorEastAsia"/>
                <w:sz w:val="24"/>
                <w:szCs w:val="24"/>
              </w:rPr>
            </w:pPr>
          </w:p>
        </w:tc>
        <w:tc>
          <w:tcPr>
            <w:tcW w:w="2918" w:type="dxa"/>
            <w:tcMar>
              <w:top w:w="15" w:type="dxa"/>
              <w:left w:w="15" w:type="dxa"/>
              <w:right w:w="15" w:type="dxa"/>
            </w:tcMar>
            <w:vAlign w:val="center"/>
          </w:tcPr>
          <w:p w14:paraId="4FD4F322">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分级代号</w:t>
            </w:r>
          </w:p>
        </w:tc>
        <w:tc>
          <w:tcPr>
            <w:tcW w:w="1280" w:type="dxa"/>
            <w:tcMar>
              <w:top w:w="15" w:type="dxa"/>
              <w:left w:w="15" w:type="dxa"/>
              <w:right w:w="15" w:type="dxa"/>
            </w:tcMar>
            <w:vAlign w:val="center"/>
          </w:tcPr>
          <w:p w14:paraId="28A0B288">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581" w:type="dxa"/>
            <w:tcMar>
              <w:top w:w="15" w:type="dxa"/>
              <w:left w:w="15" w:type="dxa"/>
              <w:right w:w="15" w:type="dxa"/>
            </w:tcMar>
            <w:vAlign w:val="center"/>
          </w:tcPr>
          <w:p w14:paraId="0CEC5875">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109" w:type="dxa"/>
            <w:tcMar>
              <w:top w:w="15" w:type="dxa"/>
              <w:left w:w="15" w:type="dxa"/>
              <w:right w:w="15" w:type="dxa"/>
            </w:tcMar>
            <w:vAlign w:val="center"/>
          </w:tcPr>
          <w:p w14:paraId="69018A45">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105" w:type="dxa"/>
            <w:tcMar>
              <w:top w:w="15" w:type="dxa"/>
              <w:left w:w="15" w:type="dxa"/>
              <w:right w:w="15" w:type="dxa"/>
            </w:tcMar>
            <w:vAlign w:val="center"/>
          </w:tcPr>
          <w:p w14:paraId="5AEA3163">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r>
      <w:tr w14:paraId="23B2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1023" w:type="dxa"/>
            <w:vMerge w:val="restart"/>
            <w:tcMar>
              <w:top w:w="15" w:type="dxa"/>
              <w:left w:w="15" w:type="dxa"/>
              <w:right w:w="15" w:type="dxa"/>
            </w:tcMar>
            <w:vAlign w:val="center"/>
          </w:tcPr>
          <w:p w14:paraId="65EA87E5">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室内侧</w:t>
            </w:r>
          </w:p>
        </w:tc>
        <w:tc>
          <w:tcPr>
            <w:tcW w:w="2918" w:type="dxa"/>
            <w:tcMar>
              <w:top w:w="15" w:type="dxa"/>
              <w:left w:w="15" w:type="dxa"/>
              <w:right w:w="15" w:type="dxa"/>
            </w:tcMar>
            <w:vAlign w:val="center"/>
          </w:tcPr>
          <w:p w14:paraId="6F387418">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撞击能量E(N.m)</w:t>
            </w:r>
          </w:p>
        </w:tc>
        <w:tc>
          <w:tcPr>
            <w:tcW w:w="1280" w:type="dxa"/>
            <w:tcMar>
              <w:top w:w="15" w:type="dxa"/>
              <w:left w:w="15" w:type="dxa"/>
              <w:right w:w="15" w:type="dxa"/>
            </w:tcMar>
            <w:vAlign w:val="center"/>
          </w:tcPr>
          <w:p w14:paraId="31E83A4E">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700</w:t>
            </w:r>
          </w:p>
        </w:tc>
        <w:tc>
          <w:tcPr>
            <w:tcW w:w="1581" w:type="dxa"/>
            <w:tcMar>
              <w:top w:w="15" w:type="dxa"/>
              <w:left w:w="15" w:type="dxa"/>
              <w:right w:w="15" w:type="dxa"/>
            </w:tcMar>
            <w:vAlign w:val="center"/>
          </w:tcPr>
          <w:p w14:paraId="36EACC77">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900</w:t>
            </w:r>
          </w:p>
        </w:tc>
        <w:tc>
          <w:tcPr>
            <w:tcW w:w="1109" w:type="dxa"/>
            <w:tcMar>
              <w:top w:w="15" w:type="dxa"/>
              <w:left w:w="15" w:type="dxa"/>
              <w:right w:w="15" w:type="dxa"/>
            </w:tcMar>
            <w:vAlign w:val="center"/>
          </w:tcPr>
          <w:p w14:paraId="18BFBBBA">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&gt;900</w:t>
            </w:r>
          </w:p>
        </w:tc>
        <w:tc>
          <w:tcPr>
            <w:tcW w:w="1105" w:type="dxa"/>
            <w:tcMar>
              <w:top w:w="15" w:type="dxa"/>
              <w:left w:w="15" w:type="dxa"/>
              <w:right w:w="15" w:type="dxa"/>
            </w:tcMar>
            <w:vAlign w:val="center"/>
          </w:tcPr>
          <w:p w14:paraId="41D249B9">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14:paraId="1B5F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1023" w:type="dxa"/>
            <w:vMerge w:val="continue"/>
            <w:tcMar>
              <w:top w:w="15" w:type="dxa"/>
              <w:left w:w="15" w:type="dxa"/>
              <w:right w:w="15" w:type="dxa"/>
            </w:tcMar>
            <w:vAlign w:val="center"/>
          </w:tcPr>
          <w:p w14:paraId="58B020E6">
            <w:pPr>
              <w:spacing w:line="360" w:lineRule="auto"/>
              <w:jc w:val="center"/>
              <w:rPr>
                <w:rFonts w:hint="eastAsia" w:asciiTheme="minorEastAsia" w:hAnsiTheme="minorEastAsia" w:eastAsiaTheme="minorEastAsia" w:cstheme="minorEastAsia"/>
                <w:sz w:val="24"/>
                <w:szCs w:val="24"/>
              </w:rPr>
            </w:pPr>
          </w:p>
        </w:tc>
        <w:tc>
          <w:tcPr>
            <w:tcW w:w="2918" w:type="dxa"/>
            <w:tcMar>
              <w:top w:w="15" w:type="dxa"/>
              <w:left w:w="15" w:type="dxa"/>
              <w:right w:w="15" w:type="dxa"/>
            </w:tcMar>
            <w:vAlign w:val="center"/>
          </w:tcPr>
          <w:p w14:paraId="4AA98115">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降落高度H(mm)</w:t>
            </w:r>
          </w:p>
        </w:tc>
        <w:tc>
          <w:tcPr>
            <w:tcW w:w="1280" w:type="dxa"/>
            <w:tcMar>
              <w:top w:w="15" w:type="dxa"/>
              <w:left w:w="15" w:type="dxa"/>
              <w:right w:w="15" w:type="dxa"/>
            </w:tcMar>
            <w:vAlign w:val="center"/>
          </w:tcPr>
          <w:p w14:paraId="7847B1F0">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1500</w:t>
            </w:r>
          </w:p>
        </w:tc>
        <w:tc>
          <w:tcPr>
            <w:tcW w:w="1581" w:type="dxa"/>
            <w:tcMar>
              <w:top w:w="15" w:type="dxa"/>
              <w:left w:w="15" w:type="dxa"/>
              <w:right w:w="15" w:type="dxa"/>
            </w:tcMar>
            <w:vAlign w:val="center"/>
          </w:tcPr>
          <w:p w14:paraId="220905A7">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2000</w:t>
            </w:r>
          </w:p>
        </w:tc>
        <w:tc>
          <w:tcPr>
            <w:tcW w:w="1109" w:type="dxa"/>
            <w:tcMar>
              <w:top w:w="15" w:type="dxa"/>
              <w:left w:w="15" w:type="dxa"/>
              <w:right w:w="15" w:type="dxa"/>
            </w:tcMar>
            <w:vAlign w:val="center"/>
          </w:tcPr>
          <w:p w14:paraId="7866F309">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&gt;2000</w:t>
            </w:r>
          </w:p>
        </w:tc>
        <w:tc>
          <w:tcPr>
            <w:tcW w:w="1105" w:type="dxa"/>
            <w:tcMar>
              <w:top w:w="15" w:type="dxa"/>
              <w:left w:w="15" w:type="dxa"/>
              <w:right w:w="15" w:type="dxa"/>
            </w:tcMar>
            <w:vAlign w:val="center"/>
          </w:tcPr>
          <w:p w14:paraId="7294727F">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14:paraId="729B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023" w:type="dxa"/>
            <w:vMerge w:val="restart"/>
            <w:tcMar>
              <w:top w:w="15" w:type="dxa"/>
              <w:left w:w="15" w:type="dxa"/>
              <w:right w:w="15" w:type="dxa"/>
            </w:tcMar>
            <w:vAlign w:val="center"/>
          </w:tcPr>
          <w:p w14:paraId="2A339C91">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室外侧</w:t>
            </w:r>
          </w:p>
        </w:tc>
        <w:tc>
          <w:tcPr>
            <w:tcW w:w="2918" w:type="dxa"/>
            <w:tcMar>
              <w:top w:w="15" w:type="dxa"/>
              <w:left w:w="15" w:type="dxa"/>
              <w:right w:w="15" w:type="dxa"/>
            </w:tcMar>
            <w:vAlign w:val="center"/>
          </w:tcPr>
          <w:p w14:paraId="1B70C2D9">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撞击能量E(N.m)</w:t>
            </w:r>
          </w:p>
        </w:tc>
        <w:tc>
          <w:tcPr>
            <w:tcW w:w="1280" w:type="dxa"/>
            <w:tcMar>
              <w:top w:w="15" w:type="dxa"/>
              <w:left w:w="15" w:type="dxa"/>
              <w:right w:w="15" w:type="dxa"/>
            </w:tcMar>
            <w:vAlign w:val="center"/>
          </w:tcPr>
          <w:p w14:paraId="694D2827">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300</w:t>
            </w:r>
          </w:p>
        </w:tc>
        <w:tc>
          <w:tcPr>
            <w:tcW w:w="1581" w:type="dxa"/>
            <w:tcMar>
              <w:top w:w="15" w:type="dxa"/>
              <w:left w:w="15" w:type="dxa"/>
              <w:right w:w="15" w:type="dxa"/>
            </w:tcMar>
            <w:vAlign w:val="center"/>
          </w:tcPr>
          <w:p w14:paraId="237882FB">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500</w:t>
            </w:r>
          </w:p>
        </w:tc>
        <w:tc>
          <w:tcPr>
            <w:tcW w:w="1109" w:type="dxa"/>
            <w:tcMar>
              <w:top w:w="15" w:type="dxa"/>
              <w:left w:w="15" w:type="dxa"/>
              <w:right w:w="15" w:type="dxa"/>
            </w:tcMar>
            <w:vAlign w:val="center"/>
          </w:tcPr>
          <w:p w14:paraId="79483DE8">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800</w:t>
            </w:r>
          </w:p>
        </w:tc>
        <w:tc>
          <w:tcPr>
            <w:tcW w:w="1105" w:type="dxa"/>
            <w:tcMar>
              <w:top w:w="15" w:type="dxa"/>
              <w:left w:w="15" w:type="dxa"/>
              <w:right w:w="15" w:type="dxa"/>
            </w:tcMar>
            <w:vAlign w:val="center"/>
          </w:tcPr>
          <w:p w14:paraId="7865E14A">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&gt;800</w:t>
            </w:r>
          </w:p>
        </w:tc>
      </w:tr>
      <w:tr w14:paraId="797F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1023" w:type="dxa"/>
            <w:vMerge w:val="continue"/>
            <w:tcMar>
              <w:top w:w="15" w:type="dxa"/>
              <w:left w:w="15" w:type="dxa"/>
              <w:right w:w="15" w:type="dxa"/>
            </w:tcMar>
            <w:vAlign w:val="center"/>
          </w:tcPr>
          <w:p w14:paraId="7B893345">
            <w:pPr>
              <w:spacing w:line="360" w:lineRule="auto"/>
              <w:jc w:val="center"/>
              <w:rPr>
                <w:rFonts w:hint="eastAsia" w:asciiTheme="minorEastAsia" w:hAnsiTheme="minorEastAsia" w:eastAsiaTheme="minorEastAsia" w:cstheme="minorEastAsia"/>
                <w:sz w:val="24"/>
                <w:szCs w:val="24"/>
              </w:rPr>
            </w:pPr>
          </w:p>
        </w:tc>
        <w:tc>
          <w:tcPr>
            <w:tcW w:w="2918" w:type="dxa"/>
            <w:tcMar>
              <w:top w:w="15" w:type="dxa"/>
              <w:left w:w="15" w:type="dxa"/>
              <w:right w:w="15" w:type="dxa"/>
            </w:tcMar>
            <w:vAlign w:val="center"/>
          </w:tcPr>
          <w:p w14:paraId="06643459">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降落高度H(mm)</w:t>
            </w:r>
          </w:p>
        </w:tc>
        <w:tc>
          <w:tcPr>
            <w:tcW w:w="1280" w:type="dxa"/>
            <w:tcMar>
              <w:top w:w="15" w:type="dxa"/>
              <w:left w:w="15" w:type="dxa"/>
              <w:right w:w="15" w:type="dxa"/>
            </w:tcMar>
            <w:vAlign w:val="center"/>
          </w:tcPr>
          <w:p w14:paraId="33D845CB">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700</w:t>
            </w:r>
          </w:p>
        </w:tc>
        <w:tc>
          <w:tcPr>
            <w:tcW w:w="1581" w:type="dxa"/>
            <w:tcMar>
              <w:top w:w="15" w:type="dxa"/>
              <w:left w:w="15" w:type="dxa"/>
              <w:right w:w="15" w:type="dxa"/>
            </w:tcMar>
            <w:vAlign w:val="center"/>
          </w:tcPr>
          <w:p w14:paraId="036A1D0A">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1100</w:t>
            </w:r>
          </w:p>
        </w:tc>
        <w:tc>
          <w:tcPr>
            <w:tcW w:w="1109" w:type="dxa"/>
            <w:tcMar>
              <w:top w:w="15" w:type="dxa"/>
              <w:left w:w="15" w:type="dxa"/>
              <w:right w:w="15" w:type="dxa"/>
            </w:tcMar>
            <w:vAlign w:val="center"/>
          </w:tcPr>
          <w:p w14:paraId="732840BF">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1800</w:t>
            </w:r>
          </w:p>
        </w:tc>
        <w:tc>
          <w:tcPr>
            <w:tcW w:w="1105" w:type="dxa"/>
            <w:tcMar>
              <w:top w:w="15" w:type="dxa"/>
              <w:left w:w="15" w:type="dxa"/>
              <w:right w:w="15" w:type="dxa"/>
            </w:tcMar>
            <w:vAlign w:val="center"/>
          </w:tcPr>
          <w:p w14:paraId="25B651A3">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&gt;1800</w:t>
            </w:r>
          </w:p>
        </w:tc>
      </w:tr>
      <w:tr w14:paraId="0ADC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9016" w:type="dxa"/>
            <w:gridSpan w:val="6"/>
            <w:tcMar>
              <w:top w:w="15" w:type="dxa"/>
              <w:left w:w="15" w:type="dxa"/>
              <w:right w:w="15" w:type="dxa"/>
            </w:tcMar>
            <w:vAlign w:val="center"/>
          </w:tcPr>
          <w:p w14:paraId="24B92A1C">
            <w:pPr>
              <w:spacing w:line="360" w:lineRule="auto"/>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注：1性能标注时应按:室内侧定级值/室外侧定级值.例如:2/3室内2级,室外3级.</w:t>
            </w:r>
          </w:p>
          <w:p w14:paraId="51C54FE2">
            <w:pPr>
              <w:spacing w:line="360" w:lineRule="auto"/>
              <w:ind w:left="479" w:leftChars="228"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2当室内侧定级值为3级时标注撞击能量实际测试值,当室外侧定级值为4级时标注撞击能量实际测试值.例如:1200/1900,室内1200N.m,室外1900N.m</w:t>
            </w:r>
          </w:p>
          <w:p w14:paraId="07514FA6">
            <w:pPr>
              <w:spacing w:line="360" w:lineRule="auto"/>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本工程幕墙的耐撞击性能室内达到2级，室外达到3级。</w:t>
            </w:r>
          </w:p>
        </w:tc>
      </w:tr>
    </w:tbl>
    <w:p w14:paraId="4DD996B7">
      <w:pPr>
        <w:tabs>
          <w:tab w:val="left" w:pos="1560"/>
        </w:tabs>
        <w:spacing w:line="360" w:lineRule="auto"/>
        <w:ind w:left="0" w:leftChars="0" w:firstLine="0" w:firstLineChars="0"/>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.3.7 承重力性能</w:t>
      </w:r>
    </w:p>
    <w:p w14:paraId="6235D8C6">
      <w:pPr>
        <w:spacing w:line="360" w:lineRule="auto"/>
        <w:ind w:left="0" w:leftChars="0"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幕墙应能承受自重和设计时规定的各种附件的重量，并能可靠地传递到主体结构。</w:t>
      </w:r>
    </w:p>
    <w:p w14:paraId="4F061EA1">
      <w:pPr>
        <w:spacing w:line="360" w:lineRule="auto"/>
        <w:ind w:left="0" w:leftChars="0"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在自重标准值作用下，水平受力构件在单块面板两端跨距内的最大挠度不应超过该面板两端跨距的1/500，且不应超过3mm。</w:t>
      </w:r>
    </w:p>
    <w:p w14:paraId="70405672">
      <w:pPr>
        <w:tabs>
          <w:tab w:val="left" w:pos="1560"/>
        </w:tabs>
        <w:spacing w:line="360" w:lineRule="auto"/>
        <w:ind w:left="0" w:leftChars="0" w:firstLine="0" w:firstLineChars="0"/>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lang w:val="en-US" w:eastAsia="zh-CN"/>
        </w:rPr>
        <w:t>2</w:t>
      </w:r>
      <w:r>
        <w:rPr>
          <w:rFonts w:hint="eastAsia" w:asciiTheme="minorEastAsia" w:hAnsiTheme="minorEastAsia" w:eastAsiaTheme="minorEastAsia" w:cstheme="minorEastAsia"/>
          <w:b/>
          <w:kern w:val="0"/>
          <w:sz w:val="24"/>
          <w:szCs w:val="24"/>
        </w:rPr>
        <w:t>.3.8防火设计</w:t>
      </w:r>
    </w:p>
    <w:p w14:paraId="6809C375">
      <w:pPr>
        <w:numPr>
          <w:ilvl w:val="0"/>
          <w:numId w:val="0"/>
        </w:numPr>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rPr>
        <w:t>建筑物耐火等级：建筑分类为一类建筑，耐火等级为一级。</w:t>
      </w:r>
    </w:p>
    <w:p w14:paraId="35AA3B67">
      <w:pPr>
        <w:numPr>
          <w:ilvl w:val="0"/>
          <w:numId w:val="0"/>
        </w:numPr>
        <w:spacing w:line="360" w:lineRule="auto"/>
        <w:ind w:left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rPr>
        <w:t>玻璃幕墙的防火封堵构造系统，在正常使用条件下，应具有伸缩变形能力、密封性及耐久性，在遇火状态下，应在规定的耐火时限内，不发生开裂或脱落，保持相对稳定性。</w:t>
      </w:r>
    </w:p>
    <w:p w14:paraId="00667522">
      <w:pPr>
        <w:numPr>
          <w:ilvl w:val="0"/>
          <w:numId w:val="0"/>
        </w:numPr>
        <w:spacing w:line="360" w:lineRule="auto"/>
        <w:ind w:left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rPr>
        <w:t>无窗槛墙的玻璃幕墙，应在每层楼板外沿设置耐火极限不低于1.0小时，高度不低于0.8米的不燃烧实体裙墙或防火玻璃裙墙。</w:t>
      </w:r>
    </w:p>
    <w:p w14:paraId="53D36ED9">
      <w:pPr>
        <w:numPr>
          <w:ilvl w:val="0"/>
          <w:numId w:val="0"/>
        </w:numPr>
        <w:spacing w:line="360" w:lineRule="auto"/>
        <w:ind w:left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rPr>
        <w:t>同一幕墙玻璃单元，不允许跨越建筑物的两个防火分区。</w:t>
      </w:r>
    </w:p>
    <w:p w14:paraId="3DF0E5DD">
      <w:pPr>
        <w:numPr>
          <w:ilvl w:val="0"/>
          <w:numId w:val="0"/>
        </w:numPr>
        <w:spacing w:line="360" w:lineRule="auto"/>
        <w:ind w:left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本工程建筑幕墙防火等级为一级，相邻楼层之间的楼板处，同一楼层的不同防火分区之间的隔墙处，均应进行防火封堵。防火隔断用1.5mm厚镀锌钢板制作，制成两面封闭的钢板，中间铺设厚度不小于200mm防火岩棉。防火隔断周边闭合设置，防火棉填塞应无间隙。幕墙与每层楼板、隔墙处的缝隙应采用防火封堵材料封堵。有镀锌钢板与其他部位交接处均打防火密封胶密封。本设计始终以保持防火封修的连续性为原则，同时设置竖向防火封堵。采用以上措施完全可以阻止发生火灾时下层烟火迅速蔓延到上层及隔壁房间。采用以上措施可以阻止发生火灾时下层烟火迅速蔓延到上层及隔壁房间。下层的浓烟会经过排风口排到室外，减少室内的 有害气体，为消防单位和室内人员赢得宝贵的时间。</w:t>
      </w:r>
    </w:p>
    <w:p w14:paraId="156E7420">
      <w:pPr>
        <w:widowControl/>
        <w:ind w:left="0" w:firstLine="0"/>
        <w:jc w:val="left"/>
        <w:rPr>
          <w:rFonts w:hint="eastAsia"/>
          <w:b/>
          <w:color w:val="auto"/>
          <w:sz w:val="24"/>
          <w:highlight w:val="none"/>
          <w:lang w:val="en-US" w:eastAsia="zh-CN"/>
        </w:rPr>
      </w:pPr>
      <w:bookmarkStart w:id="45" w:name="_Toc326591042"/>
      <w:bookmarkStart w:id="46" w:name="_Toc520909629"/>
      <w:bookmarkStart w:id="47" w:name="_Toc6522"/>
      <w:r>
        <w:rPr>
          <w:rFonts w:hint="eastAsia"/>
          <w:b/>
          <w:color w:val="auto"/>
          <w:sz w:val="24"/>
          <w:highlight w:val="none"/>
          <w:lang w:val="en-US" w:eastAsia="zh-CN"/>
        </w:rPr>
        <w:t>2.4. 材料</w:t>
      </w:r>
      <w:bookmarkEnd w:id="45"/>
      <w:r>
        <w:rPr>
          <w:rFonts w:hint="eastAsia"/>
          <w:b/>
          <w:color w:val="auto"/>
          <w:sz w:val="24"/>
          <w:highlight w:val="none"/>
          <w:lang w:val="en-US" w:eastAsia="zh-CN"/>
        </w:rPr>
        <w:t>及系统构件</w:t>
      </w:r>
      <w:bookmarkEnd w:id="46"/>
      <w:bookmarkEnd w:id="47"/>
    </w:p>
    <w:p w14:paraId="02D8F701">
      <w:pPr>
        <w:widowControl/>
        <w:ind w:left="0" w:firstLine="0"/>
        <w:jc w:val="left"/>
        <w:outlineLvl w:val="1"/>
        <w:rPr>
          <w:rFonts w:hint="eastAsia"/>
          <w:b/>
          <w:color w:val="auto"/>
          <w:sz w:val="24"/>
          <w:highlight w:val="none"/>
          <w:lang w:val="en-US" w:eastAsia="zh-CN"/>
        </w:rPr>
      </w:pPr>
      <w:bookmarkStart w:id="48" w:name="_Toc520909630"/>
      <w:bookmarkStart w:id="49" w:name="_Toc9437"/>
      <w:bookmarkStart w:id="50" w:name="_Toc21126"/>
      <w:r>
        <w:rPr>
          <w:rFonts w:hint="eastAsia"/>
          <w:b/>
          <w:color w:val="auto"/>
          <w:sz w:val="24"/>
          <w:highlight w:val="none"/>
          <w:lang w:val="en-US" w:eastAsia="zh-CN"/>
        </w:rPr>
        <w:t>2.4.1 材料概述</w:t>
      </w:r>
      <w:bookmarkEnd w:id="48"/>
      <w:bookmarkEnd w:id="49"/>
      <w:bookmarkEnd w:id="50"/>
    </w:p>
    <w:p w14:paraId="6011F1B0">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2.4</w:t>
      </w:r>
      <w:r>
        <w:rPr>
          <w:rFonts w:hint="eastAsia" w:asciiTheme="minorEastAsia" w:hAnsiTheme="minorEastAsia" w:eastAsiaTheme="minorEastAsia" w:cstheme="minorEastAsia"/>
          <w:b/>
          <w:sz w:val="24"/>
          <w:szCs w:val="24"/>
        </w:rPr>
        <w:t>.1.</w:t>
      </w:r>
      <w:r>
        <w:rPr>
          <w:rFonts w:hint="eastAsia" w:asciiTheme="minorEastAsia" w:hAnsiTheme="minorEastAsia" w:eastAsiaTheme="minorEastAsia" w:cstheme="minorEastAsia"/>
          <w:sz w:val="24"/>
          <w:szCs w:val="24"/>
        </w:rPr>
        <w:t>本章对技术说明书和图纸中显示的承包工作中将采用的材料设定业主和设计单位的最低要求。承包工作中使用的所有材料必须适合其使用目的。或幕墙分包商应提供材料表，材料在业主及设计单位完成审核及认可前，材料表应每月更新并提交业主及设计单位。</w:t>
      </w:r>
    </w:p>
    <w:p w14:paraId="56B3759B">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2.4</w:t>
      </w: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sz w:val="24"/>
          <w:szCs w:val="24"/>
        </w:rPr>
        <w:t>提议采用备选材料，需提交材料的情况包括样品，技术资料，选用原因和价格，在需要时要提供文本。若采用该备选材料将需要其它幕墙构件的改变，则需提前说明并预计相应的成本改变。如果业主及设计单位不了解材料性能或有理由对材料某方面性能质疑，他们有绝对的权利要求通过模拟真实的工程条件，在设计荷载下进行测试。这些理由包括对测试报告不确信：测试报告不是由专业的测试机构提供；测试报告没有通过相关机构批准；报告不明确或报告与材料制造厂提供的证明不一致；或者测试报告自提交之日起已超过一年等。</w:t>
      </w:r>
    </w:p>
    <w:p w14:paraId="4F1A02A5">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2.4</w:t>
      </w:r>
      <w:r>
        <w:rPr>
          <w:rFonts w:hint="eastAsia" w:asciiTheme="minorEastAsia" w:hAnsiTheme="minorEastAsia" w:eastAsiaTheme="minorEastAsia" w:cstheme="minorEastAsia"/>
          <w:b/>
          <w:sz w:val="24"/>
          <w:szCs w:val="24"/>
        </w:rPr>
        <w:t>.3</w:t>
      </w:r>
      <w:r>
        <w:rPr>
          <w:rFonts w:hint="eastAsia" w:asciiTheme="minorEastAsia" w:hAnsiTheme="minorEastAsia" w:eastAsiaTheme="minorEastAsia" w:cstheme="minorEastAsia"/>
          <w:sz w:val="24"/>
          <w:szCs w:val="24"/>
        </w:rPr>
        <w:t>除非另行说明，否则所有材料应符合现行当地的相应法规要求、中国国家标准。幕墙承包商根据要求应向业主及设计单位提供主要材料生产商和供货商的保证书或证明，证明材料确实符合上述标准和要求。保证书和证明中应写明这些材料适合于其在幕墙</w:t>
      </w:r>
      <w:r>
        <w:rPr>
          <w:rFonts w:hint="eastAsia" w:asciiTheme="minorEastAsia" w:hAnsiTheme="minorEastAsia" w:eastAsiaTheme="minorEastAsia" w:cstheme="minorEastAsia"/>
          <w:sz w:val="24"/>
          <w:szCs w:val="24"/>
          <w:lang w:val="en-US" w:eastAsia="zh-CN"/>
        </w:rPr>
        <w:t>及屋面</w:t>
      </w:r>
      <w:r>
        <w:rPr>
          <w:rFonts w:hint="eastAsia" w:asciiTheme="minorEastAsia" w:hAnsiTheme="minorEastAsia" w:eastAsiaTheme="minorEastAsia" w:cstheme="minorEastAsia"/>
          <w:sz w:val="24"/>
          <w:szCs w:val="24"/>
        </w:rPr>
        <w:t>上的使用，并能够满足合同文件要求。</w:t>
      </w:r>
    </w:p>
    <w:p w14:paraId="615D7CD6">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2.4</w:t>
      </w:r>
      <w:r>
        <w:rPr>
          <w:rFonts w:hint="eastAsia" w:asciiTheme="minorEastAsia" w:hAnsiTheme="minorEastAsia" w:eastAsiaTheme="minorEastAsia" w:cstheme="minorEastAsia"/>
          <w:b/>
          <w:sz w:val="24"/>
          <w:szCs w:val="24"/>
        </w:rPr>
        <w:t>.4</w:t>
      </w:r>
      <w:r>
        <w:rPr>
          <w:rFonts w:hint="eastAsia" w:asciiTheme="minorEastAsia" w:hAnsiTheme="minorEastAsia" w:eastAsiaTheme="minorEastAsia" w:cstheme="minorEastAsia"/>
          <w:sz w:val="24"/>
          <w:szCs w:val="24"/>
        </w:rPr>
        <w:t>根据提交材料的要求，应提供所提议材料的列表及其来源，供业主及设计单位审核。或幕墙分包商还应从材料来源取得书面文件证明其有能力完成所要求的生产工作。或幕墙分包商按业主、设计单位业主就样品数量要求，提供全数样品。如需要，样品需按要求运送到国内外相关部门测检，幕墙承包商需负责样品的各项费用包括物料、安装、运输费用等。</w:t>
      </w:r>
    </w:p>
    <w:p w14:paraId="7C27EA42">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2.4</w:t>
      </w:r>
      <w:r>
        <w:rPr>
          <w:rFonts w:hint="eastAsia" w:asciiTheme="minorEastAsia" w:hAnsiTheme="minorEastAsia" w:eastAsiaTheme="minorEastAsia" w:cstheme="minorEastAsia"/>
          <w:b/>
          <w:sz w:val="24"/>
          <w:szCs w:val="24"/>
        </w:rPr>
        <w:t>.5</w:t>
      </w:r>
      <w:r>
        <w:rPr>
          <w:rFonts w:hint="eastAsia" w:asciiTheme="minorEastAsia" w:hAnsiTheme="minorEastAsia" w:eastAsiaTheme="minorEastAsia" w:cstheme="minorEastAsia"/>
          <w:sz w:val="24"/>
          <w:szCs w:val="24"/>
          <w:lang w:val="en-US" w:eastAsia="zh-CN"/>
        </w:rPr>
        <w:t>若</w:t>
      </w:r>
      <w:r>
        <w:rPr>
          <w:rFonts w:hint="eastAsia" w:asciiTheme="minorEastAsia" w:hAnsiTheme="minorEastAsia" w:eastAsiaTheme="minorEastAsia" w:cstheme="minorEastAsia"/>
          <w:sz w:val="24"/>
          <w:szCs w:val="24"/>
        </w:rPr>
        <w:t>幕墙分包商应从同一生产厂家购买一种材料的全部需量。材料的生产厂家应为可靠的有良好声誉的厂家，应能够在设计、生产到最终现场安装过程中协助幕墙分包商。</w:t>
      </w:r>
    </w:p>
    <w:p w14:paraId="50B9E835">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2.4</w:t>
      </w:r>
      <w:r>
        <w:rPr>
          <w:rFonts w:hint="eastAsia" w:asciiTheme="minorEastAsia" w:hAnsiTheme="minorEastAsia" w:eastAsiaTheme="minorEastAsia" w:cstheme="minorEastAsia"/>
          <w:b/>
          <w:sz w:val="24"/>
          <w:szCs w:val="24"/>
        </w:rPr>
        <w:t>.6</w:t>
      </w:r>
      <w:r>
        <w:rPr>
          <w:rFonts w:hint="eastAsia" w:asciiTheme="minorEastAsia" w:hAnsiTheme="minorEastAsia" w:eastAsiaTheme="minorEastAsia" w:cstheme="minorEastAsia"/>
          <w:sz w:val="24"/>
          <w:szCs w:val="24"/>
        </w:rPr>
        <w:t>所有送至加工厂或现场的主要材料都应标明生产厂家名称、品牌或其它任何可能需要来证明材料的确切性能和与合同文件的要求相关的资料；材料还应有测试证明书，国家标准证明或注册商标。测试证明应包括样品代表的幕墙</w:t>
      </w:r>
      <w:r>
        <w:rPr>
          <w:rFonts w:hint="eastAsia" w:asciiTheme="minorEastAsia" w:hAnsiTheme="minorEastAsia" w:eastAsiaTheme="minorEastAsia" w:cstheme="minorEastAsia"/>
          <w:sz w:val="24"/>
          <w:szCs w:val="24"/>
          <w:lang w:val="en-US" w:eastAsia="zh-CN"/>
        </w:rPr>
        <w:t>及屋面</w:t>
      </w:r>
      <w:r>
        <w:rPr>
          <w:rFonts w:hint="eastAsia" w:asciiTheme="minorEastAsia" w:hAnsiTheme="minorEastAsia" w:eastAsiaTheme="minorEastAsia" w:cstheme="minorEastAsia"/>
          <w:sz w:val="24"/>
          <w:szCs w:val="24"/>
        </w:rPr>
        <w:t>区域或送货批号等。</w:t>
      </w:r>
    </w:p>
    <w:p w14:paraId="0228BCFD">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 xml:space="preserve">.7 </w:t>
      </w:r>
      <w:r>
        <w:rPr>
          <w:rFonts w:hint="eastAsia" w:asciiTheme="minorEastAsia" w:hAnsiTheme="minorEastAsia" w:eastAsiaTheme="minorEastAsia" w:cstheme="minorEastAsia"/>
          <w:sz w:val="24"/>
          <w:szCs w:val="24"/>
        </w:rPr>
        <w:t>幕墙分包商在选择和安装每项材料时，应确保其在设计使用年限内与周边材料和其它会影响到的材料和构件相配并相容。</w:t>
      </w:r>
    </w:p>
    <w:p w14:paraId="24A06CE1">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.8</w:t>
      </w:r>
      <w:r>
        <w:rPr>
          <w:rFonts w:hint="eastAsia" w:asciiTheme="minorEastAsia" w:hAnsiTheme="minorEastAsia" w:eastAsiaTheme="minorEastAsia" w:cstheme="minorEastAsia"/>
          <w:sz w:val="24"/>
          <w:szCs w:val="24"/>
        </w:rPr>
        <w:t>定标后，或幕墙分包商提交材料时应提交一份本合同文件内没有指定使用的材料列表。这些材料都应符合合同文件的要求。</w:t>
      </w:r>
    </w:p>
    <w:p w14:paraId="623DAF95">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.9</w:t>
      </w:r>
      <w:r>
        <w:rPr>
          <w:rFonts w:hint="eastAsia" w:asciiTheme="minorEastAsia" w:hAnsiTheme="minorEastAsia" w:eastAsiaTheme="minorEastAsia" w:cstheme="minorEastAsia"/>
          <w:sz w:val="24"/>
          <w:szCs w:val="24"/>
        </w:rPr>
        <w:t xml:space="preserve"> 在构件装配需要时（不论是出于外观或功能要求），可能需要采用更为严格的误差标准，包括铝合金型材、铝板、锁扣形状、玻璃密封胶条及玻璃等。</w:t>
      </w:r>
    </w:p>
    <w:p w14:paraId="498777D3">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.10</w:t>
      </w:r>
      <w:r>
        <w:rPr>
          <w:rFonts w:hint="eastAsia" w:asciiTheme="minorEastAsia" w:hAnsiTheme="minorEastAsia" w:eastAsiaTheme="minorEastAsia" w:cstheme="minorEastAsia"/>
          <w:sz w:val="24"/>
          <w:szCs w:val="24"/>
        </w:rPr>
        <w:t>合同文件没有指定使用的材料在使用前要得到业主及设计单位批准。</w:t>
      </w:r>
    </w:p>
    <w:p w14:paraId="599FD9EC">
      <w:pPr>
        <w:widowControl/>
        <w:ind w:left="0" w:firstLine="0"/>
        <w:jc w:val="left"/>
        <w:outlineLvl w:val="1"/>
        <w:rPr>
          <w:rFonts w:hint="eastAsia"/>
          <w:b/>
          <w:color w:val="auto"/>
          <w:sz w:val="24"/>
          <w:highlight w:val="none"/>
          <w:lang w:val="en-US" w:eastAsia="zh-CN"/>
        </w:rPr>
      </w:pPr>
      <w:bookmarkStart w:id="51" w:name="_Toc520909631"/>
      <w:bookmarkStart w:id="52" w:name="_Toc19150"/>
      <w:bookmarkStart w:id="53" w:name="_Toc10666"/>
      <w:r>
        <w:rPr>
          <w:rFonts w:hint="eastAsia"/>
          <w:b/>
          <w:color w:val="auto"/>
          <w:sz w:val="24"/>
          <w:highlight w:val="none"/>
          <w:lang w:val="en-US" w:eastAsia="zh-CN"/>
        </w:rPr>
        <w:t>2.5 材料及系统构配件</w:t>
      </w:r>
      <w:bookmarkEnd w:id="51"/>
      <w:bookmarkEnd w:id="52"/>
      <w:bookmarkEnd w:id="53"/>
    </w:p>
    <w:p w14:paraId="5139991B">
      <w:pPr>
        <w:spacing w:line="360" w:lineRule="auto"/>
        <w:ind w:left="0" w:leftChars="0" w:firstLine="241" w:firstLineChars="1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5.2.1玻璃</w:t>
      </w:r>
    </w:p>
    <w:p w14:paraId="2303E5AA">
      <w:pPr>
        <w:numPr>
          <w:ilvl w:val="0"/>
          <w:numId w:val="4"/>
        </w:numPr>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本工程选用的玻璃均为优等品，且满足以下技术要求：</w:t>
      </w:r>
    </w:p>
    <w:p w14:paraId="57B1FC8E">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玻璃原片均采用优质浮法玻璃，质量要求满足《</w:t>
      </w:r>
      <w:r>
        <w:rPr>
          <w:rFonts w:hint="eastAsia" w:asciiTheme="minorEastAsia" w:hAnsiTheme="minorEastAsia" w:eastAsiaTheme="minorEastAsia" w:cstheme="minorEastAsia"/>
          <w:kern w:val="0"/>
          <w:sz w:val="24"/>
          <w:szCs w:val="24"/>
          <w:lang w:val="en-US" w:eastAsia="zh-CN"/>
        </w:rPr>
        <w:t>平板</w:t>
      </w:r>
      <w:r>
        <w:rPr>
          <w:rFonts w:hint="eastAsia" w:asciiTheme="minorEastAsia" w:hAnsiTheme="minorEastAsia" w:eastAsiaTheme="minorEastAsia" w:cstheme="minorEastAsia"/>
          <w:kern w:val="0"/>
          <w:sz w:val="24"/>
          <w:szCs w:val="24"/>
        </w:rPr>
        <w:t>玻璃》GB11614-20</w:t>
      </w:r>
      <w:r>
        <w:rPr>
          <w:rFonts w:hint="eastAsia" w:asciiTheme="minorEastAsia" w:hAnsiTheme="minorEastAsia" w:eastAsiaTheme="minorEastAsia" w:cstheme="minorEastAsia"/>
          <w:kern w:val="0"/>
          <w:sz w:val="24"/>
          <w:szCs w:val="24"/>
          <w:lang w:val="en-US" w:eastAsia="zh-CN"/>
        </w:rPr>
        <w:t>22</w:t>
      </w:r>
      <w:r>
        <w:rPr>
          <w:rFonts w:hint="eastAsia" w:asciiTheme="minorEastAsia" w:hAnsiTheme="minorEastAsia" w:eastAsiaTheme="minorEastAsia" w:cstheme="minorEastAsia"/>
          <w:kern w:val="0"/>
          <w:sz w:val="24"/>
          <w:szCs w:val="24"/>
        </w:rPr>
        <w:t>的优等品要求；</w:t>
      </w:r>
    </w:p>
    <w:p w14:paraId="6FF2717C">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钢化玻璃在钢化处理前进行倒棱和倒角处理，应三边细磨边，质量要求满足《</w:t>
      </w:r>
      <w:r>
        <w:rPr>
          <w:rFonts w:hint="eastAsia" w:asciiTheme="minorEastAsia" w:hAnsiTheme="minorEastAsia" w:eastAsiaTheme="minorEastAsia" w:cstheme="minorEastAsia"/>
          <w:kern w:val="0"/>
          <w:sz w:val="24"/>
          <w:szCs w:val="24"/>
          <w:lang w:val="en-US" w:eastAsia="zh-CN"/>
        </w:rPr>
        <w:t>建筑用安全玻璃第二部分：</w:t>
      </w:r>
      <w:r>
        <w:rPr>
          <w:rFonts w:hint="eastAsia" w:asciiTheme="minorEastAsia" w:hAnsiTheme="minorEastAsia" w:eastAsiaTheme="minorEastAsia" w:cstheme="minorEastAsia"/>
          <w:kern w:val="0"/>
          <w:sz w:val="24"/>
          <w:szCs w:val="24"/>
        </w:rPr>
        <w:t>钢化玻璃》GB</w:t>
      </w:r>
      <w:r>
        <w:rPr>
          <w:rFonts w:hint="eastAsia" w:asciiTheme="minorEastAsia" w:hAnsiTheme="minorEastAsia" w:eastAsiaTheme="minorEastAsia" w:cstheme="minorEastAsia"/>
          <w:kern w:val="0"/>
          <w:sz w:val="24"/>
          <w:szCs w:val="24"/>
          <w:lang w:val="en-US" w:eastAsia="zh-CN"/>
        </w:rPr>
        <w:t xml:space="preserve"> 15763.2-2005</w:t>
      </w:r>
      <w:r>
        <w:rPr>
          <w:rFonts w:hint="eastAsia" w:asciiTheme="minorEastAsia" w:hAnsiTheme="minorEastAsia" w:eastAsiaTheme="minorEastAsia" w:cstheme="minorEastAsia"/>
          <w:kern w:val="0"/>
          <w:sz w:val="24"/>
          <w:szCs w:val="24"/>
        </w:rPr>
        <w:t>的相关要求；</w:t>
      </w:r>
    </w:p>
    <w:p w14:paraId="44926D95">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c.</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钢化玻璃的钢化度不应过高，其碎片颗粒应控制在40~90颗/50mmx50mm范围内，钢化玻璃表面压力差小于15MPa；</w:t>
      </w:r>
    </w:p>
    <w:p w14:paraId="1C71493F">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d.</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幕墙用中空玻璃采用双道密封。用丁基热熔胶用第一道密封，用硅酮胶做第二道密封；</w:t>
      </w:r>
    </w:p>
    <w:p w14:paraId="589974F0">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e.</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在半隐框及点支承玻璃幕墙等，要求密封胶承受荷载作用的中空玻璃，其二道密封采用硅酮结构密封胶。中空玻璃立式合片，机械自动打胶，镀膜玻璃与胶接触的玻璃面必须去膜后施胶；</w:t>
      </w:r>
    </w:p>
    <w:p w14:paraId="25FB3560">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中空玻璃的中空铝框连续折弯一次成形，只有一道对接缝；分子筛充填，采用全密封自动灌充工艺，灌充饱和度不低于90%。中空玻璃结露点不低于-40°。质量要求满足《中空玻璃》GB/T11944-2012的相关要求；</w:t>
      </w:r>
    </w:p>
    <w:p w14:paraId="634970E8">
      <w:pPr>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g.</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夹胶玻璃均为PVB胶片干法加工合成的夹胶玻璃，合片时严格控制温度和湿度。胶片质量要求满足《</w:t>
      </w:r>
      <w:r>
        <w:rPr>
          <w:rFonts w:hint="eastAsia" w:asciiTheme="minorEastAsia" w:hAnsiTheme="minorEastAsia" w:eastAsiaTheme="minorEastAsia" w:cstheme="minorEastAsia"/>
          <w:kern w:val="0"/>
          <w:sz w:val="24"/>
          <w:szCs w:val="24"/>
          <w:lang w:val="en-US" w:eastAsia="zh-CN"/>
        </w:rPr>
        <w:t>建筑用安全玻璃 第3部分：</w:t>
      </w:r>
      <w:r>
        <w:rPr>
          <w:rFonts w:hint="eastAsia" w:asciiTheme="minorEastAsia" w:hAnsiTheme="minorEastAsia" w:eastAsiaTheme="minorEastAsia" w:cstheme="minorEastAsia"/>
          <w:kern w:val="0"/>
          <w:sz w:val="24"/>
          <w:szCs w:val="24"/>
        </w:rPr>
        <w:t>夹层玻璃》GB</w:t>
      </w:r>
      <w:r>
        <w:rPr>
          <w:rFonts w:hint="eastAsia" w:asciiTheme="minorEastAsia" w:hAnsiTheme="minorEastAsia" w:eastAsiaTheme="minorEastAsia" w:cstheme="minorEastAsia"/>
          <w:kern w:val="0"/>
          <w:sz w:val="24"/>
          <w:szCs w:val="24"/>
          <w:lang w:val="en-US" w:eastAsia="zh-CN"/>
        </w:rPr>
        <w:t xml:space="preserve"> 15763.3</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en-US" w:eastAsia="zh-CN"/>
        </w:rPr>
        <w:t>2009</w:t>
      </w:r>
      <w:r>
        <w:rPr>
          <w:rFonts w:hint="eastAsia" w:asciiTheme="minorEastAsia" w:hAnsiTheme="minorEastAsia" w:eastAsiaTheme="minorEastAsia" w:cstheme="minorEastAsia"/>
          <w:kern w:val="0"/>
          <w:sz w:val="24"/>
          <w:szCs w:val="24"/>
        </w:rPr>
        <w:t>的相关要求。</w:t>
      </w:r>
    </w:p>
    <w:tbl>
      <w:tblPr>
        <w:tblStyle w:val="12"/>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1"/>
        <w:gridCol w:w="4740"/>
        <w:gridCol w:w="2460"/>
        <w:gridCol w:w="765"/>
      </w:tblGrid>
      <w:tr w14:paraId="2224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1051" w:type="dxa"/>
            <w:tcMar>
              <w:top w:w="15" w:type="dxa"/>
              <w:left w:w="15" w:type="dxa"/>
              <w:right w:w="15" w:type="dxa"/>
            </w:tcMar>
            <w:vAlign w:val="center"/>
          </w:tcPr>
          <w:p w14:paraId="2B7BED26">
            <w:pPr>
              <w:widowControl/>
              <w:spacing w:line="240" w:lineRule="auto"/>
              <w:ind w:left="0" w:leftChars="0" w:firstLine="0" w:firstLineChars="0"/>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编号</w:t>
            </w:r>
          </w:p>
        </w:tc>
        <w:tc>
          <w:tcPr>
            <w:tcW w:w="4740" w:type="dxa"/>
            <w:tcMar>
              <w:top w:w="15" w:type="dxa"/>
              <w:left w:w="15" w:type="dxa"/>
              <w:right w:w="15" w:type="dxa"/>
            </w:tcMar>
            <w:vAlign w:val="center"/>
          </w:tcPr>
          <w:p w14:paraId="0A7DABD5">
            <w:pPr>
              <w:widowControl/>
              <w:spacing w:line="240" w:lineRule="auto"/>
              <w:ind w:left="0" w:leftChars="0" w:firstLine="0" w:firstLineChars="0"/>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lang w:val="en-US" w:eastAsia="zh-CN"/>
              </w:rPr>
              <w:t>玻璃</w:t>
            </w:r>
            <w:r>
              <w:rPr>
                <w:rFonts w:hint="eastAsia" w:asciiTheme="minorEastAsia" w:hAnsiTheme="minorEastAsia" w:eastAsiaTheme="minorEastAsia" w:cstheme="minorEastAsia"/>
                <w:b/>
                <w:kern w:val="0"/>
                <w:sz w:val="24"/>
                <w:szCs w:val="24"/>
              </w:rPr>
              <w:t>配置</w:t>
            </w:r>
          </w:p>
        </w:tc>
        <w:tc>
          <w:tcPr>
            <w:tcW w:w="2460" w:type="dxa"/>
            <w:tcMar>
              <w:top w:w="15" w:type="dxa"/>
              <w:left w:w="15" w:type="dxa"/>
              <w:right w:w="15" w:type="dxa"/>
            </w:tcMar>
            <w:vAlign w:val="center"/>
          </w:tcPr>
          <w:p w14:paraId="7782C3BD">
            <w:pPr>
              <w:widowControl/>
              <w:spacing w:line="240" w:lineRule="auto"/>
              <w:ind w:left="0" w:leftChars="0" w:firstLine="0" w:firstLineChars="0"/>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位置</w:t>
            </w:r>
          </w:p>
        </w:tc>
        <w:tc>
          <w:tcPr>
            <w:tcW w:w="765" w:type="dxa"/>
            <w:tcMar>
              <w:top w:w="15" w:type="dxa"/>
              <w:left w:w="15" w:type="dxa"/>
              <w:right w:w="15" w:type="dxa"/>
            </w:tcMar>
            <w:vAlign w:val="center"/>
          </w:tcPr>
          <w:p w14:paraId="0C85C0EE">
            <w:pPr>
              <w:spacing w:line="240" w:lineRule="auto"/>
              <w:ind w:left="0" w:leftChars="0" w:firstLine="0" w:firstLineChars="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kern w:val="0"/>
                <w:sz w:val="24"/>
                <w:szCs w:val="24"/>
                <w:lang w:val="en-US" w:eastAsia="zh-CN"/>
              </w:rPr>
              <w:t>节能</w:t>
            </w:r>
          </w:p>
        </w:tc>
      </w:tr>
      <w:tr w14:paraId="28FB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1051" w:type="dxa"/>
            <w:tcMar>
              <w:top w:w="15" w:type="dxa"/>
              <w:left w:w="15" w:type="dxa"/>
              <w:right w:w="15" w:type="dxa"/>
            </w:tcMar>
            <w:vAlign w:val="center"/>
          </w:tcPr>
          <w:p w14:paraId="0B2199B8">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GL-01</w:t>
            </w:r>
          </w:p>
        </w:tc>
        <w:tc>
          <w:tcPr>
            <w:tcW w:w="4740" w:type="dxa"/>
            <w:tcMar>
              <w:top w:w="15" w:type="dxa"/>
              <w:left w:w="15" w:type="dxa"/>
              <w:right w:w="15" w:type="dxa"/>
            </w:tcMar>
            <w:vAlign w:val="center"/>
          </w:tcPr>
          <w:p w14:paraId="49711B2F">
            <w:pPr>
              <w:spacing w:line="24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8HS普白（彩釉） +1.52PVB+8HS 普白（双银Low-E） +12A+12TP超白夹胶中空彩釉钢化玻璃</w:t>
            </w:r>
          </w:p>
        </w:tc>
        <w:tc>
          <w:tcPr>
            <w:tcW w:w="2460" w:type="dxa"/>
            <w:tcMar>
              <w:top w:w="15" w:type="dxa"/>
              <w:left w:w="15" w:type="dxa"/>
              <w:right w:w="15" w:type="dxa"/>
            </w:tcMar>
            <w:vAlign w:val="center"/>
          </w:tcPr>
          <w:p w14:paraId="6B1F69D4">
            <w:pPr>
              <w:spacing w:line="24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首二层横明竖隐玻璃幕墙系统地面第一块玻璃</w:t>
            </w:r>
          </w:p>
        </w:tc>
        <w:tc>
          <w:tcPr>
            <w:tcW w:w="765" w:type="dxa"/>
            <w:tcMar>
              <w:top w:w="15" w:type="dxa"/>
              <w:left w:w="15" w:type="dxa"/>
              <w:right w:w="15" w:type="dxa"/>
            </w:tcMar>
            <w:vAlign w:val="center"/>
          </w:tcPr>
          <w:p w14:paraId="6DFD2829">
            <w:pPr>
              <w:spacing w:line="360" w:lineRule="auto"/>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w:t>
            </w:r>
          </w:p>
        </w:tc>
      </w:tr>
      <w:tr w14:paraId="4729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1051" w:type="dxa"/>
            <w:tcMar>
              <w:top w:w="15" w:type="dxa"/>
              <w:left w:w="15" w:type="dxa"/>
              <w:right w:w="15" w:type="dxa"/>
            </w:tcMar>
            <w:vAlign w:val="center"/>
          </w:tcPr>
          <w:p w14:paraId="78B51527">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GL-02</w:t>
            </w:r>
          </w:p>
        </w:tc>
        <w:tc>
          <w:tcPr>
            <w:tcW w:w="4740" w:type="dxa"/>
            <w:tcMar>
              <w:top w:w="15" w:type="dxa"/>
              <w:left w:w="15" w:type="dxa"/>
              <w:right w:w="15" w:type="dxa"/>
            </w:tcMar>
            <w:vAlign w:val="center"/>
          </w:tcPr>
          <w:p w14:paraId="7DFF482B">
            <w:pPr>
              <w:spacing w:line="24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8HS普白（彩釉） +1.52PVB+8HS 普白（双银Low-E） +12A+12TP普白夹胶中空彩釉钢化玻璃</w:t>
            </w:r>
          </w:p>
        </w:tc>
        <w:tc>
          <w:tcPr>
            <w:tcW w:w="2460" w:type="dxa"/>
            <w:tcMar>
              <w:top w:w="15" w:type="dxa"/>
              <w:left w:w="15" w:type="dxa"/>
              <w:right w:w="15" w:type="dxa"/>
            </w:tcMar>
            <w:vAlign w:val="center"/>
          </w:tcPr>
          <w:p w14:paraId="1A706730">
            <w:pPr>
              <w:spacing w:line="24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首二层横明竖隐玻璃幕墙系统地面第二块以上玻璃</w:t>
            </w:r>
          </w:p>
        </w:tc>
        <w:tc>
          <w:tcPr>
            <w:tcW w:w="765" w:type="dxa"/>
            <w:tcMar>
              <w:top w:w="15" w:type="dxa"/>
              <w:left w:w="15" w:type="dxa"/>
              <w:right w:w="15" w:type="dxa"/>
            </w:tcMar>
            <w:vAlign w:val="center"/>
          </w:tcPr>
          <w:p w14:paraId="2EF8E446">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w:t>
            </w:r>
          </w:p>
        </w:tc>
      </w:tr>
      <w:tr w14:paraId="5F96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1051" w:type="dxa"/>
            <w:tcMar>
              <w:top w:w="15" w:type="dxa"/>
              <w:left w:w="15" w:type="dxa"/>
              <w:right w:w="15" w:type="dxa"/>
            </w:tcMar>
            <w:vAlign w:val="center"/>
          </w:tcPr>
          <w:p w14:paraId="04E3672B">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GL-03</w:t>
            </w:r>
          </w:p>
        </w:tc>
        <w:tc>
          <w:tcPr>
            <w:tcW w:w="4740" w:type="dxa"/>
            <w:tcMar>
              <w:top w:w="15" w:type="dxa"/>
              <w:left w:w="15" w:type="dxa"/>
              <w:right w:w="15" w:type="dxa"/>
            </w:tcMar>
            <w:vAlign w:val="center"/>
          </w:tcPr>
          <w:p w14:paraId="4C218000">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12TP普白（双银Low-E）+12A+12TP普白中空彩釉钢化玻璃</w:t>
            </w:r>
          </w:p>
        </w:tc>
        <w:tc>
          <w:tcPr>
            <w:tcW w:w="2460" w:type="dxa"/>
            <w:tcMar>
              <w:top w:w="15" w:type="dxa"/>
              <w:left w:w="15" w:type="dxa"/>
              <w:right w:w="15" w:type="dxa"/>
            </w:tcMar>
            <w:vAlign w:val="center"/>
          </w:tcPr>
          <w:p w14:paraId="0D780FDA">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负一层竖明横隐幕墙玻璃</w:t>
            </w:r>
          </w:p>
        </w:tc>
        <w:tc>
          <w:tcPr>
            <w:tcW w:w="765" w:type="dxa"/>
            <w:tcMar>
              <w:top w:w="15" w:type="dxa"/>
              <w:left w:w="15" w:type="dxa"/>
              <w:right w:w="15" w:type="dxa"/>
            </w:tcMar>
            <w:vAlign w:val="center"/>
          </w:tcPr>
          <w:p w14:paraId="79C5BAAA">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w:t>
            </w:r>
          </w:p>
        </w:tc>
      </w:tr>
      <w:tr w14:paraId="37C9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648133DF">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GL-04</w:t>
            </w:r>
          </w:p>
        </w:tc>
        <w:tc>
          <w:tcPr>
            <w:tcW w:w="4740" w:type="dxa"/>
            <w:tcMar>
              <w:top w:w="15" w:type="dxa"/>
              <w:left w:w="15" w:type="dxa"/>
              <w:right w:w="15" w:type="dxa"/>
            </w:tcMar>
            <w:vAlign w:val="center"/>
          </w:tcPr>
          <w:p w14:paraId="378AE6F6">
            <w:pPr>
              <w:spacing w:line="24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12TP（双银Low-E）+12A+12TP全超白中空钢化玻璃</w:t>
            </w:r>
          </w:p>
        </w:tc>
        <w:tc>
          <w:tcPr>
            <w:tcW w:w="2460" w:type="dxa"/>
            <w:tcMar>
              <w:top w:w="15" w:type="dxa"/>
              <w:left w:w="15" w:type="dxa"/>
              <w:right w:w="15" w:type="dxa"/>
            </w:tcMar>
            <w:vAlign w:val="center"/>
          </w:tcPr>
          <w:p w14:paraId="57822990">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内场包厢全玻璃幕墙系统二层包厢</w:t>
            </w:r>
          </w:p>
        </w:tc>
        <w:tc>
          <w:tcPr>
            <w:tcW w:w="765" w:type="dxa"/>
            <w:tcMar>
              <w:top w:w="15" w:type="dxa"/>
              <w:left w:w="15" w:type="dxa"/>
              <w:right w:w="15" w:type="dxa"/>
            </w:tcMar>
            <w:vAlign w:val="center"/>
          </w:tcPr>
          <w:p w14:paraId="1C1CFBD8">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w:t>
            </w:r>
          </w:p>
        </w:tc>
      </w:tr>
      <w:tr w14:paraId="253D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26F93D3B">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kern w:val="0"/>
                <w:sz w:val="24"/>
                <w:szCs w:val="24"/>
              </w:rPr>
              <w:t>GL-0</w:t>
            </w:r>
            <w:r>
              <w:rPr>
                <w:rFonts w:hint="eastAsia" w:asciiTheme="minorEastAsia" w:hAnsiTheme="minorEastAsia" w:eastAsiaTheme="minorEastAsia" w:cstheme="minorEastAsia"/>
                <w:kern w:val="0"/>
                <w:sz w:val="24"/>
                <w:szCs w:val="24"/>
                <w:lang w:val="en-US" w:eastAsia="zh-CN"/>
              </w:rPr>
              <w:t>5</w:t>
            </w:r>
          </w:p>
        </w:tc>
        <w:tc>
          <w:tcPr>
            <w:tcW w:w="4740" w:type="dxa"/>
            <w:tcMar>
              <w:top w:w="15" w:type="dxa"/>
              <w:left w:w="15" w:type="dxa"/>
              <w:right w:w="15" w:type="dxa"/>
            </w:tcMar>
            <w:vAlign w:val="center"/>
          </w:tcPr>
          <w:p w14:paraId="306E8CD1">
            <w:pPr>
              <w:spacing w:line="24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10TP+2.28SGP+10TP（双银Low-E）+12A+10TP+2.28SGP+10TP双夹胶全超白中空钢化玻璃</w:t>
            </w:r>
          </w:p>
        </w:tc>
        <w:tc>
          <w:tcPr>
            <w:tcW w:w="2460" w:type="dxa"/>
            <w:tcMar>
              <w:top w:w="15" w:type="dxa"/>
              <w:left w:w="15" w:type="dxa"/>
              <w:right w:w="15" w:type="dxa"/>
            </w:tcMar>
            <w:vAlign w:val="center"/>
          </w:tcPr>
          <w:p w14:paraId="3D88AE67">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内场包厢全玻璃幕墙系统三层包厢</w:t>
            </w:r>
          </w:p>
        </w:tc>
        <w:tc>
          <w:tcPr>
            <w:tcW w:w="765" w:type="dxa"/>
            <w:tcMar>
              <w:top w:w="15" w:type="dxa"/>
              <w:left w:w="15" w:type="dxa"/>
              <w:right w:w="15" w:type="dxa"/>
            </w:tcMar>
            <w:vAlign w:val="center"/>
          </w:tcPr>
          <w:p w14:paraId="1152DCC4">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w:t>
            </w:r>
          </w:p>
        </w:tc>
      </w:tr>
      <w:tr w14:paraId="30E8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5630F18D">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GL-06</w:t>
            </w:r>
          </w:p>
        </w:tc>
        <w:tc>
          <w:tcPr>
            <w:tcW w:w="4740" w:type="dxa"/>
            <w:tcMar>
              <w:top w:w="15" w:type="dxa"/>
              <w:left w:w="15" w:type="dxa"/>
              <w:right w:w="15" w:type="dxa"/>
            </w:tcMar>
            <w:vAlign w:val="center"/>
          </w:tcPr>
          <w:p w14:paraId="5DDCD965">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15TP钢化玻璃（包厢玻璃门为超白玻璃）</w:t>
            </w:r>
          </w:p>
        </w:tc>
        <w:tc>
          <w:tcPr>
            <w:tcW w:w="2460" w:type="dxa"/>
            <w:tcMar>
              <w:top w:w="15" w:type="dxa"/>
              <w:left w:w="15" w:type="dxa"/>
              <w:right w:w="15" w:type="dxa"/>
            </w:tcMar>
            <w:vAlign w:val="center"/>
          </w:tcPr>
          <w:p w14:paraId="119C5A3F">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门玻璃</w:t>
            </w:r>
          </w:p>
        </w:tc>
        <w:tc>
          <w:tcPr>
            <w:tcW w:w="765" w:type="dxa"/>
            <w:tcMar>
              <w:top w:w="15" w:type="dxa"/>
              <w:left w:w="15" w:type="dxa"/>
              <w:right w:w="15" w:type="dxa"/>
            </w:tcMar>
            <w:vAlign w:val="center"/>
          </w:tcPr>
          <w:p w14:paraId="22F244B3">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6FE5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5945EE66">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GL-0</w:t>
            </w:r>
            <w:r>
              <w:rPr>
                <w:rFonts w:hint="eastAsia" w:asciiTheme="minorEastAsia" w:hAnsiTheme="minorEastAsia" w:eastAsiaTheme="minorEastAsia" w:cstheme="minorEastAsia"/>
                <w:kern w:val="0"/>
                <w:sz w:val="24"/>
                <w:szCs w:val="24"/>
                <w:lang w:val="en-US" w:eastAsia="zh-CN"/>
              </w:rPr>
              <w:t>7</w:t>
            </w:r>
          </w:p>
        </w:tc>
        <w:tc>
          <w:tcPr>
            <w:tcW w:w="4740" w:type="dxa"/>
            <w:tcMar>
              <w:top w:w="15" w:type="dxa"/>
              <w:left w:w="15" w:type="dxa"/>
              <w:right w:w="15" w:type="dxa"/>
            </w:tcMar>
            <w:vAlign w:val="center"/>
          </w:tcPr>
          <w:p w14:paraId="19663FA8">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8TP超白（双银Low-E）+12A+8TP超白中空钢化玻璃</w:t>
            </w:r>
          </w:p>
        </w:tc>
        <w:tc>
          <w:tcPr>
            <w:tcW w:w="2460" w:type="dxa"/>
            <w:tcMar>
              <w:top w:w="15" w:type="dxa"/>
              <w:left w:w="15" w:type="dxa"/>
              <w:right w:w="15" w:type="dxa"/>
            </w:tcMar>
            <w:vAlign w:val="center"/>
          </w:tcPr>
          <w:p w14:paraId="3CE497B6">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三层室内幕墙玻璃</w:t>
            </w:r>
          </w:p>
        </w:tc>
        <w:tc>
          <w:tcPr>
            <w:tcW w:w="765" w:type="dxa"/>
            <w:tcMar>
              <w:top w:w="15" w:type="dxa"/>
              <w:left w:w="15" w:type="dxa"/>
              <w:right w:w="15" w:type="dxa"/>
            </w:tcMar>
            <w:vAlign w:val="center"/>
          </w:tcPr>
          <w:p w14:paraId="5A5B41D7">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0364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6A84C835">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GL-0</w:t>
            </w:r>
            <w:r>
              <w:rPr>
                <w:rFonts w:hint="eastAsia" w:asciiTheme="minorEastAsia" w:hAnsiTheme="minorEastAsia" w:eastAsiaTheme="minorEastAsia" w:cstheme="minorEastAsia"/>
                <w:kern w:val="0"/>
                <w:sz w:val="24"/>
                <w:szCs w:val="24"/>
                <w:lang w:val="en-US" w:eastAsia="zh-CN"/>
              </w:rPr>
              <w:t>8</w:t>
            </w:r>
          </w:p>
        </w:tc>
        <w:tc>
          <w:tcPr>
            <w:tcW w:w="4740" w:type="dxa"/>
            <w:tcMar>
              <w:top w:w="15" w:type="dxa"/>
              <w:left w:w="15" w:type="dxa"/>
              <w:right w:w="15" w:type="dxa"/>
            </w:tcMar>
            <w:vAlign w:val="center"/>
          </w:tcPr>
          <w:p w14:paraId="40730370">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10TP普白（双银Low-E）+12A+10TP普白中空钢化玻璃</w:t>
            </w:r>
          </w:p>
        </w:tc>
        <w:tc>
          <w:tcPr>
            <w:tcW w:w="2460" w:type="dxa"/>
            <w:tcMar>
              <w:top w:w="15" w:type="dxa"/>
              <w:left w:w="15" w:type="dxa"/>
              <w:right w:w="15" w:type="dxa"/>
            </w:tcMar>
            <w:vAlign w:val="center"/>
          </w:tcPr>
          <w:p w14:paraId="3976B96E">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入口门套固定玻璃</w:t>
            </w:r>
          </w:p>
        </w:tc>
        <w:tc>
          <w:tcPr>
            <w:tcW w:w="765" w:type="dxa"/>
            <w:tcMar>
              <w:top w:w="15" w:type="dxa"/>
              <w:left w:w="15" w:type="dxa"/>
              <w:right w:w="15" w:type="dxa"/>
            </w:tcMar>
            <w:vAlign w:val="center"/>
          </w:tcPr>
          <w:p w14:paraId="656FC15F">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2D27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3D86C3ED">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GL-0</w:t>
            </w:r>
            <w:r>
              <w:rPr>
                <w:rFonts w:hint="eastAsia" w:asciiTheme="minorEastAsia" w:hAnsiTheme="minorEastAsia" w:eastAsiaTheme="minorEastAsia" w:cstheme="minorEastAsia"/>
                <w:kern w:val="0"/>
                <w:sz w:val="24"/>
                <w:szCs w:val="24"/>
                <w:lang w:val="en-US" w:eastAsia="zh-CN"/>
              </w:rPr>
              <w:t>9</w:t>
            </w:r>
          </w:p>
        </w:tc>
        <w:tc>
          <w:tcPr>
            <w:tcW w:w="4740" w:type="dxa"/>
            <w:tcMar>
              <w:top w:w="15" w:type="dxa"/>
              <w:left w:w="15" w:type="dxa"/>
              <w:right w:w="15" w:type="dxa"/>
            </w:tcMar>
            <w:vAlign w:val="center"/>
          </w:tcPr>
          <w:p w14:paraId="7BA95C0F">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8HS+1.52PVB+8HS夹胶彩釉钢化玻璃</w:t>
            </w:r>
          </w:p>
        </w:tc>
        <w:tc>
          <w:tcPr>
            <w:tcW w:w="2460" w:type="dxa"/>
            <w:tcMar>
              <w:top w:w="15" w:type="dxa"/>
              <w:left w:w="15" w:type="dxa"/>
              <w:right w:w="15" w:type="dxa"/>
            </w:tcMar>
            <w:vAlign w:val="center"/>
          </w:tcPr>
          <w:p w14:paraId="03C9219E">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入口门套侧玻璃</w:t>
            </w:r>
          </w:p>
        </w:tc>
        <w:tc>
          <w:tcPr>
            <w:tcW w:w="765" w:type="dxa"/>
            <w:tcMar>
              <w:top w:w="15" w:type="dxa"/>
              <w:left w:w="15" w:type="dxa"/>
              <w:right w:w="15" w:type="dxa"/>
            </w:tcMar>
            <w:vAlign w:val="center"/>
          </w:tcPr>
          <w:p w14:paraId="7219CB0B">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251E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3277ACFC">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GL-</w:t>
            </w:r>
            <w:r>
              <w:rPr>
                <w:rFonts w:hint="eastAsia" w:asciiTheme="minorEastAsia" w:hAnsiTheme="minorEastAsia" w:eastAsiaTheme="minorEastAsia" w:cstheme="minorEastAsia"/>
                <w:kern w:val="0"/>
                <w:sz w:val="24"/>
                <w:szCs w:val="24"/>
                <w:lang w:val="en-US" w:eastAsia="zh-CN"/>
              </w:rPr>
              <w:t>10</w:t>
            </w:r>
          </w:p>
        </w:tc>
        <w:tc>
          <w:tcPr>
            <w:tcW w:w="4740" w:type="dxa"/>
            <w:tcMar>
              <w:top w:w="15" w:type="dxa"/>
              <w:left w:w="15" w:type="dxa"/>
              <w:right w:w="15" w:type="dxa"/>
            </w:tcMar>
            <w:vAlign w:val="center"/>
          </w:tcPr>
          <w:p w14:paraId="00F7D9DF">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10TP+1.52PVB+10TP普白夹胶钢化玻璃</w:t>
            </w:r>
          </w:p>
        </w:tc>
        <w:tc>
          <w:tcPr>
            <w:tcW w:w="2460" w:type="dxa"/>
            <w:tcMar>
              <w:top w:w="15" w:type="dxa"/>
              <w:left w:w="15" w:type="dxa"/>
              <w:right w:w="15" w:type="dxa"/>
            </w:tcMar>
            <w:vAlign w:val="center"/>
          </w:tcPr>
          <w:p w14:paraId="52E912A7">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室外电梯/电梯雨蓬玻璃</w:t>
            </w:r>
          </w:p>
        </w:tc>
        <w:tc>
          <w:tcPr>
            <w:tcW w:w="765" w:type="dxa"/>
            <w:tcMar>
              <w:top w:w="15" w:type="dxa"/>
              <w:left w:w="15" w:type="dxa"/>
              <w:right w:w="15" w:type="dxa"/>
            </w:tcMar>
            <w:vAlign w:val="center"/>
          </w:tcPr>
          <w:p w14:paraId="562D48E6">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6133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0C75CCB9">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rPr>
            </w:pPr>
            <w:r>
              <w:rPr>
                <w:rFonts w:hint="eastAsia" w:asciiTheme="minorEastAsia" w:hAnsiTheme="minorEastAsia" w:eastAsiaTheme="minorEastAsia" w:cstheme="minorEastAsia"/>
                <w:kern w:val="0"/>
                <w:sz w:val="24"/>
                <w:szCs w:val="24"/>
              </w:rPr>
              <w:t>GL-</w:t>
            </w:r>
            <w:r>
              <w:rPr>
                <w:rFonts w:hint="eastAsia" w:asciiTheme="minorEastAsia" w:hAnsiTheme="minorEastAsia" w:eastAsiaTheme="minorEastAsia" w:cstheme="minorEastAsia"/>
                <w:kern w:val="0"/>
                <w:sz w:val="24"/>
                <w:szCs w:val="24"/>
                <w:lang w:val="en-US" w:eastAsia="zh-CN"/>
              </w:rPr>
              <w:t>11</w:t>
            </w:r>
          </w:p>
        </w:tc>
        <w:tc>
          <w:tcPr>
            <w:tcW w:w="4740" w:type="dxa"/>
            <w:tcMar>
              <w:top w:w="15" w:type="dxa"/>
              <w:left w:w="15" w:type="dxa"/>
              <w:right w:w="15" w:type="dxa"/>
            </w:tcMar>
            <w:vAlign w:val="center"/>
          </w:tcPr>
          <w:p w14:paraId="71E84AF3">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6TP+12A+6TP普白中空钢化玻璃（局部彩釉玻璃）</w:t>
            </w:r>
          </w:p>
        </w:tc>
        <w:tc>
          <w:tcPr>
            <w:tcW w:w="2460" w:type="dxa"/>
            <w:tcMar>
              <w:top w:w="15" w:type="dxa"/>
              <w:left w:w="15" w:type="dxa"/>
              <w:right w:w="15" w:type="dxa"/>
            </w:tcMar>
            <w:vAlign w:val="center"/>
          </w:tcPr>
          <w:p w14:paraId="4511E07D">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洞口门窗玻璃</w:t>
            </w:r>
          </w:p>
        </w:tc>
        <w:tc>
          <w:tcPr>
            <w:tcW w:w="765" w:type="dxa"/>
            <w:tcMar>
              <w:top w:w="15" w:type="dxa"/>
              <w:left w:w="15" w:type="dxa"/>
              <w:right w:w="15" w:type="dxa"/>
            </w:tcMar>
            <w:vAlign w:val="center"/>
          </w:tcPr>
          <w:p w14:paraId="09A1399D">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235E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46961CD9">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rPr>
            </w:pPr>
            <w:r>
              <w:rPr>
                <w:rFonts w:hint="eastAsia" w:asciiTheme="minorEastAsia" w:hAnsiTheme="minorEastAsia" w:eastAsiaTheme="minorEastAsia" w:cstheme="minorEastAsia"/>
                <w:kern w:val="0"/>
                <w:sz w:val="24"/>
                <w:szCs w:val="24"/>
              </w:rPr>
              <w:t>GL-</w:t>
            </w:r>
            <w:r>
              <w:rPr>
                <w:rFonts w:hint="eastAsia" w:asciiTheme="minorEastAsia" w:hAnsiTheme="minorEastAsia" w:eastAsiaTheme="minorEastAsia" w:cstheme="minorEastAsia"/>
                <w:kern w:val="0"/>
                <w:sz w:val="24"/>
                <w:szCs w:val="24"/>
                <w:lang w:val="en-US" w:eastAsia="zh-CN"/>
              </w:rPr>
              <w:t>12</w:t>
            </w:r>
          </w:p>
        </w:tc>
        <w:tc>
          <w:tcPr>
            <w:tcW w:w="4740" w:type="dxa"/>
            <w:tcMar>
              <w:top w:w="15" w:type="dxa"/>
              <w:left w:w="15" w:type="dxa"/>
              <w:right w:w="15" w:type="dxa"/>
            </w:tcMar>
            <w:vAlign w:val="center"/>
          </w:tcPr>
          <w:p w14:paraId="7A352768">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A类1.5小时中空防火玻璃（彩釉）</w:t>
            </w:r>
          </w:p>
        </w:tc>
        <w:tc>
          <w:tcPr>
            <w:tcW w:w="2460" w:type="dxa"/>
            <w:tcMar>
              <w:top w:w="15" w:type="dxa"/>
              <w:left w:w="15" w:type="dxa"/>
              <w:right w:w="15" w:type="dxa"/>
            </w:tcMar>
            <w:vAlign w:val="center"/>
          </w:tcPr>
          <w:p w14:paraId="2894A2C8">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三层西侧防火幕墙玻璃</w:t>
            </w:r>
          </w:p>
        </w:tc>
        <w:tc>
          <w:tcPr>
            <w:tcW w:w="765" w:type="dxa"/>
            <w:tcMar>
              <w:top w:w="15" w:type="dxa"/>
              <w:left w:w="15" w:type="dxa"/>
              <w:right w:w="15" w:type="dxa"/>
            </w:tcMar>
            <w:vAlign w:val="center"/>
          </w:tcPr>
          <w:p w14:paraId="08FD4E19">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627F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1FB962EE">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rPr>
            </w:pPr>
            <w:r>
              <w:rPr>
                <w:rFonts w:hint="eastAsia" w:asciiTheme="minorEastAsia" w:hAnsiTheme="minorEastAsia" w:eastAsiaTheme="minorEastAsia" w:cstheme="minorEastAsia"/>
                <w:kern w:val="0"/>
                <w:sz w:val="24"/>
                <w:szCs w:val="24"/>
              </w:rPr>
              <w:t>GL-</w:t>
            </w:r>
            <w:r>
              <w:rPr>
                <w:rFonts w:hint="eastAsia" w:asciiTheme="minorEastAsia" w:hAnsiTheme="minorEastAsia" w:eastAsiaTheme="minorEastAsia" w:cstheme="minorEastAsia"/>
                <w:kern w:val="0"/>
                <w:sz w:val="24"/>
                <w:szCs w:val="24"/>
                <w:lang w:val="en-US" w:eastAsia="zh-CN"/>
              </w:rPr>
              <w:t>13</w:t>
            </w:r>
          </w:p>
        </w:tc>
        <w:tc>
          <w:tcPr>
            <w:tcW w:w="4740" w:type="dxa"/>
            <w:tcMar>
              <w:top w:w="15" w:type="dxa"/>
              <w:left w:w="15" w:type="dxa"/>
              <w:right w:w="15" w:type="dxa"/>
            </w:tcMar>
            <w:vAlign w:val="center"/>
          </w:tcPr>
          <w:p w14:paraId="05FBC86A">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A类1.5小时中空防火玻璃</w:t>
            </w:r>
          </w:p>
        </w:tc>
        <w:tc>
          <w:tcPr>
            <w:tcW w:w="2460" w:type="dxa"/>
            <w:tcMar>
              <w:top w:w="15" w:type="dxa"/>
              <w:left w:w="15" w:type="dxa"/>
              <w:right w:w="15" w:type="dxa"/>
            </w:tcMar>
            <w:vAlign w:val="center"/>
          </w:tcPr>
          <w:p w14:paraId="305587FF">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三层东侧/四层防火幕墙玻璃</w:t>
            </w:r>
          </w:p>
        </w:tc>
        <w:tc>
          <w:tcPr>
            <w:tcW w:w="765" w:type="dxa"/>
            <w:tcMar>
              <w:top w:w="15" w:type="dxa"/>
              <w:left w:w="15" w:type="dxa"/>
              <w:right w:w="15" w:type="dxa"/>
            </w:tcMar>
            <w:vAlign w:val="center"/>
          </w:tcPr>
          <w:p w14:paraId="32952C39">
            <w:pPr>
              <w:spacing w:line="360" w:lineRule="auto"/>
              <w:ind w:left="0" w:leftChars="0"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有</w:t>
            </w:r>
          </w:p>
        </w:tc>
      </w:tr>
      <w:tr w14:paraId="5FF8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1051" w:type="dxa"/>
            <w:tcMar>
              <w:top w:w="15" w:type="dxa"/>
              <w:left w:w="15" w:type="dxa"/>
              <w:right w:w="15" w:type="dxa"/>
            </w:tcMar>
            <w:vAlign w:val="center"/>
          </w:tcPr>
          <w:p w14:paraId="06235828">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lang w:val="en-US"/>
              </w:rPr>
            </w:pPr>
            <w:r>
              <w:rPr>
                <w:rFonts w:hint="eastAsia" w:asciiTheme="minorEastAsia" w:hAnsiTheme="minorEastAsia" w:eastAsiaTheme="minorEastAsia" w:cstheme="minorEastAsia"/>
                <w:kern w:val="0"/>
                <w:sz w:val="24"/>
                <w:szCs w:val="24"/>
              </w:rPr>
              <w:t>GL-</w:t>
            </w:r>
            <w:r>
              <w:rPr>
                <w:rFonts w:hint="eastAsia" w:asciiTheme="minorEastAsia" w:hAnsiTheme="minorEastAsia" w:eastAsiaTheme="minorEastAsia" w:cstheme="minorEastAsia"/>
                <w:kern w:val="0"/>
                <w:sz w:val="24"/>
                <w:szCs w:val="24"/>
                <w:lang w:val="en-US" w:eastAsia="zh-CN"/>
              </w:rPr>
              <w:t>14</w:t>
            </w:r>
          </w:p>
        </w:tc>
        <w:tc>
          <w:tcPr>
            <w:tcW w:w="4740" w:type="dxa"/>
            <w:tcMar>
              <w:top w:w="15" w:type="dxa"/>
              <w:left w:w="15" w:type="dxa"/>
              <w:right w:w="15" w:type="dxa"/>
            </w:tcMar>
            <w:vAlign w:val="center"/>
          </w:tcPr>
          <w:p w14:paraId="16661244">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8TP+1.52PVB+8TP超白钢化夹胶玻璃</w:t>
            </w:r>
          </w:p>
        </w:tc>
        <w:tc>
          <w:tcPr>
            <w:tcW w:w="2460" w:type="dxa"/>
            <w:tcMar>
              <w:top w:w="15" w:type="dxa"/>
              <w:left w:w="15" w:type="dxa"/>
              <w:right w:w="15" w:type="dxa"/>
            </w:tcMar>
            <w:vAlign w:val="center"/>
          </w:tcPr>
          <w:p w14:paraId="1CCC6C77">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VIP包厢玻璃栏杆</w:t>
            </w:r>
          </w:p>
        </w:tc>
        <w:tc>
          <w:tcPr>
            <w:tcW w:w="765" w:type="dxa"/>
            <w:tcMar>
              <w:top w:w="15" w:type="dxa"/>
              <w:left w:w="15" w:type="dxa"/>
              <w:right w:w="15" w:type="dxa"/>
            </w:tcMar>
            <w:vAlign w:val="center"/>
          </w:tcPr>
          <w:p w14:paraId="458E27AD">
            <w:pPr>
              <w:spacing w:line="360" w:lineRule="auto"/>
              <w:ind w:left="0" w:leftChars="0" w:firstLine="0" w:firstLineChars="0"/>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无</w:t>
            </w:r>
          </w:p>
        </w:tc>
      </w:tr>
    </w:tbl>
    <w:p w14:paraId="795131DF">
      <w:pPr>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rPr>
        <w:t xml:space="preserve"> 一般要求</w:t>
      </w:r>
    </w:p>
    <w:p w14:paraId="45031A9A">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幕墙施工图图纸上显示的玻璃厚度和尺寸为最小厚度，施工总承包（幕墙分包商）应计算所需的玻璃厚度，并应采用最小厚度的原则，须符合本技术要求和相关性能要求的规定，达到结构、环境、隔音和安全的要求，玻璃种类参见设计说明。</w:t>
      </w:r>
    </w:p>
    <w:p w14:paraId="3C051C6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施工总承包（幕墙分包商）须负责设计及计算。虽然本技术要求条款及幕墙招标图已指明玻璃的种类及最小厚度，但施工总承包（幕墙分包商）仍须确认玻璃种类及厚度，符合规范性能要求的规定。</w:t>
      </w:r>
    </w:p>
    <w:p w14:paraId="5B41E13A">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在设计风压、预期温差应力、或使用于窗间墙区域等状况下有所需要时，应采用全钢化玻璃。</w:t>
      </w:r>
    </w:p>
    <w:p w14:paraId="6489D7D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提供全尺寸视觉模型样板供建筑师审核。</w:t>
      </w:r>
    </w:p>
    <w:p w14:paraId="66AD7DE6">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测试报告应由经认可的独立测试机构提供，由幕墙承包商签认，提交由业主及设计单位认可后才可定购材料。幕墙承包商应依据当地法规，提供安全玻璃。</w:t>
      </w:r>
    </w:p>
    <w:p w14:paraId="57C2D2A5">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 Low-E中空玻璃的膜面放在中空玻璃室外片的内侧。</w:t>
      </w:r>
    </w:p>
    <w:p w14:paraId="08B60AF9">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3</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lang w:val="en-US" w:eastAsia="zh-CN"/>
        </w:rPr>
        <w:t xml:space="preserve"> </w:t>
      </w:r>
      <w:r>
        <w:rPr>
          <w:rFonts w:hint="eastAsia" w:asciiTheme="minorEastAsia" w:hAnsiTheme="minorEastAsia" w:eastAsiaTheme="minorEastAsia" w:cstheme="minorEastAsia"/>
          <w:b/>
          <w:color w:val="auto"/>
        </w:rPr>
        <w:t>玻璃的选用</w:t>
      </w:r>
    </w:p>
    <w:p w14:paraId="0A2D2195">
      <w:pPr>
        <w:pStyle w:val="37"/>
        <w:tabs>
          <w:tab w:val="left" w:pos="993"/>
          <w:tab w:val="left" w:pos="1134"/>
        </w:tabs>
        <w:spacing w:after="0"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a.</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施工总承包（幕墙分包商）应明确查核供货商能提供良好的以往业绩记录，涉及其相应的玻璃尺寸、类型及厚度，适当的质保/质检系统，符合本技术说明书中设计、制造和测试标准或业主及设计单位认可的该行业最优及最高准则。所有玻璃的供应、生产、加工和质保应出自同一厂家。</w:t>
      </w:r>
    </w:p>
    <w:p w14:paraId="547E3A01">
      <w:pPr>
        <w:pStyle w:val="37"/>
        <w:tabs>
          <w:tab w:val="left" w:pos="993"/>
          <w:tab w:val="left" w:pos="1134"/>
        </w:tabs>
        <w:spacing w:after="0"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只有在建议的玻璃厂家不能提供适当的玻璃产品时，才会考虑其它的玻璃厂家，但需经由业主及设计单位的严格审查。</w:t>
      </w:r>
    </w:p>
    <w:p w14:paraId="10DF15D1">
      <w:pPr>
        <w:pStyle w:val="37"/>
        <w:tabs>
          <w:tab w:val="left" w:pos="993"/>
          <w:tab w:val="left" w:pos="1134"/>
        </w:tabs>
        <w:spacing w:after="0"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玻璃产品应分别满足本合同的技术要求，在本工程中对这些产品的使用仍应经过业主及设计单位同意。</w:t>
      </w:r>
    </w:p>
    <w:p w14:paraId="4289B7B4">
      <w:pPr>
        <w:pStyle w:val="37"/>
        <w:tabs>
          <w:tab w:val="left" w:pos="993"/>
          <w:tab w:val="left" w:pos="1134"/>
        </w:tabs>
        <w:spacing w:after="0"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所有玻璃应出自同一货源，幕墙承包商同时应在订货前提供详细资料，说明如何可以保证立面颜色的一致性。</w:t>
      </w:r>
    </w:p>
    <w:p w14:paraId="642F3D5B">
      <w:pPr>
        <w:pStyle w:val="37"/>
        <w:tabs>
          <w:tab w:val="left" w:pos="993"/>
          <w:tab w:val="left" w:pos="1134"/>
        </w:tabs>
        <w:spacing w:after="0"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若其它原因造成玻璃破损而需要更换时，应使用与破损玻璃相同的来自相同厂家的玻璃来更换。</w:t>
      </w:r>
    </w:p>
    <w:p w14:paraId="0856DFFC">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4</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浮法玻璃</w:t>
      </w:r>
    </w:p>
    <w:p w14:paraId="2F1B59C5">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浮法玻璃须符合国家和行业规范的标准。一般玻璃的边缘品质要求如下：</w:t>
      </w:r>
    </w:p>
    <w:p w14:paraId="0174884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a.锐裂沟的深度不得超出玻璃厚度的一半。</w:t>
      </w:r>
    </w:p>
    <w:p w14:paraId="79888CD3">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b.锯状细裂沟仅在角落且长度不许超过150mm。</w:t>
      </w:r>
    </w:p>
    <w:p w14:paraId="07829735">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c.玻璃板片边缘的突出部份不得超过0.8mm，此突出部份的测量应垂直并横跨于边缘表面。突出部份不得发生在玻璃的支承橡胶块。</w:t>
      </w:r>
    </w:p>
    <w:p w14:paraId="03EDCDFA">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d.玻璃板片边缘的倒角不得超过1.6mm。</w:t>
      </w:r>
    </w:p>
    <w:p w14:paraId="3803F241">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e.玻璃边缘的鳞片状凹痕只允许发生在距玻璃转角200mm以内。鳞片状凹的深度不许超过0.8mm，且直径或长度不许超过6.4mm.</w:t>
      </w:r>
    </w:p>
    <w:p w14:paraId="1BD322FD">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5</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钢化平板玻璃</w:t>
      </w:r>
    </w:p>
    <w:p w14:paraId="71E8E9A6">
      <w:pPr>
        <w:pStyle w:val="31"/>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使用的全钢化玻璃，须符合本技术要求条款浮法玻璃规定。除特别说明外，全钢化平板玻璃须国家和行业规范的标准。玻璃制造商应检查钢化玻璃并剔除超过下述容许误差的玻璃：</w:t>
      </w:r>
    </w:p>
    <w:p w14:paraId="4CEB8A80">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a.总弯曲量不得超过：610mm内为1.6mm；1525mm内为3.2mm；3050mm内为6.4mm；4575mm内为9.5mm。</w:t>
      </w:r>
    </w:p>
    <w:p w14:paraId="775F9457">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b.波浪状变形不得超过：玻璃经热处理后所造成的波浪状变形，其峰顶至峰谷的距离不得超过0.076mm；相邻峰顶的距离不得超0.040mm。当曲度及波浪状变形的变形量不一致时，应采用较严格的标准。</w:t>
      </w:r>
    </w:p>
    <w:p w14:paraId="72CB0799">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c.玻璃热处理为水平方式时，工地安装时，波浪状变形的方向应一致。玻璃热处理为垂直方式时，工地安装时，须将夹痕隐藏。波纹的方向应一致，且须符建筑师及本技术要求要求的规定。</w:t>
      </w:r>
    </w:p>
    <w:p w14:paraId="58299E83">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d.热处理不应在镀膜和非镀膜玻璃上产生条纹或类似外观缺陷。</w:t>
      </w:r>
    </w:p>
    <w:p w14:paraId="28148C38">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e.高性能镀膜玻璃建议使用强制对流炉进行热处理。</w:t>
      </w:r>
    </w:p>
    <w:p w14:paraId="63A7B5D3">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f.所有经热处理的玻璃，生产厂家都应对其进行检查，更换所有不符合下列误差标准的玻璃：</w:t>
      </w:r>
    </w:p>
    <w:p w14:paraId="387BA845">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自然挠曲度超过最短边长度的0.10%的玻璃。</w:t>
      </w:r>
    </w:p>
    <w:p w14:paraId="609DDFCD">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若热处理过程使玻璃产生基本平行的辊轮印迹，凸起部分与平面的高度相差不得超过0.13mm，相邻两个印迹的高度相差不得超过0.08mm。</w:t>
      </w:r>
    </w:p>
    <w:p w14:paraId="35BCBD9A">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当挠曲度标准与辊轮印迹标准不符时，以较严格者为准。</w:t>
      </w:r>
    </w:p>
    <w:p w14:paraId="26EA4545">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辊轮印迹的方向应为水平，连续的，一致的并符合建筑设计意图。</w:t>
      </w:r>
    </w:p>
    <w:p w14:paraId="712752CF">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当钢化玻璃置于特定点光源下时，可能形成应力斑，或多色斑点。只要在自然的典型的普通环境下不出现上述现象，就有可能不视作为是产品缺陷。幕墙承包商应提交足够样品供业主及设计单位审视应力斑，并确认检测标准。玻璃的镀膜应提交样品供审核，膜层不应加重这些现象。</w:t>
      </w:r>
    </w:p>
    <w:p w14:paraId="2E428DAC">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6</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夹胶玻璃</w:t>
      </w:r>
    </w:p>
    <w:p w14:paraId="55A3172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a.使用于夹胶加工的玻璃，须符合本技术要求条款浮法玻璃及全钢化平板玻璃的规定。</w:t>
      </w:r>
    </w:p>
    <w:p w14:paraId="55FB73D6">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b.除特别说明外，夹胶玻璃须符合国家或行业规范的标准。夹胶玻璃由两片同厚度的玻璃及夹胶膜组成，夹胶膜PVB厚度不得小于1.52mm。</w:t>
      </w:r>
    </w:p>
    <w:p w14:paraId="73ECDD1F">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c.于玻璃合片前，将玻璃切割成所需尺寸及形状，胶合膜的尺寸亦需切割成所需尺寸及形状，避免胶合完成后再进行切割。组成的玻璃其边缘须平整。</w:t>
      </w:r>
    </w:p>
    <w:p w14:paraId="125E99C2">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 根据相关规范要求独立进行试验。试验应该采用本项目实际选用材料。不允许参照已经做过的试验。</w:t>
      </w:r>
    </w:p>
    <w:p w14:paraId="14DC8F68">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 按照本技术要求相关条款提供证明。</w:t>
      </w:r>
    </w:p>
    <w:p w14:paraId="2C120FED">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7</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镀膜玻璃</w:t>
      </w:r>
    </w:p>
    <w:p w14:paraId="044EAC1C">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使用于镀膜的玻璃，须符合本技术要求相关要求浮法玻璃及半钢化及全钢化平板玻璃的规定。除特别说明外，镀膜玻璃须符合规范的标准。玻璃的反射镀膜须符合下列准则：</w:t>
      </w:r>
    </w:p>
    <w:p w14:paraId="0632D3A5">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a.检查员的位置应于距玻璃3.05m处，由垂直玻璃平面的方向检视，检视时利用自然光线，其亮度须足以显示反射膜的瑕疵。</w:t>
      </w:r>
    </w:p>
    <w:p w14:paraId="55F0E606">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b.玻璃板片的中心区域是指一与玻璃透光部分同心的正方型或长方型区域。而此一区域的宽与高分别是玻璃透光部分宽与高的80%。</w:t>
      </w:r>
    </w:p>
    <w:p w14:paraId="38C72AB5">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c.玻璃片的边缘区域是指上述中心区域的四边以外到玻璃透光部分四周的区域。</w:t>
      </w:r>
    </w:p>
    <w:p w14:paraId="05D08D64">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d.针孔的直径不得大于1.0mm。</w:t>
      </w:r>
    </w:p>
    <w:p w14:paraId="45AA5481">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e.直径300mm的圆形区域内，不许发现任何直径超过1.0mm的针孔。</w:t>
      </w:r>
    </w:p>
    <w:p w14:paraId="4C334227">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f.中心区域不可发现，超过4个直径超过1mm针孔；边缘区域的针孔不可超过3个（除中心区域的允许范围外）。</w:t>
      </w:r>
    </w:p>
    <w:p w14:paraId="3ABB2470">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g.刮痕的长度不得大于50mm，或宽度大于1mm。</w:t>
      </w:r>
    </w:p>
    <w:p w14:paraId="0645BB51">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h.中心区域不可发现，超过4条最大长度为50mm，或最大宽度为1mm的刮痕；边缘区域的刮痕不可超过3条（除中心区域的允许范围外）。</w:t>
      </w:r>
    </w:p>
    <w:p w14:paraId="466C58DA">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i.反射膜上不准有从室内或室外皆看得出来不均匀的条纹或斑点。</w:t>
      </w:r>
    </w:p>
    <w:p w14:paraId="257A6A41">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j.不允许出现后热处理产生的条纹，在批量生产前提供全尺寸视觉样板供建筑师评判。</w:t>
      </w:r>
    </w:p>
    <w:p w14:paraId="534788F6">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k.反射膜的颜色，必须介于业主单位所核准样品的颜色范围的内。</w:t>
      </w:r>
    </w:p>
    <w:p w14:paraId="0E31D886">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l.涂膜不应该影响结构胶或其它密封胶的粘结性和强度。</w:t>
      </w:r>
    </w:p>
    <w:p w14:paraId="321E33AC">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8</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中空玻璃</w:t>
      </w:r>
    </w:p>
    <w:p w14:paraId="0C35D582">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a.使用于中空玻璃加工的玻璃，须符合本技术要求相关条款夹胶玻璃及全钢化平板玻璃的规定。</w:t>
      </w:r>
    </w:p>
    <w:p w14:paraId="249F9A9C">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中空玻璃应采两道边缘密封。中空玻璃密封胶应使用认可的丁基胶作第一道密封，此胶必须连续性贴着玻璃与干燥的金属背衬，尤其是角头部份，最少宽度为3.2mm。第二道密封应使用中性固化双组份硅酮结构密封胶。第二道密封应完全覆盖金属背衬，没有缝隙或气泡，两面玻璃应同时与金属背衬接合，同时满足结构计算需要。</w:t>
      </w:r>
    </w:p>
    <w:p w14:paraId="4E4978F5">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当玻璃镀膜会因水气而造成损坏时，于玻璃组装前，需将玻璃边缘部分的镀膜去除，去除范围从边缘至第一道密封，以防止水气破坏镀膜。玻璃制造商于样品送审前，须以书面说明那一片玻璃镀膜需去除。外观将以核准的样品为标准。</w:t>
      </w:r>
    </w:p>
    <w:p w14:paraId="57457196">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d.铝间隔条应填塞干燥剂，包含转角处。铝间隔条颜色需由业主单位决定。</w:t>
      </w:r>
    </w:p>
    <w:p w14:paraId="6D4E0FDA">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e.本工程系采用暖边间隔条，暖边间隔条需填充干燥剂，包括转角部位。暖边间隔条需根据建筑师颜色要求喷涂颜色。</w:t>
      </w:r>
    </w:p>
    <w:p w14:paraId="79E5665C">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f.如生产地与使用地不同，中空玻璃需提供平衡压力的呼吸装置，补偿加工地区与工地的压力差。</w:t>
      </w:r>
    </w:p>
    <w:p w14:paraId="01E1A8ED">
      <w:pPr>
        <w:pStyle w:val="31"/>
        <w:spacing w:line="360" w:lineRule="auto"/>
        <w:rPr>
          <w:rFonts w:hint="eastAsia" w:asciiTheme="minorEastAsia" w:hAnsiTheme="minorEastAsia" w:eastAsiaTheme="minorEastAsia" w:cstheme="minorEastAsia"/>
          <w:b/>
          <w:color w:val="auto"/>
          <w:lang w:val="en-US" w:eastAsia="zh-CN"/>
        </w:rPr>
      </w:pPr>
      <w:r>
        <w:rPr>
          <w:rFonts w:hint="eastAsia" w:asciiTheme="minorEastAsia" w:hAnsiTheme="minorEastAsia" w:eastAsiaTheme="minorEastAsia" w:cstheme="minorEastAsia"/>
          <w:b/>
          <w:color w:val="auto"/>
        </w:rPr>
        <w:t>9</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lang w:val="en-US" w:eastAsia="zh-CN"/>
        </w:rPr>
        <w:t>防火玻璃</w:t>
      </w:r>
    </w:p>
    <w:p w14:paraId="0558C619">
      <w:pPr>
        <w:pStyle w:val="31"/>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1）防火玻璃隔断整体要求</w:t>
      </w:r>
    </w:p>
    <w:p w14:paraId="331A0E53">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防火玻璃隔断为甲级防火玻璃隔断，整体满足耐火完整性和耐火隔热性不低于1.5h。</w:t>
      </w:r>
    </w:p>
    <w:p w14:paraId="1CEB0D3D">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2）框料要求</w:t>
      </w:r>
    </w:p>
    <w:p w14:paraId="74C368F8">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a.框料为钢质型材，腔体内填充硅酸钙板，不允许填充水泥砂浆及岩棉。</w:t>
      </w:r>
    </w:p>
    <w:p w14:paraId="3EAAAB9D">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b.框料采用经过严格冷弯工艺制造的钢型材，不得采用钢板折弯焊制料。</w:t>
      </w:r>
    </w:p>
    <w:p w14:paraId="7D01FA93">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c.钢型材必须采用锌镁镀层（98%的锌，2%的镁，镀层为130g/m²），镀锌层厚≥20μm。</w:t>
      </w:r>
    </w:p>
    <w:p w14:paraId="3B7DC001">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d.钢型材抗拉强度≥360N/mm²；断裂强度：18%。厚度≥1.5m，圆角半径≤2mm。</w:t>
      </w:r>
    </w:p>
    <w:p w14:paraId="6F62126F">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e.玻璃压条必须为钢质闭合型材且与框料是嵌入卡扣链接，框料型材上不允许打钉。</w:t>
      </w:r>
    </w:p>
    <w:p w14:paraId="0BD7FE2B">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f.框料钢型材表面平整，光滑，满足钢型材直接外露要求。不允许在框料上包铝合金。</w:t>
      </w:r>
    </w:p>
    <w:p w14:paraId="15D211E8">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g.钢型材加工必须在工厂采用专业机械设备进行加工、喷涂完毕。现场不允许切割、开空、补孔、喷涂等处理。</w:t>
      </w:r>
    </w:p>
    <w:p w14:paraId="17DC30FB">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h.钢型材表面处理为氟碳喷涂。</w:t>
      </w:r>
    </w:p>
    <w:p w14:paraId="59A6D79D">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3）防火玻璃要求</w:t>
      </w:r>
    </w:p>
    <w:p w14:paraId="40DD33BC">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a 产品须符合《建筑用安全玻璃第1部分：防火玻璃》GB15763.1-2009和《建筑用安全玻璃第2部分：钢化玻璃》GB15763.2-2005的相关规定要求。</w:t>
      </w:r>
    </w:p>
    <w:p w14:paraId="1D5741D2">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b 防火玻璃必须同时满足耐火完整性和耐火隔热性要求，并拥有国家相关专业检测机构出具的检验报告（天津所和四川所的要求为先），检验报告可在相关机构网站查询。</w:t>
      </w:r>
    </w:p>
    <w:p w14:paraId="4A28F71E">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c 防火玻璃品牌必须为原厂技术生产，有防火玻璃实体生产工厂，且须有5年以上项目供货案例。如果采用进口防火玻璃，必须提供成品防火玻璃报关单等相关进口资料。</w:t>
      </w:r>
    </w:p>
    <w:p w14:paraId="476A4D1B">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d 隔热型（A类）防火钢化玻璃，需采用复合防火硅工艺，耐候性能稳定，能应用在室外，接受长期阳光照晒，防火玻璃需有2000~5000小时耐紫外线辐照性能。外观质量优良，无气泡、水纹、杂质等，十年质保期内无发黄、泛白、流胶、起泡等外观及性能缺陷质量问题。</w:t>
      </w:r>
    </w:p>
    <w:p w14:paraId="6126C77D">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e 满足耐火完整性和耐火隔热性不低于1.5小时的要求。</w:t>
      </w:r>
    </w:p>
    <w:p w14:paraId="255F59A5">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f 防火玻璃需提供样板给设计单位和业主确认，且需提供十年以上质量保证。</w:t>
      </w:r>
    </w:p>
    <w:p w14:paraId="0E2A854B">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4）其它要求</w:t>
      </w:r>
    </w:p>
    <w:p w14:paraId="1040886E">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a 玻璃胶条必须为防火胶条，不得采用打胶防火的方式。</w:t>
      </w:r>
    </w:p>
    <w:p w14:paraId="31E53887">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b 防火系统必须有国家指定认证机构出具的防火型式检验报告（包括防火玻璃和框架系统），以及其他材料相关资质文件，可供追寻溯源。 </w:t>
      </w:r>
    </w:p>
    <w:p w14:paraId="23FDEB92">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c 防火型式检测报告内容必须有明确的防火玻璃和钢型材厂家，且需满足上述防火玻璃和防火钢框架要求。</w:t>
      </w:r>
    </w:p>
    <w:p w14:paraId="08132074">
      <w:pPr>
        <w:pStyle w:val="31"/>
        <w:spacing w:line="360" w:lineRule="auto"/>
        <w:ind w:firstLine="240" w:firstLineChars="1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d 一套防火系统必须使用一份完成的检测报告。</w:t>
      </w:r>
    </w:p>
    <w:p w14:paraId="07DCE4BD">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lang w:val="en-US" w:eastAsia="zh-CN"/>
        </w:rPr>
        <w:t>10</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镶嵌材料</w:t>
      </w:r>
    </w:p>
    <w:p w14:paraId="6D46D4FB">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玻璃压条和耐候压条，结构硅胶处除外：</w:t>
      </w:r>
    </w:p>
    <w:p w14:paraId="797402DC">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a.高密度压条应为黑色挤压成型品或硅胶。空心者的硬度为75+/-5(ShoreA硬度计)，实心者为60+/-5(ShoreA硬度计)。</w:t>
      </w:r>
    </w:p>
    <w:p w14:paraId="4A11787C">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b.所有压条的转角须作硬化处理。</w:t>
      </w:r>
    </w:p>
    <w:p w14:paraId="1A27A83A">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c.内部及外部压条的设计应能提供最少0.7N/mm，最多1.75N/mm的压力于玻璃边缘。</w:t>
      </w:r>
    </w:p>
    <w:p w14:paraId="41963F65">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w:t>
      </w:r>
      <w:r>
        <w:rPr>
          <w:rFonts w:hint="eastAsia" w:asciiTheme="minorEastAsia" w:hAnsiTheme="minorEastAsia" w:eastAsiaTheme="minorEastAsia" w:cstheme="minorEastAsia"/>
          <w:b/>
          <w:color w:val="auto"/>
          <w:lang w:val="en-US" w:eastAsia="zh-CN"/>
        </w:rPr>
        <w:t>1</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结构性填缝材料处的压条</w:t>
      </w:r>
    </w:p>
    <w:p w14:paraId="03EBB092">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a.镶嵌所用的压条，槽沟内填缝剂所用的泡绵及结构性填缝材料处所用的玻璃背衬等皆应为热处理硅胶(如欲避免黏合，应使用第Ｉ型；如欲黏合，则应使用第Ⅱ型)。颜色由业主单位决定。</w:t>
      </w:r>
    </w:p>
    <w:p w14:paraId="2054306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b.如采用维持玻璃间隙的压条作为填缝材料的背衬时，可藉其磨擦而嵌合，所有其它的压条及抗候压条，包括结构性填缝材料的背衬在内，皆需设有一连续凹槽或凸起，以与铝料上的凸起或凹槽相楔合</w:t>
      </w:r>
    </w:p>
    <w:p w14:paraId="596C524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c.作为玻璃间隙背衬的胶带，与结构性填缝材料并用时需获得玻璃制造商的说明证明确认其兼容性及合格性。</w:t>
      </w:r>
    </w:p>
    <w:p w14:paraId="1F97D9B4">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w:t>
      </w:r>
      <w:r>
        <w:rPr>
          <w:rFonts w:hint="eastAsia" w:asciiTheme="minorEastAsia" w:hAnsiTheme="minorEastAsia" w:eastAsiaTheme="minorEastAsia" w:cstheme="minorEastAsia"/>
          <w:b/>
          <w:color w:val="auto"/>
          <w:lang w:val="en-US" w:eastAsia="zh-CN"/>
        </w:rPr>
        <w:t>2</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玻璃垫块</w:t>
      </w:r>
    </w:p>
    <w:p w14:paraId="53CDA655">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玻璃垫块应为密质挤压成型的氯丁橡胶或硅胶；硬度为85±5(ShoreA硬度计)，最小长度为100mm，最小宽度则相当于玻璃厚度。玻璃垫块应定位于玻璃跨度的1/4位置处，或玻璃制造商核准的位置。玻璃垫块离边缘的位置不得小于玻璃宽度的1/8或150mm处，以较大处为准。</w:t>
      </w:r>
    </w:p>
    <w:p w14:paraId="560A2759">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b.与玻璃垫块并用的垫片，必须具有相同的材质、硬度、长度及宽度。</w:t>
      </w:r>
    </w:p>
    <w:p w14:paraId="64B9A4AF">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c.玻璃垫块及其基座应妥为固定，以防止移动。</w:t>
      </w:r>
    </w:p>
    <w:p w14:paraId="31CB5C0D">
      <w:pPr>
        <w:pStyle w:val="31"/>
        <w:tabs>
          <w:tab w:val="left" w:pos="2552"/>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d.若玻璃底槽采用结构性填缝材料时，亦应使用硅质玻璃垫块。</w:t>
      </w:r>
    </w:p>
    <w:p w14:paraId="4CC0271C">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w:t>
      </w:r>
      <w:r>
        <w:rPr>
          <w:rFonts w:hint="eastAsia" w:asciiTheme="minorEastAsia" w:hAnsiTheme="minorEastAsia" w:eastAsiaTheme="minorEastAsia" w:cstheme="minorEastAsia"/>
          <w:b/>
          <w:color w:val="auto"/>
          <w:lang w:val="en-US" w:eastAsia="zh-CN"/>
        </w:rPr>
        <w:t>3</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侧块</w:t>
      </w:r>
    </w:p>
    <w:p w14:paraId="2EF51164">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a.侧块应定位于各窗边框的上半部，侧块应为硬度55+/-5(ShoreA硬度计)的氯丁橡胶或硅胶，安装时侧块与邻接表面应3.2mm的间隙，其长度亦应足够，以免对玻璃造成单点负载。</w:t>
      </w:r>
    </w:p>
    <w:p w14:paraId="4D554827">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b.当玻璃窗的二边或多边已使用硅胶连续密封时，无需使用侧块。</w:t>
      </w:r>
    </w:p>
    <w:p w14:paraId="237DC464">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w:t>
      </w:r>
      <w:r>
        <w:rPr>
          <w:rFonts w:hint="eastAsia" w:asciiTheme="minorEastAsia" w:hAnsiTheme="minorEastAsia" w:eastAsiaTheme="minorEastAsia" w:cstheme="minorEastAsia"/>
          <w:b/>
          <w:color w:val="auto"/>
          <w:lang w:val="en-US" w:eastAsia="zh-CN"/>
        </w:rPr>
        <w:t>4</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玻璃制造商证明文件</w:t>
      </w:r>
    </w:p>
    <w:p w14:paraId="49B8B7D0">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承包商须呈送一份正式证明书，保证以对所有的玻璃及其玻璃安装方式和详图作了审核，并且都可满足此项工程的安装及使用需求。玻璃制造商须根据审核过的玻璃及安装详图确认证明书其玻璃质保的适用情况。</w:t>
      </w:r>
    </w:p>
    <w:p w14:paraId="772E6ECB">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w:t>
      </w:r>
      <w:r>
        <w:rPr>
          <w:rFonts w:hint="eastAsia" w:asciiTheme="minorEastAsia" w:hAnsiTheme="minorEastAsia" w:eastAsiaTheme="minorEastAsia" w:cstheme="minorEastAsia"/>
          <w:b/>
          <w:color w:val="auto"/>
          <w:lang w:val="en-US" w:eastAsia="zh-CN"/>
        </w:rPr>
        <w:t>5</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温差应力分析及声明</w:t>
      </w:r>
    </w:p>
    <w:p w14:paraId="34093272">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a.针对本工程室外每一种类、尺寸及厚度的玻璃，提供温差应力分析，计算需考虑玻璃的部分阴影及全部阴影。</w:t>
      </w:r>
    </w:p>
    <w:p w14:paraId="0D49B461">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b.提供声明书，说明使用于玻璃幕墙的玻璃，不会因热应力及温差应力导致玻璃破裂。</w:t>
      </w:r>
    </w:p>
    <w:p w14:paraId="76EE8F98">
      <w:pPr>
        <w:pStyle w:val="31"/>
        <w:spacing w:line="360" w:lineRule="auto"/>
        <w:rPr>
          <w:rFonts w:hint="eastAsia" w:asciiTheme="minorEastAsia" w:hAnsiTheme="minorEastAsia" w:eastAsiaTheme="minorEastAsia" w:cstheme="minorEastAsia"/>
          <w:b/>
          <w:color w:val="auto"/>
        </w:rPr>
      </w:pPr>
      <w:bookmarkStart w:id="54" w:name="_Toc326591047"/>
      <w:r>
        <w:rPr>
          <w:rFonts w:hint="eastAsia" w:asciiTheme="minorEastAsia" w:hAnsiTheme="minorEastAsia" w:eastAsiaTheme="minorEastAsia" w:cstheme="minorEastAsia"/>
          <w:b/>
          <w:color w:val="auto"/>
        </w:rPr>
        <w:t>1</w:t>
      </w:r>
      <w:r>
        <w:rPr>
          <w:rFonts w:hint="eastAsia" w:asciiTheme="minorEastAsia" w:hAnsiTheme="minorEastAsia" w:eastAsiaTheme="minorEastAsia" w:cstheme="minorEastAsia"/>
          <w:b/>
          <w:color w:val="auto"/>
          <w:lang w:val="en-US" w:eastAsia="zh-CN"/>
        </w:rPr>
        <w:t>6</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填缝剂材料</w:t>
      </w:r>
      <w:bookmarkEnd w:id="54"/>
    </w:p>
    <w:p w14:paraId="45EE64C5">
      <w:pPr>
        <w:pStyle w:val="37"/>
        <w:tabs>
          <w:tab w:val="left" w:pos="993"/>
          <w:tab w:val="left" w:pos="1134"/>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a.基本要求</w:t>
      </w:r>
    </w:p>
    <w:p w14:paraId="337D818B">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特定材料的被接受需基于试验结果和证书，符合本技术要求的规定。</w:t>
      </w:r>
    </w:p>
    <w:p w14:paraId="4B7BC291">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b.一般性填缝剂</w:t>
      </w:r>
    </w:p>
    <w:p w14:paraId="0581A0FE">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外露及内部的非结构性接缝需使用经审核合格的公司提供的非结构性填缝材料。</w:t>
      </w:r>
    </w:p>
    <w:p w14:paraId="38BA1D9F">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c.结构胶：</w:t>
      </w:r>
    </w:p>
    <w:p w14:paraId="3BF56F2B">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若使用双组份结构胶，仅可于工厂内完成双组份结构胶的混合，且须采用结构胶制造商所认定的施工机具。</w:t>
      </w:r>
    </w:p>
    <w:p w14:paraId="0E59E913">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d.中空玻璃第二道密封胶：</w:t>
      </w:r>
    </w:p>
    <w:p w14:paraId="15B856B1">
      <w:pPr>
        <w:pStyle w:val="31"/>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应满足建工行业标准</w:t>
      </w:r>
      <w:bookmarkStart w:id="55" w:name="OLE_LINK5"/>
      <w:r>
        <w:rPr>
          <w:rFonts w:hint="eastAsia" w:asciiTheme="minorEastAsia" w:hAnsiTheme="minorEastAsia" w:eastAsiaTheme="minorEastAsia" w:cstheme="minorEastAsia"/>
          <w:color w:val="auto"/>
        </w:rPr>
        <w:t>JG/T 471</w:t>
      </w:r>
      <w:bookmarkEnd w:id="55"/>
      <w:r>
        <w:rPr>
          <w:rFonts w:hint="eastAsia" w:asciiTheme="minorEastAsia" w:hAnsiTheme="minorEastAsia" w:eastAsiaTheme="minorEastAsia" w:cstheme="minorEastAsia"/>
          <w:color w:val="auto"/>
        </w:rPr>
        <w:t>《建筑门窗幕墙用中空玻璃弹性密封胶》全项性能要求。隐框、半隐框幕墙用中空玻璃的第二道密封胶应满足标准JG/T 471中WH类的要求。门窗及明框幕墙用中空玻璃，其二道密封胶性能应满足JG/T 471中W类的要求。</w:t>
      </w:r>
    </w:p>
    <w:p w14:paraId="76FA4506">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e.硅改性聚醚密封胶</w:t>
      </w:r>
    </w:p>
    <w:p w14:paraId="51D0580E">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物理力学性能应符合GB/T 14683《硅酮建筑密封胶》标准要求。</w:t>
      </w:r>
    </w:p>
    <w:p w14:paraId="646A271D">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污染性应符合GB/T 23261《石材用建筑密封胶》标准要求。</w:t>
      </w:r>
    </w:p>
    <w:p w14:paraId="145966C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提供国家认可检测机构的检测报告。</w:t>
      </w:r>
    </w:p>
    <w:p w14:paraId="4C51C20C">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f.聚氨酯密封胶</w:t>
      </w:r>
    </w:p>
    <w:p w14:paraId="7E2B39BB">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物理力学性能应符合JC/T482《聚氨酯建筑密封胶》标准的20HM级要求。</w:t>
      </w:r>
    </w:p>
    <w:p w14:paraId="2D16D42D">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污染性应符合GB/T 23261《石材用建筑密封胶》标准要求。</w:t>
      </w:r>
    </w:p>
    <w:p w14:paraId="2B094FD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提供国家认可检测机构的检测报告。</w:t>
      </w:r>
    </w:p>
    <w:p w14:paraId="06CA23DA">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w:t>
      </w:r>
      <w:r>
        <w:rPr>
          <w:rFonts w:hint="eastAsia" w:asciiTheme="minorEastAsia" w:hAnsiTheme="minorEastAsia" w:eastAsiaTheme="minorEastAsia" w:cstheme="minorEastAsia"/>
          <w:b/>
          <w:color w:val="auto"/>
          <w:lang w:val="en-US" w:eastAsia="zh-CN"/>
        </w:rPr>
        <w:t>7</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替代材料</w:t>
      </w:r>
    </w:p>
    <w:p w14:paraId="26C4D59A">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若欲采用其它密封胶，须符合本技术要求相关的规定。不得使用油性的密封胶。</w:t>
      </w:r>
    </w:p>
    <w:p w14:paraId="5F831E54">
      <w:pPr>
        <w:pStyle w:val="37"/>
        <w:tabs>
          <w:tab w:val="left" w:pos="993"/>
          <w:tab w:val="left" w:pos="1134"/>
        </w:tabs>
        <w:spacing w:after="0" w:line="360" w:lineRule="auto"/>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a.一般规定</w:t>
      </w:r>
    </w:p>
    <w:p w14:paraId="2FB122BF">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在图面上须标出所有填缝剂的使用位置，并注明其品牌、颜色及产品编号。</w:t>
      </w:r>
    </w:p>
    <w:p w14:paraId="09008AB1">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所有填缝剂需由经过训练及有经验的人员施打。</w:t>
      </w:r>
    </w:p>
    <w:p w14:paraId="321E8C6B">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使用指定的填缝剂或核准的同级品时，应严格遵守填缝剂制造商对其接头尺寸的限制，搅拌、打底漆、施工等各方面的指示。</w:t>
      </w:r>
    </w:p>
    <w:p w14:paraId="401E46DA">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于填缝剂施打前，完全清除所有泥浆、污物、灰尘、水气及其它附着物。使用填缝剂制造商书面指示的清洁剂。</w:t>
      </w:r>
    </w:p>
    <w:p w14:paraId="01471E5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除非填缝剂制造商说明使用底漆会降低黏着性，否则需使用底漆。</w:t>
      </w:r>
    </w:p>
    <w:p w14:paraId="474D73B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不可于潮湿的底材，或温度低于5℃时打胶。</w:t>
      </w:r>
    </w:p>
    <w:p w14:paraId="5652DF0A">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填缝剂的背衬应采用不吸水，压缩时不透气的背衬材，依填缝剂制造商的指示而定。</w:t>
      </w:r>
    </w:p>
    <w:p w14:paraId="33A3666B">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为了有干净及平整的外观，相邻的铝材和玻璃表面需贴胶带，所有填缝剂施打完成时，于表面上需再加以修整。</w:t>
      </w:r>
    </w:p>
    <w:p w14:paraId="39064162">
      <w:pPr>
        <w:pStyle w:val="37"/>
        <w:tabs>
          <w:tab w:val="left" w:pos="993"/>
          <w:tab w:val="left" w:pos="1134"/>
        </w:tabs>
        <w:spacing w:after="0" w:line="360" w:lineRule="auto"/>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b.填缝剂颜色</w:t>
      </w:r>
    </w:p>
    <w:p w14:paraId="318E9651">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提供硅胶色卡，颜色由业主单位和建筑师决定。</w:t>
      </w:r>
    </w:p>
    <w:p w14:paraId="74425462">
      <w:pPr>
        <w:pStyle w:val="37"/>
        <w:tabs>
          <w:tab w:val="left" w:pos="993"/>
          <w:tab w:val="left" w:pos="1134"/>
        </w:tabs>
        <w:spacing w:after="0" w:line="360" w:lineRule="auto"/>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1</w:t>
      </w:r>
      <w:r>
        <w:rPr>
          <w:rFonts w:hint="eastAsia" w:asciiTheme="minorEastAsia" w:hAnsiTheme="minorEastAsia" w:eastAsiaTheme="minorEastAsia" w:cstheme="minorEastAsia"/>
          <w:b/>
          <w:lang w:val="en-US" w:eastAsia="zh-CN"/>
        </w:rPr>
        <w:t>8</w:t>
      </w:r>
      <w:r>
        <w:rPr>
          <w:rFonts w:hint="eastAsia" w:asciiTheme="minorEastAsia" w:hAnsiTheme="minorEastAsia" w:eastAsiaTheme="minorEastAsia" w:cstheme="minorEastAsia"/>
          <w:b/>
          <w:lang w:eastAsia="zh-CN"/>
        </w:rPr>
        <w:t>）</w:t>
      </w:r>
      <w:r>
        <w:rPr>
          <w:rFonts w:hint="eastAsia" w:asciiTheme="minorEastAsia" w:hAnsiTheme="minorEastAsia" w:eastAsiaTheme="minorEastAsia" w:cstheme="minorEastAsia"/>
          <w:b/>
        </w:rPr>
        <w:t>硅酮结构密封胶及配套耐候密封胶</w:t>
      </w:r>
    </w:p>
    <w:p w14:paraId="70A16CB1">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a.质保年限：</w:t>
      </w:r>
    </w:p>
    <w:p w14:paraId="5DAA4874">
      <w:pPr>
        <w:pStyle w:val="31"/>
        <w:tabs>
          <w:tab w:val="left" w:pos="1985"/>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硅酮结构密封胶是玻璃幕墙的关键材料，其质量好坏直接影响到玻璃幕墙的安全和使用寿命。为保证幕墙的安全和使用寿命及节能环保要求，推荐业主选用质保25年的硅酮结构密封胶。</w:t>
      </w:r>
    </w:p>
    <w:p w14:paraId="2E053AA0">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b.参照标准：</w:t>
      </w:r>
    </w:p>
    <w:p w14:paraId="34BBFB80">
      <w:pPr>
        <w:pStyle w:val="31"/>
        <w:tabs>
          <w:tab w:val="left" w:pos="1985"/>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满足建工行业标准JG/T475要求或JG/T 471中H型要求或欧盟ETAG 002规范要求的硅酮结构密封胶。</w:t>
      </w:r>
    </w:p>
    <w:p w14:paraId="7211C730">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c.第三方检测报告：</w:t>
      </w:r>
    </w:p>
    <w:p w14:paraId="5E01BEB8">
      <w:pPr>
        <w:pStyle w:val="31"/>
        <w:tabs>
          <w:tab w:val="left" w:pos="1985"/>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供应商须提供结构满足建工行业标准JG/T 475或JG/T 471中H型或欧盟ETAG 002规范要求的具有检测资质的第三方检测机构的检测报告。</w:t>
      </w:r>
    </w:p>
    <w:p w14:paraId="62A2B491">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d</w:t>
      </w:r>
      <w:r>
        <w:rPr>
          <w:rFonts w:hint="eastAsia" w:asciiTheme="minorEastAsia" w:hAnsiTheme="minorEastAsia" w:eastAsiaTheme="minorEastAsia" w:cstheme="minorEastAsia"/>
          <w:color w:val="auto"/>
        </w:rPr>
        <w:t>.企业标准</w:t>
      </w:r>
    </w:p>
    <w:p w14:paraId="40E12C0E">
      <w:pPr>
        <w:pStyle w:val="31"/>
        <w:tabs>
          <w:tab w:val="left" w:pos="1985"/>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供应商应提供在当地技术监督部门备案的产品企业标准（必须提供企业标准封面、前言、物理力学性能指标复印件）。企业标准中至少包含JG/T 475、JG/T 471中H型或欧盟ETAG 002规范中：一致性要求（红外光谱分析、热重分析）水-紫外光照1008h、盐雾、酸雾、幕墙清洁剂、剪切、撕裂、疲劳等试验项目要求。</w:t>
      </w:r>
    </w:p>
    <w:p w14:paraId="748111B9">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e</w:t>
      </w:r>
      <w:r>
        <w:rPr>
          <w:rFonts w:hint="eastAsia" w:asciiTheme="minorEastAsia" w:hAnsiTheme="minorEastAsia" w:eastAsiaTheme="minorEastAsia" w:cstheme="minorEastAsia"/>
          <w:color w:val="auto"/>
        </w:rPr>
        <w:t>.检测能力：</w:t>
      </w:r>
    </w:p>
    <w:p w14:paraId="678B41D7">
      <w:pPr>
        <w:pStyle w:val="31"/>
        <w:tabs>
          <w:tab w:val="left" w:pos="1985"/>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供应商应具有按建工行业标准JG/T 475或JG/T 471中H型标准或欧盟ETAG 002规范要求的检测能力（包括检测设备、检测技术等），并且提供每批次产品满足企业标准要求的出厂检测报告。</w:t>
      </w:r>
    </w:p>
    <w:p w14:paraId="3E808A36">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f</w:t>
      </w:r>
      <w:r>
        <w:rPr>
          <w:rFonts w:hint="eastAsia" w:asciiTheme="minorEastAsia" w:hAnsiTheme="minorEastAsia" w:eastAsiaTheme="minorEastAsia" w:cstheme="minorEastAsia"/>
          <w:color w:val="auto"/>
        </w:rPr>
        <w:t>.一致性要求：</w:t>
      </w:r>
    </w:p>
    <w:p w14:paraId="7E9CDB20">
      <w:pPr>
        <w:pStyle w:val="31"/>
        <w:tabs>
          <w:tab w:val="left" w:pos="1985"/>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为确保材料供应商和工程用胶的一致性，施工过程中可直接从现场抽样送第三方权威检测机构进行检测，检测项目至少包含JG/T 475、JG/T 471中H型标准或欧盟ETAG 002规范要求中的“热重分析、1008h水-紫外光照、80℃剪切、撕裂、幕墙清洁剂检测项目。</w:t>
      </w:r>
    </w:p>
    <w:p w14:paraId="4A468925">
      <w:pPr>
        <w:pStyle w:val="31"/>
        <w:tabs>
          <w:tab w:val="left" w:pos="1985"/>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g</w:t>
      </w:r>
      <w:r>
        <w:rPr>
          <w:rFonts w:hint="eastAsia" w:asciiTheme="minorEastAsia" w:hAnsiTheme="minorEastAsia" w:eastAsiaTheme="minorEastAsia" w:cstheme="minorEastAsia"/>
          <w:color w:val="auto"/>
        </w:rPr>
        <w:t>.配套耐候密封胶：</w:t>
      </w:r>
    </w:p>
    <w:p w14:paraId="583FA168">
      <w:pPr>
        <w:pStyle w:val="31"/>
        <w:tabs>
          <w:tab w:val="left" w:pos="1985"/>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玻璃幕墙用耐候密封应采用中性硅酮类耐候密封胶，满足标准ISO11600中LM要求；对于高层、超高层玻璃幕墙及采光顶接缝用密封胶，在满足以上要求的同时，还应达到国家标准GB/T 22083或美国标准ASTM C920中100/50级要求。</w:t>
      </w:r>
    </w:p>
    <w:p w14:paraId="6309AF2C">
      <w:pPr>
        <w:pStyle w:val="37"/>
        <w:tabs>
          <w:tab w:val="left" w:pos="993"/>
          <w:tab w:val="left" w:pos="1134"/>
        </w:tabs>
        <w:spacing w:after="0" w:line="360" w:lineRule="auto"/>
        <w:rPr>
          <w:rFonts w:hint="eastAsia" w:asciiTheme="minorEastAsia" w:hAnsiTheme="minorEastAsia" w:eastAsiaTheme="minorEastAsia" w:cstheme="minorEastAsia"/>
          <w:b/>
        </w:rPr>
      </w:pPr>
      <w:r>
        <w:rPr>
          <w:rFonts w:hint="eastAsia" w:asciiTheme="minorEastAsia" w:hAnsiTheme="minorEastAsia" w:eastAsiaTheme="minorEastAsia" w:cstheme="minorEastAsia"/>
          <w:b/>
          <w:lang w:val="en-US" w:eastAsia="zh-CN"/>
        </w:rPr>
        <w:t>19</w:t>
      </w:r>
      <w:r>
        <w:rPr>
          <w:rFonts w:hint="eastAsia" w:asciiTheme="minorEastAsia" w:hAnsiTheme="minorEastAsia" w:eastAsiaTheme="minorEastAsia" w:cstheme="minorEastAsia"/>
          <w:b/>
          <w:lang w:eastAsia="zh-CN"/>
        </w:rPr>
        <w:t>）</w:t>
      </w:r>
      <w:r>
        <w:rPr>
          <w:rFonts w:hint="eastAsia" w:asciiTheme="minorEastAsia" w:hAnsiTheme="minorEastAsia" w:eastAsiaTheme="minorEastAsia" w:cstheme="minorEastAsia"/>
          <w:b/>
        </w:rPr>
        <w:t>结构性密封胶</w:t>
      </w:r>
    </w:p>
    <w:p w14:paraId="47A81D62">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a.结构填缝</w:t>
      </w:r>
    </w:p>
    <w:p w14:paraId="61C4B6B6">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所有于制造、玻璃安装、或安装过程中使用填缝剂加以密封的接缝皆需使用经审核合格的公司提供的结构性填缝剂产品，且其颜色亦须经核准。</w:t>
      </w:r>
    </w:p>
    <w:p w14:paraId="07EB7413">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在结构性填缝材料未完全硬化的前，不应移动其所黏合的组件。</w:t>
      </w:r>
    </w:p>
    <w:p w14:paraId="5278C7EA">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应小心防止发生三面黏着，必要时应采用防黏片。</w:t>
      </w:r>
    </w:p>
    <w:p w14:paraId="160CF88A">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结构性填缝材料施工时</w:t>
      </w:r>
      <w:r>
        <w:rPr>
          <w:rFonts w:hint="eastAsia" w:asciiTheme="minorEastAsia" w:hAnsiTheme="minorEastAsia" w:eastAsiaTheme="minorEastAsia" w:cstheme="minorEastAsia"/>
          <w:color w:val="auto"/>
          <w:lang w:val="en-US" w:eastAsia="zh-CN"/>
        </w:rPr>
        <w:t>,</w:t>
      </w:r>
      <w:r>
        <w:rPr>
          <w:rFonts w:hint="eastAsia" w:asciiTheme="minorEastAsia" w:hAnsiTheme="minorEastAsia" w:eastAsiaTheme="minorEastAsia" w:cstheme="minorEastAsia"/>
          <w:color w:val="auto"/>
        </w:rPr>
        <w:t>须于同一天完成接缝的清洁、涂底漆、及贴胶布的工作。</w:t>
      </w:r>
    </w:p>
    <w:p w14:paraId="0DDFC5E5">
      <w:pPr>
        <w:pStyle w:val="31"/>
        <w:tabs>
          <w:tab w:val="left" w:pos="567"/>
        </w:tabs>
        <w:spacing w:line="360" w:lineRule="auto"/>
        <w:ind w:left="794" w:leftChars="255" w:hanging="259" w:hangingChars="17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以夹子暂时将涂满结构性填缝剂的玻璃固定，当填缝剂养生完成后，拔去夹子，再将空洞以填缝剂填满。</w:t>
      </w:r>
    </w:p>
    <w:p w14:paraId="7873AFD5">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玻璃及铝料上的胶带，于填缝剂以抹刀整平后，必须立即去除。</w:t>
      </w:r>
    </w:p>
    <w:p w14:paraId="12867E4D">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玻璃密封时，若内侧为结构性填缝剂，外侧接缝须采用同性质填缝剂。</w:t>
      </w:r>
    </w:p>
    <w:p w14:paraId="7DC67E81">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2</w:t>
      </w:r>
      <w:r>
        <w:rPr>
          <w:rFonts w:hint="eastAsia" w:asciiTheme="minorEastAsia" w:hAnsiTheme="minorEastAsia" w:eastAsiaTheme="minorEastAsia" w:cstheme="minorEastAsia"/>
          <w:b/>
          <w:color w:val="auto"/>
          <w:lang w:val="en-US" w:eastAsia="zh-CN"/>
        </w:rPr>
        <w:t>0</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结构胶填缝处的铝料表面处理</w:t>
      </w:r>
    </w:p>
    <w:p w14:paraId="44871B89">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a.以结构性填缝材料黏合的表面不可为光面铝材。</w:t>
      </w:r>
    </w:p>
    <w:p w14:paraId="799D67EB">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b.欲以结构胶填缝材料黏合的表面，其处理方式应经过测试，说明其足以符合指定要求，经测试后，铝材的表面处理可为阳极氧化处理。</w:t>
      </w:r>
    </w:p>
    <w:p w14:paraId="5A6326EF">
      <w:pPr>
        <w:pStyle w:val="37"/>
        <w:tabs>
          <w:tab w:val="left" w:pos="993"/>
          <w:tab w:val="left" w:pos="1134"/>
        </w:tabs>
        <w:spacing w:after="0" w:line="360" w:lineRule="auto"/>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2</w:t>
      </w:r>
      <w:r>
        <w:rPr>
          <w:rFonts w:hint="eastAsia" w:asciiTheme="minorEastAsia" w:hAnsiTheme="minorEastAsia" w:eastAsiaTheme="minorEastAsia" w:cstheme="minorEastAsia"/>
          <w:b/>
          <w:lang w:val="en-US" w:eastAsia="zh-CN"/>
        </w:rPr>
        <w:t>1</w:t>
      </w:r>
      <w:r>
        <w:rPr>
          <w:rFonts w:hint="eastAsia" w:asciiTheme="minorEastAsia" w:hAnsiTheme="minorEastAsia" w:eastAsiaTheme="minorEastAsia" w:cstheme="minorEastAsia"/>
          <w:b/>
          <w:lang w:eastAsia="zh-CN"/>
        </w:rPr>
        <w:t>）</w:t>
      </w:r>
      <w:r>
        <w:rPr>
          <w:rFonts w:hint="eastAsia" w:asciiTheme="minorEastAsia" w:hAnsiTheme="minorEastAsia" w:eastAsiaTheme="minorEastAsia" w:cstheme="minorEastAsia"/>
          <w:b/>
        </w:rPr>
        <w:t>填缝剂的品质管制</w:t>
      </w:r>
    </w:p>
    <w:p w14:paraId="6B7EE62D">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承包商应建立一套品管计划，控制清洁、底漆、填缝剂、人工等的品质以及结构性填缝剂的黏合力，并需将此品管计划送请核准，计划应涵盖构件与填缝剂的黏合与兼容性的初测，以及后续的抽测，计划中至少须包括下列各项，但不仅限于此：</w:t>
      </w:r>
    </w:p>
    <w:p w14:paraId="1A38A287">
      <w:pPr>
        <w:pStyle w:val="31"/>
        <w:tabs>
          <w:tab w:val="left" w:pos="567"/>
        </w:tabs>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2</w:t>
      </w:r>
      <w:r>
        <w:rPr>
          <w:rFonts w:hint="eastAsia" w:asciiTheme="minorEastAsia" w:hAnsiTheme="minorEastAsia" w:eastAsiaTheme="minorEastAsia" w:cstheme="minorEastAsia"/>
          <w:b/>
          <w:color w:val="auto"/>
          <w:lang w:val="en-US" w:eastAsia="zh-CN"/>
        </w:rPr>
        <w:t>2</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结构性填缝剂的检验</w:t>
      </w:r>
    </w:p>
    <w:p w14:paraId="4F6509F1">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最初10个单元内抽测1件</w:t>
      </w:r>
    </w:p>
    <w:p w14:paraId="1E3B9424">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后续40个单元内抽测1件</w:t>
      </w:r>
    </w:p>
    <w:p w14:paraId="5F2AEEB1">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后续50个单元内抽测1件</w:t>
      </w:r>
    </w:p>
    <w:p w14:paraId="6040747B">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之后每100个单元内抽测1件填缝剂施打期间需包含，双组份胶的蝴蝶及拉断测试，单组份胶的表面干燥及弹性测试。蝴蝶及拉断测试需于填缝剂帮浦每次开始及重新开始时实施。单组份胶的表面干燥及弹性测试，需针对每一批号、每一星期实施一次。</w:t>
      </w:r>
    </w:p>
    <w:p w14:paraId="0B255E87">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每一批号结构性填缝剂需建立追踪系统，追踪每一批号填缝剂施打于那一单元及大楼的位置。</w:t>
      </w:r>
    </w:p>
    <w:p w14:paraId="284DB476">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依据制造商的建议及幕墙承包商核准品质计划，定期检查填缝剂的黏着性。当填缝剂无黏着性或无法养生时，必须立即更换填缝剂。幕墙承包商须提供施工计划书予业主单位核准。</w:t>
      </w:r>
    </w:p>
    <w:p w14:paraId="23C40ABF">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制造商于每一种填缝剂施工前，必须提供技术性指导，视察工厂及工地第一次施工，并且定期实施各项检验。幕墙承包商需见证及建立所有制造商实施的测试，并督导所有填缝剂施工人员。</w:t>
      </w:r>
    </w:p>
    <w:p w14:paraId="19A945D6">
      <w:pPr>
        <w:pStyle w:val="37"/>
        <w:tabs>
          <w:tab w:val="left" w:pos="993"/>
          <w:tab w:val="left" w:pos="1134"/>
        </w:tabs>
        <w:spacing w:after="0" w:line="360" w:lineRule="auto"/>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2</w:t>
      </w:r>
      <w:r>
        <w:rPr>
          <w:rFonts w:hint="eastAsia" w:asciiTheme="minorEastAsia" w:hAnsiTheme="minorEastAsia" w:eastAsiaTheme="minorEastAsia" w:cstheme="minorEastAsia"/>
          <w:b/>
          <w:lang w:val="en-US" w:eastAsia="zh-CN"/>
        </w:rPr>
        <w:t>3</w:t>
      </w:r>
      <w:r>
        <w:rPr>
          <w:rFonts w:hint="eastAsia" w:asciiTheme="minorEastAsia" w:hAnsiTheme="minorEastAsia" w:eastAsiaTheme="minorEastAsia" w:cstheme="minorEastAsia"/>
          <w:b/>
          <w:lang w:eastAsia="zh-CN"/>
        </w:rPr>
        <w:t>）</w:t>
      </w:r>
      <w:r>
        <w:rPr>
          <w:rFonts w:hint="eastAsia" w:asciiTheme="minorEastAsia" w:hAnsiTheme="minorEastAsia" w:eastAsiaTheme="minorEastAsia" w:cstheme="minorEastAsia"/>
          <w:b/>
        </w:rPr>
        <w:t>填缝剂的测试及证明文件</w:t>
      </w:r>
    </w:p>
    <w:p w14:paraId="74610C58">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a.所有填缝剂</w:t>
      </w:r>
    </w:p>
    <w:p w14:paraId="49EA9736">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填缝剂的种类必须符合黏着性及兼容性测试报告。</w:t>
      </w:r>
    </w:p>
    <w:p w14:paraId="78EDEDD3">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承包商应提供提交生产商的标准测试报告，并证明所建议采用的密封胶以往的性能，包括但不限于如下：化学成分、贴着强度，拉力强度及伸展度、相容性、硬度及粘滞度、颜色稳定性、受压下沉降、低温伸缩性、弹性模量、吸水性、紫外光及臭氧的影响、抗污染度还需提供所有相关粘结面的特性，包括镀膜铝材、玻璃、相邻密封胶和胶条等。说明所提议的密封胶与以往的测试报告不同之处。</w:t>
      </w:r>
    </w:p>
    <w:p w14:paraId="33580C0C">
      <w:pPr>
        <w:pStyle w:val="31"/>
        <w:tabs>
          <w:tab w:val="left" w:pos="567"/>
        </w:tabs>
        <w:spacing w:line="360" w:lineRule="auto"/>
        <w:ind w:firstLine="480"/>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质量记录：提交制成品的生产测试报告，并需注明测试程序及标准，合格条件及合格率</w:t>
      </w:r>
      <w:r>
        <w:rPr>
          <w:rFonts w:hint="eastAsia" w:asciiTheme="minorEastAsia" w:hAnsiTheme="minorEastAsia" w:eastAsiaTheme="minorEastAsia" w:cstheme="minorEastAsia"/>
          <w:color w:val="auto"/>
          <w:kern w:val="2"/>
          <w:sz w:val="18"/>
          <w:szCs w:val="18"/>
          <w:lang w:val="en-US" w:eastAsia="zh-CN" w:bidi="ar-SA"/>
        </w:rPr>
        <w:t>。</w:t>
      </w:r>
    </w:p>
    <w:p w14:paraId="2EB04AB1">
      <w:pPr>
        <w:pStyle w:val="31"/>
        <w:tabs>
          <w:tab w:val="left" w:pos="567"/>
        </w:tabs>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kern w:val="2"/>
          <w:sz w:val="18"/>
          <w:szCs w:val="18"/>
          <w:lang w:val="en-US" w:eastAsia="zh-CN" w:bidi="ar-SA"/>
        </w:rPr>
        <w:t xml:space="preserve"> </w:t>
      </w:r>
      <w:r>
        <w:rPr>
          <w:rFonts w:hint="eastAsia" w:asciiTheme="minorEastAsia" w:hAnsiTheme="minorEastAsia" w:eastAsiaTheme="minorEastAsia" w:cstheme="minorEastAsia"/>
          <w:color w:val="auto"/>
        </w:rPr>
        <w:t>幕墙承包商须提供证明，说明制造商已审核施工图且认可施工方式。</w:t>
      </w:r>
    </w:p>
    <w:p w14:paraId="2005A19C">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2</w:t>
      </w:r>
      <w:r>
        <w:rPr>
          <w:rFonts w:hint="eastAsia" w:asciiTheme="minorEastAsia" w:hAnsiTheme="minorEastAsia" w:eastAsiaTheme="minorEastAsia" w:cstheme="minorEastAsia"/>
          <w:b/>
          <w:color w:val="auto"/>
          <w:lang w:val="en-US" w:eastAsia="zh-CN"/>
        </w:rPr>
        <w:t>4</w:t>
      </w:r>
      <w:r>
        <w:rPr>
          <w:rFonts w:hint="eastAsia" w:asciiTheme="minorEastAsia" w:hAnsiTheme="minorEastAsia" w:eastAsiaTheme="minorEastAsia" w:cstheme="minorEastAsia"/>
          <w:b/>
          <w:color w:val="auto"/>
          <w:lang w:eastAsia="zh-CN"/>
        </w:rPr>
        <w:t>）</w:t>
      </w:r>
      <w:r>
        <w:rPr>
          <w:rFonts w:hint="eastAsia" w:asciiTheme="minorEastAsia" w:hAnsiTheme="minorEastAsia" w:eastAsiaTheme="minorEastAsia" w:cstheme="minorEastAsia"/>
          <w:b/>
          <w:color w:val="auto"/>
        </w:rPr>
        <w:t>结构性填缝剂</w:t>
      </w:r>
    </w:p>
    <w:p w14:paraId="7D673582">
      <w:pPr>
        <w:pStyle w:val="37"/>
        <w:tabs>
          <w:tab w:val="left" w:pos="993"/>
          <w:tab w:val="left" w:pos="1134"/>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a.以结构性填缝剂黏合较大尺寸金属或玻璃面板时，应采用高性能结构胶，同时满足结构安全，板块装配及设计尺寸需要，同时需准备一份评估报告，评估填缝剂的黏合力及其它物理性质，并送交业主单位及设计单位审阅。</w:t>
      </w:r>
      <w:bookmarkStart w:id="56" w:name="_Toc326591048"/>
    </w:p>
    <w:bookmarkEnd w:id="56"/>
    <w:p w14:paraId="5AD8CCF8">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所有外露工程皆需仔细配合，以形成连续的线性，所有接头除非另有指定，亦应精确安装，妥善固定。外露的边缘应该处理或者密封以防止边缘锈蚀影响涂层。所有外露边缘亦应修整，使其能与邻接表面配合(如接缝处相邻的直料外缘)，设计为同平面的细部工程的起伏不得超过0.8mm，玻璃接缝槽的偏置量亦不得超过0.8mm。</w:t>
      </w:r>
    </w:p>
    <w:p w14:paraId="331CDEF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c.所有接头须于组装前先填上填缝剂，组装完成后因挤压附着于外露面的填缝剂须予以擦拭干净，未外露部份则须再施打填缝剂，再予以抹平。亦可采用防水胶布，并于螺丝头处施打填缝剂密封。</w:t>
      </w:r>
    </w:p>
    <w:p w14:paraId="734EAEC8">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d.梁、立面板和吊顶板表面不能有可视浮胶。</w:t>
      </w:r>
    </w:p>
    <w:p w14:paraId="619820CE">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e.预先组合的百页窗框及玻璃框，于转角接合处，必须有连结块。</w:t>
      </w:r>
    </w:p>
    <w:p w14:paraId="4DFE92C3">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5.2.2 铝材</w:t>
      </w:r>
    </w:p>
    <w:p w14:paraId="2F0A63F8">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1)一般要求：</w:t>
      </w:r>
    </w:p>
    <w:p w14:paraId="77863A2A">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玻璃幕墙采用铝合金材料的牌号所对应的化学成分应符合现行国家标准《变形铝及铝合金化学成分》(GB/T3190)的有关规定，铝合金型材质量应符合现行国家标准《铝合金建筑型材》(GB5237)的规定，型材尺寸允许偏差应达到高精级或超高精级。</w:t>
      </w:r>
    </w:p>
    <w:p w14:paraId="0DB722C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b.本工程可用的铝合金型材：6063-T5；6063-T6；6061-T6。其它6XXX系列的合金亦可送审供核准，所有铝合金型材截面厚度均应满足设计及规范要求，并同时满足以下规定：</w:t>
      </w:r>
    </w:p>
    <w:p w14:paraId="0D394C55">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当横梁跨度不大于1.2m时，铝合金型材截面主要受力部位的厚度不应小于2.0mm；当横梁跨度大于1.2m时，其截面主要受力部位的厚度不应小于2.5mm。型材孔壁与螺钉之间直接采用螺纹受力连接时，其局部截面厚度不应小于螺钉的公称直径；</w:t>
      </w:r>
    </w:p>
    <w:p w14:paraId="2776ACAB">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d.立柱截面主要受力部位的厚度，应符合下列要求：铝型材截面开口部位的厚度不应小于3.0mm，闭口部位的厚度不应小于2.5mm；</w:t>
      </w:r>
    </w:p>
    <w:p w14:paraId="28228C7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e.型材孔壁与螺钉之间直接采用螺纹受力连接时，其局部厚度尚不应小于螺钉的公称直径；</w:t>
      </w:r>
    </w:p>
    <w:p w14:paraId="43469D5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f.送审所有的铝型材形状图纸以供备案，显示的最小厚度须与备案的相一致。</w:t>
      </w:r>
    </w:p>
    <w:p w14:paraId="673788B6">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g.所有挤压铝材模具、型材、表面涂层应由同一家经业主及设计单位同意的厂家。</w:t>
      </w:r>
    </w:p>
    <w:p w14:paraId="5E95DD64">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h.如果业主及设计单位对所提议的生产厂家不熟悉，施工承包商应提供商务级别差旅费用，以视察其提议的厂家。</w:t>
      </w:r>
    </w:p>
    <w:p w14:paraId="5F832B3D">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i.未经业主及设计单位批准的厂家所生产的铝型材不允许在该项目上使用，不得例外。</w:t>
      </w:r>
    </w:p>
    <w:p w14:paraId="4091C2E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j.所有外墙用的铝型材的误差应为铝材标准和数据中市场误差值的一半。不得例外。</w:t>
      </w:r>
    </w:p>
    <w:p w14:paraId="336CA02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k.所有型材应按要求的细节尺寸成型，无表面缺陷、不良外观、强度或耐久性能方面的问题。</w:t>
      </w:r>
    </w:p>
    <w:p w14:paraId="75421A86">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l.应提供铝材材质的分析报告证书。</w:t>
      </w:r>
    </w:p>
    <w:p w14:paraId="76315569">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m.不可采用未经任何表面处理的原身产品。</w:t>
      </w:r>
    </w:p>
    <w:p w14:paraId="718E8C2C">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n.复合铝板不可使用。</w:t>
      </w:r>
    </w:p>
    <w:p w14:paraId="0C2C04A3">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2)表面处理</w:t>
      </w:r>
    </w:p>
    <w:p w14:paraId="14301D79">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a.铝合金型材室内外可视面采用氟碳喷涂处理，表面处理层的厚度应满足如下要求：氟碳喷涂表面平均膜厚不小于40μm，局部膜厚不小于35μm。其他表面均采用阳极氧化处理，膜层级别AA15级。</w:t>
      </w:r>
    </w:p>
    <w:p w14:paraId="112F9739">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b.表面处理需符合以下规范：《铝合金建筑型材第5部分:氟碳漆喷涂型材》（GB5237.5）和《铝合金建筑型材第2部分:阳极氧化型材》（GB5237.2）。</w:t>
      </w:r>
    </w:p>
    <w:p w14:paraId="4606379A">
      <w:pPr>
        <w:pStyle w:val="31"/>
        <w:spacing w:line="360" w:lineRule="auto"/>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3)表面喷涂颜色及饰面：</w:t>
      </w:r>
    </w:p>
    <w:p w14:paraId="00EA76E5">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a.颜色、光泽、纹理、防锈等的要求需根据饰面表及已核准的控制样品。</w:t>
      </w:r>
    </w:p>
    <w:p w14:paraId="44361E6F">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b.接受表面喷涂的表面不应有任何的瑕疵、刮痕、磨损及凹痕。当表面喷涂及其养护完成后，其表面不可呈现任何斑点，污迹或条纹。</w:t>
      </w:r>
    </w:p>
    <w:p w14:paraId="5BA1CA15">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c.建筑师有权否定任何不符规范或在视觉不能接受的板材或型材。</w:t>
      </w:r>
    </w:p>
    <w:p w14:paraId="759BB326">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d.质量记录及测试：材料装运到工地前必须提交生产商的生产及测试报告。</w:t>
      </w:r>
    </w:p>
    <w:p w14:paraId="58C4AAAB">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e.检测必须由已批核的试验室执行。每一批材料必须检测其薄膜厚度，并标明装运编码以便查阅。</w:t>
      </w:r>
    </w:p>
    <w:p w14:paraId="173648EA">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f.保证：于保修期内所有准备工作及涂膜工程必须有质量保证书。</w:t>
      </w:r>
    </w:p>
    <w:p w14:paraId="23147DC6">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g.铝合金型材分类</w:t>
      </w:r>
    </w:p>
    <w:tbl>
      <w:tblPr>
        <w:tblStyle w:val="12"/>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1"/>
        <w:gridCol w:w="1502"/>
        <w:gridCol w:w="1590"/>
        <w:gridCol w:w="1419"/>
        <w:gridCol w:w="1587"/>
        <w:gridCol w:w="1767"/>
      </w:tblGrid>
      <w:tr w14:paraId="6DDF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51" w:type="dxa"/>
            <w:tcMar>
              <w:top w:w="15" w:type="dxa"/>
              <w:left w:w="15" w:type="dxa"/>
              <w:right w:w="15" w:type="dxa"/>
            </w:tcMar>
            <w:vAlign w:val="center"/>
          </w:tcPr>
          <w:p w14:paraId="2634EF26">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编号</w:t>
            </w:r>
          </w:p>
        </w:tc>
        <w:tc>
          <w:tcPr>
            <w:tcW w:w="1502" w:type="dxa"/>
            <w:tcMar>
              <w:top w:w="15" w:type="dxa"/>
              <w:left w:w="15" w:type="dxa"/>
              <w:right w:w="15" w:type="dxa"/>
            </w:tcMar>
            <w:vAlign w:val="center"/>
          </w:tcPr>
          <w:p w14:paraId="1CFF7E88">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名称</w:t>
            </w:r>
          </w:p>
        </w:tc>
        <w:tc>
          <w:tcPr>
            <w:tcW w:w="1590" w:type="dxa"/>
            <w:tcMar>
              <w:top w:w="15" w:type="dxa"/>
              <w:left w:w="15" w:type="dxa"/>
              <w:right w:w="15" w:type="dxa"/>
            </w:tcMar>
            <w:vAlign w:val="center"/>
          </w:tcPr>
          <w:p w14:paraId="2D006723">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规格</w:t>
            </w:r>
          </w:p>
        </w:tc>
        <w:tc>
          <w:tcPr>
            <w:tcW w:w="1419" w:type="dxa"/>
            <w:tcMar>
              <w:top w:w="15" w:type="dxa"/>
              <w:left w:w="15" w:type="dxa"/>
              <w:right w:w="15" w:type="dxa"/>
            </w:tcMar>
            <w:vAlign w:val="center"/>
          </w:tcPr>
          <w:p w14:paraId="05B0E2B7">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表面处理</w:t>
            </w:r>
          </w:p>
        </w:tc>
        <w:tc>
          <w:tcPr>
            <w:tcW w:w="1587" w:type="dxa"/>
            <w:tcMar>
              <w:top w:w="15" w:type="dxa"/>
              <w:left w:w="15" w:type="dxa"/>
              <w:right w:w="15" w:type="dxa"/>
            </w:tcMar>
            <w:vAlign w:val="center"/>
          </w:tcPr>
          <w:p w14:paraId="06E4F4B0">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颜色</w:t>
            </w:r>
          </w:p>
        </w:tc>
        <w:tc>
          <w:tcPr>
            <w:tcW w:w="1767" w:type="dxa"/>
            <w:tcMar>
              <w:top w:w="15" w:type="dxa"/>
              <w:left w:w="15" w:type="dxa"/>
              <w:right w:w="15" w:type="dxa"/>
            </w:tcMar>
            <w:vAlign w:val="center"/>
          </w:tcPr>
          <w:p w14:paraId="547A9873">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系统部位</w:t>
            </w:r>
          </w:p>
        </w:tc>
      </w:tr>
      <w:tr w14:paraId="56DC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1151" w:type="dxa"/>
            <w:tcMar>
              <w:top w:w="15" w:type="dxa"/>
              <w:left w:w="15" w:type="dxa"/>
              <w:right w:w="15" w:type="dxa"/>
            </w:tcMar>
            <w:vAlign w:val="center"/>
          </w:tcPr>
          <w:p w14:paraId="15E895AA">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A-1</w:t>
            </w:r>
          </w:p>
        </w:tc>
        <w:tc>
          <w:tcPr>
            <w:tcW w:w="1502" w:type="dxa"/>
            <w:tcMar>
              <w:top w:w="15" w:type="dxa"/>
              <w:left w:w="15" w:type="dxa"/>
              <w:right w:w="15" w:type="dxa"/>
            </w:tcMar>
            <w:vAlign w:val="center"/>
          </w:tcPr>
          <w:p w14:paraId="35A7C33C">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铝合金型材</w:t>
            </w:r>
          </w:p>
        </w:tc>
        <w:tc>
          <w:tcPr>
            <w:tcW w:w="1590" w:type="dxa"/>
            <w:tcMar>
              <w:top w:w="15" w:type="dxa"/>
              <w:left w:w="15" w:type="dxa"/>
              <w:right w:w="15" w:type="dxa"/>
            </w:tcMar>
            <w:vAlign w:val="center"/>
          </w:tcPr>
          <w:p w14:paraId="34AC8796">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6063-T5</w:t>
            </w:r>
          </w:p>
          <w:p w14:paraId="27C178FC">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6063-T6</w:t>
            </w:r>
          </w:p>
        </w:tc>
        <w:tc>
          <w:tcPr>
            <w:tcW w:w="1419" w:type="dxa"/>
            <w:tcMar>
              <w:top w:w="15" w:type="dxa"/>
              <w:left w:w="15" w:type="dxa"/>
              <w:right w:w="15" w:type="dxa"/>
            </w:tcMar>
            <w:vAlign w:val="center"/>
          </w:tcPr>
          <w:p w14:paraId="17DF4059">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氟碳喷涂</w:t>
            </w:r>
          </w:p>
        </w:tc>
        <w:tc>
          <w:tcPr>
            <w:tcW w:w="1587" w:type="dxa"/>
            <w:tcMar>
              <w:top w:w="15" w:type="dxa"/>
              <w:left w:w="15" w:type="dxa"/>
              <w:right w:w="15" w:type="dxa"/>
            </w:tcMar>
            <w:vAlign w:val="center"/>
          </w:tcPr>
          <w:p w14:paraId="293A3776">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见建筑封样</w:t>
            </w:r>
          </w:p>
        </w:tc>
        <w:tc>
          <w:tcPr>
            <w:tcW w:w="1767" w:type="dxa"/>
            <w:tcMar>
              <w:top w:w="15" w:type="dxa"/>
              <w:left w:w="15" w:type="dxa"/>
              <w:right w:w="15" w:type="dxa"/>
            </w:tcMar>
            <w:vAlign w:val="center"/>
          </w:tcPr>
          <w:p w14:paraId="701890C5">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室外可视部位</w:t>
            </w:r>
          </w:p>
        </w:tc>
      </w:tr>
      <w:tr w14:paraId="176A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1151" w:type="dxa"/>
            <w:tcMar>
              <w:top w:w="15" w:type="dxa"/>
              <w:left w:w="15" w:type="dxa"/>
              <w:right w:w="15" w:type="dxa"/>
            </w:tcMar>
            <w:vAlign w:val="center"/>
          </w:tcPr>
          <w:p w14:paraId="3DE9F159">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A-2</w:t>
            </w:r>
          </w:p>
        </w:tc>
        <w:tc>
          <w:tcPr>
            <w:tcW w:w="1502" w:type="dxa"/>
            <w:tcMar>
              <w:top w:w="15" w:type="dxa"/>
              <w:left w:w="15" w:type="dxa"/>
              <w:right w:w="15" w:type="dxa"/>
            </w:tcMar>
            <w:vAlign w:val="center"/>
          </w:tcPr>
          <w:p w14:paraId="0805C0F3">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铝合金型材</w:t>
            </w:r>
          </w:p>
        </w:tc>
        <w:tc>
          <w:tcPr>
            <w:tcW w:w="1590" w:type="dxa"/>
            <w:tcMar>
              <w:top w:w="15" w:type="dxa"/>
              <w:left w:w="15" w:type="dxa"/>
              <w:right w:w="15" w:type="dxa"/>
            </w:tcMar>
            <w:vAlign w:val="center"/>
          </w:tcPr>
          <w:p w14:paraId="63E36690">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6063-T5</w:t>
            </w:r>
          </w:p>
          <w:p w14:paraId="195BE9DD">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6063-T6</w:t>
            </w:r>
          </w:p>
        </w:tc>
        <w:tc>
          <w:tcPr>
            <w:tcW w:w="1419" w:type="dxa"/>
            <w:tcMar>
              <w:top w:w="15" w:type="dxa"/>
              <w:left w:w="15" w:type="dxa"/>
              <w:right w:w="15" w:type="dxa"/>
            </w:tcMar>
            <w:vAlign w:val="center"/>
          </w:tcPr>
          <w:p w14:paraId="731C6152">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粉末喷涂</w:t>
            </w:r>
          </w:p>
        </w:tc>
        <w:tc>
          <w:tcPr>
            <w:tcW w:w="1587" w:type="dxa"/>
            <w:tcMar>
              <w:top w:w="15" w:type="dxa"/>
              <w:left w:w="15" w:type="dxa"/>
              <w:right w:w="15" w:type="dxa"/>
            </w:tcMar>
            <w:vAlign w:val="center"/>
          </w:tcPr>
          <w:p w14:paraId="28FB3778">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见建筑封样</w:t>
            </w:r>
          </w:p>
        </w:tc>
        <w:tc>
          <w:tcPr>
            <w:tcW w:w="1767" w:type="dxa"/>
            <w:tcMar>
              <w:top w:w="15" w:type="dxa"/>
              <w:left w:w="15" w:type="dxa"/>
              <w:right w:w="15" w:type="dxa"/>
            </w:tcMar>
            <w:vAlign w:val="center"/>
          </w:tcPr>
          <w:p w14:paraId="3E94760B">
            <w:pPr>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室内可视部位</w:t>
            </w:r>
          </w:p>
        </w:tc>
      </w:tr>
      <w:tr w14:paraId="06CF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1151" w:type="dxa"/>
            <w:tcMar>
              <w:top w:w="15" w:type="dxa"/>
              <w:left w:w="15" w:type="dxa"/>
              <w:right w:w="15" w:type="dxa"/>
            </w:tcMar>
            <w:vAlign w:val="center"/>
          </w:tcPr>
          <w:p w14:paraId="448BEA12">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A-3</w:t>
            </w:r>
          </w:p>
        </w:tc>
        <w:tc>
          <w:tcPr>
            <w:tcW w:w="1502" w:type="dxa"/>
            <w:tcMar>
              <w:top w:w="15" w:type="dxa"/>
              <w:left w:w="15" w:type="dxa"/>
              <w:right w:w="15" w:type="dxa"/>
            </w:tcMar>
            <w:vAlign w:val="center"/>
          </w:tcPr>
          <w:p w14:paraId="20D67FA9">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铝合金型材</w:t>
            </w:r>
          </w:p>
        </w:tc>
        <w:tc>
          <w:tcPr>
            <w:tcW w:w="1590" w:type="dxa"/>
            <w:tcMar>
              <w:top w:w="15" w:type="dxa"/>
              <w:left w:w="15" w:type="dxa"/>
              <w:right w:w="15" w:type="dxa"/>
            </w:tcMar>
            <w:vAlign w:val="center"/>
          </w:tcPr>
          <w:p w14:paraId="3F6BAD25">
            <w:pPr>
              <w:widowControl/>
              <w:spacing w:line="240" w:lineRule="auto"/>
              <w:ind w:left="0" w:leftChars="0" w:firstLine="0" w:firstLineChars="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6063-T5</w:t>
            </w:r>
          </w:p>
          <w:p w14:paraId="6C4F3A4E">
            <w:pPr>
              <w:widowControl/>
              <w:spacing w:line="24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6063-T6</w:t>
            </w:r>
          </w:p>
        </w:tc>
        <w:tc>
          <w:tcPr>
            <w:tcW w:w="1419" w:type="dxa"/>
            <w:tcMar>
              <w:top w:w="15" w:type="dxa"/>
              <w:left w:w="15" w:type="dxa"/>
              <w:right w:w="15" w:type="dxa"/>
            </w:tcMar>
            <w:vAlign w:val="center"/>
          </w:tcPr>
          <w:p w14:paraId="6C5327EA">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阳极氧化</w:t>
            </w:r>
          </w:p>
        </w:tc>
        <w:tc>
          <w:tcPr>
            <w:tcW w:w="1587" w:type="dxa"/>
            <w:tcMar>
              <w:top w:w="15" w:type="dxa"/>
              <w:left w:w="15" w:type="dxa"/>
              <w:right w:w="15" w:type="dxa"/>
            </w:tcMar>
            <w:vAlign w:val="center"/>
          </w:tcPr>
          <w:p w14:paraId="36E6B3FA">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银白</w:t>
            </w:r>
          </w:p>
        </w:tc>
        <w:tc>
          <w:tcPr>
            <w:tcW w:w="1767" w:type="dxa"/>
            <w:tcMar>
              <w:top w:w="15" w:type="dxa"/>
              <w:left w:w="15" w:type="dxa"/>
              <w:right w:w="15" w:type="dxa"/>
            </w:tcMar>
            <w:vAlign w:val="center"/>
          </w:tcPr>
          <w:p w14:paraId="7722D5AD">
            <w:pPr>
              <w:widowControl/>
              <w:spacing w:line="360" w:lineRule="auto"/>
              <w:ind w:left="0" w:leftChars="0"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非可视部位</w:t>
            </w:r>
          </w:p>
        </w:tc>
      </w:tr>
      <w:tr w14:paraId="7314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7" w:hRule="atLeast"/>
        </w:trPr>
        <w:tc>
          <w:tcPr>
            <w:tcW w:w="9016" w:type="dxa"/>
            <w:gridSpan w:val="6"/>
            <w:tcMar>
              <w:top w:w="15" w:type="dxa"/>
              <w:left w:w="15" w:type="dxa"/>
              <w:right w:w="15" w:type="dxa"/>
            </w:tcMar>
            <w:vAlign w:val="center"/>
          </w:tcPr>
          <w:p w14:paraId="486A8B2D">
            <w:pPr>
              <w:spacing w:line="360" w:lineRule="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1.氟碳喷涂：三涂两烤，平均膜厚不小于40μm，最小局部膜厚不小于35μm</w:t>
            </w:r>
          </w:p>
          <w:p w14:paraId="452130EB">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2.粉末喷涂：干膜厚度40-120μm</w:t>
            </w:r>
          </w:p>
          <w:p w14:paraId="7B493350">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3.阳极氧化：AA15级</w:t>
            </w:r>
          </w:p>
        </w:tc>
      </w:tr>
    </w:tbl>
    <w:p w14:paraId="12946093">
      <w:pPr>
        <w:spacing w:line="360" w:lineRule="auto"/>
        <w:rPr>
          <w:rFonts w:hint="eastAsia" w:asciiTheme="minorEastAsia" w:hAnsiTheme="minorEastAsia" w:eastAsiaTheme="minorEastAsia" w:cstheme="minorEastAsia"/>
          <w:b/>
          <w:sz w:val="24"/>
          <w:szCs w:val="24"/>
        </w:rPr>
      </w:pPr>
    </w:p>
    <w:p w14:paraId="277DBB00">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5.2.3 单层铝板</w:t>
      </w:r>
    </w:p>
    <w:p w14:paraId="009FC0D3">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rPr>
        <w:t>）金属板选型外墙用铝板采用3.0mm厚单层铝板,层间背板采用2.0mm厚单层铝板，防水板采用1.5mm厚单层铝单板。</w:t>
      </w:r>
    </w:p>
    <w:p w14:paraId="3BA4980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2</w:t>
      </w:r>
      <w:r>
        <w:rPr>
          <w:rFonts w:hint="eastAsia" w:asciiTheme="minorEastAsia" w:hAnsiTheme="minorEastAsia" w:eastAsiaTheme="minorEastAsia" w:cstheme="minorEastAsia"/>
          <w:color w:val="auto"/>
        </w:rPr>
        <w:t>）铝板牌号及供应状态为3003-H24，单层铝板折弯加工时，折弯外圆弧半径不应小于板厚的1.5倍。</w:t>
      </w:r>
    </w:p>
    <w:p w14:paraId="06407E4A">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3</w:t>
      </w:r>
      <w:r>
        <w:rPr>
          <w:rFonts w:hint="eastAsia" w:asciiTheme="minorEastAsia" w:hAnsiTheme="minorEastAsia" w:eastAsiaTheme="minorEastAsia" w:cstheme="minorEastAsia"/>
          <w:color w:val="auto"/>
        </w:rPr>
        <w:t>）3.0mm厚单层铝板室外可视面为氟碳喷涂处理，氟碳树脂含量不应低于75%，平均厚度 t ≥40μｍ，满足JGJ133-2001相关标准，颜色待封样确认。</w:t>
      </w:r>
    </w:p>
    <w:p w14:paraId="438D212C">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rPr>
        <w:t>）2.0mm厚层间背衬单层铝板，可视面聚酯粉末喷涂处理，涂层的厚度要求120μｍ≥t≥40μｍ，满足JGJ133-2001相关标准，颜色待封样确认。</w:t>
      </w:r>
    </w:p>
    <w:p w14:paraId="1A028B0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rPr>
        <w:t>）1.5mm厚防水单层铝板，钝化处理。</w:t>
      </w:r>
    </w:p>
    <w:p w14:paraId="762E28E0">
      <w:pPr>
        <w:pStyle w:val="31"/>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6）铝合金单板必须根据计算进行加强筋的装配，布置间隔和加强筋截面须使得铝合金单板整体满足强度和变形控制要求。</w:t>
      </w:r>
    </w:p>
    <w:p w14:paraId="62507E1A">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rPr>
        <w:t>）表面处理：喷涂颜色待视觉模型后由建筑师确定。</w:t>
      </w:r>
    </w:p>
    <w:p w14:paraId="63745248">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5.2.4 钢材</w:t>
      </w:r>
    </w:p>
    <w:p w14:paraId="5BC79FD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一</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钢材采用Q235B</w:t>
      </w:r>
      <w:r>
        <w:rPr>
          <w:rFonts w:hint="eastAsia" w:asciiTheme="minorEastAsia" w:hAnsiTheme="minorEastAsia" w:eastAsiaTheme="minorEastAsia" w:cstheme="minorEastAsia"/>
          <w:color w:val="auto"/>
          <w:lang w:val="en-US" w:eastAsia="zh-CN"/>
        </w:rPr>
        <w:t>/Q355B</w:t>
      </w:r>
      <w:r>
        <w:rPr>
          <w:rFonts w:hint="eastAsia" w:asciiTheme="minorEastAsia" w:hAnsiTheme="minorEastAsia" w:eastAsiaTheme="minorEastAsia" w:cstheme="minorEastAsia"/>
          <w:color w:val="auto"/>
        </w:rPr>
        <w:t>低碳钢（除特别注明外），材料应具有抗拉强度、伸长率、屈服强度、弯曲实验的合格保证。应有硫、磷含量的合格保证，对焊接结构，应有碳当量的合格保证。钢材表面不得有裂纹、气泡、泛锈、结疤、夹杂和折叠，截面不得有毛刺、卷边等现象。</w:t>
      </w:r>
    </w:p>
    <w:p w14:paraId="55877DA6">
      <w:pPr>
        <w:pStyle w:val="31"/>
        <w:numPr>
          <w:ilvl w:val="0"/>
          <w:numId w:val="0"/>
        </w:numPr>
        <w:spacing w:line="360" w:lineRule="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rPr>
        <w:t>工程用钢材应符合下列标准的规定</w:t>
      </w:r>
      <w:r>
        <w:rPr>
          <w:rFonts w:hint="eastAsia" w:asciiTheme="minorEastAsia" w:hAnsiTheme="minorEastAsia" w:eastAsiaTheme="minorEastAsia" w:cstheme="minorEastAsia"/>
          <w:color w:val="auto"/>
          <w:lang w:eastAsia="zh-CN"/>
        </w:rPr>
        <w:t>：</w:t>
      </w:r>
    </w:p>
    <w:p w14:paraId="49B2AF8D">
      <w:pPr>
        <w:pStyle w:val="31"/>
        <w:numPr>
          <w:ilvl w:val="0"/>
          <w:numId w:val="0"/>
        </w:numPr>
        <w:spacing w:line="360" w:lineRule="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《碳素结构钢》GB/T700、《低合金高强度结构钢》GB1591、《优质碳素结构钢技术条件》热轧薄钢板及钢带GB/T912、镀锌钢板应符合《金属覆盖层钢铁制品热镀锌层技术要求》  （GB.T13912）的涂膜要求；</w:t>
      </w:r>
    </w:p>
    <w:p w14:paraId="4A10EC0C">
      <w:pPr>
        <w:pStyle w:val="31"/>
        <w:numPr>
          <w:ilvl w:val="0"/>
          <w:numId w:val="0"/>
        </w:numPr>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2、物理性能不低于Q235B或Q355B的钢材，碳素钢件表面作防腐处理，可见部位的钢材表面进行结构防腐处理。钢材表面除锈等级应不低于 Sa2.5 级。</w:t>
      </w:r>
    </w:p>
    <w:p w14:paraId="19C2FFCC">
      <w:pPr>
        <w:pStyle w:val="31"/>
        <w:numPr>
          <w:ilvl w:val="0"/>
          <w:numId w:val="0"/>
        </w:numPr>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3、隐蔽钢结构表面进行热浸镀锌处理，未经离心处理的镀层厚度应满足下列要求：</w:t>
      </w:r>
    </w:p>
    <w:p w14:paraId="1535914B">
      <w:pPr>
        <w:pStyle w:val="31"/>
        <w:numPr>
          <w:ilvl w:val="0"/>
          <w:numId w:val="0"/>
        </w:numPr>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 当板厚1.5≤t&lt;3mm时，镀层局部厚度t≥45μm，镀层平均厚度t≥55μm；</w:t>
      </w:r>
    </w:p>
    <w:p w14:paraId="56CC19D3">
      <w:pPr>
        <w:pStyle w:val="31"/>
        <w:numPr>
          <w:ilvl w:val="0"/>
          <w:numId w:val="0"/>
        </w:numPr>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 当板厚3≤t&lt;6mm时，镀层局部厚度t≥55μm，镀层平均厚度t≥70μm；</w:t>
      </w:r>
    </w:p>
    <w:p w14:paraId="2DF68389">
      <w:pPr>
        <w:pStyle w:val="31"/>
        <w:numPr>
          <w:ilvl w:val="0"/>
          <w:numId w:val="0"/>
        </w:numPr>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 当板厚大于6mm时，镀层局部厚度t≥70μm，镀层平均厚度t≥85μm。c）镀锌钢构件的镀层表面连续且有实用性光滑，不流挂、滴流或熔渣，并且无漏镀等缺陷。</w:t>
      </w:r>
    </w:p>
    <w:p w14:paraId="6E74C2FD">
      <w:pPr>
        <w:pStyle w:val="31"/>
        <w:numPr>
          <w:ilvl w:val="0"/>
          <w:numId w:val="0"/>
        </w:numPr>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表面氟碳喷涂处理的外露钢型材，钢龙骨先进行喷砂喷丸除锈，处理到整个表面达到Sa2.5级，表面粗糙度40-75微米；然后再喷二道环氧富锌防锈底漆2×40μm；然后再喷环氧树脂封闭漆30μm；再喷二道环氧云铁中间漆2×50μm；最后再喷二道氟碳面漆2×40μm。面漆颜色符合建筑要求。</w:t>
      </w:r>
    </w:p>
    <w:p w14:paraId="3FC21799">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钢的焊接应符合以下要求：</w:t>
      </w:r>
    </w:p>
    <w:p w14:paraId="60110839">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a.焊接耗材及采用的程序应确保熔敷焊接金属的机械性能不低于其母材的性能。</w:t>
      </w:r>
    </w:p>
    <w:p w14:paraId="5120F774">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b.焊接准备工作：按照国家标准准备焊接的表面。表面应干燥。必要时，加热表面，除去上面的水汽。每道熔敷开始前，应清除上一道留下的焊碴。</w:t>
      </w:r>
    </w:p>
    <w:p w14:paraId="60DCD1D4">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c.定位焊：定位焊须事先获得明确批准。定位焊长度不小于50mm。</w:t>
      </w:r>
    </w:p>
    <w:p w14:paraId="37E32E0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d.对接焊：除非另外规定，熔焊面之间对接焊缝应采用全焊透。必要时，对熔敷焊进行清根、打磨或表面切割处理，以清除焊根焊缝的不足。磨平对接焊缝，不得磨损母材。</w:t>
      </w:r>
    </w:p>
    <w:p w14:paraId="71F6F11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e.角焊：角焊应按照要求的长度、焊缝厚度进行。按要求部分或全焊透。</w:t>
      </w:r>
    </w:p>
    <w:p w14:paraId="0F609CB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f.检验合格证：在生产开始前，承建商应向建筑师提供所有钢板、型钢、接头及焊接耗材的检验合格证。生产须在检验合格证获得建筑师的书面同意，后才能开始。</w:t>
      </w:r>
    </w:p>
    <w:p w14:paraId="3D5A47A0">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g.保护涂层：所有提供的钢结构件应有设计寿命为20年以上的保护涂层系统。涂层应全部覆盖钢结构件表面。外露面的边缘及现场焊接部分应涂有获得批准的现场用涂层系统。详图应交建筑设计单位批准。</w:t>
      </w:r>
    </w:p>
    <w:p w14:paraId="4CE7ED3B">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h.钢材的现场补漆必需获有业主及总包单位的书面许可。现场补漆只能使用“自然风干”方式，并且：</w:t>
      </w:r>
    </w:p>
    <w:p w14:paraId="6F67A499">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rPr>
        <w:t xml:space="preserve"> 现场补漆需严格按照涂料生产商的书面指示进行。</w:t>
      </w:r>
    </w:p>
    <w:p w14:paraId="11FBF10B">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rPr>
        <w:t xml:space="preserve"> 业主及总包单位认为受损的材料皆应换新。</w:t>
      </w:r>
    </w:p>
    <w:p w14:paraId="7359D072">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15"/>
          <w:szCs w:val="15"/>
          <w:lang w:val="en-US" w:eastAsia="zh-CN" w:bidi="ar-SA"/>
        </w:rPr>
        <w:t>●</w:t>
      </w:r>
      <w:r>
        <w:rPr>
          <w:rFonts w:hint="eastAsia" w:asciiTheme="minorEastAsia" w:hAnsiTheme="minorEastAsia" w:eastAsiaTheme="minorEastAsia" w:cstheme="minorEastAsia"/>
          <w:color w:val="auto"/>
        </w:rPr>
        <w:t xml:space="preserve"> 幕墙承包商需依业主单位指示提供样品，在样品的工艺及颜色统一核准前，不得进行现场补漆；</w:t>
      </w:r>
    </w:p>
    <w:p w14:paraId="3C33693F">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（二）首二层横明竖隐玻璃幕墙系统幕墙焊接立柱钢型材要求：</w:t>
      </w:r>
    </w:p>
    <w:p w14:paraId="01E17D42">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直角钢为采用精加工焊接工艺制造的定制焊接钢，不得采用钢板折弯焊制料。 钢板和钢带的材质均为Q235B，钢材的拉伸、冲击、弯曲等力学性能应满足GB/T 700-2006规定，钢材的表面质量应分别满足钢 板、钢 带、型钢等有关产品的质量标准。要求成品外观看不到任何焊缝痕迹，焊缝需打磨至光滑，磨平处理。端部应打磨平整，无毛刺，焊渣。  </w:t>
      </w:r>
    </w:p>
    <w:p w14:paraId="2EEC376D">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1）焊接直角钢表面选用优质氟碳油漆进行防腐处理并起到装饰作用：  </w:t>
      </w:r>
    </w:p>
    <w:p w14:paraId="0390CF6C">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氟碳涂层要求：  </w:t>
      </w:r>
    </w:p>
    <w:p w14:paraId="07EE97FD">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a、第一道底漆为常温氟碳碳钢专用环氧富锌底漆、常温氟碳专用底漆固化剂、底漆稀释剂，喷涂两遍，膜厚为 45μm  以上；第二道中间漆为厚型环氧云铁中涂漆、云铁中涂固化剂、云铁中涂稀释剂，膜厚为80~100μm 以 上；第三道 面漆为常温氟碳面漆、常温氟碳面漆涂固化剂、常温氟碳面漆稀释剂，膜厚为45μm，总干膜厚度为  165-250μm；  </w:t>
      </w:r>
    </w:p>
    <w:p w14:paraId="1B6D7B0F">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b、喷涂前必需确认表面清洁干燥，避免在雨、雾天气中施工，最佳条件为空汽湿度不得大于75%，环境温度5-35度， 禁止与水，醇类物质接触，并对基材进行质量检查、测量，保证符合技术质量要求，且检查合格的数据要进行留存；  </w:t>
      </w:r>
    </w:p>
    <w:p w14:paraId="1C29721B">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c、涂漆之前，基材表面应光滑、清洁、干燥、平整、牢固、无油脂、锈蚀等杂物；除去焊接飞溅的焊渣并处理焊缝、毛 刺使其光滑、平整；基材表面必须用原子灰进行找补，表面粗糙度不小于45μm、用喷砂除锈达Sa2.5、，用高压空 气吹扫除灰尘等污物；对于焊缝部位打磨至St3级；  </w:t>
      </w:r>
    </w:p>
    <w:p w14:paraId="70991EB2">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d、氟碳喷涂漆面需喷涂均匀，无色差，无褶皱，无针孔，无气泡，无灰点，无死角，无缺陷。  </w:t>
      </w:r>
    </w:p>
    <w:p w14:paraId="214445B3">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焊接直角钢工艺要求： </w:t>
      </w:r>
    </w:p>
    <w:p w14:paraId="5ACF85DA">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a、焊接直角钢外观看不到任何焊缝,焊缝需打磨光滑，端部应打磨平整，无毛刺、焊渣； </w:t>
      </w:r>
    </w:p>
    <w:p w14:paraId="32D49778">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b、焊接直角钢直线度≤1.0mm/m，表面光滑平整，不能有波浪、翘曲和变形； </w:t>
      </w:r>
    </w:p>
    <w:p w14:paraId="4087A625">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c、焊接直角钢平整度≤±0.5mm/m； </w:t>
      </w:r>
    </w:p>
    <w:p w14:paraId="28847BC7">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d、焊接直角钢垂直度≤1.0°； </w:t>
      </w:r>
    </w:p>
    <w:p w14:paraId="0B9EFDB5">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e、焊接直角钢直角呈现90度角，锐角及钝角线条光滑清晰、棱角分明；  </w:t>
      </w:r>
    </w:p>
    <w:p w14:paraId="2284881F">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f、焊接直角钢R角不大于0.5mm； </w:t>
      </w:r>
    </w:p>
    <w:p w14:paraId="6CC68C3A">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g、焊接直角钢切割下料，必须使用切割能力不低于12m的大型激光切割设备，切割精度误差＜0.5㎜，保证型材精度准确、切口平整光滑。 </w:t>
      </w:r>
    </w:p>
    <w:p w14:paraId="409C664C">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h、焊接直角钢铣孔应保证孔距及直径标准统一,周边应无明显变形,无翻边和划痕现象。 </w:t>
      </w:r>
    </w:p>
    <w:p w14:paraId="54F44FAD">
      <w:pPr>
        <w:pStyle w:val="31"/>
        <w:tabs>
          <w:tab w:val="left" w:pos="1985"/>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2）焊接直角钢型材生产、加工，表面的喷砂、底漆、中间漆及面漆都必须在专业工厂内配套完成，不得二次转运，转发其他单位加工喷涂。具体颜色待封样确认。 </w:t>
      </w:r>
    </w:p>
    <w:p w14:paraId="07E178BB">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5.2.5 外露的固定件</w:t>
      </w:r>
    </w:p>
    <w:p w14:paraId="5CCE5124">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除非核准的图纸，或经另行指定，所有螺丝及固定件不得外露。所有外露的装饰螺丝及固定件，必须为业主单位所核准。</w:t>
      </w:r>
    </w:p>
    <w:p w14:paraId="1E9908C3">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5.2.6 不锈钢</w:t>
      </w:r>
    </w:p>
    <w:p w14:paraId="739D62A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1)一般规定：</w:t>
      </w:r>
    </w:p>
    <w:p w14:paraId="5E9EDA1B">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a.应选用表面平整光滑，无表面缺陷的外露金属面板和钢条。不可使用有凹陷、裂纹或平整度超过规范容许范围，变形、褪色或有其它瑕疵的钢材。</w:t>
      </w:r>
    </w:p>
    <w:p w14:paraId="39377C7E">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b.室外及室内应用：钢片、钢带、钢板、平钢条及型材(AISI316，A级至D级)─ASTMA666/GB/T1220。</w:t>
      </w:r>
    </w:p>
    <w:p w14:paraId="0FBA4F7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2)不锈钢</w:t>
      </w:r>
    </w:p>
    <w:p w14:paraId="74680327">
      <w:pPr>
        <w:pStyle w:val="31"/>
        <w:tabs>
          <w:tab w:val="left" w:pos="426"/>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a.除非本技术要求或图面特别说明，在不锈钢板折弯成型的前，应在折弯处的背面刨沟。</w:t>
      </w:r>
    </w:p>
    <w:p w14:paraId="0AD6415F">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b.所有面板、框架包板、装饰及吊顶天花板等不锈钢板选用，其厚度最少需为2mm；装饰板厚度最少需为1mm。。</w:t>
      </w:r>
    </w:p>
    <w:p w14:paraId="3E84F750">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c.用于结构及所有外露不锈钢工程的不锈钢应为316级产品，不得使用302及304级不锈钢。不锈钢表面处理需满足建筑师要求。</w:t>
      </w:r>
    </w:p>
    <w:p w14:paraId="28A8C949">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d.性能要求：平整度要求为在1.5m内不得超过1.5mm或0.1%。如有需要时，可增加金属厚度或提供补强料，或两者同时进行以达到此要求。</w:t>
      </w:r>
    </w:p>
    <w:p w14:paraId="128C7432">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e.不锈钢应提交合格证或测试报告，并按照相关标准正确标识每批不锈钢。</w:t>
      </w:r>
    </w:p>
    <w:p w14:paraId="590EE075">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5.2.7 紧固件、连接件及锚钉、锚栓</w:t>
      </w:r>
    </w:p>
    <w:p w14:paraId="7AA563A3">
      <w:pPr>
        <w:spacing w:line="360" w:lineRule="auto"/>
        <w:ind w:left="0" w:leftChars="0" w:firstLine="240" w:firstLineChars="100"/>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幕墙所用的各类紧固件均采用不锈钢制品，不锈钢宜采用奥氏体不锈钢，且含镍量不应小于8％；本工程所有标有不锈钢的紧固件，室内干燥环境采用A2-70系列，室外潮湿环境采用A4-70系列；未经有资质的技术鉴定或设计许可，不得改变后锚固连接的用途和使用环境；</w:t>
      </w:r>
    </w:p>
    <w:p w14:paraId="793383DA">
      <w:pPr>
        <w:pStyle w:val="31"/>
        <w:numPr>
          <w:ilvl w:val="0"/>
          <w:numId w:val="5"/>
        </w:num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用于做固定件的金属须与连接材料在化学性能和电化学腐蚀方面相兼容。</w:t>
      </w:r>
    </w:p>
    <w:p w14:paraId="1C7A5946">
      <w:pPr>
        <w:pStyle w:val="31"/>
        <w:numPr>
          <w:ilvl w:val="0"/>
          <w:numId w:val="5"/>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所有紧固件的规定适用于螺丝、螺栓、垫圈、螺帽、铆钉、及插梢（所有固定件皆应为316型不锈钢），立柱与主体结构连接用螺栓采用不锈钢。</w:t>
      </w:r>
    </w:p>
    <w:p w14:paraId="782CFFBA">
      <w:pPr>
        <w:pStyle w:val="31"/>
        <w:numPr>
          <w:ilvl w:val="0"/>
          <w:numId w:val="5"/>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所有自攻自转型紧固件，皆应为经审核合格的公司提供的产品，或经核准符合本技术要求的同级品。</w:t>
      </w:r>
    </w:p>
    <w:p w14:paraId="4E5F649B">
      <w:pPr>
        <w:pStyle w:val="31"/>
        <w:numPr>
          <w:ilvl w:val="0"/>
          <w:numId w:val="5"/>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在所有可移动的连接处，皆应以减少摩擦的垫片分离其接触面(如以渗石墨的尼龙，或经核准的同级品)，垫片的厚度不应小于2mm，并应能于其位置上妥善固定(马蹄形垫片不得使用)。可动连接部的固定件应适切旋紧后，再回旋半圈，最好由固定件生产商推荐指定。螺帽应为自锁式。</w:t>
      </w:r>
    </w:p>
    <w:p w14:paraId="56B3C391">
      <w:pPr>
        <w:pStyle w:val="31"/>
        <w:numPr>
          <w:ilvl w:val="0"/>
          <w:numId w:val="5"/>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传递剪切力的紧固件垫片叠加不能超过2倍的紧固件直径或4个垫片的高度，除非是钢垫片焊接在一起，且孔径不大于紧固件直径0.8mm以上。</w:t>
      </w:r>
    </w:p>
    <w:p w14:paraId="3B275248">
      <w:pPr>
        <w:pStyle w:val="31"/>
        <w:numPr>
          <w:ilvl w:val="0"/>
          <w:numId w:val="5"/>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各类锚接装置及支撑托架应具足够厚度，以符合其效能准则，但不得小于2.5mm。</w:t>
      </w:r>
      <w:bookmarkStart w:id="57" w:name="_Toc326591045"/>
    </w:p>
    <w:p w14:paraId="6AE66F69">
      <w:pPr>
        <w:pStyle w:val="31"/>
        <w:numPr>
          <w:ilvl w:val="0"/>
          <w:numId w:val="5"/>
        </w:numPr>
        <w:spacing w:line="36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锚栓</w:t>
      </w:r>
    </w:p>
    <w:p w14:paraId="74895519">
      <w:pPr>
        <w:pStyle w:val="31"/>
        <w:tabs>
          <w:tab w:val="left" w:pos="426"/>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a.表面处理电镀锌锌层厚度≥5μm，热浸镀锌锌层厚度≥50μm。</w:t>
      </w:r>
    </w:p>
    <w:p w14:paraId="5CD2B84A">
      <w:pPr>
        <w:pStyle w:val="31"/>
        <w:tabs>
          <w:tab w:val="left" w:pos="426"/>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b.为了保证化学锚栓的粘结力及耐高温性能，化学锚栓配套的胶管胶必须采用无苯乙烯基 树脂胶。</w:t>
      </w:r>
    </w:p>
    <w:p w14:paraId="06F84F7E">
      <w:pPr>
        <w:pStyle w:val="31"/>
        <w:tabs>
          <w:tab w:val="left" w:pos="426"/>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c.化学锚栓固化剂不含乙二胺，无毒性，保证安全环保；砂材要选用石英砂，保证砂材的质量及硬度。</w:t>
      </w:r>
    </w:p>
    <w:p w14:paraId="472AD902">
      <w:pPr>
        <w:pStyle w:val="31"/>
        <w:tabs>
          <w:tab w:val="left" w:pos="426"/>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d.锚栓产品必须满足设计要求的荷载能力，并为客户提供技术和计算上的绝对支持，为了保证受力要求，需要计算软件，可出具计算书。</w:t>
      </w:r>
    </w:p>
    <w:p w14:paraId="51187969">
      <w:pPr>
        <w:pStyle w:val="31"/>
        <w:tabs>
          <w:tab w:val="left" w:pos="426"/>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e.锚栓产品要有国家级第三方检测机构进行的拉拔测试，并出具权威的检测报告。</w:t>
      </w:r>
    </w:p>
    <w:bookmarkEnd w:id="57"/>
    <w:p w14:paraId="239B4CEA">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5.2.8 保温隔热材料</w:t>
      </w:r>
    </w:p>
    <w:p w14:paraId="011952CB">
      <w:pPr>
        <w:spacing w:line="360" w:lineRule="auto"/>
        <w:ind w:left="0" w:leftChars="0" w:firstLine="0" w:firstLine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（一）立面幕墙</w:t>
      </w:r>
    </w:p>
    <w:p w14:paraId="26974126">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保温隔热材料不得含有任何活跃有机成分。保温隔热材料应为惰性，耐久，防腐防菌，无CFC和HCFC，不生霉菌，并在建筑外墙的设计使用年限内提供要求的性能。设计时应作适当预留以考虑由于潮湿和老化对材料性能的不利影响。</w:t>
      </w:r>
    </w:p>
    <w:p w14:paraId="05637850">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保温隔热材料应充分粘连以能够在不损失材料、不影响性能的条件下进行拆除或更换。材料在安装过程中、设计使用年限内和拆除或更换时，不应对人体健康造成损坏。</w:t>
      </w:r>
    </w:p>
    <w:p w14:paraId="05D4DE36">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性能要求：</w:t>
      </w:r>
    </w:p>
    <w:p w14:paraId="525A4E3C">
      <w:pPr>
        <w:pStyle w:val="31"/>
        <w:tabs>
          <w:tab w:val="left" w:pos="2552"/>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a.最小厚度：按图纸实际要求;</w:t>
      </w:r>
    </w:p>
    <w:p w14:paraId="68578DF9">
      <w:pPr>
        <w:pStyle w:val="31"/>
        <w:tabs>
          <w:tab w:val="left" w:pos="2552"/>
        </w:tabs>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b.最大K值：[0.05]W/m2/K</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选用导热系数≤0.035W/（m·K）</w:t>
      </w:r>
    </w:p>
    <w:p w14:paraId="620A32E1">
      <w:pPr>
        <w:pStyle w:val="31"/>
        <w:tabs>
          <w:tab w:val="left" w:pos="2552"/>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c.密度：玻璃棉不小于[</w:t>
      </w:r>
      <w:r>
        <w:rPr>
          <w:rFonts w:hint="eastAsia" w:asciiTheme="minorEastAsia" w:hAnsiTheme="minorEastAsia" w:eastAsiaTheme="minorEastAsia" w:cstheme="minorEastAsia"/>
          <w:color w:val="auto"/>
          <w:lang w:val="en-US" w:eastAsia="zh-CN"/>
        </w:rPr>
        <w:t>48</w:t>
      </w:r>
      <w:r>
        <w:rPr>
          <w:rFonts w:hint="eastAsia" w:asciiTheme="minorEastAsia" w:hAnsiTheme="minorEastAsia" w:eastAsiaTheme="minorEastAsia" w:cstheme="minorEastAsia"/>
          <w:color w:val="auto"/>
        </w:rPr>
        <w:t>]kg/m</w:t>
      </w:r>
      <w:r>
        <w:rPr>
          <w:rFonts w:hint="eastAsia" w:asciiTheme="minorEastAsia" w:hAnsiTheme="minorEastAsia" w:eastAsiaTheme="minorEastAsia" w:cstheme="minorEastAsia"/>
          <w:color w:val="auto"/>
          <w:vertAlign w:val="superscript"/>
        </w:rPr>
        <w:t>3</w:t>
      </w:r>
      <w:r>
        <w:rPr>
          <w:rFonts w:hint="eastAsia" w:asciiTheme="minorEastAsia" w:hAnsiTheme="minorEastAsia" w:eastAsiaTheme="minorEastAsia" w:cstheme="minorEastAsia"/>
          <w:color w:val="auto"/>
        </w:rPr>
        <w:t>，岩棉不小于[</w:t>
      </w:r>
      <w:r>
        <w:rPr>
          <w:rFonts w:hint="eastAsia" w:asciiTheme="minorEastAsia" w:hAnsiTheme="minorEastAsia" w:eastAsiaTheme="minorEastAsia" w:cstheme="minorEastAsia"/>
          <w:color w:val="auto"/>
          <w:lang w:val="en-US" w:eastAsia="zh-CN"/>
        </w:rPr>
        <w:t>100</w:t>
      </w:r>
      <w:r>
        <w:rPr>
          <w:rFonts w:hint="eastAsia" w:asciiTheme="minorEastAsia" w:hAnsiTheme="minorEastAsia" w:eastAsiaTheme="minorEastAsia" w:cstheme="minorEastAsia"/>
          <w:color w:val="auto"/>
        </w:rPr>
        <w:t>]kg/m</w:t>
      </w:r>
      <w:r>
        <w:rPr>
          <w:rFonts w:hint="eastAsia" w:asciiTheme="minorEastAsia" w:hAnsiTheme="minorEastAsia" w:eastAsiaTheme="minorEastAsia" w:cstheme="minorEastAsia"/>
          <w:color w:val="auto"/>
          <w:vertAlign w:val="superscript"/>
        </w:rPr>
        <w:t>3</w:t>
      </w:r>
      <w:r>
        <w:rPr>
          <w:rFonts w:hint="eastAsia" w:asciiTheme="minorEastAsia" w:hAnsiTheme="minorEastAsia" w:eastAsiaTheme="minorEastAsia" w:cstheme="minorEastAsia"/>
          <w:color w:val="auto"/>
        </w:rPr>
        <w:t>。</w:t>
      </w:r>
    </w:p>
    <w:p w14:paraId="136D64E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d.保温隔热材料须带有每平方英尺至少含2000个钉孔的铝箔，以利透气。保温隔热材料四周需用铝箔胶带密封。</w:t>
      </w:r>
    </w:p>
    <w:p w14:paraId="5212C4D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e.防火等级、火焰蔓延及不燃性应符合本技术要求的规定。</w:t>
      </w:r>
    </w:p>
    <w:p w14:paraId="753442D5">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f.合格的保温隔热材料：为矿物岩棉或同等认可的产品。所有水汽阻隔屏障的接缝和任何裂缝处，必须以铝箔胶带密封。</w:t>
      </w:r>
    </w:p>
    <w:p w14:paraId="49FA11B7">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g.保温隔热材料应以铝夹、铝条或镀锌钢条或铝挤槽固定于窗框周围。铝夹及铝条的最大间隔为</w:t>
      </w:r>
      <w:r>
        <w:rPr>
          <w:rFonts w:hint="eastAsia" w:asciiTheme="minorEastAsia" w:hAnsiTheme="minorEastAsia" w:eastAsiaTheme="minorEastAsia" w:cstheme="minorEastAsia"/>
          <w:color w:val="auto"/>
          <w:lang w:val="en-US" w:eastAsia="zh-CN"/>
        </w:rPr>
        <w:t>3</w:t>
      </w:r>
      <w:r>
        <w:rPr>
          <w:rFonts w:hint="eastAsia" w:asciiTheme="minorEastAsia" w:hAnsiTheme="minorEastAsia" w:eastAsiaTheme="minorEastAsia" w:cstheme="minorEastAsia"/>
          <w:color w:val="auto"/>
        </w:rPr>
        <w:t>00mm（中心间距）。铝夹及铝条应焊接或粘贴。隔热材及玻璃之间应维持25mm以上的空气间隙。保温隔热材料应予固定，且不可与外部玻璃或铝板直接接触。</w:t>
      </w:r>
    </w:p>
    <w:p w14:paraId="18CC0026">
      <w:pPr>
        <w:pStyle w:val="31"/>
        <w:spacing w:line="360" w:lineRule="auto"/>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kern w:val="2"/>
          <w:sz w:val="24"/>
          <w:szCs w:val="24"/>
          <w:lang w:val="en-US" w:eastAsia="zh-CN" w:bidi="ar-SA"/>
        </w:rPr>
        <w:t>（二）屋面系统</w:t>
      </w:r>
    </w:p>
    <w:p w14:paraId="6AB2E81B">
      <w:pPr>
        <w:pStyle w:val="31"/>
        <w:spacing w:line="360"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 xml:space="preserve">保温岩棉厚度：50mm厚憎水岩棉，不燃性，A1级，容重180kg/m3；平均温度25度时导热系数≤0.038W/m· K， 应符合节能设计要求，粒径大于0.25mm的渣球含量应≤10％，纤维平均直径应≤7μm。岩棉熔点不应小于 1200℃，导热系数≤ 0.038W/（m.K），酸度系数2.0以上，不含石棉，不滋生真菌，憎水率达到99%以上，须 有材料检测报告、出厂合格证、国标绿色产品认证、绿色三星环保建材认证；燃烧性能等级满足现行国家标准《建筑 材料及制品燃烧性能分级》GB8624-2012的A级要求；产品应满足《建筑用 岩棉、矿渣棉绝热制品》 （GB/T19686-2015）《矿物棉及其制品试验方法》（GB/T5480-2017）《绝热 材料稳态热阻及有关特性 的测定防护热板法》（GB/T10294-2008）《建筑材料及制品燃烧性能分级》 （GB8624-2012）。  </w:t>
      </w:r>
    </w:p>
    <w:p w14:paraId="0DA3692C">
      <w:pPr>
        <w:pStyle w:val="31"/>
        <w:spacing w:line="360" w:lineRule="auto"/>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2</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 xml:space="preserve">吸音棉100mm厚玻璃纤维吸音棉（带单面铝箔），容重48kg/m3，A级耐火等级，导热系数不大于0.05W/（m.W），外观表面平整，不应有影响使用的破损、伤痕、污迹、等缺陷，燃烧性能等级满足现行国家标准《建筑材料及制品燃烧性能分级》GB8624-2012的A级要求。主要性能指标及质量满足现行国家标准《建筑绝热用玻璃棉制品》GB17795-2008的要求。 </w:t>
      </w:r>
    </w:p>
    <w:p w14:paraId="3C7ACA00">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5.2.9 防火隔断材料</w:t>
      </w:r>
    </w:p>
    <w:p w14:paraId="6A3B7820">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a.用矿棉做为填充物彻底填满楼层板和盖板边缘之间的所有空隙。</w:t>
      </w:r>
    </w:p>
    <w:p w14:paraId="100D9178">
      <w:pPr>
        <w:pStyle w:val="31"/>
        <w:tabs>
          <w:tab w:val="left" w:pos="2410"/>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1)最小厚度：[200]mm（顶部到底部）</w:t>
      </w:r>
    </w:p>
    <w:p w14:paraId="7573B73B">
      <w:pPr>
        <w:pStyle w:val="31"/>
        <w:tabs>
          <w:tab w:val="left" w:pos="2410"/>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2)宽度：50%或更大的楼板边缘压缩率。</w:t>
      </w:r>
    </w:p>
    <w:p w14:paraId="6AD33F54">
      <w:pPr>
        <w:pStyle w:val="31"/>
        <w:tabs>
          <w:tab w:val="left" w:pos="2410"/>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3)密度：[120]kg/m3</w:t>
      </w:r>
    </w:p>
    <w:p w14:paraId="53C525F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a.可接受的产品：须为经审核合格的公司提供的产品，或符合本技术要求规定的同等级产品</w:t>
      </w:r>
    </w:p>
    <w:p w14:paraId="7611F40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b.除非特别说明，须依制造商的文件以镀锌支撑夹固定防火隔断材料。为了安全考虑防火隔断材料最少要用两个夹子进行固定。镀锌支撑夹厚度最小为1.5mm，间距300mm，且必须固定于楼板。</w:t>
      </w:r>
    </w:p>
    <w:p w14:paraId="3BF1CA6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c.防火隔断材料须以1.5mm厚的连续镀锌钢板支撑，缝隙处打防火胶密封。</w:t>
      </w:r>
    </w:p>
    <w:p w14:paraId="2A40411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d.若楼板边缘至保温隔热材料的距离超过测试样品提供的层间塞宽度时，必须提供其它防火隔断材料的设计。重新设计防火隔断材料的性能，必须符合原先规范及地方建筑权威部门的要求。</w:t>
      </w:r>
    </w:p>
    <w:p w14:paraId="6E2B5B91">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5.2.10 防烟填缝剂</w:t>
      </w:r>
    </w:p>
    <w:p w14:paraId="6CA05662">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1)施打连续的防烟填缝剂于层间塞上方，此防烟填缝剂视为层间防火封堵的一部分，防止烟渗透。</w:t>
      </w:r>
    </w:p>
    <w:p w14:paraId="506904BB">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2)性能要求</w:t>
      </w:r>
    </w:p>
    <w:p w14:paraId="0D7215AE">
      <w:pPr>
        <w:pStyle w:val="31"/>
        <w:tabs>
          <w:tab w:val="left" w:pos="2268"/>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a.连续并完全不透烟</w:t>
      </w:r>
    </w:p>
    <w:p w14:paraId="00423CC5">
      <w:pPr>
        <w:pStyle w:val="31"/>
        <w:tabs>
          <w:tab w:val="left" w:pos="2268"/>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b.应考虑到幕墙系统的预期位移使其具有可伸缩性并保持填缝完整。</w:t>
      </w:r>
    </w:p>
    <w:p w14:paraId="10FBFED2">
      <w:pPr>
        <w:pStyle w:val="31"/>
        <w:tabs>
          <w:tab w:val="left" w:pos="2268"/>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c.符合当地和中国规范防火要求。</w:t>
      </w:r>
    </w:p>
    <w:p w14:paraId="3D93513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d.合格的材料：经审核合格的公司提供的产品，或符合本技术要求规定的同级品。</w:t>
      </w:r>
    </w:p>
    <w:p w14:paraId="1A6A5B28">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5.2.11 密封胶条</w:t>
      </w:r>
    </w:p>
    <w:p w14:paraId="7CBF875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1)为保证产品质量，原材料必须选用优质进口三元乙丙原胶，禁止使用再生橡胶进行密封胶条的加工。产品外观应光滑、无扭曲变形，表面无裂纹、无气泡、无明显杂质及其他缺陷，颜色均匀一致。</w:t>
      </w:r>
    </w:p>
    <w:p w14:paraId="721D1845">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2)产品的物理性能应满足以下标准：</w:t>
      </w:r>
    </w:p>
    <w:p w14:paraId="3912DDAD">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拉伸强度≥5.0MPa</w:t>
      </w:r>
    </w:p>
    <w:p w14:paraId="2C72EC2E">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拉断伸长率≥250％</w:t>
      </w:r>
    </w:p>
    <w:p w14:paraId="3A3973D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压缩回复率（70℃环境下连续存放22小时）5级（70%＜参数≤80%）</w:t>
      </w:r>
    </w:p>
    <w:p w14:paraId="565E2418">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加热收缩率（70℃环境下连续存放22小时）＜2.0%</w:t>
      </w:r>
    </w:p>
    <w:p w14:paraId="6CCFE842">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拉伸回复率＞97%</w:t>
      </w:r>
    </w:p>
    <w:p w14:paraId="7D23E26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3)产品的抗老化程度应满足以下标准：</w:t>
      </w:r>
    </w:p>
    <w:p w14:paraId="11B7E3A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a.100℃高温环境下连续存放168小时</w:t>
      </w:r>
    </w:p>
    <w:p w14:paraId="7D5C3D6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b.硬度变化区间为-5~+10</w:t>
      </w:r>
    </w:p>
    <w:p w14:paraId="45F6DC0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c.拉伸强度变化率＜25%</w:t>
      </w:r>
    </w:p>
    <w:p w14:paraId="73FBBE4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d.加热失重比例≤3.0%</w:t>
      </w:r>
    </w:p>
    <w:p w14:paraId="1A080C7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e.压缩永久变形率≤35%</w:t>
      </w:r>
    </w:p>
    <w:p w14:paraId="4278D066">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f.70℃高温环境下连续存放504小时</w:t>
      </w:r>
    </w:p>
    <w:p w14:paraId="67AD8C99">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g.老化回弹回复率应达到5级（70%＜参数≤80%)</w:t>
      </w:r>
    </w:p>
    <w:p w14:paraId="61BAA593">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h.耐臭氧老化性能（500pphm伸长20%，40℃环境下连续存放168小时）表面不出现龟裂。</w:t>
      </w:r>
    </w:p>
    <w:p w14:paraId="0517D3E7">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i.产品的耐低温性能应满足以下标准：-40℃不破裂。</w:t>
      </w:r>
    </w:p>
    <w:p w14:paraId="695089C0">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j.污染及相容性应满足以下标准：</w:t>
      </w:r>
    </w:p>
    <w:p w14:paraId="0B014C90">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试验后在型材上允许留有胶条试样浅黄色的污染轮廓，不允许留有深色轮廓或实心印痕。型材、密封胶条试样表面不应出现发泡、发粘、凹凸不平。</w:t>
      </w:r>
    </w:p>
    <w:p w14:paraId="21A4B03C">
      <w:pPr>
        <w:pStyle w:val="31"/>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k.密封胶条为氯丁橡胶、EPDM或硅胶泡绵胶条。</w:t>
      </w:r>
    </w:p>
    <w:p w14:paraId="711F503A">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5.2.12 防风百页</w:t>
      </w:r>
    </w:p>
    <w:p w14:paraId="366DE409">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1)百页窗应由挤压成型的铝框架及叶片构成，铝框架的角落及铝叶片的末端应以316系列的不锈钢螺钉固定(不小于ST3.5)。</w:t>
      </w:r>
    </w:p>
    <w:p w14:paraId="3618C80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各叶片应设置隐蔽式的铝挤型补强背衬，使叶片在平行于其主轴方向上的挠曲量不超过其净跨的L/175(在标准值下)，以上系假设压力系垂直作用于铝框架的4个角落所形成的平面，而每一叶片的有效面积为其于上述平面上的投影面积。</w:t>
      </w:r>
    </w:p>
    <w:p w14:paraId="73EE4E0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3)百页的叶片须固定于两侧的直料，且上横料及下横料拼接处均须防水密封。根据施工图面所示提供集水盘及批水板。</w:t>
      </w:r>
    </w:p>
    <w:p w14:paraId="7057701C">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4)所有具有透气功能的百页窗应加装316级不锈钢制品的防虫防鸟网，目数为40目。防虫防鸟网应用不锈钢或铝框固定。</w:t>
      </w:r>
    </w:p>
    <w:p w14:paraId="3FB123B0">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5)百页窗的透气率须能符合建筑通风要求，且应于生产前向建筑设计院确认本案百页透气率要求。</w:t>
      </w:r>
    </w:p>
    <w:p w14:paraId="48BC3109">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 表面处理。（详见招标图中有关铝材室外表面处理相关内容）</w:t>
      </w:r>
    </w:p>
    <w:p w14:paraId="5EE5A380">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5.2.13 排水沟</w:t>
      </w:r>
    </w:p>
    <w:p w14:paraId="5A1F5711">
      <w:pPr>
        <w:pStyle w:val="37"/>
        <w:tabs>
          <w:tab w:val="left" w:pos="1701"/>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屋面</w:t>
      </w:r>
      <w:r>
        <w:rPr>
          <w:rFonts w:hint="eastAsia" w:asciiTheme="minorEastAsia" w:hAnsiTheme="minorEastAsia" w:eastAsiaTheme="minorEastAsia" w:cstheme="minorEastAsia"/>
        </w:rPr>
        <w:t>排水沟采用2.5mm厚316L不锈钢排水天沟，利用虹吸式排水系统及自身曲面形态的自然排水，形成有组织排水系统。</w:t>
      </w:r>
    </w:p>
    <w:p w14:paraId="323708A7">
      <w:pPr>
        <w:pStyle w:val="37"/>
        <w:tabs>
          <w:tab w:val="left" w:pos="1701"/>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构造层次：2.5mm厚316L不锈钢</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 钢方管（Q235B，热浸镀锌）</w:t>
      </w:r>
      <w:r>
        <w:rPr>
          <w:rFonts w:hint="eastAsia" w:asciiTheme="minorEastAsia" w:hAnsiTheme="minorEastAsia" w:eastAsiaTheme="minorEastAsia" w:cstheme="minorEastAsia"/>
          <w:lang w:val="en-US" w:eastAsia="zh-CN"/>
        </w:rPr>
        <w:t>+50mm厚吸音玻璃棉（容重48Kg/m3）+0.8mm厚YX65-170-510镀铝锌穿孔压型钢底板 /2.5mm粉末喷涂铝单板+A级耐火等级（穿孔率≥20%，S350GD，AZ150，可视表面氟碳喷涂）</w:t>
      </w:r>
      <w:r>
        <w:rPr>
          <w:rFonts w:hint="eastAsia" w:asciiTheme="minorEastAsia" w:hAnsiTheme="minorEastAsia" w:eastAsiaTheme="minorEastAsia" w:cstheme="minorEastAsia"/>
        </w:rPr>
        <w:t>。</w:t>
      </w:r>
    </w:p>
    <w:p w14:paraId="474A609F">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5.2.14 五金</w:t>
      </w:r>
    </w:p>
    <w:p w14:paraId="2F365BFA">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五金均为304或316级的不锈钢产品，外露不锈钢含镍量不小于12%，不外露含镍量不小于10%，并经过充分设计和检验。门锁及门铰链选用符合规范要求的产品。 需和提供五金的相关单位协调配合，预安装和安装相关五金件，而特定的门及其特定五金件必须符合有关规格技术说明规定的要求。</w:t>
      </w:r>
    </w:p>
    <w:p w14:paraId="42A14ABB">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5.2.15 后置埋件</w:t>
      </w:r>
    </w:p>
    <w:p w14:paraId="4B531A9B">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1)后置埋件的设计使用年限应与幕墙主体结构一致，且不低于50年的使用寿命。</w:t>
      </w:r>
    </w:p>
    <w:p w14:paraId="292300F6">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2)表面热浸镀锌应符合GB/T 13912-20</w:t>
      </w:r>
      <w:r>
        <w:rPr>
          <w:rFonts w:hint="eastAsia" w:asciiTheme="minorEastAsia" w:hAnsiTheme="minorEastAsia" w:eastAsiaTheme="minorEastAsia" w:cstheme="minorEastAsia"/>
          <w:color w:val="auto"/>
          <w:lang w:val="en-US" w:eastAsia="zh-CN"/>
        </w:rPr>
        <w:t>20</w:t>
      </w:r>
      <w:r>
        <w:rPr>
          <w:rFonts w:hint="eastAsia" w:asciiTheme="minorEastAsia" w:hAnsiTheme="minorEastAsia" w:eastAsiaTheme="minorEastAsia" w:cstheme="minorEastAsia"/>
          <w:color w:val="auto"/>
        </w:rPr>
        <w:t xml:space="preserve"> 《金属覆盖层、钢铁制件热浸镀锌层技术要求及试验方法》的规定。镀层平均厚度≥70μm。</w:t>
      </w:r>
    </w:p>
    <w:p w14:paraId="2207630D">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3)后置埋件应采用Q235B材质，各项性能指标符合 GB/T 706《热轧型钢》的相关规定。</w:t>
      </w:r>
    </w:p>
    <w:p w14:paraId="4E613C7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4)后置埋件必须满足设计要求的荷载能力，厂家应提供相应的计算说明。 </w:t>
      </w:r>
    </w:p>
    <w:p w14:paraId="201FBB0B">
      <w:pPr>
        <w:pStyle w:val="31"/>
        <w:spacing w:line="360" w:lineRule="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5)施工单位应现场复核所有后置埋件，后置埋件应做现场受力测试，符合受力要求后方可使用。锚栓工程施工与验收应符合《混凝土结构后锚固技术规程》JGJ145的相关规定</w:t>
      </w:r>
      <w:r>
        <w:rPr>
          <w:rFonts w:hint="eastAsia" w:asciiTheme="minorEastAsia" w:hAnsiTheme="minorEastAsia" w:eastAsiaTheme="minorEastAsia" w:cstheme="minorEastAsia"/>
          <w:color w:val="auto"/>
          <w:lang w:eastAsia="zh-CN"/>
        </w:rPr>
        <w:t>。</w:t>
      </w:r>
    </w:p>
    <w:p w14:paraId="2B90DCD9">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5.2.16 隔热条</w:t>
      </w:r>
    </w:p>
    <w:p w14:paraId="30A70952">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1)本项目断热型材须由尼龙66（聚酰胺66）和25%的多向强化物玻璃纤维混合挤压而成的进口隔热条与铝型材复合而成。</w:t>
      </w:r>
    </w:p>
    <w:p w14:paraId="31A191DC">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2)所有聚酰胺66应采用新料，严禁使用回收料。</w:t>
      </w:r>
    </w:p>
    <w:p w14:paraId="357BEAF0">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3)复合而成的聚酰胺型材的DSC熔融峰温必须不低于255℃。</w:t>
      </w:r>
    </w:p>
    <w:p w14:paraId="729D3C9B">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4)隔热条在煅烧后将残余置于50X放大倍数的显微镜下观察，玻璃纤维不得出现夹杂、短碎（玻纤长径比小于30）现象。</w:t>
      </w:r>
    </w:p>
    <w:p w14:paraId="3E7F3E01">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5)隔热条在90℃±2℃的横向抗拉特征值必须满足I型（截面高度＜20mm）≥55Mpa, I型（截面高度≥20mm）≥45Mpa,非I型≥20Mpa。</w:t>
      </w:r>
    </w:p>
    <w:p w14:paraId="2E2E537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6)滚压成的PVC、单向玻璃纤维强化尼龙、灌注型和断桥型聚氨脂断热系统都是不能接受的。</w:t>
      </w:r>
    </w:p>
    <w:p w14:paraId="16CBF28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7)防热传导的隔片必须为连续性与铝挤型整合，材质为聚酰胺尼龙或聚亚安酯尼龙，增加的隔热量须符合隔热性能的要求。</w:t>
      </w:r>
    </w:p>
    <w:p w14:paraId="51BBFD8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8)聚酰胺尼龙须以玻璃纤维补强，以机械式固定至铝型材。</w:t>
      </w:r>
    </w:p>
    <w:p w14:paraId="278794CA">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9)聚亚安酯尼龙必须浇注至铝型材槽内，待聚亚安酯尼龙半钢化后再将另一侧的铝料切除，铝型材槽必须将聚亚安酯尼龙完全咬合，防止聚亚安酯尼龙滑动。</w:t>
      </w:r>
    </w:p>
    <w:p w14:paraId="4A7DE5F2">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10)金属以螺丝固定时，必须于中间放置硬质防热传导的隔片，或本技术要求规定的胶条。</w:t>
      </w:r>
    </w:p>
    <w:p w14:paraId="3B64E35A">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11)防热传导的隔片不可分离、破裂或断裂，且于铝型材内不可收缩或变形。防热传导的隔片与铝型材整合的误差须与单一型材相符。</w:t>
      </w:r>
    </w:p>
    <w:p w14:paraId="1F246461">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5.2.17 硅酮胶</w:t>
      </w:r>
    </w:p>
    <w:p w14:paraId="604BA933">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1)结构硅酮密封胶：选用高性能常温固化双组份胶，应符合《建筑用硅酮结构密封胶》GB16776-2005要求，拉伸粘结强度≥1.2MPa，伸长≥150%。</w:t>
      </w:r>
    </w:p>
    <w:p w14:paraId="721F72D5">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2)耐候硅酮密封胶：选用高性能常温固化单组份胶，应符合《硅酮和改性硅酮建筑密封胶》GB/T14683-20</w:t>
      </w:r>
      <w:r>
        <w:rPr>
          <w:rFonts w:hint="eastAsia" w:asciiTheme="minorEastAsia" w:hAnsiTheme="minorEastAsia" w:eastAsiaTheme="minorEastAsia" w:cstheme="minorEastAsia"/>
          <w:kern w:val="0"/>
          <w:sz w:val="24"/>
          <w:szCs w:val="24"/>
          <w:lang w:val="en-US" w:eastAsia="zh-CN"/>
        </w:rPr>
        <w:t>17</w:t>
      </w:r>
      <w:r>
        <w:rPr>
          <w:rFonts w:hint="eastAsia" w:asciiTheme="minorEastAsia" w:hAnsiTheme="minorEastAsia" w:eastAsiaTheme="minorEastAsia" w:cstheme="minorEastAsia"/>
          <w:kern w:val="0"/>
          <w:sz w:val="24"/>
          <w:szCs w:val="24"/>
        </w:rPr>
        <w:t>、《建筑胶粘剂分级和要求》GB/T22083-2008要求，具有+100/-50位移能力，拉伸模量≥0.8MPa。</w:t>
      </w:r>
    </w:p>
    <w:p w14:paraId="04AA0F06">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3)结构硅酮密封和耐候硅酮密封胶与相接处的材料应有相容性试验报告。</w:t>
      </w:r>
    </w:p>
    <w:p w14:paraId="0E9DE5B5">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5.2.18 橡胶条与垫块</w:t>
      </w:r>
    </w:p>
    <w:p w14:paraId="7B74DA65">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1)橡胶垫块：高密度氯丁橡胶，邵氏硬度85±5；</w:t>
      </w:r>
    </w:p>
    <w:p w14:paraId="76A27D26">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2)密封胶条：三元乙丙胶条，邵氏硬度60±5；</w:t>
      </w:r>
    </w:p>
    <w:p w14:paraId="103F8ED9">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3)颜色：黑色。</w:t>
      </w:r>
    </w:p>
    <w:p w14:paraId="5309FC0B">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5.2.19 紧固件及配件</w:t>
      </w:r>
    </w:p>
    <w:p w14:paraId="039B06BA">
      <w:pPr>
        <w:spacing w:line="360" w:lineRule="auto"/>
        <w:ind w:left="0" w:leftChars="0" w:firstLine="0" w:firstLineChars="0"/>
        <w:jc w:val="left"/>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紧固件：本工程所有标有不锈钢的紧固件，室内干燥环境采用A2-70系列，室外潮湿环境采用A4-70系列</w:t>
      </w:r>
      <w:r>
        <w:rPr>
          <w:rFonts w:hint="eastAsia" w:asciiTheme="minorEastAsia" w:hAnsiTheme="minorEastAsia" w:eastAsiaTheme="minorEastAsia" w:cstheme="minorEastAsia"/>
          <w:kern w:val="0"/>
          <w:sz w:val="24"/>
          <w:szCs w:val="24"/>
          <w:lang w:eastAsia="zh-CN"/>
        </w:rPr>
        <w:t>。</w:t>
      </w:r>
    </w:p>
    <w:p w14:paraId="14417AFD">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5.2.20门窗五金</w:t>
      </w:r>
    </w:p>
    <w:p w14:paraId="570BCB5C">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包含锁具、合页、铰链、限位撑、地弹簧等，材质0Cr18Ni9(304)。</w:t>
      </w:r>
    </w:p>
    <w:p w14:paraId="44881DE8">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5.2.21保温材料</w:t>
      </w:r>
    </w:p>
    <w:p w14:paraId="056CEDA5">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采用不小于50mm厚</w:t>
      </w:r>
      <w:r>
        <w:rPr>
          <w:rFonts w:hint="eastAsia" w:asciiTheme="minorEastAsia" w:hAnsiTheme="minorEastAsia" w:eastAsiaTheme="minorEastAsia" w:cstheme="minorEastAsia"/>
          <w:kern w:val="0"/>
          <w:sz w:val="24"/>
          <w:szCs w:val="24"/>
          <w:lang w:eastAsia="zh-CN"/>
        </w:rPr>
        <w:t>（温保岩棉复合单面防火铝箔贴面）</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en-US" w:eastAsia="zh-CN"/>
        </w:rPr>
        <w:t>100</w:t>
      </w:r>
      <w:r>
        <w:rPr>
          <w:rFonts w:hint="eastAsia" w:asciiTheme="minorEastAsia" w:hAnsiTheme="minorEastAsia" w:eastAsiaTheme="minorEastAsia" w:cstheme="minorEastAsia"/>
          <w:kern w:val="0"/>
          <w:sz w:val="24"/>
          <w:szCs w:val="24"/>
        </w:rPr>
        <w:t>㎏/m3燃烧性能A级不燃材料的保温岩棉</w:t>
      </w:r>
      <w:r>
        <w:rPr>
          <w:rFonts w:hint="eastAsia" w:asciiTheme="minorEastAsia" w:hAnsiTheme="minorEastAsia" w:eastAsiaTheme="minorEastAsia" w:cstheme="minorEastAsia"/>
          <w:kern w:val="0"/>
          <w:sz w:val="24"/>
          <w:szCs w:val="24"/>
          <w:lang w:eastAsia="zh-CN"/>
        </w:rPr>
        <w:t>，导热系数≤0.035W/（m·K）</w:t>
      </w:r>
      <w:r>
        <w:rPr>
          <w:rFonts w:hint="eastAsia" w:asciiTheme="minorEastAsia" w:hAnsiTheme="minorEastAsia" w:eastAsiaTheme="minorEastAsia" w:cstheme="minorEastAsia"/>
          <w:kern w:val="0"/>
          <w:sz w:val="24"/>
          <w:szCs w:val="24"/>
          <w:lang w:val="en-US" w:eastAsia="zh-CN"/>
        </w:rPr>
        <w:t>,</w:t>
      </w:r>
      <w:r>
        <w:rPr>
          <w:rFonts w:hint="eastAsia" w:asciiTheme="minorEastAsia" w:hAnsiTheme="minorEastAsia" w:eastAsiaTheme="minorEastAsia" w:cstheme="minorEastAsia"/>
          <w:kern w:val="0"/>
          <w:sz w:val="24"/>
          <w:szCs w:val="24"/>
        </w:rPr>
        <w:t>热工性能参数均参考建筑节能设计要求。</w:t>
      </w:r>
    </w:p>
    <w:p w14:paraId="06B7032F">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5.2.22防火材料</w:t>
      </w:r>
    </w:p>
    <w:p w14:paraId="56047BD7">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防火材料：采用200mm厚密度不低于120kg／m3连续铺设，熔点不应小于1200℃</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并用1.5mm镀锌钢板支承包覆，用于层间防火和防火分区隔断，防火等级达到A1级要求，满足2小时防火。</w:t>
      </w:r>
    </w:p>
    <w:p w14:paraId="0E420C2A">
      <w:pPr>
        <w:spacing w:line="360" w:lineRule="auto"/>
        <w:ind w:left="0" w:leftChars="0"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5.2.23其他材料</w:t>
      </w:r>
    </w:p>
    <w:p w14:paraId="3849DD6A">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聚乙烯发泡材料：密度不大于37kg/m3，必须密封胶相容。</w:t>
      </w:r>
    </w:p>
    <w:p w14:paraId="72FAA590">
      <w:pPr>
        <w:spacing w:line="360" w:lineRule="auto"/>
        <w:ind w:left="0" w:leftChars="0"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断热冷桥：PA66GF25(聚酰胺66+25玻璃纤维)，穿条式。</w:t>
      </w:r>
    </w:p>
    <w:p w14:paraId="7D79C70E">
      <w:pPr>
        <w:spacing w:line="360" w:lineRule="auto"/>
        <w:ind w:left="0" w:leftChars="0" w:firstLine="0" w:firstLineChars="0"/>
        <w:rPr>
          <w:rFonts w:hint="eastAsia" w:asciiTheme="minorEastAsia" w:hAnsiTheme="minorEastAsia" w:eastAsiaTheme="minorEastAsia" w:cstheme="minorEastAsia"/>
          <w:b/>
          <w:sz w:val="24"/>
          <w:szCs w:val="24"/>
        </w:rPr>
      </w:pPr>
      <w:bookmarkStart w:id="58" w:name="_Toc520909632"/>
      <w:r>
        <w:rPr>
          <w:rFonts w:hint="eastAsia" w:asciiTheme="minorEastAsia" w:hAnsiTheme="minorEastAsia" w:eastAsiaTheme="minorEastAsia" w:cstheme="minorEastAsia"/>
          <w:b/>
          <w:sz w:val="24"/>
          <w:szCs w:val="24"/>
        </w:rPr>
        <w:t>5.2.24 金属的保护</w:t>
      </w:r>
      <w:bookmarkEnd w:id="58"/>
    </w:p>
    <w:p w14:paraId="3073B50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r>
        <w:rPr>
          <w:rFonts w:hint="eastAsia" w:asciiTheme="minorEastAsia" w:hAnsiTheme="minorEastAsia" w:eastAsiaTheme="minorEastAsia" w:cstheme="minorEastAsia"/>
          <w:b/>
          <w:color w:val="auto"/>
        </w:rPr>
        <w:t xml:space="preserve"> </w:t>
      </w:r>
      <w:r>
        <w:rPr>
          <w:rFonts w:hint="eastAsia" w:asciiTheme="minorEastAsia" w:hAnsiTheme="minorEastAsia" w:eastAsiaTheme="minorEastAsia" w:cstheme="minorEastAsia"/>
          <w:color w:val="auto"/>
        </w:rPr>
        <w:t>除铝与不锈钢接触的情况外，相异金属接触时，皆需提供电位差对金属所产生伤害的保护措施：</w:t>
      </w:r>
    </w:p>
    <w:p w14:paraId="0BE8116E">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a.接触表面涂上二层高浓度的沥青漆。</w:t>
      </w:r>
    </w:p>
    <w:p w14:paraId="0011B057">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b.尼龙片</w:t>
      </w:r>
    </w:p>
    <w:p w14:paraId="3E5F6923">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c.使用适当的填缝剂，胶带，或核准的静电绝缘材料。</w:t>
      </w:r>
    </w:p>
    <w:p w14:paraId="5865D32A">
      <w:pPr>
        <w:pStyle w:val="31"/>
        <w:tabs>
          <w:tab w:val="left" w:pos="993"/>
          <w:tab w:val="left" w:pos="1134"/>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2)除不锈钢外的所有金属,如需与混凝土灰泥或胶泥接触，其接触表面皆应以须涂上二层高浓度的沥青漆。</w:t>
      </w:r>
    </w:p>
    <w:p w14:paraId="6CAE0CDD">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3)所有焊接工作皆需依照相关的美国焊接协会，或政府建筑部门同级单位的规定程序进行。</w:t>
      </w:r>
    </w:p>
    <w:p w14:paraId="0840BAB3">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4)所有焊接工作应由熟练且领有执照或检核合格的工人施作。承包商于施工前，须提供所有技工的执照予业主单位及设计单位。</w:t>
      </w:r>
    </w:p>
    <w:p w14:paraId="244936A0">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5)采用焊条供货商所建议使用的电极及程序进行焊接工作</w:t>
      </w:r>
    </w:p>
    <w:p w14:paraId="528FCCE4">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6)所有焊接型式、尺寸及长度，必须标示于施工图及结构计算。</w:t>
      </w:r>
    </w:p>
    <w:p w14:paraId="29E2455C">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7)镀锌表面不可焊接。</w:t>
      </w:r>
    </w:p>
    <w:p w14:paraId="090B1A8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8)焊接的型式、尺寸及间隔皆应依照核准施工图上的规定，完成表面处理的材料其背面的焊接不可造成其表面的变形及褪色，且其表面上亦不得有焊接及焊接的氧化物，在外露表面上不得采用焊接。</w:t>
      </w:r>
    </w:p>
    <w:p w14:paraId="3AC26DF8">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9)所有钢材的焊接处应以钢丝刷除去残屑，并涂上二层不同颜色，含高浓度的锌粉底漆。</w:t>
      </w:r>
    </w:p>
    <w:p w14:paraId="66FED88F">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10)玻璃及其它完成的表面，必须提供保护，避免因焊接而受损。</w:t>
      </w:r>
    </w:p>
    <w:p w14:paraId="0E5B1A2D">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11)当预埋钢件需于工地焊接时，预埋钢件的厚度不可小于8mm。</w:t>
      </w:r>
    </w:p>
    <w:p w14:paraId="276B0484">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12)植钉类不可以填角焊焊至预埋钢件上，如带头植钉、圆棒及螺杆等。仅可使用特制机具将植钉焊至预埋钢件。</w:t>
      </w:r>
    </w:p>
    <w:p w14:paraId="2064A12B">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所有焊接测试步骤须由业主单位，总包单位及设计单位核准，所有焊接于品管步骤核准前不得进行。测试须由独立且经核准的实验室进行，焊接测试须符合相关标准的规定，或政府建筑部门的要求，且不得少于下列要求。</w:t>
      </w:r>
    </w:p>
    <w:p w14:paraId="06A4DE23">
      <w:pPr>
        <w:pStyle w:val="31"/>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100%目视检验</w:t>
      </w:r>
    </w:p>
    <w:p w14:paraId="09AB685C">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填角焊，20%测试</w:t>
      </w:r>
    </w:p>
    <w:p w14:paraId="15F0D34A">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全渗透对焊，100%测试</w:t>
      </w:r>
    </w:p>
    <w:p w14:paraId="049F604A">
      <w:pPr>
        <w:pStyle w:val="31"/>
        <w:tabs>
          <w:tab w:val="left" w:pos="1985"/>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部分渗透对焊，20%测试</w:t>
      </w:r>
    </w:p>
    <w:p w14:paraId="0FA1D911">
      <w:pPr>
        <w:pStyle w:val="31"/>
        <w:tabs>
          <w:tab w:val="left" w:pos="993"/>
          <w:tab w:val="left" w:pos="1134"/>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所有测试报告须由合格检验人员签署并送审。碳钢的厂内上漆；除制造后已经电镀或已安排作其它表面处理外，碳钢类项目在完成制造及焊接后，应彻底清除残渣、灰尘、焊药及其它异物，再涂上二层不同颜色含高浓度的锌底漆。详本技术要求相关规定室外及室内钢料构件的表面处理。</w:t>
      </w:r>
    </w:p>
    <w:p w14:paraId="4A9828ED">
      <w:pPr>
        <w:pStyle w:val="31"/>
        <w:tabs>
          <w:tab w:val="left" w:pos="993"/>
          <w:tab w:val="left" w:pos="1134"/>
        </w:tabs>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w:t>
      </w:r>
      <w:r>
        <w:rPr>
          <w:rFonts w:hint="eastAsia" w:asciiTheme="minorEastAsia" w:hAnsiTheme="minorEastAsia" w:eastAsiaTheme="minorEastAsia" w:cstheme="minorEastAsia"/>
          <w:b/>
          <w:color w:val="auto"/>
        </w:rPr>
        <w:t xml:space="preserve"> </w:t>
      </w:r>
      <w:r>
        <w:rPr>
          <w:rFonts w:hint="eastAsia" w:asciiTheme="minorEastAsia" w:hAnsiTheme="minorEastAsia" w:eastAsiaTheme="minorEastAsia" w:cstheme="minorEastAsia"/>
          <w:color w:val="auto"/>
        </w:rPr>
        <w:t>填缝材料的使用需符合本技术要求的相关规定。</w:t>
      </w:r>
    </w:p>
    <w:p w14:paraId="251DFC54">
      <w:pPr>
        <w:spacing w:line="360" w:lineRule="auto"/>
        <w:ind w:left="0" w:leftChars="0" w:firstLine="0" w:firstLineChars="0"/>
        <w:rPr>
          <w:rFonts w:hint="eastAsia" w:asciiTheme="minorEastAsia" w:hAnsiTheme="minorEastAsia" w:eastAsiaTheme="minorEastAsia" w:cstheme="minorEastAsia"/>
          <w:b/>
          <w:sz w:val="24"/>
          <w:szCs w:val="24"/>
        </w:rPr>
      </w:pPr>
      <w:bookmarkStart w:id="59" w:name="_Toc326591049"/>
      <w:bookmarkStart w:id="60" w:name="_Toc520909633"/>
      <w:r>
        <w:rPr>
          <w:rFonts w:hint="eastAsia" w:asciiTheme="minorEastAsia" w:hAnsiTheme="minorEastAsia" w:eastAsiaTheme="minorEastAsia" w:cstheme="minorEastAsia"/>
          <w:b/>
          <w:sz w:val="24"/>
          <w:szCs w:val="24"/>
        </w:rPr>
        <w:t>5.2.27 幕墙系统及面板覆层的接地、避雷装置</w:t>
      </w:r>
      <w:bookmarkEnd w:id="59"/>
      <w:bookmarkEnd w:id="60"/>
    </w:p>
    <w:p w14:paraId="2CF63A28">
      <w:pPr>
        <w:pStyle w:val="37"/>
        <w:tabs>
          <w:tab w:val="left" w:pos="993"/>
          <w:tab w:val="left" w:pos="1134"/>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1)有关做法严格依照国家规范和图纸要求。</w:t>
      </w:r>
    </w:p>
    <w:p w14:paraId="6C5DBFCA">
      <w:pPr>
        <w:pStyle w:val="37"/>
        <w:tabs>
          <w:tab w:val="left" w:pos="993"/>
          <w:tab w:val="left" w:pos="1134"/>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2)符合最新的中国国家规范，并与电机工程师和所有提供接线供应及与接地/避雷装置有关的电子承包商配合取得一致意见。</w:t>
      </w:r>
    </w:p>
    <w:p w14:paraId="7045979E">
      <w:pPr>
        <w:pStyle w:val="37"/>
        <w:tabs>
          <w:tab w:val="left" w:pos="993"/>
          <w:tab w:val="left" w:pos="1134"/>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 做窗户框架和覆层系统的型材须以机械的方式连接，如果有必要的话在间隙间要使用导电介质，使之形成良好导通。</w:t>
      </w:r>
    </w:p>
    <w:p w14:paraId="21903EF4">
      <w:pPr>
        <w:pStyle w:val="37"/>
        <w:tabs>
          <w:tab w:val="left" w:pos="993"/>
          <w:tab w:val="left" w:pos="1134"/>
        </w:tabs>
        <w:spacing w:after="0"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b/>
        </w:rPr>
        <w:t xml:space="preserve"> </w:t>
      </w:r>
      <w:r>
        <w:rPr>
          <w:rFonts w:hint="eastAsia" w:asciiTheme="minorEastAsia" w:hAnsiTheme="minorEastAsia" w:eastAsiaTheme="minorEastAsia" w:cstheme="minorEastAsia"/>
        </w:rPr>
        <w:t>幕墙系统及覆层防雷装置的施工，国家具有电气相关资格的人员执行。</w:t>
      </w:r>
    </w:p>
    <w:p w14:paraId="40DC747D">
      <w:pPr>
        <w:pStyle w:val="31"/>
        <w:spacing w:line="360" w:lineRule="auto"/>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5.2.2</w:t>
      </w:r>
      <w:r>
        <w:rPr>
          <w:rFonts w:hint="eastAsia" w:asciiTheme="minorEastAsia" w:hAnsiTheme="minorEastAsia" w:eastAsiaTheme="minorEastAsia" w:cstheme="minorEastAsia"/>
          <w:b/>
          <w:sz w:val="24"/>
          <w:szCs w:val="24"/>
          <w:lang w:val="en-US" w:eastAsia="zh-CN"/>
        </w:rPr>
        <w:t>8</w:t>
      </w: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z w:val="24"/>
          <w:szCs w:val="24"/>
          <w:lang w:val="en-US" w:eastAsia="zh-CN"/>
        </w:rPr>
        <w:t>屋面系统材料</w:t>
      </w:r>
    </w:p>
    <w:p w14:paraId="6A1734FA">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1）0.9mm厚铝镁锰直立锁边板（材质/状态3004-H46），屈服强度：≥190MPa，抗拉强度：≥220MPa；</w:t>
      </w:r>
    </w:p>
    <w:p w14:paraId="2B6AFE9E">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2）屋面防水板采用0.9mm厚65/400型360度咬合高强抗风揭型铝镁锰屋面板，局部采用扇形板，扇形板大小头宽度按照设计要 求，详见图纸，屋面板厂家应具有异形板加工能力。该屋面板为构造防水，现场压型生产,免维护使用年限可达40年以上。屋 面板基材合金成分为AA3004，合金状态为H46。屋面板完成效果必须流畅、平整、美观，不得出现局部形态突变的情况。屋 面板排板时应保证三维曲面、檐口曲线的过渡平顺光滑。该屋面板为构造防水，现场压型生产。 </w:t>
      </w:r>
    </w:p>
    <w:p w14:paraId="0FA45434">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屋面板必须为国产优质公司生产的铝镁锰板,必须采用原厂生产工艺的优质产品,提供工厂出具的产地证明、装箱单、质量证书以及报关单等相关文件(文件中需注明项目名称)。 </w:t>
      </w:r>
    </w:p>
    <w:p w14:paraId="4D1D55B5">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15"/>
          <w:szCs w:val="15"/>
          <w:lang w:val="en-US" w:eastAsia="zh-CN" w:bidi="ar-SA"/>
        </w:rPr>
        <w:t xml:space="preserve">● </w:t>
      </w:r>
      <w:r>
        <w:rPr>
          <w:rFonts w:hint="eastAsia" w:asciiTheme="minorEastAsia" w:hAnsiTheme="minorEastAsia" w:eastAsiaTheme="minorEastAsia" w:cstheme="minorEastAsia"/>
          <w:color w:val="auto"/>
          <w:sz w:val="24"/>
          <w:szCs w:val="24"/>
          <w:lang w:val="en-US" w:eastAsia="zh-CN" w:bidi="ar-SA"/>
        </w:rPr>
        <w:t xml:space="preserve">合金状态： H46；                   </w:t>
      </w:r>
      <w:r>
        <w:rPr>
          <w:rFonts w:hint="eastAsia" w:asciiTheme="minorEastAsia" w:hAnsiTheme="minorEastAsia" w:eastAsiaTheme="minorEastAsia" w:cstheme="minorEastAsia"/>
          <w:color w:val="auto"/>
          <w:sz w:val="15"/>
          <w:szCs w:val="15"/>
          <w:lang w:val="en-US" w:eastAsia="zh-CN" w:bidi="ar-SA"/>
        </w:rPr>
        <w:t xml:space="preserve">● </w:t>
      </w:r>
      <w:r>
        <w:rPr>
          <w:rFonts w:hint="eastAsia" w:asciiTheme="minorEastAsia" w:hAnsiTheme="minorEastAsia" w:eastAsiaTheme="minorEastAsia" w:cstheme="minorEastAsia"/>
          <w:color w:val="auto"/>
          <w:sz w:val="24"/>
          <w:szCs w:val="24"/>
          <w:lang w:val="en-US" w:eastAsia="zh-CN" w:bidi="ar-SA"/>
        </w:rPr>
        <w:t xml:space="preserve">合金成分： AA3004；   </w:t>
      </w:r>
    </w:p>
    <w:p w14:paraId="285006E0">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15"/>
          <w:szCs w:val="15"/>
          <w:lang w:val="en-US" w:eastAsia="zh-CN" w:bidi="ar-SA"/>
        </w:rPr>
        <w:t xml:space="preserve">● </w:t>
      </w:r>
      <w:r>
        <w:rPr>
          <w:rFonts w:hint="eastAsia" w:asciiTheme="minorEastAsia" w:hAnsiTheme="minorEastAsia" w:eastAsiaTheme="minorEastAsia" w:cstheme="minorEastAsia"/>
          <w:color w:val="auto"/>
          <w:sz w:val="24"/>
          <w:szCs w:val="24"/>
          <w:lang w:val="en-US" w:eastAsia="zh-CN" w:bidi="ar-SA"/>
        </w:rPr>
        <w:t xml:space="preserve">屈服强度：≥190MPa；               </w:t>
      </w:r>
      <w:r>
        <w:rPr>
          <w:rFonts w:hint="eastAsia" w:asciiTheme="minorEastAsia" w:hAnsiTheme="minorEastAsia" w:eastAsiaTheme="minorEastAsia" w:cstheme="minorEastAsia"/>
          <w:color w:val="auto"/>
          <w:sz w:val="15"/>
          <w:szCs w:val="15"/>
          <w:lang w:val="en-US" w:eastAsia="zh-CN" w:bidi="ar-SA"/>
        </w:rPr>
        <w:t xml:space="preserve">● </w:t>
      </w:r>
      <w:r>
        <w:rPr>
          <w:rFonts w:hint="eastAsia" w:asciiTheme="minorEastAsia" w:hAnsiTheme="minorEastAsia" w:eastAsiaTheme="minorEastAsia" w:cstheme="minorEastAsia"/>
          <w:color w:val="auto"/>
          <w:sz w:val="24"/>
          <w:szCs w:val="24"/>
          <w:lang w:val="en-US" w:eastAsia="zh-CN" w:bidi="ar-SA"/>
        </w:rPr>
        <w:t xml:space="preserve">抗拉强度：≥220MPa； </w:t>
      </w:r>
    </w:p>
    <w:p w14:paraId="23D37D59">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15"/>
          <w:szCs w:val="15"/>
          <w:lang w:val="en-US" w:eastAsia="zh-CN" w:bidi="ar-SA"/>
        </w:rPr>
        <w:t xml:space="preserve">● </w:t>
      </w:r>
      <w:r>
        <w:rPr>
          <w:rFonts w:hint="eastAsia" w:asciiTheme="minorEastAsia" w:hAnsiTheme="minorEastAsia" w:eastAsiaTheme="minorEastAsia" w:cstheme="minorEastAsia"/>
          <w:color w:val="auto"/>
          <w:sz w:val="24"/>
          <w:szCs w:val="24"/>
          <w:lang w:val="en-US" w:eastAsia="zh-CN" w:bidi="ar-SA"/>
        </w:rPr>
        <w:t xml:space="preserve">金属延伸率：≥5%；                 </w:t>
      </w:r>
      <w:r>
        <w:rPr>
          <w:rFonts w:hint="eastAsia" w:asciiTheme="minorEastAsia" w:hAnsiTheme="minorEastAsia" w:eastAsiaTheme="minorEastAsia" w:cstheme="minorEastAsia"/>
          <w:color w:val="auto"/>
          <w:sz w:val="15"/>
          <w:szCs w:val="15"/>
          <w:lang w:val="en-US" w:eastAsia="zh-CN" w:bidi="ar-SA"/>
        </w:rPr>
        <w:t xml:space="preserve">● </w:t>
      </w:r>
      <w:r>
        <w:rPr>
          <w:rFonts w:hint="eastAsia" w:asciiTheme="minorEastAsia" w:hAnsiTheme="minorEastAsia" w:eastAsiaTheme="minorEastAsia" w:cstheme="minorEastAsia"/>
          <w:color w:val="auto"/>
          <w:sz w:val="24"/>
          <w:szCs w:val="24"/>
          <w:lang w:val="en-US" w:eastAsia="zh-CN" w:bidi="ar-SA"/>
        </w:rPr>
        <w:t xml:space="preserve">热传导率： 293~364W/（m·K）； </w:t>
      </w:r>
    </w:p>
    <w:p w14:paraId="08253AA7">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15"/>
          <w:szCs w:val="15"/>
          <w:lang w:val="en-US" w:eastAsia="zh-CN" w:bidi="ar-SA"/>
        </w:rPr>
        <w:t xml:space="preserve">● </w:t>
      </w:r>
      <w:r>
        <w:rPr>
          <w:rFonts w:hint="eastAsia" w:asciiTheme="minorEastAsia" w:hAnsiTheme="minorEastAsia" w:eastAsiaTheme="minorEastAsia" w:cstheme="minorEastAsia"/>
          <w:color w:val="auto"/>
          <w:sz w:val="24"/>
          <w:szCs w:val="24"/>
          <w:lang w:val="en-US" w:eastAsia="zh-CN" w:bidi="ar-SA"/>
        </w:rPr>
        <w:t xml:space="preserve">电传导率： 41~52m/（W.mm2）；      </w:t>
      </w:r>
      <w:r>
        <w:rPr>
          <w:rFonts w:hint="eastAsia" w:asciiTheme="minorEastAsia" w:hAnsiTheme="minorEastAsia" w:eastAsiaTheme="minorEastAsia" w:cstheme="minorEastAsia"/>
          <w:color w:val="auto"/>
          <w:sz w:val="15"/>
          <w:szCs w:val="15"/>
          <w:lang w:val="en-US" w:eastAsia="zh-CN" w:bidi="ar-SA"/>
        </w:rPr>
        <w:t>●</w:t>
      </w:r>
      <w:r>
        <w:rPr>
          <w:rFonts w:hint="eastAsia" w:asciiTheme="minorEastAsia" w:hAnsiTheme="minorEastAsia" w:eastAsiaTheme="minorEastAsia" w:cstheme="minorEastAsia"/>
          <w:color w:val="auto"/>
          <w:sz w:val="24"/>
          <w:szCs w:val="24"/>
          <w:lang w:val="en-US" w:eastAsia="zh-CN" w:bidi="ar-SA"/>
        </w:rPr>
        <w:t xml:space="preserve">熔点：660℃； </w:t>
      </w:r>
    </w:p>
    <w:p w14:paraId="5C2B77C5">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3）防水卷材</w:t>
      </w:r>
    </w:p>
    <w:p w14:paraId="5462E45C">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   采用1.5mm厚聚酯纤维内增强型TPO防水卷材（P型）。卷材内衬聚酯纤维加强层，横向、纵向、斜向三维聚酯纤维织物内 增强型。防水卷材应满足GB27789-2011《热塑性聚烯烃（TPO）防水卷材》要求。主要性能指标要求如下： </w:t>
      </w:r>
    </w:p>
    <w:p w14:paraId="466FFA1B">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a）中间织物上面树脂层厚度≥0.40mm；  </w:t>
      </w:r>
    </w:p>
    <w:p w14:paraId="1B4B6647">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b）最大拉力≥250 N/cm； </w:t>
      </w:r>
    </w:p>
    <w:p w14:paraId="3C43217F">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c）最大拉力时伸长率≥15％；  </w:t>
      </w:r>
    </w:p>
    <w:p w14:paraId="3B348FA7">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d）热处理尺寸变化率≤0.5％；  </w:t>
      </w:r>
    </w:p>
    <w:p w14:paraId="51C7BE52">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e）低温弯折性：-50℃无裂纹；  </w:t>
      </w:r>
    </w:p>
    <w:p w14:paraId="5AB83B55">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f）不透水性：0.3Mpa，2h不透水；  </w:t>
      </w:r>
    </w:p>
    <w:p w14:paraId="68EA44A9">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g）抗冲击性能：0.5kg·m，不渗水； </w:t>
      </w:r>
    </w:p>
    <w:p w14:paraId="0824E787">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h）接缝剥离强度≥3.0N/mm； </w:t>
      </w:r>
    </w:p>
    <w:p w14:paraId="305C4BE3">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i）梯形撕裂强度≥450N； </w:t>
      </w:r>
    </w:p>
    <w:p w14:paraId="0E924A4A">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j）吸水率（70℃ 168h）4.0%； </w:t>
      </w:r>
    </w:p>
    <w:p w14:paraId="0EF5ED6E">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k）宽幅不小于2米； </w:t>
      </w:r>
    </w:p>
    <w:p w14:paraId="1F6847C9">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m）通过人工加速气候老化测试：10000小时； </w:t>
      </w:r>
    </w:p>
    <w:p w14:paraId="3014822D">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n）通过热老化测试：135摄氏度/672小时。 </w:t>
      </w:r>
    </w:p>
    <w:p w14:paraId="67B9650B">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4）镀铝锌压型钢板</w:t>
      </w:r>
    </w:p>
    <w:p w14:paraId="7EAB3A38">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   本项目采用：0.8mm厚YX38-150-900镀铝锌压型钢底板（SGD350,AZ150） ，A级耐火等级；0.8mm厚YX65-170-510镀铝锌穿孔压型钢底板，A级耐火等级（穿孔率20%，S350GD，AZ150，可视表面氟 碳喷涂） </w:t>
      </w:r>
    </w:p>
    <w:p w14:paraId="75E777E6">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a.材质为S350GD，表面镀铝锌处理，压型钢板镀层：双面镀层含量不低于150g/m2。 </w:t>
      </w:r>
    </w:p>
    <w:p w14:paraId="59B86A1C">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b.防腐采用55%镀铝锌：铝锌合金参考配比：铝55%、锌43.5%及硅1.5% 。 </w:t>
      </w:r>
    </w:p>
    <w:p w14:paraId="7B0D68A7">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 xml:space="preserve">c.压型钢板力学性能：屈服强度Reh≥320Mpa，抗拉强度Rm≥390Mpa； </w:t>
      </w:r>
    </w:p>
    <w:p w14:paraId="76DCC8B9">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d.屋面压型钢板不作为施工平台，禁止踩踏。</w:t>
      </w:r>
    </w:p>
    <w:p w14:paraId="5B568C74">
      <w:pPr>
        <w:pStyle w:val="31"/>
        <w:spacing w:line="360" w:lineRule="auto"/>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5.2.2</w:t>
      </w:r>
      <w:r>
        <w:rPr>
          <w:rFonts w:hint="eastAsia" w:asciiTheme="minorEastAsia" w:hAnsiTheme="minorEastAsia" w:eastAsiaTheme="minorEastAsia" w:cstheme="minorEastAsia"/>
          <w:b/>
          <w:sz w:val="24"/>
          <w:szCs w:val="24"/>
          <w:lang w:val="en-US" w:eastAsia="zh-CN"/>
        </w:rPr>
        <w:t>9</w:t>
      </w: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z w:val="24"/>
          <w:szCs w:val="24"/>
          <w:lang w:val="en-US" w:eastAsia="zh-CN"/>
        </w:rPr>
        <w:t>膜结构设计</w:t>
      </w:r>
    </w:p>
    <w:p w14:paraId="51F10C28">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采用0.8mm厚PTFE膜材料（聚四氟乙烯涂层，玻璃纤维基布，耐火等级B1）；本项目膜材采用高自清洁玻纤PTFE膜材。膜材厂家质保年限：15年，100%不递减质保。膜材为复合永久性建筑使用，必须具备健康，安全，环保等要求：膜材厂家需要开具具备膜材生产不使用PFOA有害物质的承诺函；相关膜材需提供REACH环保符合认证。如果膜材采用进口品牌，须提供国外进口原产地证明和报关单。</w:t>
      </w:r>
    </w:p>
    <w:p w14:paraId="3B2FCAB3">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本项目顶面膜材主要性能参数如下：</w:t>
      </w:r>
    </w:p>
    <w:p w14:paraId="37CEB55C">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1）膜材基布纤维：EC3/4,基布表面涂层采用多道PTFE浸涂加FEP气孔封涂。</w:t>
      </w:r>
    </w:p>
    <w:p w14:paraId="3160E3AC">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2）厚度（mm）：0.7±0.1mm</w:t>
      </w:r>
    </w:p>
    <w:p w14:paraId="3EF3549A">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3）重量（g/m2）： ≥1300</w:t>
      </w:r>
    </w:p>
    <w:p w14:paraId="40B394E1">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4）经向/纬向抗拉强度（N/5cm）:  ≥7500/7000</w:t>
      </w:r>
    </w:p>
    <w:p w14:paraId="4EC4E22E">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5）经向/纬向撕裂强度（N）:  ≥500/500</w:t>
      </w:r>
    </w:p>
    <w:p w14:paraId="1DE7379D">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6）涂层: PTFE</w:t>
      </w:r>
    </w:p>
    <w:p w14:paraId="2C480CD6">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7）膜透光率:无漂白要求，晒白后≥13%</w:t>
      </w:r>
    </w:p>
    <w:p w14:paraId="2EA5C9DA">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8）膜材颜色： 日晒后变为白色</w:t>
      </w:r>
    </w:p>
    <w:p w14:paraId="70E4B217">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9）防火等级：B1级，膜材幅宽：3.8-4.7m，避免不必要焊接缝。</w:t>
      </w:r>
    </w:p>
    <w:p w14:paraId="79DF6DDD">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10）同批次厚度均匀膜材用于同一单元，原则上同一单元内膜材差异不得超过±5%。</w:t>
      </w:r>
    </w:p>
    <w:p w14:paraId="71224136">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11）膜结构安装和验收应符合《膜结构技术规程》（CECS158-2015）的要求。</w:t>
      </w:r>
    </w:p>
    <w:p w14:paraId="789F1FE6">
      <w:pPr>
        <w:pStyle w:val="31"/>
        <w:spacing w:line="360" w:lineRule="auto"/>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5.2.</w:t>
      </w:r>
      <w:r>
        <w:rPr>
          <w:rFonts w:hint="eastAsia" w:asciiTheme="minorEastAsia" w:hAnsiTheme="minorEastAsia" w:eastAsiaTheme="minorEastAsia" w:cstheme="minorEastAsia"/>
          <w:b/>
          <w:sz w:val="24"/>
          <w:szCs w:val="24"/>
          <w:lang w:val="en-US" w:eastAsia="zh-CN"/>
        </w:rPr>
        <w:t>30</w:t>
      </w: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z w:val="24"/>
          <w:szCs w:val="24"/>
          <w:lang w:val="en-US" w:eastAsia="zh-CN"/>
        </w:rPr>
        <w:t>聚碳酸酯板</w:t>
      </w:r>
    </w:p>
    <w:p w14:paraId="4A693118">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1）聚碳酸酯板燃烧性能≥B1级，双面UV层，质保年限≥15年，性能满足JGT 347-2012 聚碳酸酯（PC）实心板相关规定的要求，颜色待封样确认。</w:t>
      </w:r>
    </w:p>
    <w:p w14:paraId="36407AFC">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2）实心板应以聚碳酸酯树脂为主要原料,可加入颜料、加工助剂、稳定剂（如紫外吸收剂）等添加剂，用量不应超过5%。采用全新进口原材料制作，提供原材料采购证明，性能符合国标要求。实心板原材料物理、力学性能应符合下表要求。</w:t>
      </w:r>
    </w:p>
    <w:p w14:paraId="72EAD74B">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rPr>
        <w:drawing>
          <wp:inline distT="0" distB="0" distL="114300" distR="114300">
            <wp:extent cx="5730240" cy="239903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30240" cy="2399030"/>
                    </a:xfrm>
                    <a:prstGeom prst="rect">
                      <a:avLst/>
                    </a:prstGeom>
                    <a:noFill/>
                    <a:ln>
                      <a:noFill/>
                    </a:ln>
                  </pic:spPr>
                </pic:pic>
              </a:graphicData>
            </a:graphic>
          </wp:inline>
        </w:drawing>
      </w:r>
    </w:p>
    <w:p w14:paraId="356F8C01">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3）实心板生产企业应提供聚碳酸酯原材料的泊松比值,泊松比典型值为0.38。</w:t>
      </w:r>
    </w:p>
    <w:p w14:paraId="12683299">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4）聚碳酸酯（PC）实心板除满足下表的技术要求外，同时满足如下要求。</w:t>
      </w:r>
    </w:p>
    <w:p w14:paraId="484C3F0D">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rPr>
        <w:drawing>
          <wp:inline distT="0" distB="0" distL="114300" distR="114300">
            <wp:extent cx="5725160" cy="5748655"/>
            <wp:effectExtent l="0" t="0" r="889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25160" cy="5748655"/>
                    </a:xfrm>
                    <a:prstGeom prst="rect">
                      <a:avLst/>
                    </a:prstGeom>
                    <a:noFill/>
                    <a:ln>
                      <a:noFill/>
                    </a:ln>
                  </pic:spPr>
                </pic:pic>
              </a:graphicData>
            </a:graphic>
          </wp:inline>
        </w:drawing>
      </w:r>
    </w:p>
    <w:p w14:paraId="17C5F8B8">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5）产品耐老化性能，依据GB/T 16422.2标准，氙灯加速老化10000h，黄变指数ΔYI≤3，透光率下降值≤3%，提供有效期内由通标标准SGS、华测检测CTI或TUV出具的氙灯老化报告，报告应有CNAS资质。</w:t>
      </w:r>
    </w:p>
    <w:p w14:paraId="5F41E8FD">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6）依据GB/T 12967.4标准，采用500W紫外灯、0.5m照射120h后，黄变指数ΔYI≤3。作为质量控制，每5000㎡为一个检验批，每批取样3处，按此标准进行抽样检测，黄变指数不超过3。</w:t>
      </w:r>
    </w:p>
    <w:p w14:paraId="3AD899B7">
      <w:pPr>
        <w:pStyle w:val="31"/>
        <w:spacing w:line="360" w:lineRule="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7）实心板需具备防眩光功能。</w:t>
      </w:r>
    </w:p>
    <w:p w14:paraId="487E359B">
      <w:pPr>
        <w:pStyle w:val="31"/>
        <w:spacing w:line="360" w:lineRule="auto"/>
        <w:rPr>
          <w:rFonts w:hint="eastAsia" w:asciiTheme="minorEastAsia" w:hAnsiTheme="minorEastAsia" w:eastAsiaTheme="minorEastAsia" w:cstheme="minorEastAsia"/>
          <w:color w:val="auto"/>
          <w:sz w:val="24"/>
          <w:szCs w:val="24"/>
          <w:lang w:val="en-US" w:eastAsia="zh-CN" w:bidi="ar-SA"/>
        </w:rPr>
      </w:pPr>
    </w:p>
    <w:p w14:paraId="36ACF376">
      <w:pPr>
        <w:ind w:left="-2" w:leftChars="-1" w:firstLine="2"/>
        <w:outlineLvl w:val="0"/>
        <w:rPr>
          <w:b/>
          <w:color w:val="auto"/>
          <w:sz w:val="24"/>
          <w:highlight w:val="none"/>
        </w:rPr>
      </w:pPr>
      <w:bookmarkStart w:id="61" w:name="_Toc21140"/>
      <w:r>
        <w:rPr>
          <w:b/>
          <w:color w:val="auto"/>
          <w:sz w:val="24"/>
          <w:highlight w:val="none"/>
        </w:rPr>
        <w:t>第</w:t>
      </w:r>
      <w:r>
        <w:rPr>
          <w:rFonts w:hint="eastAsia"/>
          <w:b/>
          <w:color w:val="auto"/>
          <w:sz w:val="24"/>
          <w:highlight w:val="none"/>
          <w:lang w:val="en-US" w:eastAsia="zh-CN"/>
        </w:rPr>
        <w:t>三</w:t>
      </w:r>
      <w:r>
        <w:rPr>
          <w:b/>
          <w:color w:val="auto"/>
          <w:sz w:val="24"/>
          <w:highlight w:val="none"/>
        </w:rPr>
        <w:t>章：幕墙构件制作规定</w:t>
      </w:r>
      <w:bookmarkEnd w:id="61"/>
    </w:p>
    <w:p w14:paraId="24DABC01">
      <w:pPr>
        <w:numPr>
          <w:ilvl w:val="0"/>
          <w:numId w:val="0"/>
        </w:numPr>
        <w:ind w:leftChars="0"/>
        <w:rPr>
          <w:color w:val="auto"/>
          <w:sz w:val="24"/>
          <w:highlight w:val="none"/>
        </w:rPr>
      </w:pPr>
      <w:r>
        <w:rPr>
          <w:rFonts w:hint="eastAsia"/>
          <w:color w:val="auto"/>
          <w:sz w:val="24"/>
          <w:highlight w:val="none"/>
          <w:lang w:val="en-US" w:eastAsia="zh-CN"/>
        </w:rPr>
        <w:t xml:space="preserve">3.1 </w:t>
      </w:r>
      <w:r>
        <w:rPr>
          <w:color w:val="auto"/>
          <w:sz w:val="24"/>
          <w:highlight w:val="none"/>
        </w:rPr>
        <w:t xml:space="preserve">遵守相关国家规范要求。 </w:t>
      </w:r>
    </w:p>
    <w:p w14:paraId="0B36DD27">
      <w:pPr>
        <w:numPr>
          <w:ilvl w:val="0"/>
          <w:numId w:val="0"/>
        </w:numPr>
        <w:ind w:leftChars="0"/>
        <w:rPr>
          <w:color w:val="auto"/>
          <w:sz w:val="24"/>
          <w:highlight w:val="none"/>
        </w:rPr>
      </w:pPr>
      <w:r>
        <w:rPr>
          <w:rFonts w:hint="eastAsia"/>
          <w:color w:val="auto"/>
          <w:sz w:val="24"/>
          <w:highlight w:val="none"/>
          <w:lang w:val="en-US" w:eastAsia="zh-CN"/>
        </w:rPr>
        <w:t xml:space="preserve">3.2 </w:t>
      </w:r>
      <w:r>
        <w:rPr>
          <w:color w:val="auto"/>
          <w:sz w:val="24"/>
          <w:highlight w:val="none"/>
        </w:rPr>
        <w:t>尽量在工厂完成所有的构件加工制作工作。</w:t>
      </w:r>
    </w:p>
    <w:p w14:paraId="52CBA881">
      <w:pPr>
        <w:numPr>
          <w:ilvl w:val="0"/>
          <w:numId w:val="0"/>
        </w:numPr>
        <w:ind w:leftChars="0"/>
        <w:rPr>
          <w:color w:val="auto"/>
          <w:sz w:val="24"/>
          <w:highlight w:val="none"/>
        </w:rPr>
      </w:pPr>
      <w:r>
        <w:rPr>
          <w:rFonts w:hint="eastAsia"/>
          <w:color w:val="auto"/>
          <w:sz w:val="24"/>
          <w:highlight w:val="none"/>
          <w:lang w:val="en-US" w:eastAsia="zh-CN"/>
        </w:rPr>
        <w:t xml:space="preserve">3.3 </w:t>
      </w:r>
      <w:r>
        <w:rPr>
          <w:color w:val="auto"/>
          <w:sz w:val="24"/>
          <w:highlight w:val="none"/>
        </w:rPr>
        <w:t>每道工序严格进行“三检”并保留完整记录(包括照片)，尤其是会被下道工序隐蔽掉的工序。</w:t>
      </w:r>
    </w:p>
    <w:p w14:paraId="70A438F2">
      <w:pPr>
        <w:numPr>
          <w:ilvl w:val="0"/>
          <w:numId w:val="0"/>
        </w:numPr>
        <w:ind w:leftChars="0"/>
        <w:rPr>
          <w:color w:val="auto"/>
          <w:sz w:val="24"/>
          <w:highlight w:val="none"/>
        </w:rPr>
      </w:pPr>
      <w:r>
        <w:rPr>
          <w:rFonts w:hint="eastAsia"/>
          <w:color w:val="auto"/>
          <w:sz w:val="24"/>
          <w:highlight w:val="none"/>
          <w:lang w:val="en-US" w:eastAsia="zh-CN"/>
        </w:rPr>
        <w:t xml:space="preserve">3.4 </w:t>
      </w:r>
      <w:r>
        <w:rPr>
          <w:color w:val="auto"/>
          <w:sz w:val="24"/>
          <w:highlight w:val="none"/>
        </w:rPr>
        <w:t>接受甲方和监理的不定时检查，检查工厂内本项目材料的加工组装进度及质量控制情况。</w:t>
      </w:r>
    </w:p>
    <w:p w14:paraId="6A05578D">
      <w:pPr>
        <w:ind w:left="0" w:firstLine="489" w:firstLineChars="204"/>
        <w:rPr>
          <w:color w:val="auto"/>
          <w:sz w:val="24"/>
          <w:highlight w:val="none"/>
        </w:rPr>
      </w:pPr>
    </w:p>
    <w:p w14:paraId="753CBB8E">
      <w:pPr>
        <w:ind w:left="-2" w:leftChars="-1" w:firstLine="2"/>
        <w:outlineLvl w:val="0"/>
        <w:rPr>
          <w:b/>
          <w:color w:val="auto"/>
          <w:sz w:val="24"/>
          <w:highlight w:val="none"/>
        </w:rPr>
      </w:pPr>
      <w:bookmarkStart w:id="62" w:name="_Toc26121"/>
      <w:r>
        <w:rPr>
          <w:b/>
          <w:color w:val="auto"/>
          <w:sz w:val="24"/>
          <w:highlight w:val="none"/>
        </w:rPr>
        <w:t>第</w:t>
      </w:r>
      <w:r>
        <w:rPr>
          <w:rFonts w:hint="eastAsia"/>
          <w:b/>
          <w:color w:val="auto"/>
          <w:sz w:val="24"/>
          <w:highlight w:val="none"/>
          <w:lang w:val="en-US" w:eastAsia="zh-CN"/>
        </w:rPr>
        <w:t>四</w:t>
      </w:r>
      <w:r>
        <w:rPr>
          <w:b/>
          <w:color w:val="auto"/>
          <w:sz w:val="24"/>
          <w:highlight w:val="none"/>
        </w:rPr>
        <w:t>章：幕墙的安装施工要求</w:t>
      </w:r>
      <w:bookmarkEnd w:id="62"/>
    </w:p>
    <w:p w14:paraId="60DEBD99">
      <w:pPr>
        <w:numPr>
          <w:ilvl w:val="0"/>
          <w:numId w:val="0"/>
        </w:numPr>
        <w:ind w:leftChars="0"/>
        <w:outlineLvl w:val="1"/>
        <w:rPr>
          <w:color w:val="auto"/>
          <w:sz w:val="24"/>
          <w:highlight w:val="none"/>
        </w:rPr>
      </w:pPr>
      <w:bookmarkStart w:id="63" w:name="_Toc30083"/>
      <w:r>
        <w:rPr>
          <w:rFonts w:hint="eastAsia"/>
          <w:color w:val="auto"/>
          <w:sz w:val="24"/>
          <w:highlight w:val="none"/>
          <w:lang w:val="en-US" w:eastAsia="zh-CN"/>
        </w:rPr>
        <w:t xml:space="preserve">4.1 </w:t>
      </w:r>
      <w:r>
        <w:rPr>
          <w:color w:val="auto"/>
          <w:sz w:val="24"/>
          <w:highlight w:val="none"/>
        </w:rPr>
        <w:t>遵守相关国家规范要求。</w:t>
      </w:r>
      <w:bookmarkEnd w:id="63"/>
    </w:p>
    <w:p w14:paraId="7217D06B">
      <w:pPr>
        <w:numPr>
          <w:ilvl w:val="0"/>
          <w:numId w:val="0"/>
        </w:numPr>
        <w:ind w:leftChars="0"/>
        <w:rPr>
          <w:color w:val="auto"/>
          <w:sz w:val="24"/>
          <w:highlight w:val="none"/>
        </w:rPr>
      </w:pPr>
      <w:r>
        <w:rPr>
          <w:rFonts w:hint="eastAsia"/>
          <w:color w:val="auto"/>
          <w:sz w:val="24"/>
          <w:highlight w:val="none"/>
          <w:lang w:val="en-US" w:eastAsia="zh-CN"/>
        </w:rPr>
        <w:t xml:space="preserve">4.2 </w:t>
      </w:r>
      <w:r>
        <w:rPr>
          <w:color w:val="auto"/>
          <w:sz w:val="24"/>
          <w:highlight w:val="none"/>
        </w:rPr>
        <w:t>施工组织设计：施工组织设计编制要有针对性，能够对现场施工有切实指导作用。</w:t>
      </w:r>
    </w:p>
    <w:p w14:paraId="18EB4673">
      <w:pPr>
        <w:numPr>
          <w:ilvl w:val="0"/>
          <w:numId w:val="0"/>
        </w:numPr>
        <w:ind w:leftChars="0"/>
        <w:rPr>
          <w:color w:val="auto"/>
          <w:sz w:val="24"/>
          <w:highlight w:val="none"/>
        </w:rPr>
      </w:pPr>
      <w:r>
        <w:rPr>
          <w:rFonts w:hint="eastAsia"/>
          <w:color w:val="auto"/>
          <w:sz w:val="24"/>
          <w:highlight w:val="none"/>
          <w:lang w:val="en-US" w:eastAsia="zh-CN"/>
        </w:rPr>
        <w:t xml:space="preserve">4.3 </w:t>
      </w:r>
      <w:r>
        <w:rPr>
          <w:color w:val="auto"/>
          <w:sz w:val="24"/>
          <w:highlight w:val="none"/>
        </w:rPr>
        <w:t>施工策划：前期准备阶段，中标人应对本项目做施工策划，根据甲方要求进行施工段、施工批次划分，针对设计、材料采购、生产加工、现场安装等制定详细的进度计划，报批后严格执行，一方面做好预控，一方面在过程中及时发现问题并及时解决、纠正。</w:t>
      </w:r>
    </w:p>
    <w:p w14:paraId="76C39E95">
      <w:pPr>
        <w:numPr>
          <w:ilvl w:val="0"/>
          <w:numId w:val="0"/>
        </w:numPr>
        <w:ind w:leftChars="0"/>
        <w:rPr>
          <w:color w:val="auto"/>
          <w:sz w:val="24"/>
          <w:highlight w:val="none"/>
        </w:rPr>
      </w:pPr>
      <w:r>
        <w:rPr>
          <w:rFonts w:hint="eastAsia"/>
          <w:color w:val="auto"/>
          <w:sz w:val="24"/>
          <w:highlight w:val="none"/>
          <w:lang w:val="en-US" w:eastAsia="zh-CN"/>
        </w:rPr>
        <w:t xml:space="preserve">43.4 </w:t>
      </w:r>
      <w:r>
        <w:rPr>
          <w:color w:val="auto"/>
          <w:sz w:val="24"/>
          <w:highlight w:val="none"/>
        </w:rPr>
        <w:t>专项方案：对于工程中的重点、难点部分，按照规范及相关政府规定提前编制专项方案以及组织专家论证(如有要求)，不能因为缺少方案或方案不符合要求而影响施工。</w:t>
      </w:r>
    </w:p>
    <w:p w14:paraId="3B2E0832">
      <w:pPr>
        <w:numPr>
          <w:ilvl w:val="0"/>
          <w:numId w:val="0"/>
        </w:numPr>
        <w:ind w:leftChars="0"/>
        <w:rPr>
          <w:color w:val="auto"/>
          <w:sz w:val="24"/>
          <w:highlight w:val="none"/>
        </w:rPr>
      </w:pPr>
      <w:r>
        <w:rPr>
          <w:rFonts w:hint="eastAsia"/>
          <w:color w:val="auto"/>
          <w:sz w:val="24"/>
          <w:highlight w:val="none"/>
          <w:lang w:val="en-US" w:eastAsia="zh-CN"/>
        </w:rPr>
        <w:t xml:space="preserve">4.5 </w:t>
      </w:r>
      <w:r>
        <w:rPr>
          <w:color w:val="auto"/>
          <w:sz w:val="24"/>
          <w:highlight w:val="none"/>
        </w:rPr>
        <w:t>样板制度：严格执行样板引路制度，每道关键工序施工前都必须先做样板，尽量把所有可能出现的问题在样板中暴露出来，找出有效的解决方案进而确定大面施工的标准，并经监理、甲方确认后严格执行。</w:t>
      </w:r>
    </w:p>
    <w:p w14:paraId="05A10198">
      <w:pPr>
        <w:numPr>
          <w:ilvl w:val="0"/>
          <w:numId w:val="0"/>
        </w:numPr>
        <w:ind w:leftChars="0"/>
        <w:rPr>
          <w:color w:val="auto"/>
          <w:sz w:val="24"/>
          <w:highlight w:val="none"/>
        </w:rPr>
      </w:pPr>
      <w:r>
        <w:rPr>
          <w:rFonts w:hint="eastAsia"/>
          <w:color w:val="auto"/>
          <w:sz w:val="24"/>
          <w:highlight w:val="none"/>
          <w:lang w:val="en-US" w:eastAsia="zh-CN"/>
        </w:rPr>
        <w:t xml:space="preserve">4.6 </w:t>
      </w:r>
      <w:r>
        <w:rPr>
          <w:color w:val="auto"/>
          <w:sz w:val="24"/>
          <w:highlight w:val="none"/>
        </w:rPr>
        <w:t>技术交底：正式施工前中标人应针对不同工种、不同工序对作业工人进行书面和口头的技术交底，交底内容要足够详尽、有针对性，不能浮于形式。要接受总包、监理、甲方和相关政府部门的不定时检查。</w:t>
      </w:r>
    </w:p>
    <w:p w14:paraId="790963F8">
      <w:pPr>
        <w:numPr>
          <w:ilvl w:val="0"/>
          <w:numId w:val="0"/>
        </w:numPr>
        <w:ind w:leftChars="0"/>
        <w:rPr>
          <w:color w:val="auto"/>
          <w:sz w:val="24"/>
          <w:highlight w:val="none"/>
        </w:rPr>
      </w:pPr>
      <w:r>
        <w:rPr>
          <w:rFonts w:hint="eastAsia"/>
          <w:color w:val="auto"/>
          <w:sz w:val="24"/>
          <w:highlight w:val="none"/>
          <w:lang w:val="en-US" w:eastAsia="zh-CN"/>
        </w:rPr>
        <w:t xml:space="preserve">4.7 </w:t>
      </w:r>
      <w:r>
        <w:rPr>
          <w:color w:val="auto"/>
          <w:sz w:val="24"/>
          <w:highlight w:val="none"/>
        </w:rPr>
        <w:t>报验资料：材料报验、工序验收等资料应与施工进度同步，不得滞后于进度而事后集中再补。</w:t>
      </w:r>
    </w:p>
    <w:p w14:paraId="1235CAB4">
      <w:pPr>
        <w:numPr>
          <w:ilvl w:val="0"/>
          <w:numId w:val="0"/>
        </w:numPr>
        <w:ind w:leftChars="0"/>
        <w:rPr>
          <w:color w:val="auto"/>
          <w:sz w:val="24"/>
          <w:highlight w:val="none"/>
        </w:rPr>
      </w:pPr>
      <w:r>
        <w:rPr>
          <w:rFonts w:hint="eastAsia"/>
          <w:color w:val="auto"/>
          <w:sz w:val="24"/>
          <w:highlight w:val="none"/>
          <w:lang w:val="en-US" w:eastAsia="zh-CN"/>
        </w:rPr>
        <w:t xml:space="preserve">4.8 </w:t>
      </w:r>
      <w:r>
        <w:rPr>
          <w:color w:val="auto"/>
          <w:sz w:val="24"/>
          <w:highlight w:val="none"/>
        </w:rPr>
        <w:t>对于和其他专业有交叉作业的工作面，应提前将作业计划以书面形式通知总包、监理和甲方，并抄送给相关交叉作业单位，听从总包、监理的统一协调安排。尽量避免垂直交叉作业，除非采取有可靠的水平防护措施进行隔离。对于和其他专业的交叉收口部位，作业前应与相关专业协商好相互的收口作业顺序，避免造成返工和冲突，必要时通知总包、监理或甲方统一协调处理。</w:t>
      </w:r>
    </w:p>
    <w:p w14:paraId="4E44F4CB">
      <w:pPr>
        <w:numPr>
          <w:ilvl w:val="0"/>
          <w:numId w:val="0"/>
        </w:numPr>
        <w:ind w:leftChars="0"/>
        <w:rPr>
          <w:color w:val="auto"/>
          <w:sz w:val="24"/>
          <w:highlight w:val="none"/>
        </w:rPr>
      </w:pPr>
      <w:r>
        <w:rPr>
          <w:rFonts w:hint="eastAsia"/>
          <w:color w:val="auto"/>
          <w:sz w:val="24"/>
          <w:highlight w:val="none"/>
          <w:lang w:val="en-US" w:eastAsia="zh-CN"/>
        </w:rPr>
        <w:t xml:space="preserve">4.9 </w:t>
      </w:r>
      <w:r>
        <w:rPr>
          <w:color w:val="auto"/>
          <w:sz w:val="24"/>
          <w:highlight w:val="none"/>
        </w:rPr>
        <w:t>基准点移交：中标人在进场后，应该在监理见证下由总包将本工程主体结构的标高、轴线控制基准点移交给幕墙中标人，应三方书面确认留底。</w:t>
      </w:r>
    </w:p>
    <w:p w14:paraId="3A4052D3">
      <w:pPr>
        <w:numPr>
          <w:ilvl w:val="0"/>
          <w:numId w:val="0"/>
        </w:numPr>
        <w:ind w:leftChars="0"/>
        <w:rPr>
          <w:color w:val="auto"/>
          <w:sz w:val="24"/>
          <w:highlight w:val="none"/>
        </w:rPr>
      </w:pPr>
      <w:r>
        <w:rPr>
          <w:rFonts w:hint="eastAsia"/>
          <w:color w:val="auto"/>
          <w:sz w:val="24"/>
          <w:highlight w:val="none"/>
          <w:lang w:val="en-US" w:eastAsia="zh-CN"/>
        </w:rPr>
        <w:t xml:space="preserve">4.10 </w:t>
      </w:r>
      <w:r>
        <w:rPr>
          <w:color w:val="auto"/>
          <w:sz w:val="24"/>
          <w:highlight w:val="none"/>
        </w:rPr>
        <w:t>结构复测：幕墙施工前，中标人应对与幕墙连接部分的主体结构进行复测，确认结构偏差未超出规范范围、能够满足幕墙施工要求后才能进行施工。否则，应书面通知总包纠正偏差，或书面通知总包、监理和甲方共同协商解决方案，方案确定后才能施工。</w:t>
      </w:r>
    </w:p>
    <w:p w14:paraId="0AC989B9">
      <w:pPr>
        <w:numPr>
          <w:ilvl w:val="0"/>
          <w:numId w:val="0"/>
        </w:numPr>
        <w:ind w:leftChars="0"/>
        <w:rPr>
          <w:color w:val="auto"/>
          <w:sz w:val="24"/>
          <w:highlight w:val="none"/>
        </w:rPr>
      </w:pPr>
      <w:r>
        <w:rPr>
          <w:rFonts w:hint="eastAsia"/>
          <w:color w:val="auto"/>
          <w:sz w:val="24"/>
          <w:highlight w:val="none"/>
          <w:lang w:val="en-US" w:eastAsia="zh-CN"/>
        </w:rPr>
        <w:t xml:space="preserve">4.11 </w:t>
      </w:r>
      <w:r>
        <w:rPr>
          <w:color w:val="auto"/>
          <w:sz w:val="24"/>
          <w:highlight w:val="none"/>
        </w:rPr>
        <w:t>成品保护：施工过程中，中标人应采取有效的成品保护措施(贴保护膜、空间隔离、边角防护、覆盖防护、设警示、人员看护等)，一方面保护好自身的成品，同时不得损坏其他专业的成品。特别是：玻璃、</w:t>
      </w:r>
      <w:r>
        <w:rPr>
          <w:rFonts w:hint="eastAsia"/>
          <w:color w:val="auto"/>
          <w:sz w:val="24"/>
          <w:highlight w:val="none"/>
          <w:lang w:eastAsia="zh-CN"/>
        </w:rPr>
        <w:t>仿石砖</w:t>
      </w:r>
      <w:r>
        <w:rPr>
          <w:color w:val="auto"/>
          <w:sz w:val="24"/>
          <w:highlight w:val="none"/>
        </w:rPr>
        <w:t>、铝板、铝型材及单元体等物料在装卸、运输、转运、存放、吊装等过程中的保护，防止被碰撞或混乱堆放导致变形或擦伤，防止人员在上面踩踏、休息导致变形，防止被油污、水泥浆和油漆等污染，防止被酸碱溶剂腐蚀，防止被烧焊时的焊花烧伤、烫伤装饰表面等等。在安装完成后竣工验收前，应对已完成成品进行持续保护直至与甲方、物业办理完移交手续。</w:t>
      </w:r>
    </w:p>
    <w:p w14:paraId="797D1D9D">
      <w:pPr>
        <w:numPr>
          <w:ilvl w:val="0"/>
          <w:numId w:val="0"/>
        </w:numPr>
        <w:ind w:leftChars="0"/>
        <w:rPr>
          <w:color w:val="auto"/>
          <w:sz w:val="24"/>
          <w:highlight w:val="none"/>
        </w:rPr>
      </w:pPr>
      <w:r>
        <w:rPr>
          <w:rFonts w:hint="eastAsia"/>
          <w:color w:val="auto"/>
          <w:sz w:val="24"/>
          <w:highlight w:val="none"/>
          <w:lang w:val="en-US" w:eastAsia="zh-CN"/>
        </w:rPr>
        <w:t xml:space="preserve">4.12 </w:t>
      </w:r>
      <w:r>
        <w:rPr>
          <w:color w:val="auto"/>
          <w:sz w:val="24"/>
          <w:highlight w:val="none"/>
        </w:rPr>
        <w:t>焊接焊缝：现场的焊接作业，焊工应持证上岗；应遵守动火审批规定，安全用电，防止事故；应切实地进行技术交底，保证焊缝的质量；应做好接火措施，防止焊花四溅，烫伤人员和玻璃、</w:t>
      </w:r>
      <w:r>
        <w:rPr>
          <w:rFonts w:hint="eastAsia"/>
          <w:color w:val="auto"/>
          <w:sz w:val="24"/>
          <w:highlight w:val="none"/>
          <w:lang w:eastAsia="zh-CN"/>
        </w:rPr>
        <w:t>仿石砖</w:t>
      </w:r>
      <w:r>
        <w:rPr>
          <w:color w:val="auto"/>
          <w:sz w:val="24"/>
          <w:highlight w:val="none"/>
        </w:rPr>
        <w:t>、铝板、铝型材等幕墙材料装饰面及其他物料，甚至引起火灾。设计要求在二级以上的焊缝需按要求做探伤试验，试验应在监理见证下完成。</w:t>
      </w:r>
    </w:p>
    <w:p w14:paraId="50995807">
      <w:pPr>
        <w:numPr>
          <w:ilvl w:val="0"/>
          <w:numId w:val="0"/>
        </w:numPr>
        <w:ind w:leftChars="0"/>
        <w:rPr>
          <w:color w:val="auto"/>
          <w:sz w:val="24"/>
          <w:highlight w:val="none"/>
        </w:rPr>
      </w:pPr>
      <w:r>
        <w:rPr>
          <w:rFonts w:hint="eastAsia"/>
          <w:color w:val="auto"/>
          <w:sz w:val="24"/>
          <w:highlight w:val="none"/>
          <w:lang w:val="en-US" w:eastAsia="zh-CN"/>
        </w:rPr>
        <w:t xml:space="preserve">4.13 </w:t>
      </w:r>
      <w:r>
        <w:rPr>
          <w:color w:val="auto"/>
          <w:sz w:val="24"/>
          <w:highlight w:val="none"/>
        </w:rPr>
        <w:t>幕墙清洁：幕墙施工过程中，对被污染的部分要及时清洁处理，避免扩散、渗透而加重污染，在安装完工后竣工前及开业前应彻底清理工作面和幕墙内外装饰面，清除全部标记和污迹等。移交时，幕墙面应该没有污染、刮痕，擦痕，凹痕以及磨损、变形等瑕疵或机械破坏。</w:t>
      </w:r>
    </w:p>
    <w:p w14:paraId="1816805C">
      <w:pPr>
        <w:numPr>
          <w:ilvl w:val="0"/>
          <w:numId w:val="0"/>
        </w:numPr>
        <w:ind w:leftChars="0"/>
        <w:rPr>
          <w:color w:val="auto"/>
          <w:sz w:val="24"/>
          <w:highlight w:val="none"/>
        </w:rPr>
      </w:pPr>
      <w:r>
        <w:rPr>
          <w:rFonts w:hint="eastAsia"/>
          <w:color w:val="auto"/>
          <w:sz w:val="24"/>
          <w:highlight w:val="none"/>
          <w:lang w:val="en-US" w:eastAsia="zh-CN"/>
        </w:rPr>
        <w:t xml:space="preserve">4.14 </w:t>
      </w:r>
      <w:r>
        <w:rPr>
          <w:color w:val="auto"/>
          <w:sz w:val="24"/>
          <w:highlight w:val="none"/>
        </w:rPr>
        <w:t>安全文明施工：所有安装工作都应在确保安全、文明的前提下进行。应有成熟的方案和有效的安全保障措施；所有员工应持证上岗，对员工的教育、培训及考核应常规化、制度化；做到每天工完场清，施工垃圾和废余材料及时清运出现场；幕墙材料应有序进场，整齐、合理堆放。同时服从总包关于安全文明施工方面的综合管理。</w:t>
      </w:r>
    </w:p>
    <w:p w14:paraId="1D69415F">
      <w:pPr>
        <w:ind w:left="418" w:hanging="417" w:hangingChars="174"/>
        <w:rPr>
          <w:color w:val="auto"/>
          <w:sz w:val="24"/>
          <w:highlight w:val="none"/>
        </w:rPr>
      </w:pPr>
    </w:p>
    <w:p w14:paraId="3E2D25A6">
      <w:pPr>
        <w:ind w:left="-2" w:leftChars="-1" w:firstLine="2"/>
        <w:outlineLvl w:val="0"/>
        <w:rPr>
          <w:b/>
          <w:color w:val="auto"/>
          <w:sz w:val="24"/>
          <w:highlight w:val="none"/>
        </w:rPr>
      </w:pPr>
      <w:bookmarkStart w:id="64" w:name="_Toc19513"/>
      <w:r>
        <w:rPr>
          <w:b/>
          <w:color w:val="auto"/>
          <w:sz w:val="24"/>
          <w:highlight w:val="none"/>
        </w:rPr>
        <w:t>第</w:t>
      </w:r>
      <w:r>
        <w:rPr>
          <w:rFonts w:hint="eastAsia"/>
          <w:b/>
          <w:color w:val="auto"/>
          <w:sz w:val="24"/>
          <w:highlight w:val="none"/>
          <w:lang w:val="en-US" w:eastAsia="zh-CN"/>
        </w:rPr>
        <w:t>五</w:t>
      </w:r>
      <w:r>
        <w:rPr>
          <w:b/>
          <w:color w:val="auto"/>
          <w:sz w:val="24"/>
          <w:highlight w:val="none"/>
        </w:rPr>
        <w:t>章：试验</w:t>
      </w:r>
      <w:bookmarkEnd w:id="64"/>
    </w:p>
    <w:p w14:paraId="44D7EC01">
      <w:pPr>
        <w:numPr>
          <w:ilvl w:val="0"/>
          <w:numId w:val="0"/>
        </w:numPr>
        <w:ind w:leftChars="0"/>
        <w:rPr>
          <w:color w:val="auto"/>
          <w:sz w:val="24"/>
          <w:highlight w:val="none"/>
        </w:rPr>
      </w:pPr>
      <w:r>
        <w:rPr>
          <w:rFonts w:hint="eastAsia"/>
          <w:color w:val="auto"/>
          <w:sz w:val="24"/>
          <w:highlight w:val="none"/>
          <w:lang w:val="en-US" w:eastAsia="zh-CN"/>
        </w:rPr>
        <w:t xml:space="preserve">5.1 </w:t>
      </w:r>
      <w:r>
        <w:rPr>
          <w:color w:val="auto"/>
          <w:sz w:val="24"/>
          <w:highlight w:val="none"/>
        </w:rPr>
        <w:t>中标人在工程实施过程中必须按规范及设计、合同要求的进度和方式进行模拟试验和现场试验。中标人报价须包含一切试验费、试件的成本、安装费和试验的差旅费。无论试验次数、模型个数变化与否，合同总价不予调整。</w:t>
      </w:r>
    </w:p>
    <w:p w14:paraId="52F50669">
      <w:pPr>
        <w:numPr>
          <w:ilvl w:val="0"/>
          <w:numId w:val="0"/>
        </w:numPr>
        <w:ind w:leftChars="0"/>
        <w:rPr>
          <w:color w:val="auto"/>
          <w:sz w:val="24"/>
          <w:highlight w:val="none"/>
        </w:rPr>
      </w:pPr>
      <w:r>
        <w:rPr>
          <w:rFonts w:hint="eastAsia"/>
          <w:color w:val="auto"/>
          <w:sz w:val="24"/>
          <w:highlight w:val="none"/>
          <w:lang w:val="en-US" w:eastAsia="zh-CN"/>
        </w:rPr>
        <w:t xml:space="preserve">5.2 </w:t>
      </w:r>
      <w:r>
        <w:rPr>
          <w:color w:val="auto"/>
          <w:sz w:val="24"/>
          <w:highlight w:val="none"/>
        </w:rPr>
        <w:t>中标人所制作的试验模型必须与现场即将安装的幕墙构造一致，试验图纸、计划需给建筑设计方、甲方审批后方可实施。试验方法需按照本标书规定的试验方法，并在甲方、建筑师和监理代表的见证下进行。中标人在所制定试验计划中的试验内容必须满足相关国家规范要求，并不少于以下项目：</w:t>
      </w:r>
    </w:p>
    <w:p w14:paraId="6CA44597">
      <w:pPr>
        <w:numPr>
          <w:ilvl w:val="0"/>
          <w:numId w:val="6"/>
        </w:numPr>
        <w:tabs>
          <w:tab w:val="left" w:pos="993"/>
        </w:tabs>
        <w:ind w:hanging="470"/>
        <w:rPr>
          <w:color w:val="auto"/>
          <w:sz w:val="24"/>
          <w:highlight w:val="none"/>
        </w:rPr>
      </w:pPr>
      <w:r>
        <w:rPr>
          <w:color w:val="auto"/>
          <w:sz w:val="24"/>
          <w:highlight w:val="none"/>
        </w:rPr>
        <w:t>幕墙风压变形测试</w:t>
      </w:r>
    </w:p>
    <w:p w14:paraId="2258DABE">
      <w:pPr>
        <w:numPr>
          <w:ilvl w:val="0"/>
          <w:numId w:val="6"/>
        </w:numPr>
        <w:tabs>
          <w:tab w:val="left" w:pos="993"/>
        </w:tabs>
        <w:ind w:left="0" w:firstLine="489" w:firstLineChars="204"/>
        <w:rPr>
          <w:color w:val="auto"/>
          <w:sz w:val="24"/>
          <w:highlight w:val="none"/>
        </w:rPr>
      </w:pPr>
      <w:r>
        <w:rPr>
          <w:color w:val="auto"/>
          <w:sz w:val="24"/>
          <w:highlight w:val="none"/>
        </w:rPr>
        <w:t>幕墙雨水渗漏性能测试</w:t>
      </w:r>
    </w:p>
    <w:p w14:paraId="44DD1BE3">
      <w:pPr>
        <w:numPr>
          <w:ilvl w:val="0"/>
          <w:numId w:val="6"/>
        </w:numPr>
        <w:tabs>
          <w:tab w:val="left" w:pos="993"/>
        </w:tabs>
        <w:ind w:left="0" w:firstLine="489" w:firstLineChars="204"/>
        <w:rPr>
          <w:color w:val="auto"/>
          <w:sz w:val="24"/>
          <w:highlight w:val="none"/>
        </w:rPr>
      </w:pPr>
      <w:r>
        <w:rPr>
          <w:color w:val="auto"/>
          <w:sz w:val="24"/>
          <w:highlight w:val="none"/>
        </w:rPr>
        <w:t>幕墙空气渗透性能测试</w:t>
      </w:r>
    </w:p>
    <w:p w14:paraId="474A111E">
      <w:pPr>
        <w:numPr>
          <w:ilvl w:val="0"/>
          <w:numId w:val="6"/>
        </w:numPr>
        <w:tabs>
          <w:tab w:val="left" w:pos="993"/>
        </w:tabs>
        <w:ind w:left="0" w:firstLine="489" w:firstLineChars="204"/>
        <w:rPr>
          <w:color w:val="auto"/>
          <w:sz w:val="24"/>
          <w:highlight w:val="none"/>
        </w:rPr>
      </w:pPr>
      <w:r>
        <w:rPr>
          <w:color w:val="auto"/>
          <w:sz w:val="24"/>
          <w:highlight w:val="none"/>
        </w:rPr>
        <w:t>幕墙平面内变形性能测试</w:t>
      </w:r>
    </w:p>
    <w:p w14:paraId="04A5EAD0">
      <w:pPr>
        <w:numPr>
          <w:ilvl w:val="0"/>
          <w:numId w:val="6"/>
        </w:numPr>
        <w:tabs>
          <w:tab w:val="left" w:pos="993"/>
        </w:tabs>
        <w:ind w:left="0" w:firstLine="489" w:firstLineChars="204"/>
        <w:rPr>
          <w:color w:val="auto"/>
          <w:sz w:val="24"/>
          <w:highlight w:val="none"/>
        </w:rPr>
      </w:pPr>
      <w:r>
        <w:rPr>
          <w:color w:val="auto"/>
          <w:sz w:val="24"/>
          <w:highlight w:val="none"/>
        </w:rPr>
        <w:t>幕墙隔声性能测试</w:t>
      </w:r>
    </w:p>
    <w:p w14:paraId="7062D440">
      <w:pPr>
        <w:numPr>
          <w:ilvl w:val="0"/>
          <w:numId w:val="6"/>
        </w:numPr>
        <w:tabs>
          <w:tab w:val="left" w:pos="993"/>
        </w:tabs>
        <w:ind w:left="0" w:firstLine="489" w:firstLineChars="204"/>
        <w:rPr>
          <w:color w:val="auto"/>
          <w:sz w:val="24"/>
          <w:highlight w:val="none"/>
        </w:rPr>
      </w:pPr>
      <w:r>
        <w:rPr>
          <w:color w:val="auto"/>
          <w:sz w:val="24"/>
          <w:highlight w:val="none"/>
        </w:rPr>
        <w:t>铝材、钢材、铝板、玻璃、</w:t>
      </w:r>
      <w:r>
        <w:rPr>
          <w:rFonts w:hint="eastAsia"/>
          <w:color w:val="auto"/>
          <w:sz w:val="24"/>
          <w:highlight w:val="none"/>
        </w:rPr>
        <w:t>铝镁锰合金</w:t>
      </w:r>
      <w:r>
        <w:rPr>
          <w:rFonts w:hint="eastAsia"/>
          <w:color w:val="auto"/>
          <w:sz w:val="24"/>
          <w:highlight w:val="none"/>
          <w:lang w:eastAsia="zh-CN"/>
        </w:rPr>
        <w:t>、PTFE膜、聚碳酸酯板、</w:t>
      </w:r>
      <w:r>
        <w:rPr>
          <w:color w:val="auto"/>
          <w:sz w:val="24"/>
          <w:highlight w:val="none"/>
        </w:rPr>
        <w:t>岩棉等材料</w:t>
      </w:r>
    </w:p>
    <w:p w14:paraId="3583FE31">
      <w:pPr>
        <w:numPr>
          <w:ilvl w:val="0"/>
          <w:numId w:val="0"/>
        </w:numPr>
        <w:tabs>
          <w:tab w:val="left" w:pos="993"/>
        </w:tabs>
        <w:ind w:firstLine="960" w:firstLineChars="400"/>
        <w:rPr>
          <w:color w:val="auto"/>
          <w:sz w:val="24"/>
          <w:highlight w:val="none"/>
        </w:rPr>
      </w:pPr>
      <w:r>
        <w:rPr>
          <w:color w:val="auto"/>
          <w:sz w:val="24"/>
          <w:highlight w:val="none"/>
        </w:rPr>
        <w:t>现场复试</w:t>
      </w:r>
    </w:p>
    <w:p w14:paraId="54BED75B">
      <w:pPr>
        <w:numPr>
          <w:ilvl w:val="0"/>
          <w:numId w:val="6"/>
        </w:numPr>
        <w:tabs>
          <w:tab w:val="left" w:pos="993"/>
        </w:tabs>
        <w:ind w:left="0" w:firstLine="489" w:firstLineChars="204"/>
        <w:rPr>
          <w:color w:val="auto"/>
          <w:sz w:val="24"/>
          <w:highlight w:val="none"/>
        </w:rPr>
      </w:pPr>
      <w:r>
        <w:rPr>
          <w:color w:val="auto"/>
          <w:sz w:val="24"/>
          <w:highlight w:val="none"/>
        </w:rPr>
        <w:t>预埋件及后置埋件的现场拉拔检测及悬挑结构实际载荷试验</w:t>
      </w:r>
    </w:p>
    <w:p w14:paraId="0457DA4C">
      <w:pPr>
        <w:numPr>
          <w:ilvl w:val="0"/>
          <w:numId w:val="6"/>
        </w:numPr>
        <w:tabs>
          <w:tab w:val="left" w:pos="993"/>
        </w:tabs>
        <w:ind w:left="0" w:firstLine="489" w:firstLineChars="204"/>
        <w:rPr>
          <w:color w:val="auto"/>
          <w:sz w:val="24"/>
          <w:highlight w:val="none"/>
        </w:rPr>
      </w:pPr>
      <w:r>
        <w:rPr>
          <w:color w:val="auto"/>
          <w:sz w:val="24"/>
          <w:highlight w:val="none"/>
        </w:rPr>
        <w:t>胶的相容性试验、结构胶的粘接剥离试验</w:t>
      </w:r>
    </w:p>
    <w:p w14:paraId="4C1BDDD5">
      <w:pPr>
        <w:numPr>
          <w:ilvl w:val="0"/>
          <w:numId w:val="6"/>
        </w:numPr>
        <w:tabs>
          <w:tab w:val="left" w:pos="993"/>
        </w:tabs>
        <w:ind w:left="0" w:firstLine="489" w:firstLineChars="204"/>
        <w:rPr>
          <w:color w:val="auto"/>
          <w:sz w:val="24"/>
          <w:highlight w:val="none"/>
        </w:rPr>
      </w:pPr>
      <w:r>
        <w:rPr>
          <w:rFonts w:hint="eastAsia"/>
          <w:color w:val="auto"/>
          <w:sz w:val="24"/>
          <w:highlight w:val="none"/>
        </w:rPr>
        <w:t>雨棚排水沟、采光天窗</w:t>
      </w:r>
      <w:r>
        <w:rPr>
          <w:color w:val="auto"/>
          <w:sz w:val="24"/>
          <w:highlight w:val="none"/>
        </w:rPr>
        <w:t>闭水试验、现场淋水试验</w:t>
      </w:r>
    </w:p>
    <w:p w14:paraId="7201934B">
      <w:pPr>
        <w:numPr>
          <w:ilvl w:val="0"/>
          <w:numId w:val="6"/>
        </w:numPr>
        <w:tabs>
          <w:tab w:val="left" w:pos="993"/>
        </w:tabs>
        <w:ind w:left="0" w:firstLine="489" w:firstLineChars="204"/>
        <w:rPr>
          <w:color w:val="auto"/>
          <w:sz w:val="24"/>
          <w:highlight w:val="none"/>
        </w:rPr>
      </w:pPr>
      <w:r>
        <w:rPr>
          <w:color w:val="auto"/>
          <w:sz w:val="24"/>
          <w:highlight w:val="none"/>
        </w:rPr>
        <w:t>二级以上焊缝的探伤试验</w:t>
      </w:r>
      <w:r>
        <w:rPr>
          <w:rFonts w:hint="eastAsia"/>
          <w:color w:val="auto"/>
          <w:sz w:val="24"/>
          <w:highlight w:val="none"/>
          <w:lang w:eastAsia="zh-CN"/>
        </w:rPr>
        <w:t>（</w:t>
      </w:r>
      <w:r>
        <w:rPr>
          <w:color w:val="auto"/>
          <w:sz w:val="24"/>
          <w:highlight w:val="none"/>
        </w:rPr>
        <w:t>如有</w:t>
      </w:r>
      <w:r>
        <w:rPr>
          <w:rFonts w:hint="eastAsia"/>
          <w:color w:val="auto"/>
          <w:sz w:val="24"/>
          <w:highlight w:val="none"/>
          <w:lang w:eastAsia="zh-CN"/>
        </w:rPr>
        <w:t>）</w:t>
      </w:r>
    </w:p>
    <w:p w14:paraId="15AAAD39">
      <w:pPr>
        <w:numPr>
          <w:ilvl w:val="0"/>
          <w:numId w:val="6"/>
        </w:numPr>
        <w:tabs>
          <w:tab w:val="left" w:pos="993"/>
        </w:tabs>
        <w:ind w:left="0" w:firstLine="489" w:firstLineChars="204"/>
        <w:rPr>
          <w:color w:val="auto"/>
          <w:sz w:val="24"/>
          <w:highlight w:val="none"/>
        </w:rPr>
      </w:pPr>
      <w:r>
        <w:rPr>
          <w:color w:val="auto"/>
          <w:sz w:val="24"/>
          <w:highlight w:val="none"/>
        </w:rPr>
        <w:t>保温棉和防火棉的阻燃性能检验</w:t>
      </w:r>
    </w:p>
    <w:p w14:paraId="1512582B">
      <w:pPr>
        <w:numPr>
          <w:ilvl w:val="0"/>
          <w:numId w:val="6"/>
        </w:numPr>
        <w:tabs>
          <w:tab w:val="left" w:pos="993"/>
        </w:tabs>
        <w:ind w:left="0" w:firstLine="489" w:firstLineChars="204"/>
        <w:rPr>
          <w:color w:val="auto"/>
          <w:sz w:val="24"/>
          <w:highlight w:val="none"/>
        </w:rPr>
      </w:pPr>
      <w:r>
        <w:rPr>
          <w:color w:val="auto"/>
          <w:sz w:val="24"/>
          <w:highlight w:val="none"/>
        </w:rPr>
        <w:t>各种玻璃的节能性能检验</w:t>
      </w:r>
    </w:p>
    <w:p w14:paraId="7A82D49F">
      <w:pPr>
        <w:numPr>
          <w:ilvl w:val="0"/>
          <w:numId w:val="6"/>
        </w:numPr>
        <w:tabs>
          <w:tab w:val="left" w:pos="993"/>
        </w:tabs>
        <w:ind w:left="0" w:firstLine="489" w:firstLineChars="204"/>
        <w:rPr>
          <w:color w:val="auto"/>
          <w:sz w:val="24"/>
          <w:highlight w:val="none"/>
        </w:rPr>
      </w:pPr>
      <w:r>
        <w:rPr>
          <w:rFonts w:hint="eastAsia" w:asciiTheme="minorEastAsia" w:hAnsiTheme="minorEastAsia" w:eastAsiaTheme="minorEastAsia" w:cstheme="minorEastAsia"/>
          <w:sz w:val="24"/>
          <w:szCs w:val="24"/>
          <w:lang w:val="en-US" w:eastAsia="zh-CN"/>
        </w:rPr>
        <w:t>金属屋面抗风揭检测</w:t>
      </w:r>
    </w:p>
    <w:p w14:paraId="35E6B961">
      <w:pPr>
        <w:ind w:left="0" w:leftChars="0" w:firstLine="0" w:firstLineChars="0"/>
        <w:outlineLvl w:val="1"/>
        <w:rPr>
          <w:rFonts w:hint="eastAsia"/>
          <w:color w:val="auto"/>
          <w:sz w:val="24"/>
          <w:highlight w:val="none"/>
          <w:lang w:val="en-US" w:eastAsia="zh-CN"/>
        </w:rPr>
      </w:pPr>
      <w:bookmarkStart w:id="65" w:name="_Toc20630"/>
      <w:r>
        <w:rPr>
          <w:rFonts w:hint="eastAsia"/>
          <w:color w:val="auto"/>
          <w:sz w:val="24"/>
          <w:highlight w:val="none"/>
          <w:lang w:val="en-US" w:eastAsia="zh-CN"/>
        </w:rPr>
        <w:t>5.3 试验依据</w:t>
      </w:r>
      <w:bookmarkEnd w:id="65"/>
    </w:p>
    <w:p w14:paraId="73F59A3A">
      <w:pPr>
        <w:numPr>
          <w:ilvl w:val="0"/>
          <w:numId w:val="0"/>
        </w:numPr>
        <w:ind w:leftChars="0" w:firstLine="480" w:firstLineChars="200"/>
        <w:rPr>
          <w:rFonts w:hint="eastAsia"/>
          <w:color w:val="auto"/>
          <w:sz w:val="24"/>
          <w:highlight w:val="none"/>
        </w:rPr>
      </w:pPr>
      <w:r>
        <w:rPr>
          <w:rFonts w:hint="eastAsia"/>
          <w:color w:val="auto"/>
          <w:sz w:val="24"/>
          <w:highlight w:val="none"/>
        </w:rPr>
        <w:t>《建筑幕墙》GB/T 21086-2007</w:t>
      </w:r>
    </w:p>
    <w:p w14:paraId="6DE8047A">
      <w:pPr>
        <w:numPr>
          <w:ilvl w:val="0"/>
          <w:numId w:val="0"/>
        </w:numPr>
        <w:ind w:leftChars="0" w:firstLine="480" w:firstLineChars="200"/>
        <w:rPr>
          <w:rFonts w:hint="eastAsia"/>
          <w:color w:val="auto"/>
          <w:sz w:val="24"/>
          <w:highlight w:val="none"/>
        </w:rPr>
      </w:pPr>
      <w:r>
        <w:rPr>
          <w:rFonts w:hint="eastAsia"/>
          <w:color w:val="auto"/>
          <w:sz w:val="24"/>
          <w:highlight w:val="none"/>
        </w:rPr>
        <w:t>《玻璃幕墙工程技术规范》JGJ102-20</w:t>
      </w:r>
      <w:r>
        <w:rPr>
          <w:rFonts w:hint="eastAsia"/>
          <w:color w:val="auto"/>
          <w:sz w:val="24"/>
          <w:highlight w:val="none"/>
          <w:lang w:val="en-US" w:eastAsia="zh-CN"/>
        </w:rPr>
        <w:t>0</w:t>
      </w:r>
      <w:r>
        <w:rPr>
          <w:rFonts w:hint="eastAsia"/>
          <w:color w:val="auto"/>
          <w:sz w:val="24"/>
          <w:highlight w:val="none"/>
        </w:rPr>
        <w:t>3</w:t>
      </w:r>
    </w:p>
    <w:p w14:paraId="7998FE56">
      <w:pPr>
        <w:numPr>
          <w:ilvl w:val="0"/>
          <w:numId w:val="0"/>
        </w:numPr>
        <w:ind w:leftChars="0" w:firstLine="480" w:firstLineChars="200"/>
        <w:rPr>
          <w:rFonts w:hint="eastAsia"/>
          <w:color w:val="auto"/>
          <w:sz w:val="24"/>
          <w:highlight w:val="none"/>
          <w:lang w:val="en-US" w:eastAsia="zh-CN"/>
        </w:rPr>
      </w:pPr>
      <w:r>
        <w:rPr>
          <w:rFonts w:hint="eastAsia"/>
          <w:color w:val="auto"/>
          <w:sz w:val="24"/>
          <w:highlight w:val="none"/>
        </w:rPr>
        <w:t>《</w:t>
      </w:r>
      <w:r>
        <w:rPr>
          <w:rFonts w:hint="eastAsia"/>
          <w:color w:val="auto"/>
          <w:sz w:val="24"/>
          <w:highlight w:val="none"/>
          <w:lang w:val="en-US" w:eastAsia="zh-CN"/>
        </w:rPr>
        <w:t>建筑幕墙气密、水密、抗风压性能检测方法</w:t>
      </w:r>
      <w:r>
        <w:rPr>
          <w:rFonts w:hint="eastAsia"/>
          <w:color w:val="auto"/>
          <w:sz w:val="24"/>
          <w:highlight w:val="none"/>
        </w:rPr>
        <w:t>》</w:t>
      </w:r>
      <w:r>
        <w:rPr>
          <w:rFonts w:hint="eastAsia"/>
          <w:color w:val="auto"/>
          <w:sz w:val="24"/>
          <w:highlight w:val="none"/>
        </w:rPr>
        <w:fldChar w:fldCharType="begin"/>
      </w:r>
      <w:r>
        <w:rPr>
          <w:rFonts w:hint="eastAsia"/>
          <w:color w:val="auto"/>
          <w:sz w:val="24"/>
          <w:highlight w:val="none"/>
        </w:rPr>
        <w:instrText xml:space="preserve"> HYPERLINK "https://www.baidu.com/s?wd=GB%2FT&amp;tn=SE_PcZhidaonwhc_ngpagmjz&amp;rsv_dl=gh_pc_zhidao" \t "_blank" </w:instrText>
      </w:r>
      <w:r>
        <w:rPr>
          <w:rFonts w:hint="eastAsia"/>
          <w:color w:val="auto"/>
          <w:sz w:val="24"/>
          <w:highlight w:val="none"/>
        </w:rPr>
        <w:fldChar w:fldCharType="separate"/>
      </w:r>
      <w:r>
        <w:rPr>
          <w:rFonts w:hint="eastAsia"/>
          <w:color w:val="auto"/>
          <w:sz w:val="24"/>
          <w:highlight w:val="none"/>
        </w:rPr>
        <w:t>GB/T</w:t>
      </w:r>
      <w:r>
        <w:rPr>
          <w:rFonts w:hint="eastAsia"/>
          <w:color w:val="auto"/>
          <w:sz w:val="24"/>
          <w:highlight w:val="none"/>
        </w:rPr>
        <w:fldChar w:fldCharType="end"/>
      </w:r>
      <w:r>
        <w:rPr>
          <w:rFonts w:hint="eastAsia"/>
          <w:color w:val="auto"/>
          <w:sz w:val="24"/>
          <w:highlight w:val="none"/>
          <w:lang w:val="en-US" w:eastAsia="zh-CN"/>
        </w:rPr>
        <w:t xml:space="preserve"> </w:t>
      </w:r>
      <w:r>
        <w:rPr>
          <w:rFonts w:hint="eastAsia"/>
          <w:color w:val="auto"/>
          <w:sz w:val="24"/>
          <w:highlight w:val="none"/>
        </w:rPr>
        <w:t>15227-20</w:t>
      </w:r>
      <w:r>
        <w:rPr>
          <w:rFonts w:hint="eastAsia"/>
          <w:color w:val="auto"/>
          <w:sz w:val="24"/>
          <w:highlight w:val="none"/>
          <w:lang w:val="en-US" w:eastAsia="zh-CN"/>
        </w:rPr>
        <w:t>19</w:t>
      </w:r>
    </w:p>
    <w:p w14:paraId="7F4CB117">
      <w:pPr>
        <w:numPr>
          <w:ilvl w:val="0"/>
          <w:numId w:val="0"/>
        </w:numPr>
        <w:ind w:leftChars="0" w:firstLine="480" w:firstLineChars="200"/>
        <w:rPr>
          <w:rFonts w:hint="eastAsia"/>
          <w:color w:val="auto"/>
          <w:sz w:val="24"/>
          <w:highlight w:val="none"/>
          <w:lang w:val="en-US" w:eastAsia="zh-CN"/>
        </w:rPr>
      </w:pPr>
      <w:r>
        <w:rPr>
          <w:rFonts w:hint="eastAsia"/>
          <w:color w:val="auto"/>
          <w:sz w:val="24"/>
          <w:highlight w:val="none"/>
        </w:rPr>
        <w:t>《</w:t>
      </w:r>
      <w:r>
        <w:rPr>
          <w:rFonts w:hint="eastAsia"/>
          <w:color w:val="auto"/>
          <w:sz w:val="24"/>
          <w:highlight w:val="none"/>
          <w:lang w:val="en-US" w:eastAsia="zh-CN"/>
        </w:rPr>
        <w:t>建筑幕墙层间变形性能分级检测方法</w:t>
      </w:r>
      <w:r>
        <w:rPr>
          <w:rFonts w:hint="eastAsia"/>
          <w:color w:val="auto"/>
          <w:sz w:val="24"/>
          <w:highlight w:val="none"/>
        </w:rPr>
        <w:t>》 GB/T 18250-20</w:t>
      </w:r>
      <w:r>
        <w:rPr>
          <w:rFonts w:hint="eastAsia"/>
          <w:color w:val="auto"/>
          <w:sz w:val="24"/>
          <w:highlight w:val="none"/>
          <w:lang w:val="en-US" w:eastAsia="zh-CN"/>
        </w:rPr>
        <w:t>15</w:t>
      </w:r>
    </w:p>
    <w:p w14:paraId="3E18BE8F">
      <w:pPr>
        <w:numPr>
          <w:ilvl w:val="0"/>
          <w:numId w:val="0"/>
        </w:numPr>
        <w:ind w:leftChars="0" w:firstLine="480" w:firstLineChars="200"/>
        <w:rPr>
          <w:rFonts w:hint="eastAsia"/>
          <w:color w:val="auto"/>
          <w:sz w:val="24"/>
          <w:highlight w:val="none"/>
          <w:lang w:val="en-US" w:eastAsia="zh-CN"/>
        </w:rPr>
      </w:pPr>
      <w:r>
        <w:rPr>
          <w:rFonts w:hint="eastAsia"/>
          <w:color w:val="auto"/>
          <w:sz w:val="24"/>
          <w:highlight w:val="none"/>
        </w:rPr>
        <w:t>《</w:t>
      </w:r>
      <w:r>
        <w:rPr>
          <w:rFonts w:hint="eastAsia"/>
          <w:color w:val="auto"/>
          <w:sz w:val="24"/>
          <w:highlight w:val="none"/>
          <w:lang w:val="en-US" w:eastAsia="zh-CN"/>
        </w:rPr>
        <w:t>钢结构工程施工质量验收标准</w:t>
      </w:r>
      <w:r>
        <w:rPr>
          <w:rFonts w:hint="eastAsia"/>
          <w:color w:val="auto"/>
          <w:sz w:val="24"/>
          <w:highlight w:val="none"/>
        </w:rPr>
        <w:t>》</w:t>
      </w:r>
      <w:r>
        <w:rPr>
          <w:rFonts w:hint="eastAsia"/>
          <w:color w:val="auto"/>
          <w:sz w:val="24"/>
          <w:highlight w:val="none"/>
          <w:lang w:val="en-US" w:eastAsia="zh-CN"/>
        </w:rPr>
        <w:t>GB 50205</w:t>
      </w:r>
      <w:r>
        <w:rPr>
          <w:rFonts w:hint="eastAsia"/>
          <w:color w:val="auto"/>
          <w:sz w:val="24"/>
          <w:highlight w:val="none"/>
        </w:rPr>
        <w:t>-20</w:t>
      </w:r>
      <w:r>
        <w:rPr>
          <w:rFonts w:hint="eastAsia"/>
          <w:color w:val="auto"/>
          <w:sz w:val="24"/>
          <w:highlight w:val="none"/>
          <w:lang w:val="en-US" w:eastAsia="zh-CN"/>
        </w:rPr>
        <w:t>20</w:t>
      </w:r>
    </w:p>
    <w:p w14:paraId="72449546">
      <w:pPr>
        <w:spacing w:line="360" w:lineRule="auto"/>
        <w:ind w:left="0" w:leftChars="0"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试件箱体尺寸：不少于三个水平分格、一个层高（</w:t>
      </w:r>
      <w:r>
        <w:rPr>
          <w:rFonts w:hint="eastAsia" w:asciiTheme="minorEastAsia" w:hAnsiTheme="minorEastAsia" w:eastAsiaTheme="minorEastAsia" w:cstheme="minorEastAsia"/>
          <w:sz w:val="24"/>
          <w:szCs w:val="24"/>
          <w:lang w:val="en-US" w:eastAsia="zh-CN"/>
        </w:rPr>
        <w:t>需满足项目验收要求</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w:t>
      </w:r>
    </w:p>
    <w:p w14:paraId="7763D70E">
      <w:pPr>
        <w:numPr>
          <w:ilvl w:val="0"/>
          <w:numId w:val="0"/>
        </w:numPr>
        <w:ind w:leftChars="0" w:firstLine="480" w:firstLineChars="200"/>
        <w:rPr>
          <w:rFonts w:hint="default"/>
          <w:color w:val="auto"/>
          <w:sz w:val="24"/>
          <w:highlight w:val="none"/>
          <w:lang w:val="en-US" w:eastAsia="zh-CN"/>
        </w:rPr>
      </w:pPr>
      <w:r>
        <w:rPr>
          <w:rFonts w:hint="eastAsia"/>
          <w:color w:val="auto"/>
          <w:sz w:val="24"/>
          <w:highlight w:val="none"/>
          <w:lang w:val="en-US" w:eastAsia="zh-CN"/>
        </w:rPr>
        <w:t xml:space="preserve">   试验取样部位详见下图</w:t>
      </w:r>
    </w:p>
    <w:p w14:paraId="1FB51A97">
      <w:pPr>
        <w:numPr>
          <w:ilvl w:val="0"/>
          <w:numId w:val="0"/>
        </w:numPr>
        <w:ind w:leftChars="0" w:firstLine="480" w:firstLineChars="200"/>
        <w:rPr>
          <w:rFonts w:hint="default"/>
          <w:color w:val="auto"/>
          <w:sz w:val="24"/>
          <w:highlight w:val="none"/>
          <w:lang w:val="en-US" w:eastAsia="zh-CN"/>
        </w:rPr>
      </w:pPr>
      <w:r>
        <w:rPr>
          <w:rFonts w:hint="default"/>
          <w:color w:val="auto"/>
          <w:sz w:val="24"/>
          <w:highlight w:val="none"/>
          <w:lang w:val="en-US" w:eastAsia="zh-CN"/>
        </w:rPr>
        <w:drawing>
          <wp:inline distT="0" distB="0" distL="114300" distR="114300">
            <wp:extent cx="5016500" cy="4012565"/>
            <wp:effectExtent l="0" t="0" r="12700" b="6985"/>
            <wp:docPr id="7" name="图片 7" descr="S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Y01"/>
                    <pic:cNvPicPr>
                      <a:picLocks noChangeAspect="1"/>
                    </pic:cNvPicPr>
                  </pic:nvPicPr>
                  <pic:blipFill>
                    <a:blip r:embed="rId9"/>
                    <a:stretch>
                      <a:fillRect/>
                    </a:stretch>
                  </pic:blipFill>
                  <pic:spPr>
                    <a:xfrm>
                      <a:off x="0" y="0"/>
                      <a:ext cx="5016500" cy="4012565"/>
                    </a:xfrm>
                    <a:prstGeom prst="rect">
                      <a:avLst/>
                    </a:prstGeom>
                  </pic:spPr>
                </pic:pic>
              </a:graphicData>
            </a:graphic>
          </wp:inline>
        </w:drawing>
      </w:r>
    </w:p>
    <w:p w14:paraId="10B4ACDB">
      <w:pPr>
        <w:ind w:left="0" w:leftChars="0" w:firstLine="0" w:firstLineChars="0"/>
        <w:jc w:val="center"/>
        <w:rPr>
          <w:rFonts w:hint="default"/>
          <w:color w:val="auto"/>
          <w:sz w:val="24"/>
          <w:highlight w:val="none"/>
          <w:lang w:val="en-US" w:eastAsia="zh-CN"/>
        </w:rPr>
      </w:pPr>
      <w:r>
        <w:rPr>
          <w:rFonts w:hint="eastAsia"/>
          <w:color w:val="auto"/>
          <w:sz w:val="24"/>
          <w:highlight w:val="none"/>
          <w:lang w:val="en-US" w:eastAsia="zh-CN"/>
        </w:rPr>
        <w:t>立面幕墙性能试验分布图</w:t>
      </w:r>
    </w:p>
    <w:p w14:paraId="23086DB5">
      <w:pPr>
        <w:numPr>
          <w:ilvl w:val="0"/>
          <w:numId w:val="0"/>
        </w:numPr>
        <w:ind w:leftChars="0" w:firstLine="480" w:firstLineChars="200"/>
        <w:rPr>
          <w:rFonts w:hint="default"/>
          <w:color w:val="auto"/>
          <w:sz w:val="24"/>
          <w:highlight w:val="none"/>
          <w:lang w:val="en-US" w:eastAsia="zh-CN"/>
        </w:rPr>
      </w:pPr>
      <w:r>
        <w:rPr>
          <w:rFonts w:hint="default"/>
          <w:color w:val="auto"/>
          <w:sz w:val="24"/>
          <w:highlight w:val="none"/>
          <w:lang w:val="en-US" w:eastAsia="zh-CN"/>
        </w:rPr>
        <w:drawing>
          <wp:inline distT="0" distB="0" distL="114300" distR="114300">
            <wp:extent cx="4467225" cy="3572510"/>
            <wp:effectExtent l="0" t="0" r="9525" b="8890"/>
            <wp:docPr id="6" name="图片 6" descr="S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Y02"/>
                    <pic:cNvPicPr>
                      <a:picLocks noChangeAspect="1"/>
                    </pic:cNvPicPr>
                  </pic:nvPicPr>
                  <pic:blipFill>
                    <a:blip r:embed="rId10"/>
                    <a:stretch>
                      <a:fillRect/>
                    </a:stretch>
                  </pic:blipFill>
                  <pic:spPr>
                    <a:xfrm>
                      <a:off x="0" y="0"/>
                      <a:ext cx="4467225" cy="3572510"/>
                    </a:xfrm>
                    <a:prstGeom prst="rect">
                      <a:avLst/>
                    </a:prstGeom>
                  </pic:spPr>
                </pic:pic>
              </a:graphicData>
            </a:graphic>
          </wp:inline>
        </w:drawing>
      </w:r>
    </w:p>
    <w:p w14:paraId="143DC709">
      <w:pPr>
        <w:ind w:left="0" w:leftChars="0" w:firstLine="0" w:firstLineChars="0"/>
        <w:jc w:val="center"/>
        <w:rPr>
          <w:rFonts w:hint="default"/>
          <w:color w:val="auto"/>
          <w:sz w:val="24"/>
          <w:highlight w:val="none"/>
          <w:lang w:val="en-US" w:eastAsia="zh-CN"/>
        </w:rPr>
      </w:pPr>
      <w:r>
        <w:rPr>
          <w:rFonts w:hint="eastAsia"/>
          <w:color w:val="auto"/>
          <w:sz w:val="24"/>
          <w:highlight w:val="none"/>
          <w:lang w:val="en-US" w:eastAsia="zh-CN"/>
        </w:rPr>
        <w:t>负一层立面幕墙性能试验分布图</w:t>
      </w:r>
    </w:p>
    <w:p w14:paraId="44BC9EDB">
      <w:pPr>
        <w:numPr>
          <w:ilvl w:val="0"/>
          <w:numId w:val="0"/>
        </w:numPr>
        <w:ind w:leftChars="0" w:firstLine="480" w:firstLineChars="200"/>
        <w:rPr>
          <w:rFonts w:hint="default"/>
          <w:color w:val="auto"/>
          <w:sz w:val="24"/>
          <w:highlight w:val="none"/>
          <w:lang w:val="en-US" w:eastAsia="zh-CN"/>
        </w:rPr>
      </w:pPr>
    </w:p>
    <w:p w14:paraId="61F81DCD">
      <w:pPr>
        <w:numPr>
          <w:ilvl w:val="0"/>
          <w:numId w:val="0"/>
        </w:numPr>
        <w:ind w:leftChars="0" w:firstLine="480" w:firstLineChars="200"/>
        <w:rPr>
          <w:rFonts w:hint="default"/>
          <w:color w:val="auto"/>
          <w:sz w:val="24"/>
          <w:highlight w:val="none"/>
          <w:lang w:val="en-US" w:eastAsia="zh-CN"/>
        </w:rPr>
      </w:pPr>
      <w:r>
        <w:rPr>
          <w:rFonts w:hint="default"/>
          <w:color w:val="auto"/>
          <w:sz w:val="24"/>
          <w:highlight w:val="none"/>
          <w:lang w:val="en-US" w:eastAsia="zh-CN"/>
        </w:rPr>
        <w:drawing>
          <wp:inline distT="0" distB="0" distL="114300" distR="114300">
            <wp:extent cx="5745480" cy="4596130"/>
            <wp:effectExtent l="0" t="0" r="7620" b="13970"/>
            <wp:docPr id="5" name="图片 5" descr="S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Y03"/>
                    <pic:cNvPicPr>
                      <a:picLocks noChangeAspect="1"/>
                    </pic:cNvPicPr>
                  </pic:nvPicPr>
                  <pic:blipFill>
                    <a:blip r:embed="rId11"/>
                    <a:stretch>
                      <a:fillRect/>
                    </a:stretch>
                  </pic:blipFill>
                  <pic:spPr>
                    <a:xfrm>
                      <a:off x="0" y="0"/>
                      <a:ext cx="5745480" cy="4596130"/>
                    </a:xfrm>
                    <a:prstGeom prst="rect">
                      <a:avLst/>
                    </a:prstGeom>
                  </pic:spPr>
                </pic:pic>
              </a:graphicData>
            </a:graphic>
          </wp:inline>
        </w:drawing>
      </w:r>
    </w:p>
    <w:p w14:paraId="042E9E13">
      <w:pPr>
        <w:ind w:left="0" w:leftChars="0" w:firstLine="0" w:firstLineChars="0"/>
        <w:jc w:val="center"/>
        <w:rPr>
          <w:rFonts w:hint="default"/>
          <w:color w:val="auto"/>
          <w:sz w:val="24"/>
          <w:highlight w:val="none"/>
          <w:lang w:val="en-US" w:eastAsia="zh-CN"/>
        </w:rPr>
      </w:pPr>
      <w:r>
        <w:rPr>
          <w:rFonts w:hint="eastAsia"/>
          <w:color w:val="auto"/>
          <w:sz w:val="24"/>
          <w:highlight w:val="none"/>
          <w:lang w:val="en-US" w:eastAsia="zh-CN"/>
        </w:rPr>
        <w:t>屋面性能试验分布图</w:t>
      </w:r>
    </w:p>
    <w:p w14:paraId="1473C448">
      <w:pPr>
        <w:numPr>
          <w:ilvl w:val="0"/>
          <w:numId w:val="0"/>
        </w:numPr>
        <w:ind w:leftChars="0" w:firstLine="480" w:firstLineChars="200"/>
        <w:rPr>
          <w:rFonts w:hint="default"/>
          <w:color w:val="auto"/>
          <w:sz w:val="24"/>
          <w:highlight w:val="none"/>
          <w:lang w:val="en-US" w:eastAsia="zh-CN"/>
        </w:rPr>
      </w:pPr>
    </w:p>
    <w:p w14:paraId="70B00CA0">
      <w:pPr>
        <w:ind w:left="0" w:leftChars="0" w:firstLine="0" w:firstLineChars="0"/>
        <w:outlineLvl w:val="1"/>
        <w:rPr>
          <w:rFonts w:hint="default"/>
          <w:color w:val="auto"/>
          <w:sz w:val="24"/>
          <w:highlight w:val="none"/>
          <w:lang w:val="en-US" w:eastAsia="zh-CN"/>
        </w:rPr>
      </w:pPr>
      <w:bookmarkStart w:id="66" w:name="_Toc8752"/>
      <w:r>
        <w:rPr>
          <w:rFonts w:hint="eastAsia"/>
          <w:color w:val="auto"/>
          <w:sz w:val="24"/>
          <w:highlight w:val="none"/>
          <w:lang w:val="en-US" w:eastAsia="zh-CN"/>
        </w:rPr>
        <w:t>5.4 样板模型</w:t>
      </w:r>
      <w:bookmarkEnd w:id="66"/>
    </w:p>
    <w:p w14:paraId="2CE70DD7">
      <w:pPr>
        <w:ind w:left="0" w:leftChars="0" w:firstLine="0" w:firstLineChars="0"/>
        <w:rPr>
          <w:rFonts w:hint="default" w:eastAsiaTheme="minorEastAsia"/>
          <w:color w:val="auto"/>
          <w:sz w:val="24"/>
          <w:highlight w:val="none"/>
          <w:lang w:val="en-US" w:eastAsia="zh-CN"/>
        </w:rPr>
      </w:pPr>
      <w:r>
        <w:rPr>
          <w:rFonts w:hint="eastAsia"/>
          <w:color w:val="auto"/>
          <w:sz w:val="24"/>
          <w:highlight w:val="none"/>
          <w:lang w:val="en-US" w:eastAsia="zh-CN"/>
        </w:rPr>
        <w:t xml:space="preserve">    1）</w:t>
      </w:r>
      <w:r>
        <w:rPr>
          <w:rFonts w:hint="eastAsia" w:asciiTheme="minorEastAsia" w:hAnsiTheme="minorEastAsia" w:eastAsiaTheme="minorEastAsia" w:cstheme="minorEastAsia"/>
          <w:sz w:val="24"/>
          <w:szCs w:val="24"/>
        </w:rPr>
        <w:t>视觉样板位置详见</w:t>
      </w:r>
      <w:r>
        <w:rPr>
          <w:rFonts w:hint="eastAsia" w:asciiTheme="minorEastAsia" w:hAnsiTheme="minorEastAsia" w:eastAsiaTheme="minorEastAsia" w:cstheme="minorEastAsia"/>
          <w:sz w:val="24"/>
          <w:szCs w:val="24"/>
          <w:lang w:val="en-US" w:eastAsia="zh-CN"/>
        </w:rPr>
        <w:t>施工图纸，大样形式详见下图</w:t>
      </w:r>
    </w:p>
    <w:p w14:paraId="1FACCB6E">
      <w:pPr>
        <w:ind w:left="0" w:leftChars="0" w:firstLine="0" w:firstLineChars="0"/>
        <w:jc w:val="center"/>
        <w:rPr>
          <w:rFonts w:hint="default"/>
          <w:color w:val="auto"/>
          <w:sz w:val="24"/>
          <w:highlight w:val="none"/>
          <w:lang w:val="en-US" w:eastAsia="zh-CN"/>
        </w:rPr>
      </w:pPr>
      <w:r>
        <w:rPr>
          <w:rFonts w:hint="default"/>
          <w:color w:val="auto"/>
          <w:sz w:val="24"/>
          <w:highlight w:val="none"/>
          <w:lang w:val="en-US" w:eastAsia="zh-CN"/>
        </w:rPr>
        <w:drawing>
          <wp:inline distT="0" distB="0" distL="114300" distR="114300">
            <wp:extent cx="5132070" cy="4105275"/>
            <wp:effectExtent l="0" t="0" r="11430" b="9525"/>
            <wp:docPr id="3" name="图片 3" descr="立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立面01"/>
                    <pic:cNvPicPr>
                      <a:picLocks noChangeAspect="1"/>
                    </pic:cNvPicPr>
                  </pic:nvPicPr>
                  <pic:blipFill>
                    <a:blip r:embed="rId12"/>
                    <a:stretch>
                      <a:fillRect/>
                    </a:stretch>
                  </pic:blipFill>
                  <pic:spPr>
                    <a:xfrm>
                      <a:off x="0" y="0"/>
                      <a:ext cx="5132070" cy="4105275"/>
                    </a:xfrm>
                    <a:prstGeom prst="rect">
                      <a:avLst/>
                    </a:prstGeom>
                  </pic:spPr>
                </pic:pic>
              </a:graphicData>
            </a:graphic>
          </wp:inline>
        </w:drawing>
      </w:r>
    </w:p>
    <w:p w14:paraId="08B6A351">
      <w:pPr>
        <w:ind w:left="0" w:leftChars="0" w:firstLine="0" w:firstLineChars="0"/>
        <w:jc w:val="center"/>
        <w:rPr>
          <w:rFonts w:hint="default"/>
          <w:color w:val="auto"/>
          <w:sz w:val="24"/>
          <w:highlight w:val="none"/>
          <w:lang w:val="en-US" w:eastAsia="zh-CN"/>
        </w:rPr>
      </w:pPr>
      <w:r>
        <w:rPr>
          <w:rFonts w:hint="default"/>
          <w:color w:val="auto"/>
          <w:sz w:val="24"/>
          <w:highlight w:val="none"/>
          <w:lang w:val="en-US" w:eastAsia="zh-CN"/>
        </w:rPr>
        <w:t>幕墙样板立面大样图</w:t>
      </w:r>
    </w:p>
    <w:p w14:paraId="4EBF3C37">
      <w:pPr>
        <w:ind w:left="0" w:leftChars="0" w:firstLine="0" w:firstLineChars="0"/>
        <w:jc w:val="center"/>
        <w:rPr>
          <w:rFonts w:hint="default"/>
          <w:color w:val="auto"/>
          <w:sz w:val="24"/>
          <w:highlight w:val="none"/>
          <w:lang w:val="en-US" w:eastAsia="zh-CN"/>
        </w:rPr>
      </w:pPr>
      <w:r>
        <w:rPr>
          <w:rFonts w:hint="default"/>
          <w:color w:val="auto"/>
          <w:sz w:val="24"/>
          <w:highlight w:val="none"/>
          <w:lang w:val="en-US" w:eastAsia="zh-CN"/>
        </w:rPr>
        <w:drawing>
          <wp:inline distT="0" distB="0" distL="114300" distR="114300">
            <wp:extent cx="4837430" cy="3869055"/>
            <wp:effectExtent l="0" t="0" r="1270" b="17145"/>
            <wp:docPr id="4" name="图片 4" descr="屋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屋面01"/>
                    <pic:cNvPicPr>
                      <a:picLocks noChangeAspect="1"/>
                    </pic:cNvPicPr>
                  </pic:nvPicPr>
                  <pic:blipFill>
                    <a:blip r:embed="rId13"/>
                    <a:stretch>
                      <a:fillRect/>
                    </a:stretch>
                  </pic:blipFill>
                  <pic:spPr>
                    <a:xfrm>
                      <a:off x="0" y="0"/>
                      <a:ext cx="4837430" cy="3869055"/>
                    </a:xfrm>
                    <a:prstGeom prst="rect">
                      <a:avLst/>
                    </a:prstGeom>
                  </pic:spPr>
                </pic:pic>
              </a:graphicData>
            </a:graphic>
          </wp:inline>
        </w:drawing>
      </w:r>
    </w:p>
    <w:p w14:paraId="0F20557C">
      <w:pPr>
        <w:ind w:left="0" w:leftChars="0" w:firstLine="0" w:firstLineChars="0"/>
        <w:jc w:val="center"/>
        <w:rPr>
          <w:rFonts w:hint="default"/>
          <w:color w:val="auto"/>
          <w:sz w:val="24"/>
          <w:highlight w:val="none"/>
          <w:lang w:val="en-US" w:eastAsia="zh-CN"/>
        </w:rPr>
      </w:pPr>
      <w:r>
        <w:rPr>
          <w:rFonts w:hint="eastAsia"/>
          <w:color w:val="auto"/>
          <w:sz w:val="24"/>
          <w:highlight w:val="none"/>
          <w:lang w:val="en-US" w:eastAsia="zh-CN"/>
        </w:rPr>
        <w:t>屋面阳光板&amp;膜结构样板大样图</w:t>
      </w:r>
    </w:p>
    <w:p w14:paraId="00F04183">
      <w:pPr>
        <w:ind w:left="0" w:leftChars="0" w:firstLine="0" w:firstLineChars="0"/>
        <w:rPr>
          <w:rFonts w:hint="default"/>
          <w:color w:val="auto"/>
          <w:sz w:val="24"/>
          <w:highlight w:val="none"/>
          <w:lang w:val="en-US" w:eastAsia="zh-CN"/>
        </w:rPr>
      </w:pPr>
    </w:p>
    <w:p w14:paraId="4FF65AB1">
      <w:pPr>
        <w:ind w:left="0" w:firstLine="0"/>
        <w:outlineLvl w:val="0"/>
        <w:rPr>
          <w:b/>
          <w:color w:val="auto"/>
          <w:sz w:val="24"/>
          <w:highlight w:val="none"/>
        </w:rPr>
      </w:pPr>
      <w:bookmarkStart w:id="67" w:name="_Toc26820"/>
      <w:r>
        <w:rPr>
          <w:b/>
          <w:color w:val="auto"/>
          <w:sz w:val="24"/>
          <w:highlight w:val="none"/>
        </w:rPr>
        <w:t>第</w:t>
      </w:r>
      <w:r>
        <w:rPr>
          <w:rFonts w:hint="eastAsia"/>
          <w:b/>
          <w:color w:val="auto"/>
          <w:sz w:val="24"/>
          <w:highlight w:val="none"/>
          <w:lang w:val="en-US" w:eastAsia="zh-CN"/>
        </w:rPr>
        <w:t>六</w:t>
      </w:r>
      <w:r>
        <w:rPr>
          <w:b/>
          <w:color w:val="auto"/>
          <w:sz w:val="24"/>
          <w:highlight w:val="none"/>
        </w:rPr>
        <w:t>章：材料封样要求</w:t>
      </w:r>
      <w:bookmarkEnd w:id="67"/>
    </w:p>
    <w:p w14:paraId="27EEF157">
      <w:pPr>
        <w:numPr>
          <w:ilvl w:val="0"/>
          <w:numId w:val="0"/>
        </w:numPr>
        <w:ind w:leftChars="0"/>
        <w:rPr>
          <w:rFonts w:hint="eastAsia" w:eastAsia="宋体"/>
          <w:color w:val="auto"/>
          <w:sz w:val="24"/>
          <w:highlight w:val="none"/>
          <w:lang w:eastAsia="zh-CN"/>
        </w:rPr>
      </w:pPr>
      <w:r>
        <w:rPr>
          <w:rFonts w:hint="eastAsia"/>
          <w:color w:val="auto"/>
          <w:sz w:val="24"/>
          <w:highlight w:val="none"/>
          <w:lang w:val="en-US" w:eastAsia="zh-CN"/>
        </w:rPr>
        <w:t xml:space="preserve">6.1 </w:t>
      </w:r>
      <w:r>
        <w:rPr>
          <w:rFonts w:hint="eastAsia"/>
          <w:color w:val="auto"/>
          <w:sz w:val="24"/>
          <w:highlight w:val="none"/>
          <w:lang w:eastAsia="zh-CN"/>
        </w:rPr>
        <w:t>中</w:t>
      </w:r>
      <w:r>
        <w:rPr>
          <w:color w:val="auto"/>
          <w:sz w:val="24"/>
          <w:highlight w:val="none"/>
        </w:rPr>
        <w:t>标人需提供以下样品（提供样品展板1套，所有样品应牢固的固定在展板上，展板标明公司名称、材料的厂商名称、材料型号</w:t>
      </w:r>
      <w:r>
        <w:rPr>
          <w:rFonts w:hint="eastAsia"/>
          <w:color w:val="auto"/>
          <w:sz w:val="24"/>
          <w:highlight w:val="none"/>
          <w:lang w:eastAsia="zh-CN"/>
        </w:rPr>
        <w:t>、规格</w:t>
      </w:r>
      <w:r>
        <w:rPr>
          <w:color w:val="auto"/>
          <w:sz w:val="24"/>
          <w:highlight w:val="none"/>
        </w:rPr>
        <w:t>名称</w:t>
      </w:r>
      <w:r>
        <w:rPr>
          <w:rFonts w:hint="eastAsia"/>
          <w:color w:val="auto"/>
          <w:sz w:val="24"/>
          <w:highlight w:val="none"/>
          <w:lang w:eastAsia="zh-CN"/>
        </w:rPr>
        <w:t>、对应参数</w:t>
      </w:r>
      <w:r>
        <w:rPr>
          <w:color w:val="auto"/>
          <w:sz w:val="24"/>
          <w:highlight w:val="none"/>
        </w:rPr>
        <w:t>等），同时提供相关的检测报告、质保证书。</w:t>
      </w:r>
      <w:r>
        <w:rPr>
          <w:rFonts w:hint="eastAsia"/>
          <w:color w:val="auto"/>
          <w:sz w:val="24"/>
          <w:highlight w:val="none"/>
          <w:lang w:eastAsia="zh-CN"/>
        </w:rPr>
        <w:t>（招标阶段可不提供，但要提供相应承诺）</w:t>
      </w:r>
    </w:p>
    <w:p w14:paraId="430A2408">
      <w:pPr>
        <w:numPr>
          <w:ilvl w:val="0"/>
          <w:numId w:val="7"/>
        </w:numPr>
        <w:ind w:firstLine="60"/>
        <w:rPr>
          <w:color w:val="auto"/>
          <w:sz w:val="24"/>
          <w:highlight w:val="none"/>
        </w:rPr>
      </w:pPr>
      <w:r>
        <w:rPr>
          <w:color w:val="auto"/>
          <w:sz w:val="24"/>
          <w:highlight w:val="none"/>
        </w:rPr>
        <w:t>300×300mm所建议厚度的各种镀膜玻璃(并附节能参数表)；</w:t>
      </w:r>
    </w:p>
    <w:p w14:paraId="7610CEEC">
      <w:pPr>
        <w:numPr>
          <w:ilvl w:val="0"/>
          <w:numId w:val="7"/>
        </w:numPr>
        <w:ind w:firstLine="60"/>
        <w:rPr>
          <w:color w:val="auto"/>
          <w:sz w:val="24"/>
          <w:highlight w:val="none"/>
        </w:rPr>
      </w:pPr>
      <w:r>
        <w:rPr>
          <w:color w:val="auto"/>
          <w:sz w:val="24"/>
          <w:highlight w:val="none"/>
        </w:rPr>
        <w:t>300mm长</w:t>
      </w:r>
      <w:r>
        <w:rPr>
          <w:rFonts w:hint="eastAsia"/>
          <w:color w:val="auto"/>
          <w:sz w:val="24"/>
          <w:highlight w:val="none"/>
          <w:lang w:eastAsia="zh-CN"/>
        </w:rPr>
        <w:t>代表性</w:t>
      </w:r>
      <w:r>
        <w:rPr>
          <w:color w:val="auto"/>
          <w:sz w:val="24"/>
          <w:highlight w:val="none"/>
        </w:rPr>
        <w:t>的铝合金型材（各种表面处理）；</w:t>
      </w:r>
    </w:p>
    <w:p w14:paraId="1192533B">
      <w:pPr>
        <w:numPr>
          <w:ilvl w:val="0"/>
          <w:numId w:val="7"/>
        </w:numPr>
        <w:ind w:firstLine="60"/>
        <w:rPr>
          <w:color w:val="auto"/>
          <w:sz w:val="24"/>
          <w:szCs w:val="24"/>
          <w:highlight w:val="none"/>
        </w:rPr>
      </w:pPr>
      <w:r>
        <w:rPr>
          <w:color w:val="auto"/>
          <w:sz w:val="24"/>
          <w:szCs w:val="24"/>
          <w:highlight w:val="none"/>
        </w:rPr>
        <w:t>300×300mm铝板</w:t>
      </w:r>
      <w:r>
        <w:rPr>
          <w:rFonts w:hint="eastAsia"/>
          <w:color w:val="auto"/>
          <w:sz w:val="24"/>
          <w:szCs w:val="24"/>
          <w:highlight w:val="none"/>
          <w:lang w:eastAsia="zh-CN"/>
        </w:rPr>
        <w:t>、冲孔铝板</w:t>
      </w:r>
      <w:r>
        <w:rPr>
          <w:color w:val="auto"/>
          <w:sz w:val="24"/>
          <w:szCs w:val="24"/>
          <w:highlight w:val="none"/>
        </w:rPr>
        <w:t>（</w:t>
      </w:r>
      <w:r>
        <w:rPr>
          <w:color w:val="auto"/>
          <w:sz w:val="24"/>
          <w:highlight w:val="none"/>
        </w:rPr>
        <w:t>各种表面处理</w:t>
      </w:r>
      <w:r>
        <w:rPr>
          <w:color w:val="auto"/>
          <w:sz w:val="24"/>
          <w:szCs w:val="24"/>
          <w:highlight w:val="none"/>
        </w:rPr>
        <w:t>）；</w:t>
      </w:r>
    </w:p>
    <w:p w14:paraId="35D500B1">
      <w:pPr>
        <w:numPr>
          <w:ilvl w:val="0"/>
          <w:numId w:val="7"/>
        </w:numPr>
        <w:ind w:firstLine="60"/>
        <w:rPr>
          <w:color w:val="auto"/>
          <w:sz w:val="24"/>
          <w:highlight w:val="none"/>
        </w:rPr>
      </w:pPr>
      <w:r>
        <w:rPr>
          <w:color w:val="auto"/>
          <w:sz w:val="24"/>
          <w:highlight w:val="none"/>
        </w:rPr>
        <w:t>300×300mm</w:t>
      </w:r>
      <w:r>
        <w:rPr>
          <w:rFonts w:hint="eastAsia"/>
          <w:color w:val="auto"/>
          <w:sz w:val="24"/>
          <w:highlight w:val="none"/>
        </w:rPr>
        <w:t>铝镁锰合金</w:t>
      </w:r>
      <w:r>
        <w:rPr>
          <w:rFonts w:hint="eastAsia"/>
          <w:color w:val="auto"/>
          <w:sz w:val="24"/>
          <w:highlight w:val="none"/>
          <w:lang w:eastAsia="zh-CN"/>
        </w:rPr>
        <w:t>（各种效果）</w:t>
      </w:r>
      <w:r>
        <w:rPr>
          <w:color w:val="auto"/>
          <w:sz w:val="24"/>
          <w:highlight w:val="none"/>
        </w:rPr>
        <w:t>；</w:t>
      </w:r>
    </w:p>
    <w:p w14:paraId="35526B42">
      <w:pPr>
        <w:numPr>
          <w:ilvl w:val="0"/>
          <w:numId w:val="7"/>
        </w:numPr>
        <w:ind w:firstLine="60"/>
        <w:rPr>
          <w:color w:val="auto"/>
          <w:sz w:val="24"/>
          <w:highlight w:val="none"/>
        </w:rPr>
      </w:pPr>
      <w:r>
        <w:rPr>
          <w:color w:val="auto"/>
          <w:sz w:val="24"/>
          <w:highlight w:val="none"/>
        </w:rPr>
        <w:t>300×300mm</w:t>
      </w:r>
      <w:r>
        <w:rPr>
          <w:rFonts w:hint="eastAsia"/>
          <w:color w:val="auto"/>
          <w:sz w:val="24"/>
          <w:highlight w:val="none"/>
          <w:lang w:eastAsia="zh-CN"/>
        </w:rPr>
        <w:t>PTFE膜（各种效果）</w:t>
      </w:r>
      <w:r>
        <w:rPr>
          <w:color w:val="auto"/>
          <w:sz w:val="24"/>
          <w:highlight w:val="none"/>
        </w:rPr>
        <w:t>；</w:t>
      </w:r>
    </w:p>
    <w:p w14:paraId="671C10EB">
      <w:pPr>
        <w:numPr>
          <w:ilvl w:val="0"/>
          <w:numId w:val="7"/>
        </w:numPr>
        <w:ind w:firstLine="60"/>
        <w:rPr>
          <w:color w:val="auto"/>
          <w:sz w:val="24"/>
          <w:highlight w:val="none"/>
        </w:rPr>
      </w:pPr>
      <w:r>
        <w:rPr>
          <w:color w:val="auto"/>
          <w:sz w:val="24"/>
          <w:highlight w:val="none"/>
        </w:rPr>
        <w:t>300×300mm</w:t>
      </w:r>
      <w:r>
        <w:rPr>
          <w:rFonts w:hint="eastAsia"/>
          <w:color w:val="auto"/>
          <w:sz w:val="24"/>
          <w:highlight w:val="none"/>
          <w:lang w:eastAsia="zh-CN"/>
        </w:rPr>
        <w:t>聚碳酸酯板（各种效果）</w:t>
      </w:r>
    </w:p>
    <w:p w14:paraId="5EF724FD">
      <w:pPr>
        <w:numPr>
          <w:ilvl w:val="0"/>
          <w:numId w:val="7"/>
        </w:numPr>
        <w:ind w:firstLine="60"/>
        <w:rPr>
          <w:color w:val="auto"/>
          <w:sz w:val="24"/>
          <w:highlight w:val="none"/>
        </w:rPr>
      </w:pPr>
      <w:r>
        <w:rPr>
          <w:color w:val="auto"/>
          <w:sz w:val="24"/>
          <w:highlight w:val="none"/>
        </w:rPr>
        <w:t>门、窗五金件（全套）</w:t>
      </w:r>
      <w:r>
        <w:rPr>
          <w:rFonts w:hint="eastAsia"/>
          <w:color w:val="auto"/>
          <w:sz w:val="24"/>
          <w:highlight w:val="none"/>
          <w:lang w:eastAsia="zh-CN"/>
        </w:rPr>
        <w:t>、各类紧固件</w:t>
      </w:r>
      <w:r>
        <w:rPr>
          <w:color w:val="auto"/>
          <w:sz w:val="24"/>
          <w:highlight w:val="none"/>
        </w:rPr>
        <w:t>；</w:t>
      </w:r>
    </w:p>
    <w:p w14:paraId="7F191DE0">
      <w:pPr>
        <w:numPr>
          <w:ilvl w:val="0"/>
          <w:numId w:val="7"/>
        </w:numPr>
        <w:ind w:firstLine="60"/>
        <w:rPr>
          <w:color w:val="auto"/>
          <w:sz w:val="24"/>
          <w:highlight w:val="none"/>
        </w:rPr>
      </w:pPr>
      <w:r>
        <w:rPr>
          <w:color w:val="auto"/>
          <w:sz w:val="24"/>
          <w:highlight w:val="none"/>
        </w:rPr>
        <w:t>各类密封胶，胶条；</w:t>
      </w:r>
    </w:p>
    <w:p w14:paraId="5A324E2E">
      <w:pPr>
        <w:numPr>
          <w:ilvl w:val="0"/>
          <w:numId w:val="7"/>
        </w:numPr>
        <w:ind w:firstLine="60"/>
        <w:rPr>
          <w:color w:val="auto"/>
          <w:sz w:val="24"/>
          <w:highlight w:val="none"/>
        </w:rPr>
      </w:pPr>
      <w:r>
        <w:rPr>
          <w:color w:val="auto"/>
          <w:sz w:val="24"/>
          <w:highlight w:val="none"/>
        </w:rPr>
        <w:t>其它</w:t>
      </w:r>
      <w:r>
        <w:rPr>
          <w:rFonts w:hint="eastAsia"/>
          <w:color w:val="auto"/>
          <w:sz w:val="24"/>
          <w:highlight w:val="none"/>
          <w:lang w:eastAsia="zh-CN"/>
        </w:rPr>
        <w:t>双方</w:t>
      </w:r>
      <w:r>
        <w:rPr>
          <w:color w:val="auto"/>
          <w:sz w:val="24"/>
          <w:highlight w:val="none"/>
        </w:rPr>
        <w:t>认为有必要提供的材料样品。</w:t>
      </w:r>
    </w:p>
    <w:p w14:paraId="4E682558">
      <w:pPr>
        <w:ind w:left="0" w:firstLine="489" w:firstLineChars="204"/>
        <w:rPr>
          <w:color w:val="auto"/>
          <w:sz w:val="24"/>
          <w:highlight w:val="none"/>
        </w:rPr>
      </w:pPr>
    </w:p>
    <w:p w14:paraId="71E25E12">
      <w:pPr>
        <w:ind w:left="-2" w:leftChars="-1" w:firstLine="2"/>
        <w:outlineLvl w:val="0"/>
        <w:rPr>
          <w:b/>
          <w:color w:val="auto"/>
          <w:sz w:val="24"/>
          <w:highlight w:val="none"/>
        </w:rPr>
      </w:pPr>
      <w:bookmarkStart w:id="68" w:name="_Toc7312"/>
      <w:r>
        <w:rPr>
          <w:b/>
          <w:color w:val="auto"/>
          <w:sz w:val="24"/>
          <w:highlight w:val="none"/>
        </w:rPr>
        <w:t>第</w:t>
      </w:r>
      <w:r>
        <w:rPr>
          <w:rFonts w:hint="eastAsia"/>
          <w:b/>
          <w:color w:val="auto"/>
          <w:sz w:val="24"/>
          <w:highlight w:val="none"/>
          <w:lang w:val="en-US" w:eastAsia="zh-CN"/>
        </w:rPr>
        <w:t>七</w:t>
      </w:r>
      <w:r>
        <w:rPr>
          <w:b/>
          <w:color w:val="auto"/>
          <w:sz w:val="24"/>
          <w:highlight w:val="none"/>
        </w:rPr>
        <w:t>章：技术标回标要求</w:t>
      </w:r>
      <w:bookmarkEnd w:id="68"/>
    </w:p>
    <w:p w14:paraId="7D9F2558">
      <w:pPr>
        <w:numPr>
          <w:ilvl w:val="0"/>
          <w:numId w:val="0"/>
        </w:numPr>
        <w:ind w:leftChars="0"/>
        <w:outlineLvl w:val="1"/>
        <w:rPr>
          <w:color w:val="auto"/>
          <w:sz w:val="24"/>
          <w:highlight w:val="none"/>
        </w:rPr>
      </w:pPr>
      <w:bookmarkStart w:id="69" w:name="_Toc32131"/>
      <w:r>
        <w:rPr>
          <w:rFonts w:hint="eastAsia"/>
          <w:color w:val="auto"/>
          <w:sz w:val="24"/>
          <w:highlight w:val="none"/>
          <w:lang w:val="en-US" w:eastAsia="zh-CN"/>
        </w:rPr>
        <w:t xml:space="preserve">7.1 </w:t>
      </w:r>
      <w:r>
        <w:rPr>
          <w:color w:val="auto"/>
          <w:sz w:val="24"/>
          <w:highlight w:val="none"/>
        </w:rPr>
        <w:t>投标人的技术标应由以下部分组成：</w:t>
      </w:r>
      <w:bookmarkEnd w:id="69"/>
    </w:p>
    <w:p w14:paraId="4F01D54B">
      <w:pPr>
        <w:numPr>
          <w:ilvl w:val="0"/>
          <w:numId w:val="8"/>
        </w:numPr>
        <w:tabs>
          <w:tab w:val="left" w:pos="180"/>
        </w:tabs>
        <w:ind w:left="840" w:hanging="350"/>
        <w:rPr>
          <w:color w:val="auto"/>
          <w:sz w:val="24"/>
          <w:highlight w:val="none"/>
        </w:rPr>
      </w:pPr>
      <w:r>
        <w:rPr>
          <w:color w:val="auto"/>
          <w:sz w:val="24"/>
          <w:highlight w:val="none"/>
        </w:rPr>
        <w:t>投标图纸和计算书</w:t>
      </w:r>
      <w:r>
        <w:rPr>
          <w:rFonts w:hint="eastAsia"/>
          <w:color w:val="auto"/>
          <w:sz w:val="24"/>
          <w:highlight w:val="none"/>
          <w:lang w:eastAsia="zh-CN"/>
        </w:rPr>
        <w:t>，对于招标图纸无异议的可不提供投标图，但需提供对标图纸完全响应及经计算、验算后对构造结构受力和可行性无异议的承诺文件</w:t>
      </w:r>
      <w:r>
        <w:rPr>
          <w:color w:val="auto"/>
          <w:sz w:val="24"/>
          <w:highlight w:val="none"/>
        </w:rPr>
        <w:t>；</w:t>
      </w:r>
    </w:p>
    <w:p w14:paraId="096BB4C6">
      <w:pPr>
        <w:numPr>
          <w:ilvl w:val="0"/>
          <w:numId w:val="8"/>
        </w:numPr>
        <w:ind w:left="840" w:hanging="350"/>
        <w:rPr>
          <w:color w:val="auto"/>
          <w:sz w:val="24"/>
          <w:highlight w:val="none"/>
        </w:rPr>
      </w:pPr>
      <w:r>
        <w:rPr>
          <w:rFonts w:hint="eastAsia"/>
          <w:color w:val="auto"/>
          <w:sz w:val="24"/>
          <w:highlight w:val="none"/>
          <w:lang w:eastAsia="zh-CN"/>
        </w:rPr>
        <w:t>响应承诺：对合同条款</w:t>
      </w:r>
      <w:r>
        <w:rPr>
          <w:rFonts w:hint="eastAsia"/>
          <w:color w:val="auto"/>
          <w:sz w:val="24"/>
          <w:highlight w:val="none"/>
          <w:lang w:val="en-US" w:eastAsia="zh-CN"/>
        </w:rPr>
        <w:t>及附件</w:t>
      </w:r>
      <w:r>
        <w:rPr>
          <w:rFonts w:hint="eastAsia"/>
          <w:color w:val="auto"/>
          <w:sz w:val="24"/>
          <w:highlight w:val="none"/>
          <w:lang w:eastAsia="zh-CN"/>
        </w:rPr>
        <w:t>的响应一览表、对用户需求书的响应一览表、投标承诺函、对甲方指定材料品牌选用承诺、材料样板提供承诺</w:t>
      </w:r>
      <w:r>
        <w:rPr>
          <w:color w:val="auto"/>
          <w:sz w:val="24"/>
          <w:szCs w:val="24"/>
          <w:highlight w:val="none"/>
        </w:rPr>
        <w:t>；</w:t>
      </w:r>
    </w:p>
    <w:p w14:paraId="596EB5C9">
      <w:pPr>
        <w:numPr>
          <w:ilvl w:val="0"/>
          <w:numId w:val="8"/>
        </w:numPr>
        <w:ind w:left="840" w:hanging="350"/>
        <w:rPr>
          <w:color w:val="auto"/>
          <w:sz w:val="24"/>
          <w:highlight w:val="none"/>
        </w:rPr>
      </w:pPr>
      <w:r>
        <w:rPr>
          <w:color w:val="auto"/>
          <w:sz w:val="24"/>
          <w:highlight w:val="none"/>
        </w:rPr>
        <w:t>施工组织设计。</w:t>
      </w:r>
    </w:p>
    <w:p w14:paraId="5041F417">
      <w:pPr>
        <w:ind w:left="0" w:firstLine="489" w:firstLineChars="204"/>
        <w:rPr>
          <w:color w:val="auto"/>
          <w:sz w:val="24"/>
          <w:highlight w:val="none"/>
        </w:rPr>
      </w:pPr>
    </w:p>
    <w:p w14:paraId="1DCE4E76">
      <w:pPr>
        <w:numPr>
          <w:ilvl w:val="0"/>
          <w:numId w:val="0"/>
        </w:numPr>
        <w:ind w:leftChars="0"/>
        <w:outlineLvl w:val="1"/>
        <w:rPr>
          <w:color w:val="auto"/>
          <w:sz w:val="24"/>
          <w:highlight w:val="none"/>
        </w:rPr>
      </w:pPr>
      <w:bookmarkStart w:id="70" w:name="_Toc27857"/>
      <w:r>
        <w:rPr>
          <w:rFonts w:hint="eastAsia"/>
          <w:color w:val="auto"/>
          <w:sz w:val="24"/>
          <w:highlight w:val="none"/>
          <w:lang w:val="en-US" w:eastAsia="zh-CN"/>
        </w:rPr>
        <w:t xml:space="preserve">7.2 </w:t>
      </w:r>
      <w:r>
        <w:rPr>
          <w:color w:val="auto"/>
          <w:sz w:val="24"/>
          <w:highlight w:val="none"/>
        </w:rPr>
        <w:t>结构设计要求</w:t>
      </w:r>
      <w:bookmarkEnd w:id="70"/>
    </w:p>
    <w:p w14:paraId="7B3AD414">
      <w:pPr>
        <w:numPr>
          <w:ilvl w:val="0"/>
          <w:numId w:val="9"/>
        </w:numPr>
        <w:ind w:left="840" w:hanging="350"/>
        <w:jc w:val="left"/>
        <w:rPr>
          <w:color w:val="auto"/>
          <w:sz w:val="24"/>
          <w:highlight w:val="none"/>
        </w:rPr>
      </w:pPr>
      <w:r>
        <w:rPr>
          <w:color w:val="auto"/>
          <w:sz w:val="24"/>
          <w:highlight w:val="none"/>
        </w:rPr>
        <w:t>根据本工程特点，设计幕墙构造和型材；</w:t>
      </w:r>
    </w:p>
    <w:p w14:paraId="1639D3DE">
      <w:pPr>
        <w:numPr>
          <w:ilvl w:val="0"/>
          <w:numId w:val="9"/>
        </w:numPr>
        <w:ind w:left="840" w:hanging="350"/>
        <w:jc w:val="left"/>
        <w:rPr>
          <w:color w:val="auto"/>
          <w:sz w:val="24"/>
          <w:highlight w:val="none"/>
        </w:rPr>
      </w:pPr>
      <w:r>
        <w:rPr>
          <w:color w:val="auto"/>
          <w:sz w:val="24"/>
          <w:highlight w:val="none"/>
        </w:rPr>
        <w:t>各幕墙系统的设计应尽量保持一致性；</w:t>
      </w:r>
    </w:p>
    <w:p w14:paraId="796BA2B1">
      <w:pPr>
        <w:numPr>
          <w:ilvl w:val="0"/>
          <w:numId w:val="9"/>
        </w:numPr>
        <w:ind w:left="840" w:hanging="350"/>
        <w:jc w:val="left"/>
        <w:rPr>
          <w:color w:val="auto"/>
          <w:sz w:val="24"/>
          <w:szCs w:val="24"/>
          <w:highlight w:val="none"/>
        </w:rPr>
      </w:pPr>
      <w:r>
        <w:rPr>
          <w:color w:val="auto"/>
          <w:sz w:val="24"/>
          <w:szCs w:val="24"/>
          <w:highlight w:val="none"/>
        </w:rPr>
        <w:t>按抗震设计采取相应计算方法；</w:t>
      </w:r>
    </w:p>
    <w:p w14:paraId="29124CEA">
      <w:pPr>
        <w:numPr>
          <w:ilvl w:val="0"/>
          <w:numId w:val="9"/>
        </w:numPr>
        <w:ind w:left="840" w:hanging="350"/>
        <w:jc w:val="left"/>
        <w:rPr>
          <w:color w:val="auto"/>
          <w:sz w:val="24"/>
          <w:szCs w:val="24"/>
          <w:highlight w:val="none"/>
        </w:rPr>
      </w:pPr>
      <w:r>
        <w:rPr>
          <w:color w:val="auto"/>
          <w:sz w:val="24"/>
          <w:szCs w:val="24"/>
          <w:highlight w:val="none"/>
        </w:rPr>
        <w:t>按墙面区和墙角区分别计算；</w:t>
      </w:r>
    </w:p>
    <w:p w14:paraId="4E08C7B1">
      <w:pPr>
        <w:numPr>
          <w:ilvl w:val="0"/>
          <w:numId w:val="9"/>
        </w:numPr>
        <w:ind w:left="840" w:hanging="350"/>
        <w:jc w:val="left"/>
        <w:rPr>
          <w:color w:val="auto"/>
          <w:sz w:val="24"/>
          <w:szCs w:val="24"/>
          <w:highlight w:val="none"/>
        </w:rPr>
      </w:pPr>
      <w:r>
        <w:rPr>
          <w:color w:val="auto"/>
          <w:sz w:val="24"/>
          <w:szCs w:val="24"/>
          <w:highlight w:val="none"/>
        </w:rPr>
        <w:t>荷载和作用及其组合符合规范要求；</w:t>
      </w:r>
    </w:p>
    <w:p w14:paraId="717A516D">
      <w:pPr>
        <w:numPr>
          <w:ilvl w:val="0"/>
          <w:numId w:val="9"/>
        </w:numPr>
        <w:ind w:left="840" w:hanging="350"/>
        <w:jc w:val="left"/>
        <w:rPr>
          <w:color w:val="auto"/>
          <w:sz w:val="24"/>
          <w:szCs w:val="24"/>
          <w:highlight w:val="none"/>
        </w:rPr>
      </w:pPr>
      <w:r>
        <w:rPr>
          <w:color w:val="auto"/>
          <w:sz w:val="24"/>
          <w:szCs w:val="24"/>
          <w:highlight w:val="none"/>
        </w:rPr>
        <w:t>校核项目完整，计算采用公式符合规范要求；</w:t>
      </w:r>
    </w:p>
    <w:p w14:paraId="1752AD45">
      <w:pPr>
        <w:numPr>
          <w:ilvl w:val="0"/>
          <w:numId w:val="9"/>
        </w:numPr>
        <w:ind w:left="840" w:hanging="350"/>
        <w:jc w:val="left"/>
        <w:rPr>
          <w:color w:val="auto"/>
          <w:sz w:val="24"/>
          <w:szCs w:val="24"/>
          <w:highlight w:val="none"/>
        </w:rPr>
      </w:pPr>
      <w:r>
        <w:rPr>
          <w:color w:val="auto"/>
          <w:sz w:val="24"/>
          <w:szCs w:val="24"/>
          <w:highlight w:val="none"/>
        </w:rPr>
        <w:t>材料设计值参数符合选用材料（规范规定）的相应参数，计算结果达到σ«f。</w:t>
      </w:r>
    </w:p>
    <w:p w14:paraId="2336FB98">
      <w:pPr>
        <w:numPr>
          <w:ilvl w:val="0"/>
          <w:numId w:val="9"/>
        </w:numPr>
        <w:ind w:left="840" w:hanging="350"/>
        <w:jc w:val="left"/>
        <w:rPr>
          <w:color w:val="auto"/>
          <w:sz w:val="24"/>
          <w:szCs w:val="24"/>
          <w:highlight w:val="none"/>
        </w:rPr>
      </w:pPr>
      <w:r>
        <w:rPr>
          <w:color w:val="auto"/>
          <w:sz w:val="24"/>
          <w:szCs w:val="24"/>
          <w:highlight w:val="none"/>
        </w:rPr>
        <w:t>按GB50429有效截面法考虑局部屈曲对构件整体承载能力的影响，设计型材断面。</w:t>
      </w:r>
    </w:p>
    <w:p w14:paraId="748F2739">
      <w:pPr>
        <w:numPr>
          <w:ilvl w:val="0"/>
          <w:numId w:val="9"/>
        </w:numPr>
        <w:ind w:left="840" w:hanging="350"/>
        <w:jc w:val="left"/>
        <w:rPr>
          <w:color w:val="auto"/>
          <w:sz w:val="24"/>
          <w:szCs w:val="24"/>
          <w:highlight w:val="none"/>
        </w:rPr>
      </w:pPr>
      <w:r>
        <w:rPr>
          <w:color w:val="auto"/>
          <w:kern w:val="0"/>
          <w:sz w:val="24"/>
          <w:szCs w:val="24"/>
          <w:highlight w:val="none"/>
        </w:rPr>
        <w:t>幕墙突出墙面的外装饰条按受力构件进行验算，</w:t>
      </w:r>
      <w:r>
        <w:rPr>
          <w:color w:val="auto"/>
          <w:kern w:val="0"/>
          <w:sz w:val="24"/>
          <w:highlight w:val="none"/>
        </w:rPr>
        <w:t>提交在考虑作用的最不利分布情况下构件和连接的设计计算书。</w:t>
      </w:r>
    </w:p>
    <w:p w14:paraId="7DE92235">
      <w:pPr>
        <w:numPr>
          <w:ilvl w:val="0"/>
          <w:numId w:val="9"/>
        </w:numPr>
        <w:ind w:left="840" w:hanging="350"/>
        <w:jc w:val="left"/>
        <w:rPr>
          <w:color w:val="auto"/>
          <w:sz w:val="24"/>
          <w:szCs w:val="24"/>
          <w:highlight w:val="none"/>
        </w:rPr>
      </w:pPr>
      <w:r>
        <w:rPr>
          <w:color w:val="auto"/>
          <w:sz w:val="24"/>
          <w:szCs w:val="24"/>
          <w:highlight w:val="none"/>
        </w:rPr>
        <w:t>要有计算简图，计算简图和杆件与结构连接部位一致，构造符合规范要求。</w:t>
      </w:r>
    </w:p>
    <w:p w14:paraId="7CA7AAFD">
      <w:pPr>
        <w:ind w:left="1080" w:hanging="1080" w:hangingChars="450"/>
        <w:rPr>
          <w:color w:val="auto"/>
          <w:sz w:val="24"/>
          <w:szCs w:val="24"/>
          <w:highlight w:val="none"/>
        </w:rPr>
      </w:pPr>
    </w:p>
    <w:p w14:paraId="1205EFC8">
      <w:pPr>
        <w:numPr>
          <w:ilvl w:val="0"/>
          <w:numId w:val="0"/>
        </w:numPr>
        <w:ind w:leftChars="0"/>
        <w:outlineLvl w:val="1"/>
        <w:rPr>
          <w:color w:val="auto"/>
          <w:sz w:val="24"/>
          <w:highlight w:val="none"/>
        </w:rPr>
      </w:pPr>
      <w:bookmarkStart w:id="71" w:name="_Toc4832"/>
      <w:r>
        <w:rPr>
          <w:rFonts w:hint="eastAsia"/>
          <w:color w:val="auto"/>
          <w:sz w:val="24"/>
          <w:highlight w:val="none"/>
          <w:lang w:val="en-US" w:eastAsia="zh-CN"/>
        </w:rPr>
        <w:t xml:space="preserve">7.3 </w:t>
      </w:r>
      <w:r>
        <w:rPr>
          <w:color w:val="auto"/>
          <w:sz w:val="24"/>
          <w:highlight w:val="none"/>
        </w:rPr>
        <w:t>图纸要求细则</w:t>
      </w:r>
      <w:bookmarkEnd w:id="71"/>
    </w:p>
    <w:p w14:paraId="2FB74FE6">
      <w:pPr>
        <w:numPr>
          <w:ilvl w:val="0"/>
          <w:numId w:val="10"/>
        </w:numPr>
        <w:ind w:left="840" w:hanging="360"/>
        <w:rPr>
          <w:color w:val="auto"/>
          <w:sz w:val="24"/>
          <w:szCs w:val="24"/>
          <w:highlight w:val="none"/>
        </w:rPr>
      </w:pPr>
      <w:r>
        <w:rPr>
          <w:color w:val="auto"/>
          <w:sz w:val="24"/>
          <w:szCs w:val="24"/>
          <w:highlight w:val="none"/>
        </w:rPr>
        <w:t>在平（立）面图上标明墙角区、墙面区位置及立柱（横梁）、面板起迄位置。并分别绘制局部放大大样，标明节点构造图号，节点构造图应标明不同区域的用料规格并且与计算书一致；</w:t>
      </w:r>
    </w:p>
    <w:p w14:paraId="024EC76B">
      <w:pPr>
        <w:numPr>
          <w:ilvl w:val="0"/>
          <w:numId w:val="10"/>
        </w:numPr>
        <w:ind w:left="840" w:hanging="360"/>
        <w:rPr>
          <w:color w:val="auto"/>
          <w:sz w:val="24"/>
          <w:szCs w:val="24"/>
          <w:highlight w:val="none"/>
        </w:rPr>
      </w:pPr>
      <w:r>
        <w:rPr>
          <w:color w:val="auto"/>
          <w:sz w:val="24"/>
          <w:szCs w:val="24"/>
          <w:highlight w:val="none"/>
        </w:rPr>
        <w:t>按不同朝向计算窗墙比，在立面图上应将非透明幕墙及透明幕墙的具体位置详细标出（作为计算非透明幕墙及透明幕墙面积的依据），画出局部放大大样（标注节点大样编号），节点大样要详细画出非透明幕墙具体做法，透明幕墙面板及框料的传热系数和透明幕墙面积加权平均传热系数和幕墙玻璃的遮阳系数，且与计算书一致；</w:t>
      </w:r>
    </w:p>
    <w:p w14:paraId="4C39FF34">
      <w:pPr>
        <w:numPr>
          <w:ilvl w:val="0"/>
          <w:numId w:val="10"/>
        </w:numPr>
        <w:ind w:left="840" w:hanging="360"/>
        <w:rPr>
          <w:color w:val="auto"/>
          <w:sz w:val="24"/>
          <w:szCs w:val="24"/>
          <w:highlight w:val="none"/>
        </w:rPr>
      </w:pPr>
      <w:r>
        <w:rPr>
          <w:color w:val="auto"/>
          <w:sz w:val="24"/>
          <w:szCs w:val="24"/>
          <w:highlight w:val="none"/>
        </w:rPr>
        <w:t>图纸上应详细标注钢材、铝合金型材、板材牌号、状态，连接件、紧固件牌号（型号、类别、组别、级别），玻璃应标明材质、二次加工方法，镀膜玻璃应标明类别及透光系数；</w:t>
      </w:r>
    </w:p>
    <w:p w14:paraId="4427579D">
      <w:pPr>
        <w:numPr>
          <w:ilvl w:val="0"/>
          <w:numId w:val="10"/>
        </w:numPr>
        <w:ind w:left="840" w:hanging="360"/>
        <w:rPr>
          <w:color w:val="auto"/>
          <w:sz w:val="24"/>
          <w:szCs w:val="24"/>
          <w:highlight w:val="none"/>
        </w:rPr>
      </w:pPr>
      <w:r>
        <w:rPr>
          <w:color w:val="auto"/>
          <w:sz w:val="24"/>
          <w:szCs w:val="24"/>
          <w:highlight w:val="none"/>
        </w:rPr>
        <w:t>防火、防雷节点符合规范要求；</w:t>
      </w:r>
    </w:p>
    <w:p w14:paraId="3D9CAAFD">
      <w:pPr>
        <w:numPr>
          <w:ilvl w:val="0"/>
          <w:numId w:val="10"/>
        </w:numPr>
        <w:ind w:left="840" w:hanging="360"/>
        <w:rPr>
          <w:color w:val="auto"/>
          <w:sz w:val="24"/>
          <w:szCs w:val="24"/>
          <w:highlight w:val="none"/>
        </w:rPr>
      </w:pPr>
      <w:r>
        <w:rPr>
          <w:color w:val="auto"/>
          <w:sz w:val="24"/>
          <w:szCs w:val="24"/>
          <w:highlight w:val="none"/>
        </w:rPr>
        <w:t>幕墙各部位的节点大样。</w:t>
      </w:r>
    </w:p>
    <w:p w14:paraId="20430A77">
      <w:pPr>
        <w:numPr>
          <w:ilvl w:val="0"/>
          <w:numId w:val="10"/>
        </w:numPr>
        <w:ind w:left="840" w:hanging="360"/>
        <w:rPr>
          <w:color w:val="auto"/>
          <w:sz w:val="24"/>
          <w:szCs w:val="24"/>
          <w:highlight w:val="none"/>
        </w:rPr>
      </w:pPr>
      <w:r>
        <w:rPr>
          <w:color w:val="auto"/>
          <w:sz w:val="24"/>
          <w:szCs w:val="24"/>
          <w:highlight w:val="none"/>
        </w:rPr>
        <w:t>幕墙在建筑主体结构的结构缝处的处理大样。</w:t>
      </w:r>
    </w:p>
    <w:p w14:paraId="030A6DEB">
      <w:pPr>
        <w:numPr>
          <w:ilvl w:val="0"/>
          <w:numId w:val="10"/>
        </w:numPr>
        <w:ind w:left="840" w:hanging="360"/>
        <w:rPr>
          <w:color w:val="auto"/>
          <w:sz w:val="24"/>
          <w:szCs w:val="24"/>
          <w:highlight w:val="none"/>
        </w:rPr>
      </w:pPr>
      <w:r>
        <w:rPr>
          <w:color w:val="auto"/>
          <w:sz w:val="24"/>
          <w:szCs w:val="24"/>
          <w:highlight w:val="none"/>
        </w:rPr>
        <w:t>型材模具图详细标明各部位尺寸及壁厚，各部位壁厚符合有关要求。</w:t>
      </w:r>
    </w:p>
    <w:p w14:paraId="042B68A2">
      <w:pPr>
        <w:numPr>
          <w:ilvl w:val="0"/>
          <w:numId w:val="10"/>
        </w:numPr>
        <w:ind w:left="840" w:hanging="360"/>
        <w:rPr>
          <w:color w:val="auto"/>
          <w:sz w:val="24"/>
          <w:szCs w:val="24"/>
          <w:highlight w:val="none"/>
        </w:rPr>
      </w:pPr>
      <w:r>
        <w:rPr>
          <w:color w:val="auto"/>
          <w:sz w:val="24"/>
          <w:szCs w:val="24"/>
          <w:highlight w:val="none"/>
        </w:rPr>
        <w:t>竖剖面图上应详细标明杆件与主体结构连接部位并与计算简图一致，连接件位置与预埋件布置图一致。</w:t>
      </w:r>
    </w:p>
    <w:p w14:paraId="4189EA24">
      <w:pPr>
        <w:numPr>
          <w:ilvl w:val="0"/>
          <w:numId w:val="10"/>
        </w:numPr>
        <w:ind w:left="840" w:hanging="360"/>
        <w:rPr>
          <w:color w:val="auto"/>
          <w:sz w:val="24"/>
          <w:szCs w:val="24"/>
          <w:highlight w:val="none"/>
        </w:rPr>
      </w:pPr>
      <w:r>
        <w:rPr>
          <w:color w:val="auto"/>
          <w:sz w:val="24"/>
          <w:szCs w:val="24"/>
          <w:highlight w:val="none"/>
        </w:rPr>
        <w:t>对第三章“设计标准及参数”中的各项要求在设计说明中进行一一响应，并和计算书一一对应。</w:t>
      </w:r>
    </w:p>
    <w:p w14:paraId="5602FE2F">
      <w:pPr>
        <w:ind w:left="1" w:firstLine="480"/>
        <w:rPr>
          <w:color w:val="auto"/>
          <w:sz w:val="24"/>
          <w:szCs w:val="24"/>
          <w:highlight w:val="none"/>
        </w:rPr>
      </w:pPr>
    </w:p>
    <w:p w14:paraId="6F4015F5">
      <w:pPr>
        <w:numPr>
          <w:ilvl w:val="0"/>
          <w:numId w:val="0"/>
        </w:numPr>
        <w:ind w:leftChars="0"/>
        <w:outlineLvl w:val="1"/>
        <w:rPr>
          <w:color w:val="auto"/>
          <w:sz w:val="24"/>
          <w:highlight w:val="none"/>
        </w:rPr>
      </w:pPr>
      <w:bookmarkStart w:id="72" w:name="_Toc1403"/>
      <w:r>
        <w:rPr>
          <w:rFonts w:hint="eastAsia"/>
          <w:color w:val="auto"/>
          <w:sz w:val="24"/>
          <w:highlight w:val="none"/>
          <w:lang w:val="en-US" w:eastAsia="zh-CN"/>
        </w:rPr>
        <w:t xml:space="preserve">7.4 </w:t>
      </w:r>
      <w:r>
        <w:rPr>
          <w:color w:val="auto"/>
          <w:sz w:val="24"/>
          <w:highlight w:val="none"/>
        </w:rPr>
        <w:t>施工组织设计一般要求</w:t>
      </w:r>
      <w:bookmarkEnd w:id="72"/>
    </w:p>
    <w:p w14:paraId="4689DDEF">
      <w:pPr>
        <w:numPr>
          <w:ilvl w:val="2"/>
          <w:numId w:val="11"/>
        </w:numPr>
        <w:ind w:hanging="780"/>
        <w:rPr>
          <w:color w:val="auto"/>
          <w:sz w:val="24"/>
          <w:highlight w:val="none"/>
        </w:rPr>
      </w:pPr>
      <w:r>
        <w:rPr>
          <w:rFonts w:hint="eastAsia"/>
          <w:color w:val="auto"/>
          <w:sz w:val="24"/>
          <w:highlight w:val="none"/>
          <w:lang w:eastAsia="zh-CN"/>
        </w:rPr>
        <w:t>公司资质资料及业绩，加工厂情况</w:t>
      </w:r>
    </w:p>
    <w:p w14:paraId="25D6B6F5">
      <w:pPr>
        <w:numPr>
          <w:ilvl w:val="2"/>
          <w:numId w:val="11"/>
        </w:numPr>
        <w:ind w:hanging="780"/>
        <w:rPr>
          <w:color w:val="auto"/>
          <w:sz w:val="24"/>
          <w:highlight w:val="none"/>
        </w:rPr>
      </w:pPr>
      <w:r>
        <w:rPr>
          <w:color w:val="auto"/>
          <w:sz w:val="24"/>
          <w:highlight w:val="none"/>
        </w:rPr>
        <w:t>施工组织管理架构及职责分工</w:t>
      </w:r>
      <w:r>
        <w:rPr>
          <w:rFonts w:hint="eastAsia"/>
          <w:color w:val="auto"/>
          <w:sz w:val="24"/>
          <w:highlight w:val="none"/>
          <w:lang w:eastAsia="zh-CN"/>
        </w:rPr>
        <w:t>、管理流程、主要人员简历</w:t>
      </w:r>
    </w:p>
    <w:p w14:paraId="3C6197B7">
      <w:pPr>
        <w:numPr>
          <w:ilvl w:val="2"/>
          <w:numId w:val="11"/>
        </w:numPr>
        <w:ind w:hanging="780"/>
        <w:rPr>
          <w:color w:val="auto"/>
          <w:sz w:val="24"/>
          <w:highlight w:val="none"/>
        </w:rPr>
      </w:pPr>
      <w:r>
        <w:rPr>
          <w:color w:val="auto"/>
          <w:sz w:val="24"/>
          <w:highlight w:val="none"/>
        </w:rPr>
        <w:t>施工程序总体设想及施工段划分</w:t>
      </w:r>
    </w:p>
    <w:p w14:paraId="03A61993">
      <w:pPr>
        <w:numPr>
          <w:ilvl w:val="2"/>
          <w:numId w:val="11"/>
        </w:numPr>
        <w:ind w:hanging="780"/>
        <w:rPr>
          <w:color w:val="auto"/>
          <w:sz w:val="24"/>
          <w:highlight w:val="none"/>
        </w:rPr>
      </w:pPr>
      <w:r>
        <w:rPr>
          <w:color w:val="auto"/>
          <w:sz w:val="24"/>
          <w:highlight w:val="none"/>
        </w:rPr>
        <w:t>施工进度计划和各阶段进度的说明</w:t>
      </w:r>
    </w:p>
    <w:p w14:paraId="149D8B55">
      <w:pPr>
        <w:numPr>
          <w:ilvl w:val="2"/>
          <w:numId w:val="11"/>
        </w:numPr>
        <w:ind w:hanging="780"/>
        <w:rPr>
          <w:color w:val="auto"/>
          <w:sz w:val="24"/>
          <w:highlight w:val="none"/>
        </w:rPr>
      </w:pPr>
      <w:r>
        <w:rPr>
          <w:color w:val="auto"/>
          <w:sz w:val="24"/>
          <w:highlight w:val="none"/>
        </w:rPr>
        <w:t>机械设备投入计划及说明</w:t>
      </w:r>
    </w:p>
    <w:p w14:paraId="1547F0DD">
      <w:pPr>
        <w:numPr>
          <w:ilvl w:val="2"/>
          <w:numId w:val="11"/>
        </w:numPr>
        <w:ind w:hanging="780"/>
        <w:rPr>
          <w:color w:val="auto"/>
          <w:sz w:val="24"/>
          <w:highlight w:val="none"/>
        </w:rPr>
      </w:pPr>
      <w:r>
        <w:rPr>
          <w:color w:val="auto"/>
          <w:sz w:val="24"/>
          <w:highlight w:val="none"/>
        </w:rPr>
        <w:t>主要材料、劳动力投入计划及说明</w:t>
      </w:r>
    </w:p>
    <w:p w14:paraId="10D09C6A">
      <w:pPr>
        <w:numPr>
          <w:ilvl w:val="2"/>
          <w:numId w:val="11"/>
        </w:numPr>
        <w:ind w:hanging="780"/>
        <w:rPr>
          <w:color w:val="auto"/>
          <w:sz w:val="24"/>
          <w:highlight w:val="none"/>
        </w:rPr>
      </w:pPr>
      <w:r>
        <w:rPr>
          <w:color w:val="auto"/>
          <w:sz w:val="24"/>
          <w:highlight w:val="none"/>
        </w:rPr>
        <w:t>材料及配件的选用</w:t>
      </w:r>
    </w:p>
    <w:p w14:paraId="73EEBC62">
      <w:pPr>
        <w:numPr>
          <w:ilvl w:val="2"/>
          <w:numId w:val="11"/>
        </w:numPr>
        <w:ind w:hanging="780"/>
        <w:rPr>
          <w:color w:val="auto"/>
          <w:sz w:val="24"/>
          <w:highlight w:val="none"/>
        </w:rPr>
      </w:pPr>
      <w:r>
        <w:rPr>
          <w:color w:val="auto"/>
          <w:sz w:val="24"/>
          <w:highlight w:val="none"/>
        </w:rPr>
        <w:t>施工平面布置和临时设施布置</w:t>
      </w:r>
    </w:p>
    <w:p w14:paraId="623EE57F">
      <w:pPr>
        <w:numPr>
          <w:ilvl w:val="2"/>
          <w:numId w:val="11"/>
        </w:numPr>
        <w:ind w:hanging="780"/>
        <w:rPr>
          <w:color w:val="auto"/>
          <w:sz w:val="24"/>
          <w:highlight w:val="none"/>
        </w:rPr>
      </w:pPr>
      <w:r>
        <w:rPr>
          <w:color w:val="auto"/>
          <w:sz w:val="24"/>
          <w:highlight w:val="none"/>
        </w:rPr>
        <w:t>施工工艺流程和施工工艺</w:t>
      </w:r>
    </w:p>
    <w:p w14:paraId="20641346">
      <w:pPr>
        <w:numPr>
          <w:ilvl w:val="2"/>
          <w:numId w:val="11"/>
        </w:numPr>
        <w:ind w:hanging="780"/>
        <w:rPr>
          <w:color w:val="auto"/>
          <w:sz w:val="24"/>
          <w:highlight w:val="none"/>
        </w:rPr>
      </w:pPr>
      <w:r>
        <w:rPr>
          <w:color w:val="auto"/>
          <w:sz w:val="24"/>
          <w:highlight w:val="none"/>
        </w:rPr>
        <w:t>关键施工技术、工艺及项目实施的重点、难点</w:t>
      </w:r>
      <w:r>
        <w:rPr>
          <w:rFonts w:hint="eastAsia"/>
          <w:color w:val="auto"/>
          <w:sz w:val="24"/>
          <w:highlight w:val="none"/>
          <w:lang w:eastAsia="zh-CN"/>
        </w:rPr>
        <w:t>分析</w:t>
      </w:r>
      <w:r>
        <w:rPr>
          <w:color w:val="auto"/>
          <w:sz w:val="24"/>
          <w:highlight w:val="none"/>
        </w:rPr>
        <w:t>和解决方案</w:t>
      </w:r>
    </w:p>
    <w:p w14:paraId="64E408FF">
      <w:pPr>
        <w:numPr>
          <w:ilvl w:val="2"/>
          <w:numId w:val="11"/>
        </w:numPr>
        <w:ind w:hanging="780"/>
        <w:rPr>
          <w:color w:val="auto"/>
          <w:sz w:val="24"/>
          <w:highlight w:val="none"/>
        </w:rPr>
      </w:pPr>
      <w:r>
        <w:rPr>
          <w:color w:val="auto"/>
          <w:sz w:val="24"/>
          <w:highlight w:val="none"/>
        </w:rPr>
        <w:t>与总包及其他专业的协调配合</w:t>
      </w:r>
    </w:p>
    <w:p w14:paraId="7D820E6F">
      <w:pPr>
        <w:numPr>
          <w:ilvl w:val="2"/>
          <w:numId w:val="11"/>
        </w:numPr>
        <w:ind w:hanging="780"/>
        <w:rPr>
          <w:color w:val="auto"/>
          <w:sz w:val="24"/>
          <w:highlight w:val="none"/>
        </w:rPr>
      </w:pPr>
      <w:r>
        <w:rPr>
          <w:color w:val="auto"/>
          <w:sz w:val="24"/>
          <w:highlight w:val="none"/>
        </w:rPr>
        <w:t>质量承诺，质量控制程序及质量保证体系</w:t>
      </w:r>
    </w:p>
    <w:p w14:paraId="6CB92498">
      <w:pPr>
        <w:numPr>
          <w:ilvl w:val="2"/>
          <w:numId w:val="11"/>
        </w:numPr>
        <w:ind w:hanging="780"/>
        <w:rPr>
          <w:color w:val="auto"/>
          <w:sz w:val="24"/>
          <w:highlight w:val="none"/>
        </w:rPr>
      </w:pPr>
      <w:r>
        <w:rPr>
          <w:color w:val="auto"/>
          <w:sz w:val="24"/>
          <w:highlight w:val="none"/>
        </w:rPr>
        <w:t>控制工程质量的检测与保证措施</w:t>
      </w:r>
    </w:p>
    <w:p w14:paraId="47C8ABF9">
      <w:pPr>
        <w:numPr>
          <w:ilvl w:val="2"/>
          <w:numId w:val="11"/>
        </w:numPr>
        <w:ind w:hanging="780"/>
        <w:rPr>
          <w:color w:val="auto"/>
          <w:sz w:val="24"/>
          <w:highlight w:val="none"/>
        </w:rPr>
      </w:pPr>
      <w:r>
        <w:rPr>
          <w:color w:val="auto"/>
          <w:sz w:val="24"/>
          <w:highlight w:val="none"/>
        </w:rPr>
        <w:t>安全文明施工措施</w:t>
      </w:r>
    </w:p>
    <w:p w14:paraId="337671DF">
      <w:pPr>
        <w:numPr>
          <w:ilvl w:val="2"/>
          <w:numId w:val="11"/>
        </w:numPr>
        <w:ind w:hanging="780"/>
        <w:rPr>
          <w:color w:val="auto"/>
          <w:sz w:val="24"/>
          <w:highlight w:val="none"/>
        </w:rPr>
      </w:pPr>
      <w:r>
        <w:rPr>
          <w:color w:val="auto"/>
          <w:sz w:val="24"/>
          <w:highlight w:val="none"/>
        </w:rPr>
        <w:t>成品保护的保证措施</w:t>
      </w:r>
    </w:p>
    <w:p w14:paraId="0BE590A6">
      <w:pPr>
        <w:numPr>
          <w:ilvl w:val="2"/>
          <w:numId w:val="11"/>
        </w:numPr>
        <w:ind w:hanging="780"/>
        <w:rPr>
          <w:color w:val="auto"/>
          <w:sz w:val="24"/>
          <w:highlight w:val="none"/>
        </w:rPr>
      </w:pPr>
      <w:r>
        <w:rPr>
          <w:color w:val="auto"/>
          <w:sz w:val="24"/>
          <w:highlight w:val="none"/>
        </w:rPr>
        <w:t>幕墙清洁、保养、使用及维护说明</w:t>
      </w:r>
    </w:p>
    <w:p w14:paraId="748E6E31">
      <w:pPr>
        <w:ind w:left="490" w:firstLine="0"/>
        <w:rPr>
          <w:color w:val="auto"/>
          <w:sz w:val="24"/>
          <w:highlight w:val="none"/>
        </w:rPr>
      </w:pPr>
    </w:p>
    <w:p w14:paraId="206DABF9">
      <w:pPr>
        <w:numPr>
          <w:ilvl w:val="0"/>
          <w:numId w:val="0"/>
        </w:numPr>
        <w:ind w:leftChars="0"/>
        <w:outlineLvl w:val="1"/>
        <w:rPr>
          <w:color w:val="auto"/>
          <w:sz w:val="24"/>
          <w:highlight w:val="none"/>
        </w:rPr>
      </w:pPr>
      <w:bookmarkStart w:id="73" w:name="_Toc32070"/>
      <w:r>
        <w:rPr>
          <w:rFonts w:hint="eastAsia"/>
          <w:color w:val="auto"/>
          <w:sz w:val="24"/>
          <w:highlight w:val="none"/>
          <w:lang w:val="en-US" w:eastAsia="zh-CN"/>
        </w:rPr>
        <w:t xml:space="preserve">7.5 </w:t>
      </w:r>
      <w:r>
        <w:rPr>
          <w:color w:val="auto"/>
          <w:sz w:val="24"/>
          <w:highlight w:val="none"/>
        </w:rPr>
        <w:t>施工组织设计要求细则</w:t>
      </w:r>
      <w:bookmarkEnd w:id="73"/>
    </w:p>
    <w:p w14:paraId="159338EA">
      <w:pPr>
        <w:numPr>
          <w:ilvl w:val="0"/>
          <w:numId w:val="12"/>
        </w:numPr>
        <w:ind w:left="840" w:hanging="361"/>
        <w:rPr>
          <w:color w:val="auto"/>
          <w:sz w:val="24"/>
          <w:szCs w:val="24"/>
          <w:highlight w:val="none"/>
        </w:rPr>
      </w:pPr>
      <w:r>
        <w:rPr>
          <w:color w:val="auto"/>
          <w:sz w:val="24"/>
          <w:highlight w:val="none"/>
        </w:rPr>
        <w:t>施工组织设计应有预埋件加工精度要求</w:t>
      </w:r>
      <w:r>
        <w:rPr>
          <w:color w:val="auto"/>
          <w:sz w:val="24"/>
          <w:szCs w:val="24"/>
          <w:highlight w:val="none"/>
        </w:rPr>
        <w:t>；</w:t>
      </w:r>
    </w:p>
    <w:p w14:paraId="2E06E4E1">
      <w:pPr>
        <w:numPr>
          <w:ilvl w:val="0"/>
          <w:numId w:val="12"/>
        </w:numPr>
        <w:ind w:left="840" w:hanging="361"/>
        <w:rPr>
          <w:color w:val="auto"/>
          <w:sz w:val="24"/>
          <w:szCs w:val="24"/>
          <w:highlight w:val="none"/>
        </w:rPr>
      </w:pPr>
      <w:r>
        <w:rPr>
          <w:color w:val="auto"/>
          <w:sz w:val="24"/>
          <w:highlight w:val="none"/>
        </w:rPr>
        <w:t>施工组织设计应有玻璃幕墙连接件、支承件的加工精度要求</w:t>
      </w:r>
      <w:r>
        <w:rPr>
          <w:color w:val="auto"/>
          <w:sz w:val="24"/>
          <w:szCs w:val="24"/>
          <w:highlight w:val="none"/>
        </w:rPr>
        <w:t>；</w:t>
      </w:r>
    </w:p>
    <w:p w14:paraId="00D7CD06">
      <w:pPr>
        <w:numPr>
          <w:ilvl w:val="0"/>
          <w:numId w:val="12"/>
        </w:numPr>
        <w:ind w:left="840" w:hanging="361"/>
        <w:rPr>
          <w:color w:val="auto"/>
          <w:sz w:val="24"/>
          <w:szCs w:val="24"/>
          <w:highlight w:val="none"/>
        </w:rPr>
      </w:pPr>
      <w:r>
        <w:rPr>
          <w:color w:val="auto"/>
          <w:sz w:val="24"/>
          <w:highlight w:val="none"/>
        </w:rPr>
        <w:t>施工组织设计应有玻璃幕墙的玻璃（单片、中空玻璃</w:t>
      </w:r>
      <w:r>
        <w:rPr>
          <w:rFonts w:hint="eastAsia"/>
          <w:color w:val="auto"/>
          <w:sz w:val="24"/>
          <w:highlight w:val="none"/>
          <w:lang w:eastAsia="zh-CN"/>
        </w:rPr>
        <w:t>、</w:t>
      </w:r>
      <w:r>
        <w:rPr>
          <w:rFonts w:hint="eastAsia"/>
          <w:color w:val="auto"/>
          <w:sz w:val="24"/>
          <w:highlight w:val="none"/>
          <w:lang w:val="en-US" w:eastAsia="zh-CN"/>
        </w:rPr>
        <w:t>夹胶玻璃</w:t>
      </w:r>
      <w:r>
        <w:rPr>
          <w:color w:val="auto"/>
          <w:sz w:val="24"/>
          <w:highlight w:val="none"/>
        </w:rPr>
        <w:t>）加工精度要求</w:t>
      </w:r>
      <w:r>
        <w:rPr>
          <w:color w:val="auto"/>
          <w:sz w:val="24"/>
          <w:szCs w:val="24"/>
          <w:highlight w:val="none"/>
        </w:rPr>
        <w:t>；</w:t>
      </w:r>
    </w:p>
    <w:p w14:paraId="3B3EA26E">
      <w:pPr>
        <w:numPr>
          <w:ilvl w:val="0"/>
          <w:numId w:val="12"/>
        </w:numPr>
        <w:ind w:left="840" w:hanging="361"/>
        <w:rPr>
          <w:color w:val="auto"/>
          <w:sz w:val="24"/>
          <w:szCs w:val="24"/>
          <w:highlight w:val="none"/>
        </w:rPr>
      </w:pPr>
      <w:r>
        <w:rPr>
          <w:color w:val="auto"/>
          <w:sz w:val="24"/>
          <w:highlight w:val="none"/>
        </w:rPr>
        <w:t>施工组织设计应有幕墙组件加工尺寸允许偏差要求</w:t>
      </w:r>
      <w:r>
        <w:rPr>
          <w:color w:val="auto"/>
          <w:sz w:val="24"/>
          <w:szCs w:val="24"/>
          <w:highlight w:val="none"/>
        </w:rPr>
        <w:t>。</w:t>
      </w:r>
    </w:p>
    <w:p w14:paraId="79C417A2">
      <w:pPr>
        <w:numPr>
          <w:ilvl w:val="0"/>
          <w:numId w:val="12"/>
        </w:numPr>
        <w:ind w:left="840" w:hanging="361"/>
        <w:rPr>
          <w:color w:val="auto"/>
          <w:sz w:val="24"/>
          <w:szCs w:val="24"/>
          <w:highlight w:val="none"/>
        </w:rPr>
      </w:pPr>
      <w:r>
        <w:rPr>
          <w:color w:val="auto"/>
          <w:sz w:val="24"/>
          <w:highlight w:val="none"/>
        </w:rPr>
        <w:t>施工组织设计应有</w:t>
      </w:r>
      <w:r>
        <w:rPr>
          <w:rFonts w:hint="eastAsia"/>
          <w:color w:val="auto"/>
          <w:sz w:val="24"/>
          <w:highlight w:val="none"/>
        </w:rPr>
        <w:t>铝合金百叶</w:t>
      </w:r>
      <w:r>
        <w:rPr>
          <w:color w:val="auto"/>
          <w:sz w:val="24"/>
          <w:highlight w:val="none"/>
        </w:rPr>
        <w:t>拼装</w:t>
      </w:r>
      <w:r>
        <w:rPr>
          <w:rFonts w:hint="eastAsia"/>
          <w:color w:val="auto"/>
          <w:sz w:val="24"/>
          <w:highlight w:val="none"/>
        </w:rPr>
        <w:t>、安装</w:t>
      </w:r>
      <w:r>
        <w:rPr>
          <w:color w:val="auto"/>
          <w:sz w:val="24"/>
          <w:highlight w:val="none"/>
        </w:rPr>
        <w:t>要求</w:t>
      </w:r>
      <w:r>
        <w:rPr>
          <w:color w:val="auto"/>
          <w:sz w:val="24"/>
          <w:szCs w:val="24"/>
          <w:highlight w:val="none"/>
        </w:rPr>
        <w:t>。</w:t>
      </w:r>
    </w:p>
    <w:p w14:paraId="7C0E8459">
      <w:pPr>
        <w:numPr>
          <w:ilvl w:val="0"/>
          <w:numId w:val="12"/>
        </w:numPr>
        <w:ind w:left="840" w:hanging="361"/>
        <w:rPr>
          <w:color w:val="auto"/>
          <w:sz w:val="24"/>
          <w:highlight w:val="none"/>
        </w:rPr>
      </w:pPr>
      <w:r>
        <w:rPr>
          <w:color w:val="auto"/>
          <w:sz w:val="24"/>
          <w:highlight w:val="none"/>
        </w:rPr>
        <w:t>施工组织设计应有</w:t>
      </w:r>
      <w:r>
        <w:rPr>
          <w:rFonts w:hint="eastAsia"/>
          <w:color w:val="auto"/>
          <w:sz w:val="24"/>
          <w:highlight w:val="none"/>
        </w:rPr>
        <w:t>幕墙板块</w:t>
      </w:r>
      <w:r>
        <w:rPr>
          <w:color w:val="auto"/>
          <w:sz w:val="24"/>
          <w:highlight w:val="none"/>
        </w:rPr>
        <w:t>的专门施工组织设计内容：包括吊具的类型和吊具移动方法、</w:t>
      </w:r>
      <w:r>
        <w:rPr>
          <w:rFonts w:hint="eastAsia"/>
          <w:color w:val="auto"/>
          <w:sz w:val="24"/>
          <w:highlight w:val="none"/>
        </w:rPr>
        <w:t>幕墙板块的</w:t>
      </w:r>
      <w:r>
        <w:rPr>
          <w:color w:val="auto"/>
          <w:sz w:val="24"/>
          <w:highlight w:val="none"/>
        </w:rPr>
        <w:t>起吊地点、垂直运输与楼层水平运输方法和机具、</w:t>
      </w:r>
      <w:r>
        <w:rPr>
          <w:rFonts w:hint="eastAsia"/>
          <w:color w:val="auto"/>
          <w:sz w:val="24"/>
          <w:highlight w:val="none"/>
        </w:rPr>
        <w:t>幕墙</w:t>
      </w:r>
      <w:r>
        <w:rPr>
          <w:color w:val="auto"/>
          <w:sz w:val="24"/>
          <w:highlight w:val="none"/>
        </w:rPr>
        <w:t>组件吊装顺序以及吊装、调整、定位固定等方法和措施；</w:t>
      </w:r>
    </w:p>
    <w:p w14:paraId="678ED384">
      <w:pPr>
        <w:numPr>
          <w:ilvl w:val="0"/>
          <w:numId w:val="12"/>
        </w:numPr>
        <w:ind w:left="840" w:hanging="361"/>
        <w:rPr>
          <w:color w:val="auto"/>
          <w:sz w:val="24"/>
          <w:highlight w:val="none"/>
        </w:rPr>
      </w:pPr>
      <w:r>
        <w:rPr>
          <w:color w:val="auto"/>
          <w:sz w:val="24"/>
          <w:highlight w:val="none"/>
        </w:rPr>
        <w:t>施工组织设计应有</w:t>
      </w:r>
      <w:r>
        <w:rPr>
          <w:rFonts w:hint="eastAsia"/>
          <w:color w:val="auto"/>
          <w:sz w:val="24"/>
          <w:highlight w:val="none"/>
        </w:rPr>
        <w:t>各种</w:t>
      </w:r>
      <w:r>
        <w:rPr>
          <w:color w:val="auto"/>
          <w:sz w:val="24"/>
          <w:highlight w:val="none"/>
        </w:rPr>
        <w:t>幕墙连接件安装允许偏差要求；</w:t>
      </w:r>
    </w:p>
    <w:p w14:paraId="5DF5D8B6">
      <w:pPr>
        <w:numPr>
          <w:ilvl w:val="0"/>
          <w:numId w:val="12"/>
        </w:numPr>
        <w:ind w:left="840" w:hanging="361"/>
        <w:rPr>
          <w:color w:val="auto"/>
          <w:sz w:val="24"/>
          <w:highlight w:val="none"/>
        </w:rPr>
      </w:pPr>
      <w:r>
        <w:rPr>
          <w:color w:val="auto"/>
          <w:sz w:val="24"/>
          <w:highlight w:val="none"/>
        </w:rPr>
        <w:t>施工组织设计应有</w:t>
      </w:r>
      <w:r>
        <w:rPr>
          <w:rFonts w:hint="eastAsia"/>
          <w:color w:val="auto"/>
          <w:sz w:val="24"/>
          <w:highlight w:val="none"/>
        </w:rPr>
        <w:t>各种</w:t>
      </w:r>
      <w:r>
        <w:rPr>
          <w:color w:val="auto"/>
          <w:sz w:val="24"/>
          <w:highlight w:val="none"/>
        </w:rPr>
        <w:t>幕墙安装固定后的偏差要求；</w:t>
      </w:r>
    </w:p>
    <w:p w14:paraId="741CDC5E">
      <w:pPr>
        <w:numPr>
          <w:ilvl w:val="0"/>
          <w:numId w:val="12"/>
        </w:numPr>
        <w:ind w:left="840" w:hanging="361"/>
        <w:rPr>
          <w:color w:val="auto"/>
          <w:sz w:val="24"/>
          <w:highlight w:val="none"/>
        </w:rPr>
      </w:pPr>
      <w:r>
        <w:rPr>
          <w:color w:val="auto"/>
          <w:sz w:val="24"/>
          <w:highlight w:val="none"/>
        </w:rPr>
        <w:t>施工组织设计应有</w:t>
      </w:r>
      <w:r>
        <w:rPr>
          <w:rFonts w:hint="eastAsia"/>
          <w:color w:val="auto"/>
          <w:sz w:val="24"/>
          <w:highlight w:val="none"/>
        </w:rPr>
        <w:t>各种</w:t>
      </w:r>
      <w:r>
        <w:rPr>
          <w:color w:val="auto"/>
          <w:sz w:val="24"/>
          <w:highlight w:val="none"/>
        </w:rPr>
        <w:t>幕墙的钢构件焊接、螺栓连接要求；</w:t>
      </w:r>
    </w:p>
    <w:p w14:paraId="1A1583F3">
      <w:pPr>
        <w:numPr>
          <w:ilvl w:val="0"/>
          <w:numId w:val="12"/>
        </w:numPr>
        <w:ind w:left="840" w:hanging="361"/>
        <w:rPr>
          <w:color w:val="auto"/>
          <w:sz w:val="24"/>
          <w:highlight w:val="none"/>
        </w:rPr>
      </w:pPr>
      <w:r>
        <w:rPr>
          <w:color w:val="auto"/>
          <w:sz w:val="24"/>
          <w:highlight w:val="none"/>
        </w:rPr>
        <w:t>施工组织设计应有幕墙钢构件表面涂装要求；</w:t>
      </w:r>
    </w:p>
    <w:p w14:paraId="509D669F">
      <w:pPr>
        <w:numPr>
          <w:ilvl w:val="0"/>
          <w:numId w:val="12"/>
        </w:numPr>
        <w:ind w:left="840" w:hanging="361"/>
        <w:rPr>
          <w:color w:val="auto"/>
          <w:sz w:val="24"/>
          <w:highlight w:val="none"/>
        </w:rPr>
      </w:pPr>
      <w:r>
        <w:rPr>
          <w:color w:val="auto"/>
          <w:sz w:val="24"/>
          <w:highlight w:val="none"/>
        </w:rPr>
        <w:t>施工组织设计应有金属板、</w:t>
      </w:r>
      <w:r>
        <w:rPr>
          <w:rFonts w:hint="eastAsia"/>
          <w:color w:val="auto"/>
          <w:sz w:val="24"/>
          <w:highlight w:val="none"/>
          <w:lang w:eastAsia="zh-CN"/>
        </w:rPr>
        <w:t>PTFE膜、聚碳酸酯板</w:t>
      </w:r>
      <w:r>
        <w:rPr>
          <w:color w:val="auto"/>
          <w:sz w:val="24"/>
          <w:highlight w:val="none"/>
        </w:rPr>
        <w:t>加工允许偏差的规定；</w:t>
      </w:r>
    </w:p>
    <w:p w14:paraId="34A333BF">
      <w:pPr>
        <w:numPr>
          <w:ilvl w:val="0"/>
          <w:numId w:val="12"/>
        </w:numPr>
        <w:ind w:left="840" w:hanging="361"/>
        <w:rPr>
          <w:color w:val="auto"/>
          <w:sz w:val="24"/>
          <w:highlight w:val="none"/>
        </w:rPr>
      </w:pPr>
      <w:r>
        <w:rPr>
          <w:color w:val="auto"/>
          <w:sz w:val="24"/>
          <w:highlight w:val="none"/>
        </w:rPr>
        <w:t>施工组织设计应有金属板</w:t>
      </w:r>
      <w:r>
        <w:rPr>
          <w:rFonts w:hint="eastAsia"/>
          <w:color w:val="auto"/>
          <w:sz w:val="24"/>
          <w:highlight w:val="none"/>
          <w:lang w:eastAsia="zh-CN"/>
        </w:rPr>
        <w:t>、PTFE膜、聚碳酸酯板</w:t>
      </w:r>
      <w:r>
        <w:rPr>
          <w:color w:val="auto"/>
          <w:sz w:val="24"/>
          <w:highlight w:val="none"/>
        </w:rPr>
        <w:t>安装允许偏差要求。</w:t>
      </w:r>
    </w:p>
    <w:p w14:paraId="34105B63">
      <w:pPr>
        <w:numPr>
          <w:ilvl w:val="0"/>
          <w:numId w:val="12"/>
        </w:numPr>
        <w:ind w:left="840" w:hanging="361"/>
        <w:rPr>
          <w:color w:val="auto"/>
          <w:sz w:val="24"/>
          <w:highlight w:val="none"/>
        </w:rPr>
      </w:pPr>
      <w:r>
        <w:rPr>
          <w:color w:val="auto"/>
          <w:sz w:val="24"/>
          <w:highlight w:val="none"/>
        </w:rPr>
        <w:t>施工组织设计应有脚手架使用要求的方案。</w:t>
      </w:r>
    </w:p>
    <w:p w14:paraId="7FF1CCB6">
      <w:pPr>
        <w:ind w:left="0" w:leftChars="0" w:firstLine="0" w:firstLineChars="0"/>
        <w:rPr>
          <w:rFonts w:hint="default" w:eastAsia="黑体"/>
          <w:color w:val="auto"/>
          <w:sz w:val="24"/>
          <w:highlight w:val="none"/>
          <w:lang w:val="en-US" w:eastAsia="zh-CN"/>
        </w:rPr>
      </w:pPr>
    </w:p>
    <w:p w14:paraId="14A9A628">
      <w:pPr>
        <w:ind w:left="0" w:firstLine="0"/>
        <w:outlineLvl w:val="0"/>
        <w:rPr>
          <w:b/>
          <w:color w:val="auto"/>
          <w:sz w:val="24"/>
          <w:szCs w:val="24"/>
          <w:highlight w:val="none"/>
        </w:rPr>
      </w:pPr>
      <w:bookmarkStart w:id="74" w:name="_Toc27968"/>
      <w:r>
        <w:rPr>
          <w:b/>
          <w:color w:val="auto"/>
          <w:sz w:val="24"/>
          <w:szCs w:val="24"/>
          <w:highlight w:val="none"/>
        </w:rPr>
        <w:t>第</w:t>
      </w:r>
      <w:r>
        <w:rPr>
          <w:rFonts w:hint="eastAsia"/>
          <w:b/>
          <w:color w:val="auto"/>
          <w:sz w:val="24"/>
          <w:szCs w:val="24"/>
          <w:highlight w:val="none"/>
          <w:lang w:val="en-US" w:eastAsia="zh-CN"/>
        </w:rPr>
        <w:t>八</w:t>
      </w:r>
      <w:r>
        <w:rPr>
          <w:b/>
          <w:color w:val="auto"/>
          <w:sz w:val="24"/>
          <w:szCs w:val="24"/>
          <w:highlight w:val="none"/>
        </w:rPr>
        <w:t>章：中标人需提交资料内容及确认方式</w:t>
      </w:r>
      <w:bookmarkEnd w:id="74"/>
    </w:p>
    <w:p w14:paraId="3A745105">
      <w:pPr>
        <w:numPr>
          <w:ilvl w:val="0"/>
          <w:numId w:val="0"/>
        </w:numPr>
        <w:ind w:leftChars="0"/>
        <w:outlineLvl w:val="1"/>
        <w:rPr>
          <w:color w:val="auto"/>
          <w:sz w:val="24"/>
          <w:highlight w:val="none"/>
        </w:rPr>
      </w:pPr>
      <w:bookmarkStart w:id="75" w:name="_Toc1197"/>
      <w:r>
        <w:rPr>
          <w:rFonts w:hint="eastAsia"/>
          <w:color w:val="auto"/>
          <w:sz w:val="24"/>
          <w:highlight w:val="none"/>
          <w:lang w:val="en-US" w:eastAsia="zh-CN"/>
        </w:rPr>
        <w:t xml:space="preserve">8.1 </w:t>
      </w:r>
      <w:r>
        <w:rPr>
          <w:color w:val="auto"/>
          <w:sz w:val="24"/>
          <w:highlight w:val="none"/>
        </w:rPr>
        <w:t>概述</w:t>
      </w:r>
      <w:bookmarkEnd w:id="75"/>
    </w:p>
    <w:p w14:paraId="6DA274D7">
      <w:pPr>
        <w:autoSpaceDE w:val="0"/>
        <w:autoSpaceDN w:val="0"/>
        <w:adjustRightInd w:val="0"/>
        <w:ind w:left="567" w:firstLine="0"/>
        <w:jc w:val="left"/>
        <w:rPr>
          <w:color w:val="auto"/>
          <w:kern w:val="0"/>
          <w:sz w:val="24"/>
          <w:szCs w:val="24"/>
          <w:highlight w:val="none"/>
        </w:rPr>
      </w:pPr>
      <w:r>
        <w:rPr>
          <w:color w:val="auto"/>
          <w:kern w:val="0"/>
          <w:sz w:val="24"/>
          <w:szCs w:val="24"/>
          <w:highlight w:val="none"/>
        </w:rPr>
        <w:t>中标人中标后，必须按要求及时提交资料给甲方、监理、总包、建筑师等各方</w:t>
      </w:r>
      <w:r>
        <w:rPr>
          <w:rFonts w:hint="eastAsia"/>
          <w:color w:val="auto"/>
          <w:kern w:val="0"/>
          <w:sz w:val="24"/>
          <w:szCs w:val="24"/>
          <w:highlight w:val="none"/>
          <w:lang w:eastAsia="zh-CN"/>
        </w:rPr>
        <w:t>供确认</w:t>
      </w:r>
      <w:r>
        <w:rPr>
          <w:color w:val="auto"/>
          <w:kern w:val="0"/>
          <w:sz w:val="24"/>
          <w:szCs w:val="24"/>
          <w:highlight w:val="none"/>
        </w:rPr>
        <w:t>。所需提交的资料包括但不限于：</w:t>
      </w:r>
    </w:p>
    <w:p w14:paraId="3994E5F3">
      <w:pPr>
        <w:pStyle w:val="28"/>
        <w:numPr>
          <w:ilvl w:val="0"/>
          <w:numId w:val="13"/>
        </w:numPr>
        <w:autoSpaceDE w:val="0"/>
        <w:autoSpaceDN w:val="0"/>
        <w:adjustRightInd w:val="0"/>
        <w:ind w:firstLineChars="0"/>
        <w:jc w:val="left"/>
        <w:rPr>
          <w:color w:val="auto"/>
          <w:kern w:val="0"/>
          <w:sz w:val="24"/>
          <w:szCs w:val="24"/>
          <w:highlight w:val="none"/>
        </w:rPr>
      </w:pPr>
      <w:r>
        <w:rPr>
          <w:color w:val="auto"/>
          <w:kern w:val="0"/>
          <w:sz w:val="24"/>
          <w:szCs w:val="24"/>
          <w:highlight w:val="none"/>
        </w:rPr>
        <w:t>包含各种幕墙类型的完整的施工图；</w:t>
      </w:r>
    </w:p>
    <w:p w14:paraId="3A08D5D1">
      <w:pPr>
        <w:pStyle w:val="28"/>
        <w:numPr>
          <w:ilvl w:val="0"/>
          <w:numId w:val="13"/>
        </w:numPr>
        <w:autoSpaceDE w:val="0"/>
        <w:autoSpaceDN w:val="0"/>
        <w:adjustRightInd w:val="0"/>
        <w:ind w:firstLineChars="0"/>
        <w:jc w:val="left"/>
        <w:rPr>
          <w:color w:val="auto"/>
          <w:kern w:val="0"/>
          <w:sz w:val="24"/>
          <w:szCs w:val="24"/>
          <w:highlight w:val="none"/>
        </w:rPr>
      </w:pPr>
      <w:r>
        <w:rPr>
          <w:color w:val="auto"/>
          <w:kern w:val="0"/>
          <w:sz w:val="24"/>
          <w:szCs w:val="24"/>
          <w:highlight w:val="none"/>
        </w:rPr>
        <w:t>结构计算书；</w:t>
      </w:r>
    </w:p>
    <w:p w14:paraId="2627B005">
      <w:pPr>
        <w:pStyle w:val="28"/>
        <w:numPr>
          <w:ilvl w:val="0"/>
          <w:numId w:val="13"/>
        </w:numPr>
        <w:autoSpaceDE w:val="0"/>
        <w:autoSpaceDN w:val="0"/>
        <w:adjustRightInd w:val="0"/>
        <w:ind w:firstLineChars="0"/>
        <w:jc w:val="left"/>
        <w:rPr>
          <w:color w:val="auto"/>
          <w:kern w:val="0"/>
          <w:sz w:val="24"/>
          <w:szCs w:val="24"/>
          <w:highlight w:val="none"/>
        </w:rPr>
      </w:pPr>
      <w:r>
        <w:rPr>
          <w:rFonts w:hint="eastAsia"/>
          <w:color w:val="auto"/>
          <w:kern w:val="0"/>
          <w:sz w:val="24"/>
          <w:szCs w:val="24"/>
          <w:highlight w:val="none"/>
          <w:lang w:val="en-US" w:eastAsia="zh-CN"/>
        </w:rPr>
        <w:t>幕墙</w:t>
      </w:r>
      <w:r>
        <w:rPr>
          <w:color w:val="auto"/>
          <w:kern w:val="0"/>
          <w:sz w:val="24"/>
          <w:szCs w:val="24"/>
          <w:highlight w:val="none"/>
        </w:rPr>
        <w:t>四性测试图纸、</w:t>
      </w:r>
      <w:r>
        <w:rPr>
          <w:rFonts w:hint="eastAsia" w:asciiTheme="minorEastAsia" w:hAnsiTheme="minorEastAsia" w:eastAsiaTheme="minorEastAsia" w:cstheme="minorEastAsia"/>
          <w:sz w:val="24"/>
          <w:szCs w:val="24"/>
          <w:lang w:val="en-US" w:eastAsia="zh-CN"/>
        </w:rPr>
        <w:t>金属屋面抗风揭检测等</w:t>
      </w:r>
      <w:r>
        <w:rPr>
          <w:color w:val="auto"/>
          <w:kern w:val="0"/>
          <w:sz w:val="24"/>
          <w:szCs w:val="24"/>
          <w:highlight w:val="none"/>
        </w:rPr>
        <w:t>方案及报告；</w:t>
      </w:r>
    </w:p>
    <w:p w14:paraId="43C39084">
      <w:pPr>
        <w:pStyle w:val="28"/>
        <w:numPr>
          <w:ilvl w:val="0"/>
          <w:numId w:val="13"/>
        </w:numPr>
        <w:autoSpaceDE w:val="0"/>
        <w:autoSpaceDN w:val="0"/>
        <w:adjustRightInd w:val="0"/>
        <w:ind w:firstLineChars="0"/>
        <w:jc w:val="left"/>
        <w:rPr>
          <w:color w:val="auto"/>
          <w:kern w:val="0"/>
          <w:sz w:val="24"/>
          <w:szCs w:val="24"/>
          <w:highlight w:val="none"/>
        </w:rPr>
      </w:pPr>
      <w:r>
        <w:rPr>
          <w:color w:val="auto"/>
          <w:kern w:val="0"/>
          <w:sz w:val="24"/>
          <w:szCs w:val="24"/>
          <w:highlight w:val="none"/>
        </w:rPr>
        <w:t>结构硅胶与基材的粘结相容性测试报告；</w:t>
      </w:r>
    </w:p>
    <w:p w14:paraId="34D39C56">
      <w:pPr>
        <w:pStyle w:val="28"/>
        <w:numPr>
          <w:ilvl w:val="0"/>
          <w:numId w:val="13"/>
        </w:numPr>
        <w:autoSpaceDE w:val="0"/>
        <w:autoSpaceDN w:val="0"/>
        <w:adjustRightInd w:val="0"/>
        <w:ind w:firstLineChars="0"/>
        <w:jc w:val="left"/>
        <w:rPr>
          <w:color w:val="auto"/>
          <w:kern w:val="0"/>
          <w:sz w:val="24"/>
          <w:szCs w:val="24"/>
          <w:highlight w:val="none"/>
        </w:rPr>
      </w:pPr>
      <w:r>
        <w:rPr>
          <w:color w:val="auto"/>
          <w:kern w:val="0"/>
          <w:sz w:val="24"/>
          <w:szCs w:val="24"/>
          <w:highlight w:val="none"/>
        </w:rPr>
        <w:t>焊缝测试报告；</w:t>
      </w:r>
    </w:p>
    <w:p w14:paraId="1B2C8C3D">
      <w:pPr>
        <w:pStyle w:val="28"/>
        <w:numPr>
          <w:ilvl w:val="0"/>
          <w:numId w:val="13"/>
        </w:numPr>
        <w:autoSpaceDE w:val="0"/>
        <w:autoSpaceDN w:val="0"/>
        <w:adjustRightInd w:val="0"/>
        <w:ind w:firstLineChars="0"/>
        <w:jc w:val="left"/>
        <w:rPr>
          <w:color w:val="auto"/>
          <w:kern w:val="0"/>
          <w:sz w:val="24"/>
          <w:szCs w:val="24"/>
          <w:highlight w:val="none"/>
        </w:rPr>
      </w:pPr>
      <w:r>
        <w:rPr>
          <w:color w:val="auto"/>
          <w:kern w:val="0"/>
          <w:sz w:val="24"/>
          <w:szCs w:val="24"/>
          <w:highlight w:val="none"/>
        </w:rPr>
        <w:t>化学螺栓现场强度测试报告；</w:t>
      </w:r>
    </w:p>
    <w:p w14:paraId="3DF92617">
      <w:pPr>
        <w:pStyle w:val="28"/>
        <w:numPr>
          <w:ilvl w:val="0"/>
          <w:numId w:val="13"/>
        </w:numPr>
        <w:autoSpaceDE w:val="0"/>
        <w:autoSpaceDN w:val="0"/>
        <w:adjustRightInd w:val="0"/>
        <w:ind w:firstLineChars="0"/>
        <w:jc w:val="left"/>
        <w:rPr>
          <w:color w:val="auto"/>
          <w:kern w:val="0"/>
          <w:sz w:val="24"/>
          <w:szCs w:val="24"/>
          <w:highlight w:val="none"/>
        </w:rPr>
      </w:pPr>
      <w:r>
        <w:rPr>
          <w:color w:val="auto"/>
          <w:kern w:val="0"/>
          <w:sz w:val="24"/>
          <w:szCs w:val="24"/>
          <w:highlight w:val="none"/>
        </w:rPr>
        <w:t>玻璃测试（复试）报告（包括U值、SC、可见光反射率和透射率）；</w:t>
      </w:r>
    </w:p>
    <w:p w14:paraId="12EA0100">
      <w:pPr>
        <w:pStyle w:val="28"/>
        <w:numPr>
          <w:ilvl w:val="0"/>
          <w:numId w:val="13"/>
        </w:numPr>
        <w:tabs>
          <w:tab w:val="left" w:pos="960"/>
          <w:tab w:val="clear" w:pos="840"/>
        </w:tabs>
        <w:autoSpaceDE w:val="0"/>
        <w:autoSpaceDN w:val="0"/>
        <w:adjustRightInd w:val="0"/>
        <w:ind w:firstLineChars="0"/>
        <w:jc w:val="left"/>
        <w:rPr>
          <w:color w:val="auto"/>
          <w:kern w:val="0"/>
          <w:sz w:val="24"/>
          <w:szCs w:val="24"/>
          <w:highlight w:val="none"/>
        </w:rPr>
      </w:pPr>
      <w:r>
        <w:rPr>
          <w:color w:val="auto"/>
          <w:kern w:val="0"/>
          <w:sz w:val="24"/>
          <w:szCs w:val="24"/>
          <w:highlight w:val="none"/>
        </w:rPr>
        <w:t>完整的质量保证计划、施工组织设计以及重点难点的专项施工方案；</w:t>
      </w:r>
    </w:p>
    <w:p w14:paraId="330DDC63">
      <w:pPr>
        <w:pStyle w:val="28"/>
        <w:numPr>
          <w:ilvl w:val="0"/>
          <w:numId w:val="13"/>
        </w:numPr>
        <w:tabs>
          <w:tab w:val="left" w:pos="960"/>
          <w:tab w:val="clear" w:pos="840"/>
        </w:tabs>
        <w:autoSpaceDE w:val="0"/>
        <w:autoSpaceDN w:val="0"/>
        <w:adjustRightInd w:val="0"/>
        <w:ind w:firstLineChars="0"/>
        <w:jc w:val="left"/>
        <w:rPr>
          <w:color w:val="auto"/>
          <w:kern w:val="0"/>
          <w:sz w:val="24"/>
          <w:szCs w:val="24"/>
          <w:highlight w:val="none"/>
        </w:rPr>
      </w:pPr>
      <w:r>
        <w:rPr>
          <w:rFonts w:hint="eastAsia"/>
          <w:color w:val="auto"/>
          <w:kern w:val="0"/>
          <w:sz w:val="24"/>
          <w:szCs w:val="24"/>
          <w:highlight w:val="none"/>
          <w:lang w:eastAsia="zh-CN"/>
        </w:rPr>
        <w:t>拟采用</w:t>
      </w:r>
      <w:r>
        <w:rPr>
          <w:color w:val="auto"/>
          <w:kern w:val="0"/>
          <w:sz w:val="24"/>
          <w:szCs w:val="24"/>
          <w:highlight w:val="none"/>
        </w:rPr>
        <w:t>的材料</w:t>
      </w:r>
      <w:r>
        <w:rPr>
          <w:rFonts w:hint="eastAsia"/>
          <w:color w:val="auto"/>
          <w:kern w:val="0"/>
          <w:sz w:val="24"/>
          <w:szCs w:val="24"/>
          <w:highlight w:val="none"/>
          <w:lang w:eastAsia="zh-CN"/>
        </w:rPr>
        <w:t>供应</w:t>
      </w:r>
      <w:r>
        <w:rPr>
          <w:color w:val="auto"/>
          <w:kern w:val="0"/>
          <w:sz w:val="24"/>
          <w:szCs w:val="24"/>
          <w:highlight w:val="none"/>
        </w:rPr>
        <w:t>商详细资料。</w:t>
      </w:r>
    </w:p>
    <w:p w14:paraId="301577D6">
      <w:pPr>
        <w:pStyle w:val="28"/>
        <w:autoSpaceDE w:val="0"/>
        <w:autoSpaceDN w:val="0"/>
        <w:adjustRightInd w:val="0"/>
        <w:ind w:left="0" w:firstLine="504" w:firstLineChars="210"/>
        <w:jc w:val="left"/>
        <w:rPr>
          <w:color w:val="auto"/>
          <w:kern w:val="0"/>
          <w:sz w:val="24"/>
          <w:szCs w:val="24"/>
          <w:highlight w:val="none"/>
        </w:rPr>
      </w:pPr>
      <w:r>
        <w:rPr>
          <w:color w:val="auto"/>
          <w:kern w:val="0"/>
          <w:sz w:val="24"/>
          <w:szCs w:val="24"/>
          <w:highlight w:val="none"/>
        </w:rPr>
        <w:t>提交所有需使用的材料样品，其中应清楚地说明材料类型、等级、供应商、物理性能报告、原材料质保证书及其应用范围。</w:t>
      </w:r>
    </w:p>
    <w:p w14:paraId="47688EEC">
      <w:pPr>
        <w:numPr>
          <w:ilvl w:val="0"/>
          <w:numId w:val="0"/>
        </w:numPr>
        <w:ind w:leftChars="0"/>
        <w:outlineLvl w:val="1"/>
        <w:rPr>
          <w:color w:val="auto"/>
          <w:sz w:val="24"/>
          <w:highlight w:val="none"/>
        </w:rPr>
      </w:pPr>
      <w:bookmarkStart w:id="76" w:name="_Toc8"/>
      <w:r>
        <w:rPr>
          <w:rFonts w:hint="eastAsia"/>
          <w:color w:val="auto"/>
          <w:sz w:val="24"/>
          <w:highlight w:val="none"/>
          <w:lang w:val="en-US" w:eastAsia="zh-CN"/>
        </w:rPr>
        <w:t xml:space="preserve">8.2 </w:t>
      </w:r>
      <w:r>
        <w:rPr>
          <w:color w:val="auto"/>
          <w:sz w:val="24"/>
          <w:highlight w:val="none"/>
        </w:rPr>
        <w:t>施工进度计划表和施工图纸计划：</w:t>
      </w:r>
      <w:bookmarkEnd w:id="76"/>
    </w:p>
    <w:p w14:paraId="618AA4DC">
      <w:pPr>
        <w:autoSpaceDE w:val="0"/>
        <w:autoSpaceDN w:val="0"/>
        <w:adjustRightInd w:val="0"/>
        <w:ind w:left="0" w:firstLine="567"/>
        <w:jc w:val="left"/>
        <w:rPr>
          <w:color w:val="auto"/>
          <w:kern w:val="0"/>
          <w:sz w:val="24"/>
          <w:szCs w:val="24"/>
          <w:highlight w:val="none"/>
        </w:rPr>
      </w:pPr>
      <w:r>
        <w:rPr>
          <w:color w:val="auto"/>
          <w:kern w:val="0"/>
          <w:sz w:val="24"/>
          <w:szCs w:val="24"/>
          <w:highlight w:val="none"/>
        </w:rPr>
        <w:t>签订合同后4周以内根据总包的进度，提交以下项目：</w:t>
      </w:r>
    </w:p>
    <w:p w14:paraId="7DF3A045">
      <w:pPr>
        <w:pStyle w:val="28"/>
        <w:numPr>
          <w:ilvl w:val="0"/>
          <w:numId w:val="14"/>
        </w:numPr>
        <w:autoSpaceDE w:val="0"/>
        <w:autoSpaceDN w:val="0"/>
        <w:adjustRightInd w:val="0"/>
        <w:ind w:left="841" w:leftChars="229" w:hanging="360" w:hangingChars="150"/>
        <w:jc w:val="left"/>
        <w:rPr>
          <w:color w:val="auto"/>
          <w:kern w:val="0"/>
          <w:sz w:val="24"/>
          <w:szCs w:val="24"/>
          <w:highlight w:val="none"/>
        </w:rPr>
      </w:pPr>
      <w:r>
        <w:rPr>
          <w:color w:val="auto"/>
          <w:kern w:val="0"/>
          <w:sz w:val="24"/>
          <w:szCs w:val="24"/>
          <w:highlight w:val="none"/>
        </w:rPr>
        <w:t>施工图纸和样品的提交计划表，其中至少须考虑7个工作日的审批时间，施工图和计算书应该编排合理以便于使用或审批；</w:t>
      </w:r>
    </w:p>
    <w:p w14:paraId="1B065719">
      <w:pPr>
        <w:pStyle w:val="28"/>
        <w:numPr>
          <w:ilvl w:val="0"/>
          <w:numId w:val="14"/>
        </w:numPr>
        <w:autoSpaceDE w:val="0"/>
        <w:autoSpaceDN w:val="0"/>
        <w:adjustRightInd w:val="0"/>
        <w:ind w:left="841" w:leftChars="229" w:hanging="360" w:hangingChars="150"/>
        <w:jc w:val="left"/>
        <w:rPr>
          <w:color w:val="auto"/>
          <w:kern w:val="0"/>
          <w:sz w:val="24"/>
          <w:szCs w:val="24"/>
          <w:highlight w:val="none"/>
        </w:rPr>
      </w:pPr>
      <w:r>
        <w:rPr>
          <w:color w:val="auto"/>
          <w:kern w:val="0"/>
          <w:sz w:val="24"/>
          <w:szCs w:val="24"/>
          <w:highlight w:val="none"/>
        </w:rPr>
        <w:t>施工进度计划表，进度表应该配合总包的工程总进度，提交给甲方前应该得到总包方的认可；</w:t>
      </w:r>
    </w:p>
    <w:p w14:paraId="442528BB">
      <w:pPr>
        <w:pStyle w:val="28"/>
        <w:numPr>
          <w:ilvl w:val="0"/>
          <w:numId w:val="14"/>
        </w:numPr>
        <w:autoSpaceDE w:val="0"/>
        <w:autoSpaceDN w:val="0"/>
        <w:adjustRightInd w:val="0"/>
        <w:ind w:left="841" w:leftChars="229" w:hanging="360" w:hangingChars="150"/>
        <w:jc w:val="left"/>
        <w:rPr>
          <w:color w:val="auto"/>
          <w:kern w:val="0"/>
          <w:sz w:val="24"/>
          <w:szCs w:val="24"/>
          <w:highlight w:val="none"/>
        </w:rPr>
      </w:pPr>
      <w:r>
        <w:rPr>
          <w:color w:val="auto"/>
          <w:kern w:val="0"/>
          <w:sz w:val="24"/>
          <w:szCs w:val="24"/>
          <w:highlight w:val="none"/>
        </w:rPr>
        <w:t>幕墙所采用的材料及供应商清单。</w:t>
      </w:r>
    </w:p>
    <w:p w14:paraId="36D4AEC7">
      <w:pPr>
        <w:numPr>
          <w:ilvl w:val="0"/>
          <w:numId w:val="0"/>
        </w:numPr>
        <w:ind w:leftChars="0"/>
        <w:outlineLvl w:val="1"/>
        <w:rPr>
          <w:color w:val="auto"/>
          <w:sz w:val="24"/>
          <w:highlight w:val="none"/>
        </w:rPr>
      </w:pPr>
      <w:bookmarkStart w:id="77" w:name="_Toc8705"/>
      <w:r>
        <w:rPr>
          <w:rFonts w:hint="eastAsia"/>
          <w:color w:val="auto"/>
          <w:sz w:val="24"/>
          <w:highlight w:val="none"/>
          <w:lang w:val="en-US" w:eastAsia="zh-CN"/>
        </w:rPr>
        <w:t xml:space="preserve">8.3 </w:t>
      </w:r>
      <w:r>
        <w:rPr>
          <w:color w:val="auto"/>
          <w:sz w:val="24"/>
          <w:highlight w:val="none"/>
        </w:rPr>
        <w:t>提交到政府主管部门的项目</w:t>
      </w:r>
      <w:bookmarkEnd w:id="77"/>
    </w:p>
    <w:p w14:paraId="36921A33">
      <w:pPr>
        <w:autoSpaceDE w:val="0"/>
        <w:autoSpaceDN w:val="0"/>
        <w:adjustRightInd w:val="0"/>
        <w:ind w:left="567" w:firstLine="0"/>
        <w:jc w:val="left"/>
        <w:rPr>
          <w:color w:val="auto"/>
          <w:kern w:val="0"/>
          <w:sz w:val="24"/>
          <w:szCs w:val="24"/>
          <w:highlight w:val="none"/>
        </w:rPr>
      </w:pPr>
      <w:r>
        <w:rPr>
          <w:rFonts w:hint="eastAsia"/>
          <w:color w:val="auto"/>
          <w:kern w:val="0"/>
          <w:sz w:val="24"/>
          <w:szCs w:val="24"/>
          <w:highlight w:val="none"/>
          <w:lang w:val="en-US" w:eastAsia="zh-CN"/>
        </w:rPr>
        <w:t>若</w:t>
      </w:r>
      <w:r>
        <w:rPr>
          <w:color w:val="auto"/>
          <w:kern w:val="0"/>
          <w:sz w:val="24"/>
          <w:szCs w:val="24"/>
          <w:highlight w:val="none"/>
        </w:rPr>
        <w:t>根据当地规定，</w:t>
      </w:r>
      <w:r>
        <w:rPr>
          <w:rFonts w:hint="eastAsia"/>
          <w:color w:val="auto"/>
          <w:kern w:val="0"/>
          <w:sz w:val="24"/>
          <w:szCs w:val="24"/>
          <w:highlight w:val="none"/>
          <w:lang w:val="en-US" w:eastAsia="zh-CN"/>
        </w:rPr>
        <w:t>幕墙深化图需重新送审，</w:t>
      </w:r>
      <w:r>
        <w:rPr>
          <w:color w:val="auto"/>
          <w:kern w:val="0"/>
          <w:sz w:val="24"/>
          <w:szCs w:val="24"/>
          <w:highlight w:val="none"/>
        </w:rPr>
        <w:t>幕墙中标人须负责及时提交必要的资料（施工图及计算书等）到当地的政府主管部门以确保及时获得必要的认可手续；幕墙中标人应承当提交项目获得通过产生的各项费用。</w:t>
      </w:r>
    </w:p>
    <w:p w14:paraId="67162385">
      <w:pPr>
        <w:numPr>
          <w:ilvl w:val="0"/>
          <w:numId w:val="0"/>
        </w:numPr>
        <w:ind w:leftChars="0"/>
        <w:outlineLvl w:val="1"/>
        <w:rPr>
          <w:color w:val="auto"/>
          <w:sz w:val="24"/>
          <w:highlight w:val="none"/>
        </w:rPr>
      </w:pPr>
      <w:bookmarkStart w:id="78" w:name="_Toc13604"/>
      <w:r>
        <w:rPr>
          <w:rFonts w:hint="eastAsia"/>
          <w:color w:val="auto"/>
          <w:sz w:val="24"/>
          <w:highlight w:val="none"/>
          <w:lang w:val="en-US" w:eastAsia="zh-CN"/>
        </w:rPr>
        <w:t xml:space="preserve">8.4 </w:t>
      </w:r>
      <w:r>
        <w:rPr>
          <w:color w:val="auto"/>
          <w:sz w:val="24"/>
          <w:highlight w:val="none"/>
        </w:rPr>
        <w:t>施工图和计算书</w:t>
      </w:r>
      <w:bookmarkEnd w:id="78"/>
    </w:p>
    <w:p w14:paraId="5528CF06">
      <w:pPr>
        <w:autoSpaceDE w:val="0"/>
        <w:autoSpaceDN w:val="0"/>
        <w:adjustRightInd w:val="0"/>
        <w:ind w:left="567" w:firstLine="0"/>
        <w:jc w:val="left"/>
        <w:rPr>
          <w:color w:val="auto"/>
          <w:kern w:val="0"/>
          <w:sz w:val="24"/>
          <w:szCs w:val="24"/>
          <w:highlight w:val="none"/>
        </w:rPr>
      </w:pPr>
      <w:r>
        <w:rPr>
          <w:color w:val="auto"/>
          <w:kern w:val="0"/>
          <w:sz w:val="24"/>
          <w:szCs w:val="24"/>
          <w:highlight w:val="none"/>
        </w:rPr>
        <w:t>每次施工图纸提交（包括再次提交）后，用于审核的时间不少于7天；所有意见将表现在图纸上；再次提交时修改部分应该圈出并在图框中注明版本号。每次提交的图纸，均需制作完整图纸目录，列出所有图纸，并标明图号、图名、版本号和最近一次的审批状态，以便清楚的检查所有图纸的完成状况。</w:t>
      </w:r>
    </w:p>
    <w:p w14:paraId="0F0D9610">
      <w:pPr>
        <w:autoSpaceDE w:val="0"/>
        <w:autoSpaceDN w:val="0"/>
        <w:adjustRightInd w:val="0"/>
        <w:ind w:left="567" w:firstLine="0"/>
        <w:jc w:val="left"/>
        <w:rPr>
          <w:color w:val="auto"/>
          <w:kern w:val="0"/>
          <w:sz w:val="24"/>
          <w:szCs w:val="24"/>
          <w:highlight w:val="none"/>
        </w:rPr>
      </w:pPr>
      <w:r>
        <w:rPr>
          <w:color w:val="auto"/>
          <w:kern w:val="0"/>
          <w:sz w:val="24"/>
          <w:szCs w:val="24"/>
          <w:highlight w:val="none"/>
        </w:rPr>
        <w:t>图纸需相关工程师(包括结构工程师)签字盖章，否则将被视为无效文件。在施工图得到批复认可前，不得进行测试和加工生产。</w:t>
      </w:r>
    </w:p>
    <w:p w14:paraId="29ACEFDE">
      <w:pPr>
        <w:autoSpaceDE w:val="0"/>
        <w:autoSpaceDN w:val="0"/>
        <w:adjustRightInd w:val="0"/>
        <w:ind w:left="567" w:hanging="1"/>
        <w:jc w:val="left"/>
        <w:rPr>
          <w:color w:val="auto"/>
          <w:kern w:val="0"/>
          <w:sz w:val="24"/>
          <w:szCs w:val="24"/>
          <w:highlight w:val="none"/>
        </w:rPr>
      </w:pPr>
      <w:r>
        <w:rPr>
          <w:color w:val="auto"/>
          <w:kern w:val="0"/>
          <w:sz w:val="24"/>
          <w:szCs w:val="24"/>
          <w:highlight w:val="none"/>
        </w:rPr>
        <w:t>为加快进度，第一次提交的施工图应为观察样板和四性试验的图纸，四性试验图纸中应该包含测试箱体，以模拟实际建筑结构和连接。</w:t>
      </w:r>
    </w:p>
    <w:p w14:paraId="60EAFEE6">
      <w:pPr>
        <w:autoSpaceDE w:val="0"/>
        <w:autoSpaceDN w:val="0"/>
        <w:adjustRightInd w:val="0"/>
        <w:ind w:left="1134" w:hanging="567"/>
        <w:jc w:val="left"/>
        <w:rPr>
          <w:color w:val="auto"/>
          <w:kern w:val="0"/>
          <w:sz w:val="24"/>
          <w:szCs w:val="24"/>
          <w:highlight w:val="none"/>
        </w:rPr>
      </w:pPr>
      <w:r>
        <w:rPr>
          <w:color w:val="auto"/>
          <w:kern w:val="0"/>
          <w:sz w:val="24"/>
          <w:szCs w:val="24"/>
          <w:highlight w:val="none"/>
        </w:rPr>
        <w:t>施工图必须严格按照已经认可和测试的模型进行。</w:t>
      </w:r>
    </w:p>
    <w:p w14:paraId="01CC1B89">
      <w:pPr>
        <w:numPr>
          <w:ilvl w:val="0"/>
          <w:numId w:val="0"/>
        </w:numPr>
        <w:ind w:leftChars="0"/>
        <w:outlineLvl w:val="1"/>
        <w:rPr>
          <w:color w:val="auto"/>
          <w:sz w:val="24"/>
          <w:highlight w:val="none"/>
        </w:rPr>
      </w:pPr>
      <w:bookmarkStart w:id="79" w:name="_Toc12547"/>
      <w:r>
        <w:rPr>
          <w:rFonts w:hint="eastAsia"/>
          <w:color w:val="auto"/>
          <w:sz w:val="24"/>
          <w:highlight w:val="none"/>
          <w:lang w:val="en-US" w:eastAsia="zh-CN"/>
        </w:rPr>
        <w:t xml:space="preserve">8.5 </w:t>
      </w:r>
      <w:r>
        <w:rPr>
          <w:color w:val="auto"/>
          <w:sz w:val="24"/>
          <w:highlight w:val="none"/>
        </w:rPr>
        <w:t>完整的施工组织设计及专项施工方案</w:t>
      </w:r>
      <w:bookmarkEnd w:id="79"/>
    </w:p>
    <w:p w14:paraId="44B7756F">
      <w:pPr>
        <w:autoSpaceDE w:val="0"/>
        <w:autoSpaceDN w:val="0"/>
        <w:adjustRightInd w:val="0"/>
        <w:ind w:left="567" w:firstLine="567"/>
        <w:jc w:val="left"/>
        <w:rPr>
          <w:color w:val="auto"/>
          <w:kern w:val="0"/>
          <w:sz w:val="24"/>
          <w:szCs w:val="24"/>
          <w:highlight w:val="none"/>
        </w:rPr>
      </w:pPr>
      <w:r>
        <w:rPr>
          <w:color w:val="auto"/>
          <w:kern w:val="0"/>
          <w:sz w:val="24"/>
          <w:szCs w:val="24"/>
          <w:highlight w:val="none"/>
        </w:rPr>
        <w:t>提交完整的施工组织设计及专项施工方案，包括所有安装程序，设备以及人员配置等。 在施工前提交，按监理程序办理。</w:t>
      </w:r>
    </w:p>
    <w:p w14:paraId="7BC9FAC8">
      <w:pPr>
        <w:numPr>
          <w:ilvl w:val="0"/>
          <w:numId w:val="0"/>
        </w:numPr>
        <w:ind w:leftChars="0"/>
        <w:outlineLvl w:val="1"/>
        <w:rPr>
          <w:color w:val="auto"/>
          <w:sz w:val="24"/>
          <w:highlight w:val="none"/>
        </w:rPr>
      </w:pPr>
      <w:bookmarkStart w:id="80" w:name="_Toc31806"/>
      <w:r>
        <w:rPr>
          <w:rFonts w:hint="eastAsia"/>
          <w:color w:val="auto"/>
          <w:sz w:val="24"/>
          <w:highlight w:val="none"/>
          <w:lang w:val="en-US" w:eastAsia="zh-CN"/>
        </w:rPr>
        <w:t xml:space="preserve">8.6 </w:t>
      </w:r>
      <w:r>
        <w:rPr>
          <w:color w:val="auto"/>
          <w:sz w:val="24"/>
          <w:highlight w:val="none"/>
        </w:rPr>
        <w:t>竣工资料（竣工图）</w:t>
      </w:r>
      <w:bookmarkEnd w:id="80"/>
    </w:p>
    <w:p w14:paraId="3335B37A">
      <w:pPr>
        <w:autoSpaceDE w:val="0"/>
        <w:autoSpaceDN w:val="0"/>
        <w:adjustRightInd w:val="0"/>
        <w:ind w:left="567" w:firstLine="0"/>
        <w:jc w:val="left"/>
        <w:rPr>
          <w:color w:val="auto"/>
          <w:kern w:val="0"/>
          <w:sz w:val="24"/>
          <w:szCs w:val="24"/>
          <w:highlight w:val="none"/>
        </w:rPr>
      </w:pPr>
      <w:r>
        <w:rPr>
          <w:color w:val="auto"/>
          <w:kern w:val="0"/>
          <w:sz w:val="24"/>
          <w:szCs w:val="24"/>
          <w:highlight w:val="none"/>
        </w:rPr>
        <w:t>工程竣工后必须提交竣工图和其它记录文件；在施工期间每十五天提供进度报告并完成当地主管部门和法规要求的竣工资料有关的过程资料；竣工后15天内提交完整的竣工资料，包括4份资料，以及一份刻录文件（电子版本）；竣工图必须表示真实情况。</w:t>
      </w:r>
    </w:p>
    <w:p w14:paraId="5463EA50">
      <w:pPr>
        <w:autoSpaceDE w:val="0"/>
        <w:autoSpaceDN w:val="0"/>
        <w:adjustRightInd w:val="0"/>
        <w:ind w:left="567" w:firstLine="0"/>
        <w:jc w:val="left"/>
        <w:rPr>
          <w:color w:val="auto"/>
          <w:kern w:val="0"/>
          <w:sz w:val="24"/>
          <w:szCs w:val="24"/>
          <w:highlight w:val="none"/>
        </w:rPr>
      </w:pPr>
    </w:p>
    <w:p w14:paraId="5BFA8A37">
      <w:pPr>
        <w:ind w:left="-2" w:leftChars="-1" w:firstLine="2"/>
        <w:jc w:val="center"/>
        <w:rPr>
          <w:color w:val="auto"/>
          <w:sz w:val="24"/>
          <w:szCs w:val="24"/>
          <w:highlight w:val="none"/>
        </w:rPr>
      </w:pPr>
      <w:r>
        <w:rPr>
          <w:color w:val="auto"/>
          <w:sz w:val="24"/>
          <w:szCs w:val="24"/>
          <w:highlight w:val="none"/>
        </w:rPr>
        <w:br w:type="page"/>
      </w:r>
    </w:p>
    <w:p w14:paraId="4515C1ED">
      <w:pPr>
        <w:ind w:left="0" w:firstLine="0"/>
        <w:outlineLvl w:val="0"/>
        <w:rPr>
          <w:rFonts w:hint="default"/>
          <w:b/>
          <w:color w:val="auto"/>
          <w:sz w:val="24"/>
          <w:szCs w:val="24"/>
          <w:highlight w:val="none"/>
          <w:lang w:val="en-US" w:eastAsia="zh-CN"/>
        </w:rPr>
      </w:pPr>
      <w:bookmarkStart w:id="81" w:name="_Toc500"/>
      <w:r>
        <w:rPr>
          <w:rFonts w:hint="eastAsia"/>
          <w:b/>
          <w:color w:val="auto"/>
          <w:sz w:val="24"/>
          <w:szCs w:val="24"/>
          <w:highlight w:val="none"/>
          <w:lang w:val="en-US" w:eastAsia="zh-CN"/>
        </w:rPr>
        <w:t>第九章：附件</w:t>
      </w:r>
      <w:bookmarkEnd w:id="81"/>
    </w:p>
    <w:p w14:paraId="3D334A63">
      <w:pPr>
        <w:ind w:left="-2" w:leftChars="-1" w:firstLine="2"/>
        <w:rPr>
          <w:b/>
          <w:color w:val="auto"/>
          <w:highlight w:val="none"/>
        </w:rPr>
      </w:pPr>
      <w:r>
        <w:rPr>
          <w:b/>
          <w:color w:val="auto"/>
          <w:sz w:val="24"/>
          <w:highlight w:val="none"/>
        </w:rPr>
        <w:t>附件一：幕墙工程采用的主要标准、规范：</w:t>
      </w:r>
    </w:p>
    <w:p w14:paraId="68C46866">
      <w:pPr>
        <w:ind w:left="0" w:firstLine="489" w:firstLineChars="204"/>
        <w:rPr>
          <w:color w:val="auto"/>
          <w:sz w:val="24"/>
          <w:highlight w:val="none"/>
        </w:rPr>
      </w:pPr>
      <w:r>
        <w:rPr>
          <w:color w:val="auto"/>
          <w:sz w:val="24"/>
          <w:highlight w:val="none"/>
        </w:rPr>
        <w:t>包括但不限于：</w:t>
      </w:r>
    </w:p>
    <w:p w14:paraId="36D71A12">
      <w:pPr>
        <w:ind w:left="735" w:leftChars="270" w:hanging="168" w:hangingChars="70"/>
        <w:rPr>
          <w:color w:val="auto"/>
          <w:sz w:val="24"/>
          <w:szCs w:val="24"/>
          <w:highlight w:val="none"/>
        </w:rPr>
      </w:pPr>
      <w:r>
        <w:rPr>
          <w:color w:val="auto"/>
          <w:sz w:val="24"/>
          <w:szCs w:val="24"/>
          <w:highlight w:val="none"/>
        </w:rPr>
        <w:t>《公共建筑节能设计标准》GB50189-20</w:t>
      </w:r>
      <w:r>
        <w:rPr>
          <w:rFonts w:hint="eastAsia"/>
          <w:color w:val="auto"/>
          <w:sz w:val="24"/>
          <w:szCs w:val="24"/>
          <w:highlight w:val="none"/>
        </w:rPr>
        <w:t>1</w:t>
      </w:r>
      <w:r>
        <w:rPr>
          <w:color w:val="auto"/>
          <w:sz w:val="24"/>
          <w:szCs w:val="24"/>
          <w:highlight w:val="none"/>
        </w:rPr>
        <w:t xml:space="preserve">5 </w:t>
      </w:r>
    </w:p>
    <w:p w14:paraId="25B21FFE">
      <w:pPr>
        <w:ind w:left="735" w:leftChars="270" w:hanging="168" w:hangingChars="70"/>
        <w:rPr>
          <w:rFonts w:hint="default" w:eastAsia="宋体"/>
          <w:color w:val="auto"/>
          <w:sz w:val="24"/>
          <w:szCs w:val="24"/>
          <w:highlight w:val="none"/>
          <w:lang w:val="en-US" w:eastAsia="zh-CN"/>
        </w:rPr>
      </w:pPr>
      <w:r>
        <w:rPr>
          <w:color w:val="auto"/>
          <w:sz w:val="24"/>
          <w:szCs w:val="24"/>
          <w:highlight w:val="none"/>
        </w:rPr>
        <w:t>《公共建筑节能设计标准》广东省实施细则DBJ15-51-2</w:t>
      </w:r>
      <w:r>
        <w:rPr>
          <w:rFonts w:hint="eastAsia"/>
          <w:color w:val="auto"/>
          <w:sz w:val="24"/>
          <w:szCs w:val="24"/>
          <w:highlight w:val="none"/>
          <w:lang w:val="en-US" w:eastAsia="zh-CN"/>
        </w:rPr>
        <w:t>020</w:t>
      </w:r>
    </w:p>
    <w:p w14:paraId="6A49A247">
      <w:pPr>
        <w:ind w:left="735" w:leftChars="270" w:hanging="168" w:hangingChars="70"/>
        <w:rPr>
          <w:color w:val="auto"/>
          <w:sz w:val="24"/>
          <w:szCs w:val="24"/>
          <w:highlight w:val="none"/>
        </w:rPr>
      </w:pPr>
      <w:r>
        <w:rPr>
          <w:color w:val="auto"/>
          <w:sz w:val="24"/>
          <w:szCs w:val="24"/>
          <w:highlight w:val="none"/>
        </w:rPr>
        <w:t>《建筑设计防火规范》GB50016-20</w:t>
      </w:r>
      <w:r>
        <w:rPr>
          <w:rFonts w:hint="eastAsia"/>
          <w:color w:val="auto"/>
          <w:sz w:val="24"/>
          <w:szCs w:val="24"/>
          <w:highlight w:val="none"/>
        </w:rPr>
        <w:t>14（2018年版）</w:t>
      </w:r>
    </w:p>
    <w:p w14:paraId="0408AD4B">
      <w:pPr>
        <w:ind w:left="735" w:leftChars="270" w:hanging="168" w:hangingChars="70"/>
        <w:rPr>
          <w:rFonts w:hint="default" w:eastAsia="宋体"/>
          <w:color w:val="auto"/>
          <w:sz w:val="24"/>
          <w:szCs w:val="24"/>
          <w:highlight w:val="none"/>
          <w:lang w:val="en-US" w:eastAsia="zh-CN"/>
        </w:rPr>
      </w:pPr>
      <w:r>
        <w:rPr>
          <w:color w:val="auto"/>
          <w:sz w:val="24"/>
          <w:szCs w:val="24"/>
          <w:highlight w:val="none"/>
        </w:rPr>
        <w:t>《钢结构防火涂料》GB14907-20</w:t>
      </w:r>
      <w:r>
        <w:rPr>
          <w:rFonts w:hint="eastAsia"/>
          <w:color w:val="auto"/>
          <w:sz w:val="24"/>
          <w:szCs w:val="24"/>
          <w:highlight w:val="none"/>
          <w:lang w:val="en-US" w:eastAsia="zh-CN"/>
        </w:rPr>
        <w:t>18</w:t>
      </w:r>
    </w:p>
    <w:p w14:paraId="0BA7D519">
      <w:pPr>
        <w:ind w:left="735" w:leftChars="270" w:hanging="168" w:hangingChars="70"/>
        <w:rPr>
          <w:rFonts w:hint="default" w:eastAsia="宋体"/>
          <w:color w:val="auto"/>
          <w:sz w:val="24"/>
          <w:szCs w:val="24"/>
          <w:highlight w:val="none"/>
          <w:lang w:val="en-US" w:eastAsia="zh-CN"/>
        </w:rPr>
      </w:pPr>
      <w:r>
        <w:rPr>
          <w:color w:val="auto"/>
          <w:sz w:val="24"/>
          <w:szCs w:val="24"/>
          <w:highlight w:val="none"/>
        </w:rPr>
        <w:t>《钢结构防火涂料应用技术</w:t>
      </w:r>
      <w:r>
        <w:rPr>
          <w:rFonts w:hint="eastAsia"/>
          <w:color w:val="auto"/>
          <w:sz w:val="24"/>
          <w:szCs w:val="24"/>
          <w:highlight w:val="none"/>
          <w:lang w:val="en-US" w:eastAsia="zh-CN"/>
        </w:rPr>
        <w:t>规程</w:t>
      </w:r>
      <w:r>
        <w:rPr>
          <w:color w:val="auto"/>
          <w:sz w:val="24"/>
          <w:szCs w:val="24"/>
          <w:highlight w:val="none"/>
        </w:rPr>
        <w:t>》</w:t>
      </w:r>
      <w:r>
        <w:rPr>
          <w:rFonts w:hint="eastAsia"/>
          <w:color w:val="auto"/>
          <w:sz w:val="24"/>
          <w:szCs w:val="24"/>
          <w:highlight w:val="none"/>
          <w:lang w:val="en-US" w:eastAsia="zh-CN"/>
        </w:rPr>
        <w:t>T/CECS 24-2020</w:t>
      </w:r>
    </w:p>
    <w:p w14:paraId="02312B25">
      <w:pPr>
        <w:ind w:left="735" w:leftChars="270" w:hanging="168" w:hangingChars="70"/>
        <w:rPr>
          <w:rFonts w:hint="default" w:eastAsia="宋体"/>
          <w:color w:val="auto"/>
          <w:sz w:val="24"/>
          <w:szCs w:val="24"/>
          <w:highlight w:val="none"/>
          <w:lang w:val="en-US" w:eastAsia="zh-CN"/>
        </w:rPr>
      </w:pPr>
      <w:r>
        <w:rPr>
          <w:color w:val="auto"/>
          <w:sz w:val="24"/>
          <w:szCs w:val="24"/>
          <w:highlight w:val="none"/>
        </w:rPr>
        <w:t>《防火玻璃框架系统设计</w:t>
      </w:r>
      <w:r>
        <w:rPr>
          <w:rFonts w:hint="eastAsia"/>
          <w:color w:val="auto"/>
          <w:sz w:val="24"/>
          <w:szCs w:val="24"/>
          <w:highlight w:val="none"/>
          <w:lang w:eastAsia="zh-CN"/>
        </w:rPr>
        <w:t>、</w:t>
      </w:r>
      <w:r>
        <w:rPr>
          <w:color w:val="auto"/>
          <w:sz w:val="24"/>
          <w:szCs w:val="24"/>
          <w:highlight w:val="none"/>
        </w:rPr>
        <w:t>施工及验收规范》DB11</w:t>
      </w:r>
      <w:r>
        <w:rPr>
          <w:rFonts w:hint="eastAsia"/>
          <w:color w:val="auto"/>
          <w:sz w:val="24"/>
          <w:szCs w:val="24"/>
          <w:highlight w:val="none"/>
          <w:lang w:val="en-US" w:eastAsia="zh-CN"/>
        </w:rPr>
        <w:t>/ 1027</w:t>
      </w:r>
      <w:r>
        <w:rPr>
          <w:color w:val="auto"/>
          <w:sz w:val="24"/>
          <w:szCs w:val="24"/>
          <w:highlight w:val="none"/>
        </w:rPr>
        <w:t>-20</w:t>
      </w:r>
      <w:r>
        <w:rPr>
          <w:rFonts w:hint="eastAsia"/>
          <w:color w:val="auto"/>
          <w:sz w:val="24"/>
          <w:szCs w:val="24"/>
          <w:highlight w:val="none"/>
          <w:lang w:val="en-US" w:eastAsia="zh-CN"/>
        </w:rPr>
        <w:t>13</w:t>
      </w:r>
    </w:p>
    <w:p w14:paraId="5767AC94">
      <w:pPr>
        <w:ind w:left="735" w:leftChars="270" w:hanging="168" w:hangingChars="70"/>
        <w:rPr>
          <w:color w:val="auto"/>
          <w:sz w:val="24"/>
          <w:highlight w:val="none"/>
        </w:rPr>
      </w:pPr>
      <w:r>
        <w:rPr>
          <w:color w:val="auto"/>
          <w:sz w:val="24"/>
          <w:highlight w:val="none"/>
        </w:rPr>
        <w:t>《建筑物防雷设计规范》GB50057-2010</w:t>
      </w:r>
    </w:p>
    <w:p w14:paraId="54284CD6">
      <w:pPr>
        <w:ind w:left="735" w:leftChars="270" w:hanging="168" w:hangingChars="70"/>
        <w:rPr>
          <w:color w:val="auto"/>
          <w:sz w:val="24"/>
          <w:szCs w:val="24"/>
          <w:highlight w:val="none"/>
        </w:rPr>
      </w:pPr>
    </w:p>
    <w:p w14:paraId="02A67F6E">
      <w:pPr>
        <w:ind w:left="0" w:firstLine="600" w:firstLineChars="250"/>
        <w:rPr>
          <w:color w:val="auto"/>
          <w:sz w:val="24"/>
          <w:szCs w:val="24"/>
          <w:highlight w:val="none"/>
        </w:rPr>
      </w:pPr>
      <w:r>
        <w:rPr>
          <w:color w:val="auto"/>
          <w:sz w:val="24"/>
          <w:szCs w:val="24"/>
          <w:highlight w:val="none"/>
        </w:rPr>
        <w:t>《建筑结构荷载规范》GB50009-2012</w:t>
      </w:r>
    </w:p>
    <w:p w14:paraId="16AE39A1">
      <w:pPr>
        <w:ind w:left="0" w:firstLine="600" w:firstLineChars="250"/>
        <w:rPr>
          <w:rFonts w:hint="default" w:eastAsia="宋体"/>
          <w:color w:val="auto"/>
          <w:sz w:val="24"/>
          <w:szCs w:val="24"/>
          <w:highlight w:val="none"/>
          <w:lang w:val="en-US" w:eastAsia="zh-CN"/>
        </w:rPr>
      </w:pPr>
      <w:r>
        <w:rPr>
          <w:color w:val="auto"/>
          <w:sz w:val="24"/>
          <w:szCs w:val="24"/>
          <w:highlight w:val="none"/>
        </w:rPr>
        <w:t>《</w:t>
      </w:r>
      <w:r>
        <w:rPr>
          <w:rFonts w:hint="eastAsia"/>
          <w:color w:val="auto"/>
          <w:sz w:val="24"/>
          <w:szCs w:val="24"/>
          <w:highlight w:val="none"/>
        </w:rPr>
        <w:t>建筑结构荷载规范</w:t>
      </w:r>
      <w:r>
        <w:rPr>
          <w:color w:val="auto"/>
          <w:sz w:val="24"/>
          <w:szCs w:val="24"/>
          <w:highlight w:val="none"/>
        </w:rPr>
        <w:t>》</w:t>
      </w:r>
      <w:r>
        <w:rPr>
          <w:rFonts w:hint="eastAsia"/>
          <w:color w:val="auto"/>
          <w:sz w:val="24"/>
          <w:szCs w:val="24"/>
          <w:highlight w:val="none"/>
        </w:rPr>
        <w:t>广东省标准 DBJ</w:t>
      </w:r>
      <w:r>
        <w:rPr>
          <w:rFonts w:hint="eastAsia"/>
          <w:color w:val="auto"/>
          <w:sz w:val="24"/>
          <w:szCs w:val="24"/>
          <w:highlight w:val="none"/>
          <w:lang w:val="en-US" w:eastAsia="zh-CN"/>
        </w:rPr>
        <w:t>/T</w:t>
      </w:r>
      <w:r>
        <w:rPr>
          <w:rFonts w:hint="eastAsia"/>
          <w:color w:val="auto"/>
          <w:sz w:val="24"/>
          <w:szCs w:val="24"/>
          <w:highlight w:val="none"/>
        </w:rPr>
        <w:t>15-101-20</w:t>
      </w:r>
      <w:r>
        <w:rPr>
          <w:rFonts w:hint="eastAsia"/>
          <w:color w:val="auto"/>
          <w:sz w:val="24"/>
          <w:szCs w:val="24"/>
          <w:highlight w:val="none"/>
          <w:lang w:val="en-US" w:eastAsia="zh-CN"/>
        </w:rPr>
        <w:t>22</w:t>
      </w:r>
    </w:p>
    <w:p w14:paraId="1AEC8C69">
      <w:pPr>
        <w:ind w:left="0" w:firstLine="600" w:firstLineChars="250"/>
        <w:rPr>
          <w:color w:val="auto"/>
          <w:sz w:val="24"/>
          <w:szCs w:val="24"/>
          <w:highlight w:val="none"/>
        </w:rPr>
      </w:pPr>
      <w:r>
        <w:rPr>
          <w:color w:val="auto"/>
          <w:sz w:val="24"/>
          <w:szCs w:val="24"/>
          <w:highlight w:val="none"/>
        </w:rPr>
        <w:t>《钢结构设计</w:t>
      </w:r>
      <w:r>
        <w:rPr>
          <w:rFonts w:hint="eastAsia"/>
          <w:color w:val="auto"/>
          <w:sz w:val="24"/>
          <w:szCs w:val="24"/>
          <w:highlight w:val="none"/>
          <w:lang w:val="en-US" w:eastAsia="zh-CN"/>
        </w:rPr>
        <w:t>标准</w:t>
      </w:r>
      <w:r>
        <w:rPr>
          <w:color w:val="auto"/>
          <w:sz w:val="24"/>
          <w:szCs w:val="24"/>
          <w:highlight w:val="none"/>
        </w:rPr>
        <w:t>》GB50017-20</w:t>
      </w:r>
      <w:r>
        <w:rPr>
          <w:rFonts w:hint="eastAsia"/>
          <w:color w:val="auto"/>
          <w:sz w:val="24"/>
          <w:szCs w:val="24"/>
          <w:highlight w:val="none"/>
          <w:lang w:val="en-US" w:eastAsia="zh-CN"/>
        </w:rPr>
        <w:t>17</w:t>
      </w:r>
      <w:r>
        <w:rPr>
          <w:color w:val="auto"/>
          <w:sz w:val="24"/>
          <w:szCs w:val="24"/>
          <w:highlight w:val="none"/>
        </w:rPr>
        <w:t xml:space="preserve"> </w:t>
      </w:r>
    </w:p>
    <w:p w14:paraId="7A250C62">
      <w:pPr>
        <w:autoSpaceDE w:val="0"/>
        <w:autoSpaceDN w:val="0"/>
        <w:adjustRightInd w:val="0"/>
        <w:ind w:left="735" w:leftChars="270" w:hanging="168" w:hangingChars="70"/>
        <w:jc w:val="left"/>
        <w:rPr>
          <w:color w:val="auto"/>
          <w:kern w:val="0"/>
          <w:sz w:val="24"/>
          <w:szCs w:val="24"/>
          <w:highlight w:val="none"/>
        </w:rPr>
      </w:pPr>
      <w:r>
        <w:rPr>
          <w:color w:val="auto"/>
          <w:kern w:val="0"/>
          <w:sz w:val="24"/>
          <w:szCs w:val="24"/>
          <w:highlight w:val="none"/>
        </w:rPr>
        <w:t>《铝合金结构设计规范》GB 50429-2007</w:t>
      </w:r>
    </w:p>
    <w:p w14:paraId="06EBB095">
      <w:pPr>
        <w:ind w:left="0" w:firstLine="600" w:firstLineChars="250"/>
        <w:rPr>
          <w:color w:val="auto"/>
          <w:sz w:val="24"/>
          <w:szCs w:val="24"/>
          <w:highlight w:val="none"/>
        </w:rPr>
      </w:pPr>
      <w:r>
        <w:rPr>
          <w:color w:val="auto"/>
          <w:sz w:val="24"/>
          <w:szCs w:val="24"/>
          <w:highlight w:val="none"/>
        </w:rPr>
        <w:t xml:space="preserve">《建筑工程抗震设防分类标准》GB50223-2008 </w:t>
      </w:r>
    </w:p>
    <w:p w14:paraId="172C4EDB">
      <w:pPr>
        <w:ind w:left="0" w:firstLine="600" w:firstLineChars="250"/>
        <w:rPr>
          <w:color w:val="auto"/>
          <w:sz w:val="24"/>
          <w:szCs w:val="24"/>
          <w:highlight w:val="none"/>
        </w:rPr>
      </w:pPr>
      <w:r>
        <w:rPr>
          <w:color w:val="auto"/>
          <w:sz w:val="24"/>
          <w:szCs w:val="24"/>
          <w:highlight w:val="none"/>
        </w:rPr>
        <w:t>《建筑抗震设计规范》GB50011-2010</w:t>
      </w:r>
    </w:p>
    <w:p w14:paraId="71502CC0">
      <w:pPr>
        <w:ind w:left="735" w:leftChars="270" w:hanging="168" w:hangingChars="70"/>
        <w:rPr>
          <w:rFonts w:hint="default" w:eastAsia="宋体"/>
          <w:color w:val="auto"/>
          <w:sz w:val="24"/>
          <w:szCs w:val="24"/>
          <w:highlight w:val="none"/>
          <w:lang w:val="en-US" w:eastAsia="zh-CN"/>
        </w:rPr>
      </w:pPr>
      <w:r>
        <w:rPr>
          <w:color w:val="auto"/>
          <w:sz w:val="24"/>
          <w:szCs w:val="24"/>
          <w:highlight w:val="none"/>
        </w:rPr>
        <w:t>《混凝土结构后锚固技术规程》JGJ145-20</w:t>
      </w:r>
      <w:r>
        <w:rPr>
          <w:rFonts w:hint="eastAsia"/>
          <w:color w:val="auto"/>
          <w:sz w:val="24"/>
          <w:szCs w:val="24"/>
          <w:highlight w:val="none"/>
          <w:lang w:val="en-US" w:eastAsia="zh-CN"/>
        </w:rPr>
        <w:t>13</w:t>
      </w:r>
    </w:p>
    <w:p w14:paraId="730C83ED">
      <w:pPr>
        <w:ind w:left="735" w:leftChars="270" w:hanging="168" w:hangingChars="70"/>
        <w:rPr>
          <w:color w:val="auto"/>
          <w:sz w:val="24"/>
          <w:szCs w:val="24"/>
          <w:highlight w:val="none"/>
        </w:rPr>
      </w:pPr>
      <w:r>
        <w:rPr>
          <w:color w:val="auto"/>
          <w:sz w:val="24"/>
          <w:szCs w:val="24"/>
          <w:highlight w:val="none"/>
        </w:rPr>
        <w:t>《钢筋锚固板应用技术规程》JGJ 256-2011</w:t>
      </w:r>
    </w:p>
    <w:p w14:paraId="1CBBE82B">
      <w:pPr>
        <w:ind w:left="735" w:leftChars="270" w:hanging="168" w:hangingChars="70"/>
        <w:rPr>
          <w:color w:val="auto"/>
          <w:sz w:val="24"/>
          <w:szCs w:val="24"/>
          <w:highlight w:val="none"/>
        </w:rPr>
      </w:pPr>
      <w:r>
        <w:rPr>
          <w:color w:val="auto"/>
          <w:sz w:val="24"/>
          <w:szCs w:val="24"/>
          <w:highlight w:val="none"/>
        </w:rPr>
        <w:t>《</w:t>
      </w:r>
      <w:r>
        <w:rPr>
          <w:color w:val="auto"/>
          <w:spacing w:val="8"/>
          <w:kern w:val="0"/>
          <w:sz w:val="24"/>
          <w:szCs w:val="24"/>
          <w:highlight w:val="none"/>
        </w:rPr>
        <w:t>冷弯薄壁型钢结构设计规范</w:t>
      </w:r>
      <w:r>
        <w:rPr>
          <w:color w:val="auto"/>
          <w:sz w:val="24"/>
          <w:szCs w:val="24"/>
          <w:highlight w:val="none"/>
        </w:rPr>
        <w:t>》GB50018-2002</w:t>
      </w:r>
    </w:p>
    <w:p w14:paraId="0ECE4D2D">
      <w:pPr>
        <w:ind w:left="0" w:firstLine="600" w:firstLineChars="250"/>
        <w:rPr>
          <w:color w:val="auto"/>
          <w:sz w:val="24"/>
          <w:szCs w:val="24"/>
          <w:highlight w:val="none"/>
        </w:rPr>
      </w:pPr>
    </w:p>
    <w:p w14:paraId="5865B442">
      <w:pPr>
        <w:ind w:left="735" w:leftChars="270" w:hanging="168" w:hangingChars="70"/>
        <w:rPr>
          <w:color w:val="auto"/>
          <w:sz w:val="24"/>
          <w:highlight w:val="none"/>
        </w:rPr>
      </w:pPr>
      <w:r>
        <w:rPr>
          <w:color w:val="auto"/>
          <w:sz w:val="24"/>
          <w:highlight w:val="none"/>
        </w:rPr>
        <w:t>《建筑幕墙》GB</w:t>
      </w:r>
      <w:r>
        <w:rPr>
          <w:rFonts w:hint="eastAsia"/>
          <w:color w:val="auto"/>
          <w:sz w:val="24"/>
          <w:highlight w:val="none"/>
          <w:lang w:val="en-US" w:eastAsia="zh-CN"/>
        </w:rPr>
        <w:t>/</w:t>
      </w:r>
      <w:r>
        <w:rPr>
          <w:color w:val="auto"/>
          <w:sz w:val="24"/>
          <w:highlight w:val="none"/>
        </w:rPr>
        <w:t>T 21086-2007</w:t>
      </w:r>
    </w:p>
    <w:p w14:paraId="700A5FDD">
      <w:pPr>
        <w:ind w:left="735" w:leftChars="270" w:hanging="168" w:hangingChars="70"/>
        <w:rPr>
          <w:color w:val="auto"/>
          <w:sz w:val="24"/>
          <w:highlight w:val="none"/>
        </w:rPr>
      </w:pPr>
      <w:r>
        <w:rPr>
          <w:color w:val="auto"/>
          <w:sz w:val="24"/>
          <w:highlight w:val="none"/>
        </w:rPr>
        <w:t>《玻璃幕墙工程技术规范》JGJ102-2003</w:t>
      </w:r>
    </w:p>
    <w:p w14:paraId="56F933C9">
      <w:pPr>
        <w:ind w:left="735" w:leftChars="270" w:hanging="168" w:hangingChars="70"/>
        <w:rPr>
          <w:rFonts w:hint="default" w:eastAsia="宋体"/>
          <w:color w:val="auto"/>
          <w:sz w:val="24"/>
          <w:szCs w:val="24"/>
          <w:highlight w:val="none"/>
          <w:lang w:val="en-US" w:eastAsia="zh-CN"/>
        </w:rPr>
      </w:pPr>
      <w:r>
        <w:rPr>
          <w:color w:val="auto"/>
          <w:sz w:val="24"/>
          <w:szCs w:val="24"/>
          <w:highlight w:val="none"/>
        </w:rPr>
        <w:t>《建筑玻璃采光顶</w:t>
      </w:r>
      <w:r>
        <w:rPr>
          <w:rFonts w:hint="eastAsia"/>
          <w:color w:val="auto"/>
          <w:sz w:val="24"/>
          <w:szCs w:val="24"/>
          <w:highlight w:val="none"/>
          <w:lang w:val="en-US" w:eastAsia="zh-CN"/>
        </w:rPr>
        <w:t>技术要求</w:t>
      </w:r>
      <w:r>
        <w:rPr>
          <w:color w:val="auto"/>
          <w:sz w:val="24"/>
          <w:szCs w:val="24"/>
          <w:highlight w:val="none"/>
        </w:rPr>
        <w:t>》JG/T 231-20</w:t>
      </w:r>
      <w:r>
        <w:rPr>
          <w:rFonts w:hint="eastAsia"/>
          <w:color w:val="auto"/>
          <w:sz w:val="24"/>
          <w:szCs w:val="24"/>
          <w:highlight w:val="none"/>
          <w:lang w:val="en-US" w:eastAsia="zh-CN"/>
        </w:rPr>
        <w:t>18</w:t>
      </w:r>
    </w:p>
    <w:p w14:paraId="06CE3681">
      <w:pPr>
        <w:ind w:left="735" w:leftChars="270" w:hanging="168" w:hangingChars="70"/>
        <w:rPr>
          <w:color w:val="auto"/>
          <w:sz w:val="24"/>
          <w:szCs w:val="24"/>
          <w:highlight w:val="none"/>
        </w:rPr>
      </w:pPr>
      <w:r>
        <w:rPr>
          <w:color w:val="auto"/>
          <w:sz w:val="24"/>
          <w:szCs w:val="24"/>
          <w:highlight w:val="none"/>
        </w:rPr>
        <w:t>《点支式玻璃幕墙工程技术规程》CECS 127：2001</w:t>
      </w:r>
    </w:p>
    <w:p w14:paraId="5C5A2F82">
      <w:pPr>
        <w:autoSpaceDE w:val="0"/>
        <w:autoSpaceDN w:val="0"/>
        <w:adjustRightInd w:val="0"/>
        <w:ind w:left="735" w:leftChars="270" w:hanging="168" w:hangingChars="70"/>
        <w:jc w:val="left"/>
        <w:rPr>
          <w:color w:val="auto"/>
          <w:kern w:val="0"/>
          <w:sz w:val="24"/>
          <w:szCs w:val="24"/>
          <w:highlight w:val="none"/>
        </w:rPr>
      </w:pPr>
      <w:r>
        <w:rPr>
          <w:color w:val="auto"/>
          <w:kern w:val="0"/>
          <w:sz w:val="24"/>
          <w:szCs w:val="24"/>
          <w:highlight w:val="none"/>
        </w:rPr>
        <w:t>《低张拉控制拉索技术规程》JGJ/T226-2011</w:t>
      </w:r>
    </w:p>
    <w:p w14:paraId="1FA84387">
      <w:pPr>
        <w:ind w:left="735" w:leftChars="270" w:hanging="168" w:hangingChars="70"/>
        <w:rPr>
          <w:rFonts w:hint="default" w:eastAsia="宋体"/>
          <w:color w:val="auto"/>
          <w:sz w:val="24"/>
          <w:highlight w:val="none"/>
          <w:lang w:val="en-US" w:eastAsia="zh-CN"/>
        </w:rPr>
      </w:pPr>
      <w:r>
        <w:rPr>
          <w:color w:val="auto"/>
          <w:sz w:val="24"/>
          <w:highlight w:val="none"/>
        </w:rPr>
        <w:t>《建筑玻璃应用技术规程》JGJ113-20</w:t>
      </w:r>
      <w:r>
        <w:rPr>
          <w:rFonts w:hint="eastAsia"/>
          <w:color w:val="auto"/>
          <w:sz w:val="24"/>
          <w:highlight w:val="none"/>
          <w:lang w:val="en-US" w:eastAsia="zh-CN"/>
        </w:rPr>
        <w:t>15</w:t>
      </w:r>
    </w:p>
    <w:p w14:paraId="4A8CAA38">
      <w:pPr>
        <w:autoSpaceDE w:val="0"/>
        <w:autoSpaceDN w:val="0"/>
        <w:adjustRightInd w:val="0"/>
        <w:ind w:left="735" w:leftChars="270" w:hanging="168" w:hangingChars="70"/>
        <w:jc w:val="left"/>
        <w:rPr>
          <w:color w:val="auto"/>
          <w:kern w:val="0"/>
          <w:sz w:val="24"/>
          <w:szCs w:val="24"/>
          <w:highlight w:val="none"/>
        </w:rPr>
      </w:pPr>
      <w:r>
        <w:rPr>
          <w:color w:val="auto"/>
          <w:kern w:val="0"/>
          <w:sz w:val="24"/>
          <w:szCs w:val="24"/>
          <w:highlight w:val="none"/>
        </w:rPr>
        <w:t>《建筑门窗玻璃幕墙热工计算规程》JGJ/T151-2008</w:t>
      </w:r>
    </w:p>
    <w:p w14:paraId="0A74A044">
      <w:pPr>
        <w:autoSpaceDE w:val="0"/>
        <w:autoSpaceDN w:val="0"/>
        <w:adjustRightInd w:val="0"/>
        <w:ind w:left="735" w:leftChars="270" w:hanging="168" w:hangingChars="70"/>
        <w:jc w:val="left"/>
        <w:rPr>
          <w:rFonts w:hint="default" w:eastAsia="宋体"/>
          <w:color w:val="auto"/>
          <w:kern w:val="0"/>
          <w:sz w:val="24"/>
          <w:szCs w:val="24"/>
          <w:highlight w:val="none"/>
          <w:lang w:val="en-US" w:eastAsia="zh-CN"/>
        </w:rPr>
      </w:pPr>
      <w:r>
        <w:rPr>
          <w:color w:val="auto"/>
          <w:kern w:val="0"/>
          <w:sz w:val="24"/>
          <w:szCs w:val="24"/>
          <w:highlight w:val="none"/>
        </w:rPr>
        <w:t>《</w:t>
      </w:r>
      <w:r>
        <w:rPr>
          <w:color w:val="auto"/>
          <w:spacing w:val="8"/>
          <w:kern w:val="0"/>
          <w:sz w:val="24"/>
          <w:szCs w:val="24"/>
          <w:highlight w:val="none"/>
        </w:rPr>
        <w:t>玻璃幕墙光学性能</w:t>
      </w:r>
      <w:r>
        <w:rPr>
          <w:color w:val="auto"/>
          <w:kern w:val="0"/>
          <w:sz w:val="24"/>
          <w:szCs w:val="24"/>
          <w:highlight w:val="none"/>
        </w:rPr>
        <w:t>》</w:t>
      </w:r>
      <w:r>
        <w:rPr>
          <w:color w:val="auto"/>
          <w:sz w:val="24"/>
          <w:szCs w:val="24"/>
          <w:highlight w:val="none"/>
        </w:rPr>
        <w:t>GB/T18091</w:t>
      </w:r>
      <w:r>
        <w:rPr>
          <w:color w:val="auto"/>
          <w:kern w:val="0"/>
          <w:sz w:val="24"/>
          <w:szCs w:val="24"/>
          <w:highlight w:val="none"/>
        </w:rPr>
        <w:t>-20</w:t>
      </w:r>
      <w:r>
        <w:rPr>
          <w:rFonts w:hint="eastAsia"/>
          <w:color w:val="auto"/>
          <w:kern w:val="0"/>
          <w:sz w:val="24"/>
          <w:szCs w:val="24"/>
          <w:highlight w:val="none"/>
          <w:lang w:val="en-US" w:eastAsia="zh-CN"/>
        </w:rPr>
        <w:t>15</w:t>
      </w:r>
    </w:p>
    <w:p w14:paraId="64F8C977">
      <w:pPr>
        <w:autoSpaceDE w:val="0"/>
        <w:autoSpaceDN w:val="0"/>
        <w:adjustRightInd w:val="0"/>
        <w:ind w:left="735" w:leftChars="270" w:hanging="168" w:hangingChars="70"/>
        <w:jc w:val="left"/>
        <w:rPr>
          <w:color w:val="auto"/>
          <w:kern w:val="0"/>
          <w:sz w:val="24"/>
          <w:szCs w:val="24"/>
          <w:highlight w:val="none"/>
        </w:rPr>
      </w:pPr>
      <w:r>
        <w:rPr>
          <w:color w:val="auto"/>
          <w:sz w:val="24"/>
          <w:szCs w:val="24"/>
          <w:highlight w:val="none"/>
        </w:rPr>
        <w:t>《铝合金门窗工程技术规范》JGJ 214-2010</w:t>
      </w:r>
    </w:p>
    <w:p w14:paraId="23FD9D45">
      <w:pPr>
        <w:ind w:left="735" w:leftChars="270" w:hanging="168" w:hangingChars="70"/>
        <w:rPr>
          <w:color w:val="auto"/>
          <w:sz w:val="24"/>
          <w:szCs w:val="24"/>
          <w:highlight w:val="none"/>
        </w:rPr>
      </w:pPr>
      <w:r>
        <w:rPr>
          <w:color w:val="auto"/>
          <w:sz w:val="24"/>
          <w:szCs w:val="24"/>
          <w:highlight w:val="none"/>
        </w:rPr>
        <w:t>《铝合金结构工程施工规程》 JGJ/T 216-2010</w:t>
      </w:r>
    </w:p>
    <w:p w14:paraId="7C343FE8">
      <w:pPr>
        <w:ind w:left="735" w:leftChars="270" w:hanging="168" w:hangingChars="70"/>
        <w:rPr>
          <w:color w:val="auto"/>
          <w:sz w:val="24"/>
          <w:szCs w:val="24"/>
          <w:highlight w:val="none"/>
        </w:rPr>
      </w:pPr>
      <w:r>
        <w:rPr>
          <w:color w:val="auto"/>
          <w:sz w:val="24"/>
          <w:szCs w:val="24"/>
          <w:highlight w:val="none"/>
        </w:rPr>
        <w:t>《钢结构工程施工规范》GB 50755-2012</w:t>
      </w:r>
    </w:p>
    <w:p w14:paraId="4BCE6F64">
      <w:pPr>
        <w:ind w:left="735" w:leftChars="270" w:hanging="168" w:hangingChars="70"/>
        <w:rPr>
          <w:color w:val="auto"/>
          <w:sz w:val="24"/>
          <w:szCs w:val="24"/>
          <w:highlight w:val="none"/>
        </w:rPr>
      </w:pPr>
      <w:r>
        <w:rPr>
          <w:color w:val="auto"/>
          <w:sz w:val="24"/>
          <w:szCs w:val="24"/>
          <w:highlight w:val="none"/>
        </w:rPr>
        <w:t>《建筑外墙防水工程技术规程》JGJ/T235-2011</w:t>
      </w:r>
    </w:p>
    <w:p w14:paraId="537D2E51">
      <w:pPr>
        <w:ind w:left="735" w:leftChars="270" w:hanging="168" w:hangingChars="70"/>
        <w:rPr>
          <w:color w:val="auto"/>
          <w:sz w:val="24"/>
          <w:szCs w:val="24"/>
          <w:highlight w:val="none"/>
        </w:rPr>
      </w:pPr>
      <w:r>
        <w:rPr>
          <w:color w:val="auto"/>
          <w:sz w:val="24"/>
          <w:szCs w:val="24"/>
          <w:highlight w:val="none"/>
        </w:rPr>
        <w:t xml:space="preserve">《屋面工程技术规范》GB50345-2012 </w:t>
      </w:r>
    </w:p>
    <w:p w14:paraId="0F55D05E">
      <w:pPr>
        <w:ind w:left="735" w:leftChars="270" w:hanging="168" w:hangingChars="70"/>
        <w:rPr>
          <w:color w:val="auto"/>
          <w:sz w:val="24"/>
          <w:szCs w:val="24"/>
          <w:highlight w:val="none"/>
        </w:rPr>
      </w:pPr>
      <w:r>
        <w:rPr>
          <w:color w:val="auto"/>
          <w:sz w:val="24"/>
          <w:szCs w:val="24"/>
          <w:highlight w:val="none"/>
        </w:rPr>
        <w:t xml:space="preserve">《采光顶与金属屋面技术规程》JGJ 255-2012 </w:t>
      </w:r>
    </w:p>
    <w:p w14:paraId="5AD7BE2E">
      <w:pPr>
        <w:ind w:left="735" w:leftChars="270" w:hanging="168" w:hangingChars="70"/>
        <w:rPr>
          <w:color w:val="auto"/>
          <w:sz w:val="24"/>
          <w:szCs w:val="24"/>
          <w:highlight w:val="none"/>
        </w:rPr>
      </w:pPr>
      <w:r>
        <w:rPr>
          <w:rFonts w:hint="eastAsia"/>
          <w:color w:val="auto"/>
          <w:sz w:val="24"/>
          <w:szCs w:val="24"/>
          <w:highlight w:val="none"/>
        </w:rPr>
        <w:t>《屋面工程技术规范》GB 50345－2012</w:t>
      </w:r>
    </w:p>
    <w:p w14:paraId="29E7E9BE">
      <w:pPr>
        <w:ind w:left="735" w:leftChars="270" w:hanging="168" w:hangingChars="70"/>
        <w:rPr>
          <w:color w:val="auto"/>
          <w:sz w:val="24"/>
          <w:szCs w:val="24"/>
          <w:highlight w:val="none"/>
        </w:rPr>
      </w:pPr>
      <w:r>
        <w:rPr>
          <w:rFonts w:hint="eastAsia"/>
          <w:color w:val="auto"/>
          <w:sz w:val="24"/>
          <w:szCs w:val="24"/>
          <w:highlight w:val="none"/>
        </w:rPr>
        <w:t>《屋面工程质量验收规范》GB 50207－2012</w:t>
      </w:r>
    </w:p>
    <w:p w14:paraId="74E7F784">
      <w:pPr>
        <w:ind w:left="735" w:leftChars="270" w:hanging="168" w:hangingChars="70"/>
        <w:rPr>
          <w:color w:val="auto"/>
          <w:sz w:val="24"/>
          <w:szCs w:val="24"/>
          <w:highlight w:val="none"/>
        </w:rPr>
      </w:pPr>
      <w:r>
        <w:rPr>
          <w:rFonts w:hint="eastAsia"/>
          <w:color w:val="auto"/>
          <w:sz w:val="24"/>
          <w:szCs w:val="24"/>
          <w:highlight w:val="none"/>
        </w:rPr>
        <w:t>《压型金属板工程应用技术规范》GB50896-2013</w:t>
      </w:r>
    </w:p>
    <w:p w14:paraId="6F2E538C">
      <w:pPr>
        <w:ind w:left="735" w:leftChars="270" w:hanging="168" w:hangingChars="70"/>
        <w:rPr>
          <w:color w:val="auto"/>
          <w:sz w:val="24"/>
          <w:szCs w:val="24"/>
          <w:highlight w:val="none"/>
        </w:rPr>
      </w:pPr>
      <w:r>
        <w:rPr>
          <w:rFonts w:hint="eastAsia"/>
          <w:color w:val="auto"/>
          <w:sz w:val="24"/>
          <w:szCs w:val="24"/>
          <w:highlight w:val="none"/>
        </w:rPr>
        <w:t>《单层防水卷材屋面工程技术规程》JGJ/T316-2013</w:t>
      </w:r>
    </w:p>
    <w:p w14:paraId="259F4364">
      <w:pPr>
        <w:ind w:left="735" w:leftChars="270" w:hanging="168" w:hangingChars="70"/>
        <w:rPr>
          <w:color w:val="auto"/>
          <w:sz w:val="24"/>
          <w:szCs w:val="24"/>
          <w:highlight w:val="none"/>
        </w:rPr>
      </w:pPr>
      <w:r>
        <w:rPr>
          <w:rFonts w:hint="eastAsia"/>
          <w:color w:val="auto"/>
          <w:sz w:val="24"/>
          <w:szCs w:val="24"/>
          <w:highlight w:val="none"/>
        </w:rPr>
        <w:t>《单层卷材屋面系统抗风揭试验方法》GB/T31543-2015</w:t>
      </w:r>
    </w:p>
    <w:p w14:paraId="18A03317">
      <w:pPr>
        <w:ind w:left="735" w:leftChars="270" w:hanging="168" w:hangingChars="70"/>
        <w:rPr>
          <w:color w:val="auto"/>
          <w:sz w:val="24"/>
          <w:szCs w:val="24"/>
          <w:highlight w:val="none"/>
        </w:rPr>
      </w:pPr>
      <w:r>
        <w:rPr>
          <w:rFonts w:hint="eastAsia"/>
          <w:color w:val="auto"/>
          <w:sz w:val="24"/>
          <w:szCs w:val="24"/>
          <w:highlight w:val="none"/>
        </w:rPr>
        <w:t>《热塑性聚烯烃（TPO）防水卷材》GB 27789-2011</w:t>
      </w:r>
    </w:p>
    <w:p w14:paraId="4F002265">
      <w:pPr>
        <w:ind w:left="735" w:leftChars="270" w:hanging="168" w:hangingChars="70"/>
        <w:rPr>
          <w:color w:val="auto"/>
          <w:sz w:val="24"/>
          <w:szCs w:val="24"/>
          <w:highlight w:val="none"/>
        </w:rPr>
      </w:pPr>
      <w:r>
        <w:rPr>
          <w:rFonts w:hint="eastAsia"/>
          <w:color w:val="auto"/>
          <w:sz w:val="24"/>
          <w:szCs w:val="24"/>
          <w:highlight w:val="none"/>
        </w:rPr>
        <w:t>《屋顶及屋顶覆盖制品外部对火反应试验方法》GB/T 30735-2014</w:t>
      </w:r>
    </w:p>
    <w:p w14:paraId="3ECCA7CB">
      <w:pPr>
        <w:ind w:left="735" w:leftChars="270" w:hanging="168" w:hangingChars="70"/>
        <w:rPr>
          <w:color w:val="auto"/>
          <w:sz w:val="24"/>
          <w:szCs w:val="24"/>
          <w:highlight w:val="none"/>
        </w:rPr>
      </w:pPr>
      <w:r>
        <w:rPr>
          <w:rFonts w:hint="eastAsia"/>
          <w:color w:val="auto"/>
          <w:sz w:val="24"/>
          <w:szCs w:val="24"/>
          <w:highlight w:val="none"/>
        </w:rPr>
        <w:t>《聚碳酸酯（PC）实心板》JGJ/T 347-2012</w:t>
      </w:r>
    </w:p>
    <w:p w14:paraId="5042F837">
      <w:pPr>
        <w:ind w:left="735" w:leftChars="270" w:hanging="168" w:hangingChars="70"/>
        <w:rPr>
          <w:color w:val="auto"/>
          <w:sz w:val="24"/>
          <w:szCs w:val="24"/>
          <w:highlight w:val="none"/>
        </w:rPr>
      </w:pPr>
      <w:r>
        <w:rPr>
          <w:rFonts w:hint="eastAsia"/>
          <w:color w:val="auto"/>
          <w:sz w:val="24"/>
          <w:szCs w:val="24"/>
          <w:highlight w:val="none"/>
        </w:rPr>
        <w:t>《膜结构技术规程》CECS158-2015</w:t>
      </w:r>
    </w:p>
    <w:p w14:paraId="757185BD">
      <w:pPr>
        <w:ind w:left="735" w:leftChars="270" w:hanging="168" w:hangingChars="70"/>
        <w:rPr>
          <w:color w:val="auto"/>
          <w:sz w:val="24"/>
          <w:szCs w:val="24"/>
          <w:highlight w:val="none"/>
        </w:rPr>
      </w:pPr>
      <w:r>
        <w:rPr>
          <w:rFonts w:hint="eastAsia"/>
          <w:color w:val="auto"/>
          <w:sz w:val="24"/>
          <w:szCs w:val="24"/>
          <w:highlight w:val="none"/>
        </w:rPr>
        <w:t>《空间网格结构技术规程》JGJ 7-2010</w:t>
      </w:r>
    </w:p>
    <w:p w14:paraId="538686D4">
      <w:pPr>
        <w:ind w:left="735" w:leftChars="270" w:hanging="168" w:hangingChars="70"/>
        <w:rPr>
          <w:color w:val="auto"/>
          <w:sz w:val="24"/>
          <w:szCs w:val="24"/>
          <w:highlight w:val="none"/>
        </w:rPr>
      </w:pPr>
      <w:r>
        <w:rPr>
          <w:rFonts w:hint="eastAsia"/>
          <w:color w:val="auto"/>
          <w:sz w:val="24"/>
          <w:szCs w:val="24"/>
          <w:highlight w:val="none"/>
        </w:rPr>
        <w:t>《膜结构用涂层织物》GB/T 30161-2013</w:t>
      </w:r>
    </w:p>
    <w:p w14:paraId="5FD42218">
      <w:pPr>
        <w:ind w:left="0" w:firstLine="0"/>
        <w:rPr>
          <w:rFonts w:hint="default" w:eastAsia="宋体"/>
          <w:color w:val="auto"/>
          <w:sz w:val="24"/>
          <w:highlight w:val="none"/>
          <w:lang w:val="en-US" w:eastAsia="zh-CN"/>
        </w:rPr>
      </w:pPr>
      <w:r>
        <w:rPr>
          <w:rFonts w:hint="eastAsia"/>
          <w:color w:val="auto"/>
          <w:sz w:val="24"/>
          <w:highlight w:val="none"/>
          <w:lang w:val="en-US" w:eastAsia="zh-CN"/>
        </w:rPr>
        <w:t xml:space="preserve">     </w:t>
      </w:r>
    </w:p>
    <w:p w14:paraId="1307707C">
      <w:pPr>
        <w:ind w:left="735" w:leftChars="270" w:hanging="168" w:hangingChars="70"/>
        <w:rPr>
          <w:rFonts w:hint="default" w:eastAsia="宋体"/>
          <w:color w:val="auto"/>
          <w:sz w:val="24"/>
          <w:szCs w:val="24"/>
          <w:highlight w:val="none"/>
          <w:lang w:val="en-US" w:eastAsia="zh-CN"/>
        </w:rPr>
      </w:pPr>
      <w:r>
        <w:rPr>
          <w:color w:val="auto"/>
          <w:sz w:val="24"/>
          <w:szCs w:val="24"/>
          <w:highlight w:val="none"/>
        </w:rPr>
        <w:t>《铝合金门窗》GB/T8478-20</w:t>
      </w:r>
      <w:r>
        <w:rPr>
          <w:rFonts w:hint="eastAsia"/>
          <w:color w:val="auto"/>
          <w:sz w:val="24"/>
          <w:szCs w:val="24"/>
          <w:highlight w:val="none"/>
          <w:lang w:val="en-US" w:eastAsia="zh-CN"/>
        </w:rPr>
        <w:t>20</w:t>
      </w:r>
    </w:p>
    <w:p w14:paraId="2E03C9B4">
      <w:pPr>
        <w:ind w:left="735" w:leftChars="270" w:hanging="168" w:hangingChars="70"/>
        <w:rPr>
          <w:color w:val="auto"/>
          <w:sz w:val="24"/>
          <w:szCs w:val="24"/>
          <w:highlight w:val="none"/>
        </w:rPr>
      </w:pPr>
      <w:r>
        <w:rPr>
          <w:color w:val="auto"/>
          <w:sz w:val="24"/>
          <w:szCs w:val="24"/>
          <w:highlight w:val="none"/>
        </w:rPr>
        <w:t>《铝合金门窗设计、施工及验收规范》DBJ15-30-2002</w:t>
      </w:r>
    </w:p>
    <w:p w14:paraId="692E53E8">
      <w:pPr>
        <w:ind w:left="735" w:leftChars="270" w:hanging="168" w:hangingChars="70"/>
        <w:rPr>
          <w:color w:val="auto"/>
          <w:sz w:val="24"/>
          <w:szCs w:val="24"/>
          <w:highlight w:val="none"/>
        </w:rPr>
      </w:pPr>
    </w:p>
    <w:p w14:paraId="43776526">
      <w:pPr>
        <w:ind w:left="735" w:leftChars="270" w:hanging="168" w:hangingChars="70"/>
        <w:rPr>
          <w:rFonts w:hint="default" w:eastAsia="宋体"/>
          <w:color w:val="auto"/>
          <w:sz w:val="24"/>
          <w:szCs w:val="24"/>
          <w:highlight w:val="none"/>
          <w:lang w:val="en-US" w:eastAsia="zh-CN"/>
        </w:rPr>
      </w:pPr>
      <w:r>
        <w:rPr>
          <w:color w:val="auto"/>
          <w:sz w:val="24"/>
          <w:szCs w:val="24"/>
          <w:highlight w:val="none"/>
        </w:rPr>
        <w:t>《建筑工程施工质量验收统一标准》GB50300-20</w:t>
      </w:r>
      <w:r>
        <w:rPr>
          <w:rFonts w:hint="eastAsia"/>
          <w:color w:val="auto"/>
          <w:sz w:val="24"/>
          <w:szCs w:val="24"/>
          <w:highlight w:val="none"/>
          <w:lang w:val="en-US" w:eastAsia="zh-CN"/>
        </w:rPr>
        <w:t>13</w:t>
      </w:r>
    </w:p>
    <w:p w14:paraId="1A383A3C">
      <w:pPr>
        <w:ind w:left="735" w:leftChars="270" w:hanging="168" w:hangingChars="70"/>
        <w:rPr>
          <w:rFonts w:hint="default" w:eastAsia="宋体"/>
          <w:color w:val="auto"/>
          <w:kern w:val="0"/>
          <w:sz w:val="24"/>
          <w:szCs w:val="24"/>
          <w:highlight w:val="none"/>
          <w:lang w:val="en-US" w:eastAsia="zh-CN"/>
        </w:rPr>
      </w:pPr>
      <w:r>
        <w:rPr>
          <w:color w:val="auto"/>
          <w:kern w:val="0"/>
          <w:sz w:val="24"/>
          <w:szCs w:val="24"/>
          <w:highlight w:val="none"/>
        </w:rPr>
        <w:t>《建筑节能工程施工质量验收规范》GB 50411-20</w:t>
      </w:r>
      <w:r>
        <w:rPr>
          <w:rFonts w:hint="eastAsia"/>
          <w:color w:val="auto"/>
          <w:kern w:val="0"/>
          <w:sz w:val="24"/>
          <w:szCs w:val="24"/>
          <w:highlight w:val="none"/>
          <w:lang w:val="en-US" w:eastAsia="zh-CN"/>
        </w:rPr>
        <w:t>19</w:t>
      </w:r>
    </w:p>
    <w:p w14:paraId="6A72A784">
      <w:pPr>
        <w:ind w:left="735" w:leftChars="270" w:hanging="168" w:hangingChars="70"/>
        <w:rPr>
          <w:color w:val="auto"/>
          <w:kern w:val="0"/>
          <w:sz w:val="24"/>
          <w:szCs w:val="24"/>
          <w:highlight w:val="none"/>
        </w:rPr>
      </w:pPr>
      <w:r>
        <w:rPr>
          <w:color w:val="auto"/>
          <w:sz w:val="24"/>
          <w:szCs w:val="24"/>
          <w:highlight w:val="none"/>
        </w:rPr>
        <w:t>《节能建筑评价标准 》GB/T 50668-2011</w:t>
      </w:r>
    </w:p>
    <w:p w14:paraId="653E6395">
      <w:pPr>
        <w:ind w:left="735" w:leftChars="270" w:hanging="168" w:hangingChars="70"/>
        <w:rPr>
          <w:rFonts w:hint="default" w:eastAsia="宋体"/>
          <w:color w:val="auto"/>
          <w:sz w:val="24"/>
          <w:highlight w:val="none"/>
          <w:lang w:val="en-US" w:eastAsia="zh-CN"/>
        </w:rPr>
      </w:pPr>
      <w:r>
        <w:rPr>
          <w:color w:val="auto"/>
          <w:sz w:val="24"/>
          <w:highlight w:val="none"/>
        </w:rPr>
        <w:t>《玻璃幕墙工程质量检验标准》JGJ/T139-20</w:t>
      </w:r>
      <w:r>
        <w:rPr>
          <w:rFonts w:hint="eastAsia"/>
          <w:color w:val="auto"/>
          <w:sz w:val="24"/>
          <w:highlight w:val="none"/>
          <w:lang w:val="en-US" w:eastAsia="zh-CN"/>
        </w:rPr>
        <w:t>20</w:t>
      </w:r>
    </w:p>
    <w:p w14:paraId="3A2D88CF">
      <w:pPr>
        <w:ind w:left="735" w:leftChars="270" w:hanging="168" w:hangingChars="70"/>
        <w:rPr>
          <w:rFonts w:hint="default" w:eastAsia="宋体"/>
          <w:color w:val="auto"/>
          <w:sz w:val="24"/>
          <w:highlight w:val="none"/>
          <w:lang w:val="en-US" w:eastAsia="zh-CN"/>
        </w:rPr>
      </w:pPr>
      <w:r>
        <w:rPr>
          <w:color w:val="auto"/>
          <w:sz w:val="24"/>
          <w:highlight w:val="none"/>
        </w:rPr>
        <w:t>《钢结构工程质量验收规范》GB50205-20</w:t>
      </w:r>
      <w:r>
        <w:rPr>
          <w:rFonts w:hint="eastAsia"/>
          <w:color w:val="auto"/>
          <w:sz w:val="24"/>
          <w:highlight w:val="none"/>
          <w:lang w:val="en-US" w:eastAsia="zh-CN"/>
        </w:rPr>
        <w:t>20</w:t>
      </w:r>
    </w:p>
    <w:p w14:paraId="548958F6">
      <w:pPr>
        <w:widowControl/>
        <w:ind w:left="735" w:leftChars="270" w:hanging="168" w:hangingChars="70"/>
        <w:jc w:val="left"/>
        <w:rPr>
          <w:color w:val="auto"/>
          <w:sz w:val="24"/>
          <w:szCs w:val="24"/>
          <w:highlight w:val="none"/>
        </w:rPr>
      </w:pPr>
      <w:r>
        <w:rPr>
          <w:color w:val="auto"/>
          <w:sz w:val="24"/>
          <w:szCs w:val="24"/>
          <w:highlight w:val="none"/>
        </w:rPr>
        <w:t>《铝合金结构工程施工质量验收规范》GB50576-2010</w:t>
      </w:r>
    </w:p>
    <w:p w14:paraId="684DA322">
      <w:pPr>
        <w:widowControl/>
        <w:ind w:left="735" w:leftChars="270" w:hanging="168" w:hangingChars="70"/>
        <w:jc w:val="left"/>
        <w:rPr>
          <w:color w:val="auto"/>
          <w:sz w:val="24"/>
          <w:szCs w:val="24"/>
          <w:highlight w:val="none"/>
        </w:rPr>
      </w:pPr>
      <w:r>
        <w:rPr>
          <w:color w:val="auto"/>
          <w:sz w:val="24"/>
          <w:szCs w:val="24"/>
          <w:highlight w:val="none"/>
        </w:rPr>
        <w:t>《建筑物防雷工程施工与质量验收规范》GB 50601-2010</w:t>
      </w:r>
    </w:p>
    <w:p w14:paraId="12FA1866">
      <w:pPr>
        <w:widowControl/>
        <w:ind w:left="735" w:leftChars="270" w:hanging="168" w:hangingChars="70"/>
        <w:jc w:val="left"/>
        <w:rPr>
          <w:color w:val="auto"/>
          <w:sz w:val="24"/>
          <w:szCs w:val="24"/>
          <w:highlight w:val="none"/>
        </w:rPr>
      </w:pPr>
      <w:r>
        <w:rPr>
          <w:color w:val="auto"/>
          <w:sz w:val="24"/>
          <w:szCs w:val="24"/>
          <w:highlight w:val="none"/>
        </w:rPr>
        <w:t>《建筑结构加固工程施工质量验收规范》GB 50550-2010</w:t>
      </w:r>
    </w:p>
    <w:p w14:paraId="7C0E43B6">
      <w:pPr>
        <w:widowControl/>
        <w:ind w:left="735" w:leftChars="270" w:hanging="168" w:hangingChars="70"/>
        <w:jc w:val="left"/>
        <w:rPr>
          <w:color w:val="auto"/>
          <w:sz w:val="24"/>
          <w:szCs w:val="24"/>
          <w:highlight w:val="none"/>
        </w:rPr>
      </w:pPr>
    </w:p>
    <w:p w14:paraId="18F5A9B9">
      <w:pPr>
        <w:ind w:left="735" w:leftChars="270" w:hanging="168" w:hangingChars="70"/>
        <w:rPr>
          <w:rFonts w:hint="default" w:eastAsia="宋体"/>
          <w:color w:val="auto"/>
          <w:kern w:val="0"/>
          <w:sz w:val="24"/>
          <w:highlight w:val="none"/>
          <w:lang w:val="en-US" w:eastAsia="zh-CN"/>
        </w:rPr>
      </w:pPr>
      <w:r>
        <w:rPr>
          <w:color w:val="auto"/>
          <w:kern w:val="0"/>
          <w:sz w:val="24"/>
          <w:highlight w:val="none"/>
        </w:rPr>
        <w:t>《建筑幕墙气密、水密、抗风压性能检测方法》GB/T 15227-20</w:t>
      </w:r>
      <w:r>
        <w:rPr>
          <w:rFonts w:hint="eastAsia"/>
          <w:color w:val="auto"/>
          <w:kern w:val="0"/>
          <w:sz w:val="24"/>
          <w:highlight w:val="none"/>
          <w:lang w:val="en-US" w:eastAsia="zh-CN"/>
        </w:rPr>
        <w:t>19</w:t>
      </w:r>
    </w:p>
    <w:p w14:paraId="4D95BB0C">
      <w:pPr>
        <w:ind w:left="735" w:leftChars="270" w:hanging="168" w:hangingChars="70"/>
        <w:rPr>
          <w:rFonts w:hint="default" w:eastAsia="宋体"/>
          <w:color w:val="auto"/>
          <w:sz w:val="24"/>
          <w:highlight w:val="none"/>
          <w:lang w:val="en-US" w:eastAsia="zh-CN"/>
        </w:rPr>
      </w:pPr>
      <w:r>
        <w:rPr>
          <w:color w:val="auto"/>
          <w:sz w:val="24"/>
          <w:highlight w:val="none"/>
        </w:rPr>
        <w:t>《建筑幕墙</w:t>
      </w:r>
      <w:r>
        <w:rPr>
          <w:rFonts w:hint="eastAsia"/>
          <w:color w:val="auto"/>
          <w:sz w:val="24"/>
          <w:highlight w:val="none"/>
          <w:lang w:val="en-US" w:eastAsia="zh-CN"/>
        </w:rPr>
        <w:t>层间变形性能分级及检测方法</w:t>
      </w:r>
      <w:r>
        <w:rPr>
          <w:color w:val="auto"/>
          <w:sz w:val="24"/>
          <w:highlight w:val="none"/>
        </w:rPr>
        <w:t>》GB/T18250-20</w:t>
      </w:r>
      <w:r>
        <w:rPr>
          <w:rFonts w:hint="eastAsia"/>
          <w:color w:val="auto"/>
          <w:sz w:val="24"/>
          <w:highlight w:val="none"/>
          <w:lang w:val="en-US" w:eastAsia="zh-CN"/>
        </w:rPr>
        <w:t>15</w:t>
      </w:r>
    </w:p>
    <w:p w14:paraId="56044DCD">
      <w:pPr>
        <w:ind w:left="735" w:leftChars="270" w:hanging="168" w:hangingChars="70"/>
        <w:rPr>
          <w:rFonts w:hint="default" w:eastAsia="宋体"/>
          <w:color w:val="auto"/>
          <w:sz w:val="24"/>
          <w:highlight w:val="none"/>
          <w:lang w:val="en-US" w:eastAsia="zh-CN"/>
        </w:rPr>
      </w:pPr>
      <w:r>
        <w:rPr>
          <w:color w:val="auto"/>
          <w:kern w:val="0"/>
          <w:sz w:val="24"/>
          <w:highlight w:val="none"/>
        </w:rPr>
        <w:t>《建筑外门窗气密、水密、抗风压性能检测方法》GB/T 7106-20</w:t>
      </w:r>
      <w:r>
        <w:rPr>
          <w:rFonts w:hint="eastAsia"/>
          <w:color w:val="auto"/>
          <w:kern w:val="0"/>
          <w:sz w:val="24"/>
          <w:highlight w:val="none"/>
          <w:lang w:val="en-US" w:eastAsia="zh-CN"/>
        </w:rPr>
        <w:t>19</w:t>
      </w:r>
    </w:p>
    <w:p w14:paraId="49FBB9B6">
      <w:pPr>
        <w:ind w:left="735" w:leftChars="270" w:hanging="168" w:hangingChars="70"/>
        <w:rPr>
          <w:rFonts w:hint="default" w:eastAsia="宋体"/>
          <w:color w:val="auto"/>
          <w:sz w:val="24"/>
          <w:highlight w:val="none"/>
          <w:lang w:val="en-US" w:eastAsia="zh-CN"/>
        </w:rPr>
      </w:pPr>
      <w:r>
        <w:rPr>
          <w:color w:val="auto"/>
          <w:sz w:val="24"/>
          <w:highlight w:val="none"/>
        </w:rPr>
        <w:t>《建筑外</w:t>
      </w:r>
      <w:r>
        <w:rPr>
          <w:rFonts w:hint="eastAsia"/>
          <w:color w:val="auto"/>
          <w:sz w:val="24"/>
          <w:highlight w:val="none"/>
          <w:lang w:val="en-US" w:eastAsia="zh-CN"/>
        </w:rPr>
        <w:t>门</w:t>
      </w:r>
      <w:r>
        <w:rPr>
          <w:color w:val="auto"/>
          <w:sz w:val="24"/>
          <w:highlight w:val="none"/>
        </w:rPr>
        <w:t>窗保温性能检测方法》GB/T8484-20</w:t>
      </w:r>
      <w:r>
        <w:rPr>
          <w:rFonts w:hint="eastAsia"/>
          <w:color w:val="auto"/>
          <w:sz w:val="24"/>
          <w:highlight w:val="none"/>
          <w:lang w:val="en-US" w:eastAsia="zh-CN"/>
        </w:rPr>
        <w:t>20</w:t>
      </w:r>
    </w:p>
    <w:p w14:paraId="5299497E">
      <w:pPr>
        <w:ind w:left="735" w:leftChars="270" w:hanging="168" w:hangingChars="70"/>
        <w:rPr>
          <w:color w:val="auto"/>
          <w:sz w:val="24"/>
          <w:highlight w:val="none"/>
        </w:rPr>
      </w:pPr>
      <w:r>
        <w:rPr>
          <w:color w:val="auto"/>
          <w:sz w:val="24"/>
          <w:highlight w:val="none"/>
        </w:rPr>
        <w:t>《建筑外窗空气隔声性能分级及检测方法》GB/T8485-2008</w:t>
      </w:r>
    </w:p>
    <w:p w14:paraId="038E9909">
      <w:pPr>
        <w:ind w:left="735" w:leftChars="270" w:hanging="168" w:hangingChars="70"/>
        <w:rPr>
          <w:color w:val="auto"/>
          <w:sz w:val="24"/>
          <w:szCs w:val="24"/>
          <w:highlight w:val="none"/>
        </w:rPr>
      </w:pPr>
    </w:p>
    <w:p w14:paraId="3D173B9E">
      <w:pPr>
        <w:autoSpaceDE w:val="0"/>
        <w:autoSpaceDN w:val="0"/>
        <w:adjustRightInd w:val="0"/>
        <w:ind w:left="735" w:leftChars="270" w:hanging="168" w:hangingChars="70"/>
        <w:jc w:val="left"/>
        <w:rPr>
          <w:rFonts w:hint="default" w:eastAsia="宋体"/>
          <w:color w:val="auto"/>
          <w:kern w:val="0"/>
          <w:sz w:val="24"/>
          <w:szCs w:val="24"/>
          <w:highlight w:val="none"/>
          <w:lang w:val="en-US" w:eastAsia="zh-CN"/>
        </w:rPr>
      </w:pPr>
      <w:r>
        <w:rPr>
          <w:color w:val="auto"/>
          <w:kern w:val="0"/>
          <w:sz w:val="24"/>
          <w:szCs w:val="24"/>
          <w:highlight w:val="none"/>
        </w:rPr>
        <w:t>《变形铝及铝合金化学成分》GB/T 3190-20</w:t>
      </w:r>
      <w:r>
        <w:rPr>
          <w:rFonts w:hint="eastAsia"/>
          <w:color w:val="auto"/>
          <w:kern w:val="0"/>
          <w:sz w:val="24"/>
          <w:szCs w:val="24"/>
          <w:highlight w:val="none"/>
          <w:lang w:val="en-US" w:eastAsia="zh-CN"/>
        </w:rPr>
        <w:t>20</w:t>
      </w:r>
    </w:p>
    <w:p w14:paraId="346D37F2">
      <w:pPr>
        <w:autoSpaceDE w:val="0"/>
        <w:autoSpaceDN w:val="0"/>
        <w:adjustRightInd w:val="0"/>
        <w:ind w:left="735" w:leftChars="270" w:hanging="168" w:hangingChars="70"/>
        <w:jc w:val="left"/>
        <w:rPr>
          <w:rFonts w:hint="default" w:eastAsia="宋体"/>
          <w:color w:val="auto"/>
          <w:kern w:val="0"/>
          <w:sz w:val="24"/>
          <w:szCs w:val="24"/>
          <w:highlight w:val="none"/>
          <w:lang w:val="en-US" w:eastAsia="zh-CN"/>
        </w:rPr>
      </w:pPr>
      <w:r>
        <w:rPr>
          <w:color w:val="auto"/>
          <w:kern w:val="0"/>
          <w:sz w:val="24"/>
          <w:szCs w:val="24"/>
          <w:highlight w:val="none"/>
        </w:rPr>
        <w:t>《变形铝及铝合金状态代号》GB/T 16475-20</w:t>
      </w:r>
      <w:r>
        <w:rPr>
          <w:rFonts w:hint="eastAsia"/>
          <w:color w:val="auto"/>
          <w:kern w:val="0"/>
          <w:sz w:val="24"/>
          <w:szCs w:val="24"/>
          <w:highlight w:val="none"/>
          <w:lang w:val="en-US" w:eastAsia="zh-CN"/>
        </w:rPr>
        <w:t>23</w:t>
      </w:r>
    </w:p>
    <w:p w14:paraId="221B1511">
      <w:pPr>
        <w:ind w:left="735" w:leftChars="270" w:hanging="168" w:hangingChars="70"/>
        <w:rPr>
          <w:rFonts w:hint="default" w:eastAsia="宋体"/>
          <w:color w:val="auto"/>
          <w:sz w:val="24"/>
          <w:highlight w:val="none"/>
          <w:lang w:val="en-US" w:eastAsia="zh-CN"/>
        </w:rPr>
      </w:pPr>
      <w:r>
        <w:rPr>
          <w:color w:val="auto"/>
          <w:sz w:val="24"/>
          <w:highlight w:val="none"/>
        </w:rPr>
        <w:t>《铝合金建筑型材》 GB/T5237.1～6-20</w:t>
      </w:r>
      <w:r>
        <w:rPr>
          <w:rFonts w:hint="eastAsia"/>
          <w:color w:val="auto"/>
          <w:sz w:val="24"/>
          <w:highlight w:val="none"/>
          <w:lang w:val="en-US" w:eastAsia="zh-CN"/>
        </w:rPr>
        <w:t>17</w:t>
      </w:r>
    </w:p>
    <w:p w14:paraId="17D4ABBD">
      <w:pPr>
        <w:autoSpaceDE w:val="0"/>
        <w:autoSpaceDN w:val="0"/>
        <w:adjustRightInd w:val="0"/>
        <w:ind w:left="735" w:leftChars="270" w:hanging="168" w:hangingChars="70"/>
        <w:jc w:val="left"/>
        <w:rPr>
          <w:rFonts w:hint="default" w:eastAsia="宋体"/>
          <w:color w:val="auto"/>
          <w:sz w:val="24"/>
          <w:szCs w:val="24"/>
          <w:highlight w:val="none"/>
          <w:lang w:val="en-US" w:eastAsia="zh-CN"/>
        </w:rPr>
      </w:pPr>
      <w:r>
        <w:rPr>
          <w:color w:val="auto"/>
          <w:sz w:val="24"/>
          <w:szCs w:val="24"/>
          <w:highlight w:val="none"/>
        </w:rPr>
        <w:t xml:space="preserve">《铝幕墙板 </w:t>
      </w:r>
      <w:r>
        <w:rPr>
          <w:rFonts w:hint="eastAsia"/>
          <w:color w:val="auto"/>
          <w:sz w:val="24"/>
          <w:szCs w:val="24"/>
          <w:highlight w:val="none"/>
          <w:lang w:val="en-US" w:eastAsia="zh-CN"/>
        </w:rPr>
        <w:t>第2部分 有机聚合物喷涂铝单板</w:t>
      </w:r>
      <w:r>
        <w:rPr>
          <w:color w:val="auto"/>
          <w:sz w:val="24"/>
          <w:szCs w:val="24"/>
          <w:highlight w:val="none"/>
        </w:rPr>
        <w:t>》YS/T429.2-20</w:t>
      </w:r>
      <w:r>
        <w:rPr>
          <w:rFonts w:hint="eastAsia"/>
          <w:color w:val="auto"/>
          <w:sz w:val="24"/>
          <w:szCs w:val="24"/>
          <w:highlight w:val="none"/>
          <w:lang w:val="en-US" w:eastAsia="zh-CN"/>
        </w:rPr>
        <w:t>12</w:t>
      </w:r>
    </w:p>
    <w:p w14:paraId="43FBA104">
      <w:pPr>
        <w:autoSpaceDE w:val="0"/>
        <w:autoSpaceDN w:val="0"/>
        <w:adjustRightInd w:val="0"/>
        <w:ind w:left="735" w:leftChars="270" w:hanging="168" w:hangingChars="70"/>
        <w:jc w:val="left"/>
        <w:rPr>
          <w:color w:val="auto"/>
          <w:sz w:val="24"/>
          <w:szCs w:val="24"/>
          <w:highlight w:val="none"/>
        </w:rPr>
      </w:pPr>
      <w:r>
        <w:rPr>
          <w:color w:val="auto"/>
          <w:sz w:val="24"/>
          <w:szCs w:val="24"/>
          <w:highlight w:val="none"/>
        </w:rPr>
        <w:t>《建筑幕墙用氟碳铝单板制品》JG/T 331-2011</w:t>
      </w:r>
    </w:p>
    <w:p w14:paraId="7522A455">
      <w:pPr>
        <w:autoSpaceDE w:val="0"/>
        <w:autoSpaceDN w:val="0"/>
        <w:adjustRightInd w:val="0"/>
        <w:ind w:left="735" w:leftChars="270" w:hanging="168" w:hangingChars="70"/>
        <w:jc w:val="left"/>
        <w:rPr>
          <w:rFonts w:hint="default" w:eastAsia="宋体"/>
          <w:color w:val="auto"/>
          <w:kern w:val="0"/>
          <w:sz w:val="24"/>
          <w:szCs w:val="24"/>
          <w:highlight w:val="none"/>
          <w:lang w:val="en-US" w:eastAsia="zh-CN"/>
        </w:rPr>
      </w:pPr>
      <w:r>
        <w:rPr>
          <w:color w:val="auto"/>
          <w:kern w:val="0"/>
          <w:sz w:val="24"/>
          <w:szCs w:val="24"/>
          <w:highlight w:val="none"/>
        </w:rPr>
        <w:t>《铝及铝合金阳极氧化膜与有机聚合膜》GB/T 8013-20</w:t>
      </w:r>
      <w:r>
        <w:rPr>
          <w:rFonts w:hint="eastAsia"/>
          <w:color w:val="auto"/>
          <w:kern w:val="0"/>
          <w:sz w:val="24"/>
          <w:szCs w:val="24"/>
          <w:highlight w:val="none"/>
          <w:lang w:val="en-US" w:eastAsia="zh-CN"/>
        </w:rPr>
        <w:t>18</w:t>
      </w:r>
    </w:p>
    <w:p w14:paraId="410373FC">
      <w:pPr>
        <w:autoSpaceDE w:val="0"/>
        <w:autoSpaceDN w:val="0"/>
        <w:adjustRightInd w:val="0"/>
        <w:ind w:left="735" w:leftChars="270" w:hanging="168" w:hangingChars="70"/>
        <w:jc w:val="left"/>
        <w:rPr>
          <w:rFonts w:hint="default" w:eastAsia="宋体"/>
          <w:color w:val="auto"/>
          <w:kern w:val="0"/>
          <w:sz w:val="24"/>
          <w:szCs w:val="24"/>
          <w:highlight w:val="none"/>
          <w:lang w:val="en-US" w:eastAsia="zh-CN"/>
        </w:rPr>
      </w:pPr>
      <w:r>
        <w:rPr>
          <w:color w:val="auto"/>
          <w:kern w:val="0"/>
          <w:sz w:val="24"/>
          <w:szCs w:val="24"/>
          <w:highlight w:val="none"/>
        </w:rPr>
        <w:t>《铝及铝合金挤压棒材》GB/T 3191-</w:t>
      </w:r>
      <w:r>
        <w:rPr>
          <w:rFonts w:hint="eastAsia"/>
          <w:color w:val="auto"/>
          <w:kern w:val="0"/>
          <w:sz w:val="24"/>
          <w:szCs w:val="24"/>
          <w:highlight w:val="none"/>
          <w:lang w:val="en-US" w:eastAsia="zh-CN"/>
        </w:rPr>
        <w:t>2019</w:t>
      </w:r>
    </w:p>
    <w:p w14:paraId="04AC2E85">
      <w:pPr>
        <w:autoSpaceDE w:val="0"/>
        <w:autoSpaceDN w:val="0"/>
        <w:adjustRightInd w:val="0"/>
        <w:ind w:left="735" w:leftChars="270" w:hanging="168" w:hangingChars="70"/>
        <w:jc w:val="left"/>
        <w:rPr>
          <w:color w:val="auto"/>
          <w:kern w:val="0"/>
          <w:sz w:val="24"/>
          <w:szCs w:val="24"/>
          <w:highlight w:val="none"/>
        </w:rPr>
      </w:pPr>
      <w:r>
        <w:rPr>
          <w:color w:val="auto"/>
          <w:kern w:val="0"/>
          <w:sz w:val="24"/>
          <w:szCs w:val="24"/>
          <w:highlight w:val="none"/>
        </w:rPr>
        <w:t>《铝及铝合金加工产品包装、标志、运输、贮存》GB/T3199-2007</w:t>
      </w:r>
    </w:p>
    <w:p w14:paraId="44B446AF">
      <w:pPr>
        <w:autoSpaceDE w:val="0"/>
        <w:autoSpaceDN w:val="0"/>
        <w:adjustRightInd w:val="0"/>
        <w:ind w:left="735" w:leftChars="270" w:hanging="168" w:hangingChars="70"/>
        <w:jc w:val="left"/>
        <w:rPr>
          <w:color w:val="auto"/>
          <w:kern w:val="0"/>
          <w:sz w:val="24"/>
          <w:szCs w:val="24"/>
          <w:highlight w:val="none"/>
        </w:rPr>
      </w:pPr>
    </w:p>
    <w:p w14:paraId="115D0947">
      <w:pPr>
        <w:ind w:left="735" w:leftChars="270" w:hanging="168" w:hangingChars="70"/>
        <w:rPr>
          <w:color w:val="auto"/>
          <w:sz w:val="24"/>
          <w:highlight w:val="none"/>
        </w:rPr>
      </w:pPr>
      <w:r>
        <w:rPr>
          <w:color w:val="auto"/>
          <w:sz w:val="24"/>
          <w:highlight w:val="none"/>
        </w:rPr>
        <w:t>《碳素结构钢》GB/T700-2006</w:t>
      </w:r>
    </w:p>
    <w:p w14:paraId="183A20F2">
      <w:pPr>
        <w:ind w:left="735" w:leftChars="270" w:hanging="168" w:hangingChars="70"/>
        <w:rPr>
          <w:rFonts w:hint="eastAsia" w:eastAsia="宋体"/>
          <w:color w:val="auto"/>
          <w:sz w:val="24"/>
          <w:highlight w:val="none"/>
          <w:lang w:val="en-US" w:eastAsia="zh-CN"/>
        </w:rPr>
      </w:pPr>
      <w:r>
        <w:rPr>
          <w:color w:val="auto"/>
          <w:sz w:val="24"/>
          <w:highlight w:val="none"/>
        </w:rPr>
        <w:t>《</w:t>
      </w:r>
      <w:r>
        <w:rPr>
          <w:rFonts w:hint="eastAsia"/>
          <w:color w:val="auto"/>
          <w:sz w:val="24"/>
          <w:highlight w:val="none"/>
          <w:lang w:val="en-US" w:eastAsia="zh-CN"/>
        </w:rPr>
        <w:t>耐候结构钢</w:t>
      </w:r>
      <w:r>
        <w:rPr>
          <w:color w:val="auto"/>
          <w:sz w:val="24"/>
          <w:highlight w:val="none"/>
        </w:rPr>
        <w:t>》GB/T417</w:t>
      </w:r>
      <w:r>
        <w:rPr>
          <w:rFonts w:hint="eastAsia"/>
          <w:color w:val="auto"/>
          <w:sz w:val="24"/>
          <w:highlight w:val="none"/>
          <w:lang w:val="en-US" w:eastAsia="zh-CN"/>
        </w:rPr>
        <w:t>1</w:t>
      </w:r>
      <w:r>
        <w:rPr>
          <w:color w:val="auto"/>
          <w:sz w:val="24"/>
          <w:highlight w:val="none"/>
        </w:rPr>
        <w:t>-200</w:t>
      </w:r>
      <w:r>
        <w:rPr>
          <w:rFonts w:hint="eastAsia"/>
          <w:color w:val="auto"/>
          <w:sz w:val="24"/>
          <w:highlight w:val="none"/>
          <w:lang w:val="en-US" w:eastAsia="zh-CN"/>
        </w:rPr>
        <w:t>8</w:t>
      </w:r>
    </w:p>
    <w:p w14:paraId="499CE398">
      <w:pPr>
        <w:ind w:left="735" w:leftChars="270" w:hanging="168" w:hangingChars="70"/>
        <w:rPr>
          <w:rFonts w:hint="default" w:eastAsia="宋体"/>
          <w:color w:val="auto"/>
          <w:sz w:val="24"/>
          <w:szCs w:val="24"/>
          <w:highlight w:val="none"/>
          <w:lang w:val="en-US" w:eastAsia="zh-CN"/>
        </w:rPr>
      </w:pPr>
      <w:r>
        <w:rPr>
          <w:color w:val="auto"/>
          <w:sz w:val="24"/>
          <w:szCs w:val="24"/>
          <w:highlight w:val="none"/>
        </w:rPr>
        <w:t>《</w:t>
      </w:r>
      <w:r>
        <w:rPr>
          <w:color w:val="auto"/>
          <w:spacing w:val="8"/>
          <w:kern w:val="0"/>
          <w:sz w:val="24"/>
          <w:szCs w:val="24"/>
          <w:highlight w:val="none"/>
        </w:rPr>
        <w:t>碳素结构钢和低合金结构热轧钢板及钢带</w:t>
      </w:r>
      <w:r>
        <w:rPr>
          <w:color w:val="auto"/>
          <w:sz w:val="24"/>
          <w:szCs w:val="24"/>
          <w:highlight w:val="none"/>
        </w:rPr>
        <w:t>》GB/T</w:t>
      </w:r>
      <w:r>
        <w:rPr>
          <w:rFonts w:hint="eastAsia"/>
          <w:color w:val="auto"/>
          <w:sz w:val="24"/>
          <w:szCs w:val="24"/>
          <w:highlight w:val="none"/>
          <w:lang w:val="en-US" w:eastAsia="zh-CN"/>
        </w:rPr>
        <w:t>3274</w:t>
      </w:r>
      <w:r>
        <w:rPr>
          <w:color w:val="auto"/>
          <w:sz w:val="24"/>
          <w:szCs w:val="24"/>
          <w:highlight w:val="none"/>
        </w:rPr>
        <w:t>-20</w:t>
      </w:r>
      <w:r>
        <w:rPr>
          <w:rFonts w:hint="eastAsia"/>
          <w:color w:val="auto"/>
          <w:sz w:val="24"/>
          <w:szCs w:val="24"/>
          <w:highlight w:val="none"/>
          <w:lang w:val="en-US" w:eastAsia="zh-CN"/>
        </w:rPr>
        <w:t>17</w:t>
      </w:r>
    </w:p>
    <w:p w14:paraId="23D1EA2D">
      <w:pPr>
        <w:ind w:left="735" w:leftChars="270" w:hanging="168" w:hangingChars="70"/>
        <w:rPr>
          <w:color w:val="auto"/>
          <w:sz w:val="24"/>
          <w:highlight w:val="none"/>
        </w:rPr>
      </w:pPr>
      <w:r>
        <w:rPr>
          <w:color w:val="auto"/>
          <w:sz w:val="24"/>
          <w:highlight w:val="none"/>
        </w:rPr>
        <w:t>《不锈钢棒》GB1220-2007</w:t>
      </w:r>
    </w:p>
    <w:p w14:paraId="53101342">
      <w:pPr>
        <w:ind w:left="735" w:leftChars="270" w:hanging="168" w:hangingChars="70"/>
        <w:rPr>
          <w:rFonts w:hint="default" w:eastAsia="宋体"/>
          <w:color w:val="auto"/>
          <w:sz w:val="24"/>
          <w:szCs w:val="24"/>
          <w:highlight w:val="none"/>
          <w:lang w:val="en-US" w:eastAsia="zh-CN"/>
        </w:rPr>
      </w:pPr>
      <w:r>
        <w:rPr>
          <w:color w:val="auto"/>
          <w:sz w:val="24"/>
          <w:szCs w:val="24"/>
          <w:highlight w:val="none"/>
        </w:rPr>
        <w:t>《不锈钢冷轧钢板和钢带》GB/T3280-20</w:t>
      </w:r>
      <w:r>
        <w:rPr>
          <w:rFonts w:hint="eastAsia"/>
          <w:color w:val="auto"/>
          <w:sz w:val="24"/>
          <w:szCs w:val="24"/>
          <w:highlight w:val="none"/>
          <w:lang w:val="en-US" w:eastAsia="zh-CN"/>
        </w:rPr>
        <w:t>15</w:t>
      </w:r>
    </w:p>
    <w:p w14:paraId="7F5CE188">
      <w:pPr>
        <w:ind w:left="735" w:leftChars="270" w:hanging="168" w:hangingChars="70"/>
        <w:rPr>
          <w:rFonts w:hint="default" w:eastAsia="宋体"/>
          <w:color w:val="auto"/>
          <w:sz w:val="24"/>
          <w:szCs w:val="24"/>
          <w:highlight w:val="none"/>
          <w:lang w:val="en-US" w:eastAsia="zh-CN"/>
        </w:rPr>
      </w:pPr>
      <w:r>
        <w:rPr>
          <w:color w:val="auto"/>
          <w:sz w:val="24"/>
          <w:szCs w:val="24"/>
          <w:highlight w:val="none"/>
        </w:rPr>
        <w:t>《不锈钢热轧钢板和钢带》GB/T4237-20</w:t>
      </w:r>
      <w:r>
        <w:rPr>
          <w:rFonts w:hint="eastAsia"/>
          <w:color w:val="auto"/>
          <w:sz w:val="24"/>
          <w:szCs w:val="24"/>
          <w:highlight w:val="none"/>
          <w:lang w:val="en-US" w:eastAsia="zh-CN"/>
        </w:rPr>
        <w:t>15</w:t>
      </w:r>
    </w:p>
    <w:p w14:paraId="2554B3A7">
      <w:pPr>
        <w:ind w:left="735" w:leftChars="270" w:hanging="168" w:hangingChars="70"/>
        <w:rPr>
          <w:rFonts w:hint="default" w:eastAsia="宋体"/>
          <w:color w:val="auto"/>
          <w:sz w:val="24"/>
          <w:highlight w:val="none"/>
          <w:lang w:val="en-US" w:eastAsia="zh-CN"/>
        </w:rPr>
      </w:pPr>
      <w:r>
        <w:rPr>
          <w:color w:val="auto"/>
          <w:sz w:val="24"/>
          <w:szCs w:val="24"/>
          <w:highlight w:val="none"/>
        </w:rPr>
        <w:t>《不锈钢丝绳》</w:t>
      </w:r>
      <w:r>
        <w:rPr>
          <w:color w:val="auto"/>
          <w:sz w:val="24"/>
          <w:highlight w:val="none"/>
        </w:rPr>
        <w:t>GB9944-20</w:t>
      </w:r>
      <w:r>
        <w:rPr>
          <w:rFonts w:hint="eastAsia"/>
          <w:color w:val="auto"/>
          <w:sz w:val="24"/>
          <w:highlight w:val="none"/>
          <w:lang w:val="en-US" w:eastAsia="zh-CN"/>
        </w:rPr>
        <w:t>15</w:t>
      </w:r>
    </w:p>
    <w:p w14:paraId="3618B035">
      <w:pPr>
        <w:ind w:left="735" w:leftChars="270" w:hanging="168" w:hangingChars="70"/>
        <w:rPr>
          <w:color w:val="auto"/>
          <w:sz w:val="24"/>
          <w:szCs w:val="24"/>
          <w:highlight w:val="none"/>
        </w:rPr>
      </w:pPr>
      <w:r>
        <w:rPr>
          <w:color w:val="auto"/>
          <w:sz w:val="24"/>
          <w:szCs w:val="24"/>
          <w:highlight w:val="none"/>
        </w:rPr>
        <w:t>《</w:t>
      </w:r>
      <w:r>
        <w:rPr>
          <w:color w:val="auto"/>
          <w:spacing w:val="8"/>
          <w:kern w:val="0"/>
          <w:sz w:val="24"/>
          <w:szCs w:val="24"/>
          <w:highlight w:val="none"/>
        </w:rPr>
        <w:t>建筑玻璃点支承装置</w:t>
      </w:r>
      <w:r>
        <w:rPr>
          <w:color w:val="auto"/>
          <w:sz w:val="24"/>
          <w:szCs w:val="24"/>
          <w:highlight w:val="none"/>
        </w:rPr>
        <w:t>》</w:t>
      </w:r>
      <w:r>
        <w:rPr>
          <w:color w:val="auto"/>
          <w:spacing w:val="8"/>
          <w:kern w:val="0"/>
          <w:sz w:val="24"/>
          <w:szCs w:val="24"/>
          <w:highlight w:val="none"/>
        </w:rPr>
        <w:t>JG/T138-2010</w:t>
      </w:r>
    </w:p>
    <w:p w14:paraId="2F240020">
      <w:pPr>
        <w:ind w:left="735" w:leftChars="270" w:hanging="168" w:hangingChars="70"/>
        <w:rPr>
          <w:rFonts w:hint="default" w:eastAsia="宋体"/>
          <w:color w:val="auto"/>
          <w:sz w:val="24"/>
          <w:szCs w:val="24"/>
          <w:highlight w:val="none"/>
          <w:lang w:val="en-US" w:eastAsia="zh-CN"/>
        </w:rPr>
      </w:pPr>
      <w:r>
        <w:rPr>
          <w:color w:val="auto"/>
          <w:sz w:val="24"/>
          <w:szCs w:val="24"/>
          <w:highlight w:val="none"/>
        </w:rPr>
        <w:t>《</w:t>
      </w:r>
      <w:r>
        <w:rPr>
          <w:color w:val="auto"/>
          <w:spacing w:val="8"/>
          <w:kern w:val="0"/>
          <w:sz w:val="24"/>
          <w:szCs w:val="24"/>
          <w:highlight w:val="none"/>
        </w:rPr>
        <w:t>吊挂式玻璃幕墙</w:t>
      </w:r>
      <w:r>
        <w:rPr>
          <w:rFonts w:hint="eastAsia"/>
          <w:color w:val="auto"/>
          <w:spacing w:val="8"/>
          <w:kern w:val="0"/>
          <w:sz w:val="24"/>
          <w:szCs w:val="24"/>
          <w:highlight w:val="none"/>
          <w:lang w:val="en-US" w:eastAsia="zh-CN"/>
        </w:rPr>
        <w:t>用吊夹</w:t>
      </w:r>
      <w:r>
        <w:rPr>
          <w:color w:val="auto"/>
          <w:sz w:val="24"/>
          <w:szCs w:val="24"/>
          <w:highlight w:val="none"/>
        </w:rPr>
        <w:t>》</w:t>
      </w:r>
      <w:r>
        <w:rPr>
          <w:color w:val="auto"/>
          <w:spacing w:val="8"/>
          <w:kern w:val="0"/>
          <w:sz w:val="24"/>
          <w:szCs w:val="24"/>
          <w:highlight w:val="none"/>
        </w:rPr>
        <w:t>JG</w:t>
      </w:r>
      <w:r>
        <w:rPr>
          <w:rFonts w:hint="eastAsia"/>
          <w:color w:val="auto"/>
          <w:spacing w:val="8"/>
          <w:kern w:val="0"/>
          <w:sz w:val="24"/>
          <w:szCs w:val="24"/>
          <w:highlight w:val="none"/>
          <w:lang w:val="en-US" w:eastAsia="zh-CN"/>
        </w:rPr>
        <w:t>/T</w:t>
      </w:r>
      <w:r>
        <w:rPr>
          <w:color w:val="auto"/>
          <w:spacing w:val="8"/>
          <w:kern w:val="0"/>
          <w:sz w:val="24"/>
          <w:szCs w:val="24"/>
          <w:highlight w:val="none"/>
        </w:rPr>
        <w:t>139-20</w:t>
      </w:r>
      <w:r>
        <w:rPr>
          <w:rFonts w:hint="eastAsia"/>
          <w:color w:val="auto"/>
          <w:spacing w:val="8"/>
          <w:kern w:val="0"/>
          <w:sz w:val="24"/>
          <w:szCs w:val="24"/>
          <w:highlight w:val="none"/>
          <w:lang w:val="en-US" w:eastAsia="zh-CN"/>
        </w:rPr>
        <w:t>17</w:t>
      </w:r>
    </w:p>
    <w:p w14:paraId="38EE4DFB">
      <w:pPr>
        <w:ind w:left="735" w:leftChars="270" w:hanging="168" w:hangingChars="70"/>
        <w:rPr>
          <w:color w:val="auto"/>
          <w:sz w:val="24"/>
          <w:szCs w:val="24"/>
          <w:highlight w:val="none"/>
        </w:rPr>
      </w:pPr>
      <w:r>
        <w:rPr>
          <w:color w:val="auto"/>
          <w:sz w:val="24"/>
          <w:szCs w:val="24"/>
          <w:highlight w:val="none"/>
        </w:rPr>
        <w:t>《</w:t>
      </w:r>
      <w:r>
        <w:rPr>
          <w:color w:val="auto"/>
          <w:kern w:val="0"/>
          <w:sz w:val="24"/>
          <w:highlight w:val="none"/>
        </w:rPr>
        <w:t>建筑幕墙用</w:t>
      </w:r>
      <w:r>
        <w:rPr>
          <w:color w:val="auto"/>
          <w:sz w:val="24"/>
          <w:szCs w:val="24"/>
          <w:highlight w:val="none"/>
        </w:rPr>
        <w:t>钢索压管接头》JG/T201-2007</w:t>
      </w:r>
    </w:p>
    <w:p w14:paraId="75D44103">
      <w:pPr>
        <w:ind w:left="735" w:leftChars="270" w:hanging="168" w:hangingChars="70"/>
        <w:rPr>
          <w:rFonts w:hint="default" w:eastAsia="宋体"/>
          <w:color w:val="auto"/>
          <w:sz w:val="24"/>
          <w:szCs w:val="24"/>
          <w:highlight w:val="none"/>
          <w:lang w:val="en-US" w:eastAsia="zh-CN"/>
        </w:rPr>
      </w:pPr>
      <w:r>
        <w:rPr>
          <w:color w:val="auto"/>
          <w:sz w:val="24"/>
          <w:szCs w:val="24"/>
          <w:highlight w:val="none"/>
        </w:rPr>
        <w:t>《</w:t>
      </w:r>
      <w:r>
        <w:rPr>
          <w:color w:val="auto"/>
          <w:kern w:val="0"/>
          <w:sz w:val="24"/>
          <w:szCs w:val="24"/>
          <w:highlight w:val="none"/>
        </w:rPr>
        <w:t>结构用</w:t>
      </w:r>
      <w:r>
        <w:rPr>
          <w:color w:val="auto"/>
          <w:sz w:val="24"/>
          <w:szCs w:val="24"/>
          <w:highlight w:val="none"/>
        </w:rPr>
        <w:t>无缝钢管》GB/T 8162-20</w:t>
      </w:r>
      <w:r>
        <w:rPr>
          <w:rFonts w:hint="eastAsia"/>
          <w:color w:val="auto"/>
          <w:sz w:val="24"/>
          <w:szCs w:val="24"/>
          <w:highlight w:val="none"/>
          <w:lang w:val="en-US" w:eastAsia="zh-CN"/>
        </w:rPr>
        <w:t>18</w:t>
      </w:r>
    </w:p>
    <w:p w14:paraId="1895C8BA">
      <w:pPr>
        <w:ind w:left="735" w:leftChars="270" w:hanging="168" w:hangingChars="70"/>
        <w:rPr>
          <w:color w:val="auto"/>
          <w:kern w:val="0"/>
          <w:sz w:val="24"/>
          <w:highlight w:val="none"/>
        </w:rPr>
      </w:pPr>
      <w:r>
        <w:rPr>
          <w:color w:val="auto"/>
          <w:kern w:val="0"/>
          <w:sz w:val="24"/>
          <w:highlight w:val="none"/>
        </w:rPr>
        <w:t>《建筑用钢结构防腐涂料》JG/T 224-2007</w:t>
      </w:r>
    </w:p>
    <w:p w14:paraId="59FE1213">
      <w:pPr>
        <w:ind w:left="735" w:leftChars="270" w:hanging="168" w:hangingChars="70"/>
        <w:rPr>
          <w:rFonts w:hint="default" w:eastAsia="宋体"/>
          <w:color w:val="auto"/>
          <w:sz w:val="24"/>
          <w:szCs w:val="24"/>
          <w:highlight w:val="none"/>
          <w:lang w:val="en-US" w:eastAsia="zh-CN"/>
        </w:rPr>
      </w:pPr>
      <w:r>
        <w:rPr>
          <w:color w:val="auto"/>
          <w:sz w:val="24"/>
          <w:szCs w:val="24"/>
          <w:highlight w:val="none"/>
        </w:rPr>
        <w:t>《建筑防腐蚀工程施工质量验收规范》 GB 50224-20</w:t>
      </w:r>
      <w:r>
        <w:rPr>
          <w:rFonts w:hint="eastAsia"/>
          <w:color w:val="auto"/>
          <w:sz w:val="24"/>
          <w:szCs w:val="24"/>
          <w:highlight w:val="none"/>
          <w:lang w:val="en-US" w:eastAsia="zh-CN"/>
        </w:rPr>
        <w:t>18</w:t>
      </w:r>
    </w:p>
    <w:p w14:paraId="3F1061E6">
      <w:pPr>
        <w:ind w:left="735" w:leftChars="270" w:hanging="168" w:hangingChars="70"/>
        <w:rPr>
          <w:color w:val="auto"/>
          <w:kern w:val="0"/>
          <w:sz w:val="24"/>
          <w:szCs w:val="24"/>
          <w:highlight w:val="none"/>
        </w:rPr>
      </w:pPr>
      <w:r>
        <w:rPr>
          <w:color w:val="auto"/>
          <w:sz w:val="24"/>
          <w:szCs w:val="24"/>
          <w:highlight w:val="none"/>
        </w:rPr>
        <w:t>《建筑钢结构防腐蚀技术规程(附条文说明)》JGJ/T 251-2011</w:t>
      </w:r>
    </w:p>
    <w:p w14:paraId="238473E8">
      <w:pPr>
        <w:ind w:left="735" w:leftChars="270" w:hanging="168" w:hangingChars="70"/>
        <w:rPr>
          <w:rFonts w:hint="default" w:eastAsia="宋体"/>
          <w:color w:val="auto"/>
          <w:kern w:val="0"/>
          <w:sz w:val="24"/>
          <w:szCs w:val="24"/>
          <w:highlight w:val="none"/>
          <w:lang w:val="en-US" w:eastAsia="zh-CN"/>
        </w:rPr>
      </w:pPr>
      <w:r>
        <w:rPr>
          <w:color w:val="auto"/>
          <w:kern w:val="0"/>
          <w:sz w:val="24"/>
          <w:szCs w:val="24"/>
          <w:highlight w:val="none"/>
        </w:rPr>
        <w:t>《交联型氟树脂涂料》HG/T 3792—20</w:t>
      </w:r>
      <w:r>
        <w:rPr>
          <w:rFonts w:hint="eastAsia"/>
          <w:color w:val="auto"/>
          <w:kern w:val="0"/>
          <w:sz w:val="24"/>
          <w:szCs w:val="24"/>
          <w:highlight w:val="none"/>
          <w:lang w:val="en-US" w:eastAsia="zh-CN"/>
        </w:rPr>
        <w:t>14</w:t>
      </w:r>
    </w:p>
    <w:p w14:paraId="62927F84">
      <w:pPr>
        <w:ind w:left="735" w:leftChars="270" w:hanging="168" w:hangingChars="70"/>
        <w:rPr>
          <w:color w:val="auto"/>
          <w:sz w:val="24"/>
          <w:highlight w:val="none"/>
        </w:rPr>
      </w:pPr>
    </w:p>
    <w:p w14:paraId="5A16D630">
      <w:pPr>
        <w:ind w:left="735" w:leftChars="270" w:hanging="168" w:hangingChars="70"/>
        <w:rPr>
          <w:rFonts w:hint="default" w:eastAsia="宋体"/>
          <w:color w:val="auto"/>
          <w:kern w:val="0"/>
          <w:sz w:val="24"/>
          <w:highlight w:val="none"/>
          <w:lang w:val="en-US" w:eastAsia="zh-CN"/>
        </w:rPr>
      </w:pPr>
      <w:r>
        <w:rPr>
          <w:color w:val="auto"/>
          <w:kern w:val="0"/>
          <w:sz w:val="24"/>
          <w:highlight w:val="none"/>
        </w:rPr>
        <w:t>《平板玻璃》GB 11614-20</w:t>
      </w:r>
      <w:r>
        <w:rPr>
          <w:rFonts w:hint="eastAsia"/>
          <w:color w:val="auto"/>
          <w:kern w:val="0"/>
          <w:sz w:val="24"/>
          <w:highlight w:val="none"/>
          <w:lang w:val="en-US" w:eastAsia="zh-CN"/>
        </w:rPr>
        <w:t>22</w:t>
      </w:r>
    </w:p>
    <w:p w14:paraId="084FB257">
      <w:pPr>
        <w:ind w:left="735" w:leftChars="270" w:hanging="168" w:hangingChars="70"/>
        <w:rPr>
          <w:color w:val="auto"/>
          <w:sz w:val="24"/>
          <w:highlight w:val="none"/>
        </w:rPr>
      </w:pPr>
      <w:r>
        <w:rPr>
          <w:color w:val="auto"/>
          <w:sz w:val="24"/>
          <w:highlight w:val="none"/>
        </w:rPr>
        <w:t>《半钢化玻璃》GB17841-2008</w:t>
      </w:r>
    </w:p>
    <w:p w14:paraId="401C6792">
      <w:pPr>
        <w:ind w:left="735" w:leftChars="270" w:hanging="168" w:hangingChars="70"/>
        <w:rPr>
          <w:rFonts w:hint="default" w:eastAsia="宋体"/>
          <w:color w:val="auto"/>
          <w:sz w:val="24"/>
          <w:highlight w:val="none"/>
          <w:lang w:val="en-US" w:eastAsia="zh-CN"/>
        </w:rPr>
      </w:pPr>
      <w:r>
        <w:rPr>
          <w:color w:val="auto"/>
          <w:sz w:val="24"/>
          <w:highlight w:val="none"/>
        </w:rPr>
        <w:t>《中空玻璃》GB</w:t>
      </w:r>
      <w:r>
        <w:rPr>
          <w:rFonts w:hint="eastAsia"/>
          <w:color w:val="auto"/>
          <w:sz w:val="24"/>
          <w:highlight w:val="none"/>
          <w:lang w:val="en-US" w:eastAsia="zh-CN"/>
        </w:rPr>
        <w:t>/T</w:t>
      </w:r>
      <w:r>
        <w:rPr>
          <w:color w:val="auto"/>
          <w:sz w:val="24"/>
          <w:highlight w:val="none"/>
        </w:rPr>
        <w:t>11944－20</w:t>
      </w:r>
      <w:r>
        <w:rPr>
          <w:rFonts w:hint="eastAsia"/>
          <w:color w:val="auto"/>
          <w:sz w:val="24"/>
          <w:highlight w:val="none"/>
          <w:lang w:val="en-US" w:eastAsia="zh-CN"/>
        </w:rPr>
        <w:t>12</w:t>
      </w:r>
    </w:p>
    <w:p w14:paraId="12579E1E">
      <w:pPr>
        <w:ind w:left="735" w:leftChars="270" w:hanging="168" w:hangingChars="70"/>
        <w:rPr>
          <w:rFonts w:hint="default" w:eastAsia="宋体"/>
          <w:color w:val="auto"/>
          <w:sz w:val="24"/>
          <w:highlight w:val="none"/>
          <w:lang w:val="en-US" w:eastAsia="zh-CN"/>
        </w:rPr>
      </w:pPr>
      <w:r>
        <w:rPr>
          <w:color w:val="auto"/>
          <w:sz w:val="24"/>
          <w:highlight w:val="none"/>
        </w:rPr>
        <w:t>《镀膜玻璃》GB/T18915－20</w:t>
      </w:r>
      <w:r>
        <w:rPr>
          <w:rFonts w:hint="eastAsia"/>
          <w:color w:val="auto"/>
          <w:sz w:val="24"/>
          <w:highlight w:val="none"/>
          <w:lang w:val="en-US" w:eastAsia="zh-CN"/>
        </w:rPr>
        <w:t>13</w:t>
      </w:r>
    </w:p>
    <w:p w14:paraId="565A17AB">
      <w:pPr>
        <w:ind w:left="735" w:leftChars="270" w:hanging="168" w:hangingChars="70"/>
        <w:rPr>
          <w:color w:val="auto"/>
          <w:sz w:val="24"/>
          <w:highlight w:val="none"/>
        </w:rPr>
      </w:pPr>
      <w:r>
        <w:rPr>
          <w:color w:val="auto"/>
          <w:sz w:val="24"/>
          <w:highlight w:val="none"/>
        </w:rPr>
        <w:t>《建筑用安全玻璃》GB15763.1～</w:t>
      </w:r>
      <w:r>
        <w:rPr>
          <w:color w:val="auto"/>
          <w:kern w:val="0"/>
          <w:sz w:val="24"/>
          <w:szCs w:val="24"/>
          <w:highlight w:val="none"/>
        </w:rPr>
        <w:t>4</w:t>
      </w:r>
      <w:r>
        <w:rPr>
          <w:color w:val="auto"/>
          <w:sz w:val="24"/>
          <w:highlight w:val="none"/>
        </w:rPr>
        <w:t>-2009</w:t>
      </w:r>
    </w:p>
    <w:p w14:paraId="7F710AF1">
      <w:pPr>
        <w:ind w:left="735" w:leftChars="270" w:hanging="168" w:hangingChars="70"/>
        <w:rPr>
          <w:color w:val="auto"/>
          <w:sz w:val="24"/>
          <w:szCs w:val="24"/>
          <w:highlight w:val="none"/>
        </w:rPr>
      </w:pPr>
      <w:r>
        <w:rPr>
          <w:color w:val="auto"/>
          <w:sz w:val="24"/>
          <w:szCs w:val="24"/>
          <w:highlight w:val="none"/>
        </w:rPr>
        <w:t>《建筑用玻璃与金属护栏》JG/T 342-2012</w:t>
      </w:r>
    </w:p>
    <w:p w14:paraId="1293F26E">
      <w:pPr>
        <w:ind w:left="735" w:leftChars="270" w:hanging="168" w:hangingChars="70"/>
        <w:rPr>
          <w:color w:val="auto"/>
          <w:sz w:val="24"/>
          <w:highlight w:val="none"/>
        </w:rPr>
      </w:pPr>
    </w:p>
    <w:p w14:paraId="122B3703">
      <w:pPr>
        <w:ind w:left="735" w:leftChars="270" w:hanging="168" w:hangingChars="70"/>
        <w:rPr>
          <w:color w:val="auto"/>
          <w:sz w:val="24"/>
          <w:highlight w:val="none"/>
        </w:rPr>
      </w:pPr>
      <w:r>
        <w:rPr>
          <w:color w:val="auto"/>
          <w:sz w:val="24"/>
          <w:highlight w:val="none"/>
        </w:rPr>
        <w:t>《建筑用硅酮结构密封胶》GB16776-2005</w:t>
      </w:r>
    </w:p>
    <w:p w14:paraId="61A750CC">
      <w:pPr>
        <w:ind w:left="735" w:leftChars="270" w:hanging="168" w:hangingChars="70"/>
        <w:rPr>
          <w:rFonts w:hint="default" w:eastAsia="宋体"/>
          <w:color w:val="auto"/>
          <w:sz w:val="24"/>
          <w:highlight w:val="none"/>
          <w:lang w:val="en-US" w:eastAsia="zh-CN"/>
        </w:rPr>
      </w:pPr>
      <w:r>
        <w:rPr>
          <w:color w:val="auto"/>
          <w:sz w:val="24"/>
          <w:highlight w:val="none"/>
        </w:rPr>
        <w:t>《中空玻璃用丁基热熔密封胶》JC/T914-20</w:t>
      </w:r>
      <w:r>
        <w:rPr>
          <w:rFonts w:hint="eastAsia"/>
          <w:color w:val="auto"/>
          <w:sz w:val="24"/>
          <w:highlight w:val="none"/>
          <w:lang w:val="en-US" w:eastAsia="zh-CN"/>
        </w:rPr>
        <w:t>14</w:t>
      </w:r>
    </w:p>
    <w:p w14:paraId="2C86BC1E">
      <w:pPr>
        <w:ind w:left="735" w:leftChars="270" w:hanging="168" w:hangingChars="70"/>
        <w:rPr>
          <w:rFonts w:hint="default" w:eastAsia="宋体"/>
          <w:color w:val="auto"/>
          <w:sz w:val="24"/>
          <w:highlight w:val="none"/>
          <w:lang w:val="en-US" w:eastAsia="zh-CN"/>
        </w:rPr>
      </w:pPr>
      <w:r>
        <w:rPr>
          <w:color w:val="auto"/>
          <w:sz w:val="24"/>
          <w:highlight w:val="none"/>
        </w:rPr>
        <w:t>《聚硫建筑密封胶》JC483-20</w:t>
      </w:r>
      <w:r>
        <w:rPr>
          <w:rFonts w:hint="eastAsia"/>
          <w:color w:val="auto"/>
          <w:sz w:val="24"/>
          <w:highlight w:val="none"/>
          <w:lang w:val="en-US" w:eastAsia="zh-CN"/>
        </w:rPr>
        <w:t>22</w:t>
      </w:r>
    </w:p>
    <w:p w14:paraId="20D17950">
      <w:pPr>
        <w:ind w:left="735" w:leftChars="270" w:hanging="168" w:hangingChars="70"/>
        <w:rPr>
          <w:color w:val="auto"/>
          <w:sz w:val="24"/>
          <w:szCs w:val="24"/>
          <w:highlight w:val="none"/>
        </w:rPr>
      </w:pPr>
      <w:r>
        <w:rPr>
          <w:color w:val="auto"/>
          <w:sz w:val="24"/>
          <w:szCs w:val="24"/>
          <w:highlight w:val="none"/>
        </w:rPr>
        <w:t>《</w:t>
      </w:r>
      <w:r>
        <w:rPr>
          <w:color w:val="auto"/>
          <w:spacing w:val="8"/>
          <w:kern w:val="0"/>
          <w:sz w:val="24"/>
          <w:szCs w:val="24"/>
          <w:highlight w:val="none"/>
        </w:rPr>
        <w:t>建筑橡胶密封垫密封玻璃窗和镶板的预成型实心硫化结构密封垫材料规范</w:t>
      </w:r>
      <w:r>
        <w:rPr>
          <w:color w:val="auto"/>
          <w:sz w:val="24"/>
          <w:szCs w:val="24"/>
          <w:highlight w:val="none"/>
        </w:rPr>
        <w:t>》HB/T3099-2004</w:t>
      </w:r>
    </w:p>
    <w:p w14:paraId="0283CAB1">
      <w:pPr>
        <w:ind w:left="735" w:leftChars="270" w:hanging="168" w:hangingChars="70"/>
        <w:rPr>
          <w:color w:val="auto"/>
          <w:sz w:val="24"/>
          <w:highlight w:val="none"/>
        </w:rPr>
      </w:pPr>
      <w:r>
        <w:rPr>
          <w:color w:val="auto"/>
          <w:sz w:val="24"/>
          <w:highlight w:val="none"/>
        </w:rPr>
        <w:t>《建筑窗用弹性密封胶》JC/T485-2007</w:t>
      </w:r>
    </w:p>
    <w:p w14:paraId="5A830E92">
      <w:pPr>
        <w:ind w:left="735" w:leftChars="270" w:hanging="168" w:hangingChars="70"/>
        <w:rPr>
          <w:color w:val="auto"/>
          <w:kern w:val="0"/>
          <w:sz w:val="24"/>
          <w:szCs w:val="24"/>
          <w:highlight w:val="none"/>
        </w:rPr>
      </w:pPr>
      <w:r>
        <w:rPr>
          <w:color w:val="auto"/>
          <w:kern w:val="0"/>
          <w:sz w:val="24"/>
          <w:szCs w:val="24"/>
          <w:highlight w:val="none"/>
        </w:rPr>
        <w:t>《</w:t>
      </w:r>
      <w:r>
        <w:rPr>
          <w:color w:val="auto"/>
          <w:kern w:val="0"/>
          <w:sz w:val="24"/>
          <w:highlight w:val="none"/>
        </w:rPr>
        <w:t>建筑用阻燃密封胶</w:t>
      </w:r>
      <w:r>
        <w:rPr>
          <w:color w:val="auto"/>
          <w:kern w:val="0"/>
          <w:sz w:val="24"/>
          <w:szCs w:val="24"/>
          <w:highlight w:val="none"/>
        </w:rPr>
        <w:t>》</w:t>
      </w:r>
      <w:r>
        <w:rPr>
          <w:color w:val="auto"/>
          <w:kern w:val="0"/>
          <w:sz w:val="24"/>
          <w:highlight w:val="none"/>
        </w:rPr>
        <w:t>GB/T 24267-2009</w:t>
      </w:r>
    </w:p>
    <w:p w14:paraId="33C1B97B">
      <w:pPr>
        <w:ind w:left="735" w:leftChars="270" w:hanging="168" w:hangingChars="70"/>
        <w:rPr>
          <w:color w:val="auto"/>
          <w:kern w:val="0"/>
          <w:sz w:val="24"/>
          <w:szCs w:val="24"/>
          <w:highlight w:val="none"/>
        </w:rPr>
      </w:pPr>
      <w:r>
        <w:rPr>
          <w:color w:val="auto"/>
          <w:kern w:val="0"/>
          <w:sz w:val="24"/>
          <w:szCs w:val="24"/>
          <w:highlight w:val="none"/>
        </w:rPr>
        <w:t>《建筑门窗、幕墙用密封胶条》GB/T 24498-2009</w:t>
      </w:r>
    </w:p>
    <w:p w14:paraId="4AF8AC03">
      <w:pPr>
        <w:ind w:left="735" w:leftChars="270" w:hanging="168" w:hangingChars="70"/>
        <w:rPr>
          <w:color w:val="auto"/>
          <w:kern w:val="0"/>
          <w:sz w:val="24"/>
          <w:szCs w:val="24"/>
          <w:highlight w:val="none"/>
        </w:rPr>
      </w:pPr>
      <w:r>
        <w:rPr>
          <w:color w:val="auto"/>
          <w:kern w:val="0"/>
          <w:sz w:val="24"/>
          <w:szCs w:val="24"/>
          <w:highlight w:val="none"/>
        </w:rPr>
        <w:t>《建筑密封材料试验方法》GB/T 13477-2002</w:t>
      </w:r>
    </w:p>
    <w:p w14:paraId="59248966">
      <w:pPr>
        <w:ind w:left="735" w:leftChars="270" w:hanging="168" w:hangingChars="70"/>
        <w:rPr>
          <w:color w:val="auto"/>
          <w:kern w:val="0"/>
          <w:sz w:val="24"/>
          <w:szCs w:val="24"/>
          <w:highlight w:val="none"/>
        </w:rPr>
      </w:pPr>
      <w:r>
        <w:rPr>
          <w:color w:val="auto"/>
          <w:sz w:val="24"/>
          <w:szCs w:val="24"/>
          <w:highlight w:val="none"/>
        </w:rPr>
        <w:t>《建筑门窗密封毛条》JC/T 635-2011</w:t>
      </w:r>
    </w:p>
    <w:p w14:paraId="0A923E70">
      <w:pPr>
        <w:ind w:left="735" w:leftChars="270" w:hanging="168" w:hangingChars="70"/>
        <w:rPr>
          <w:color w:val="auto"/>
          <w:sz w:val="24"/>
          <w:highlight w:val="none"/>
        </w:rPr>
      </w:pPr>
    </w:p>
    <w:p w14:paraId="46225217">
      <w:pPr>
        <w:ind w:left="735" w:leftChars="270" w:hanging="168" w:hangingChars="70"/>
        <w:rPr>
          <w:color w:val="auto"/>
          <w:kern w:val="0"/>
          <w:sz w:val="24"/>
          <w:szCs w:val="24"/>
          <w:highlight w:val="none"/>
        </w:rPr>
      </w:pPr>
      <w:r>
        <w:rPr>
          <w:color w:val="auto"/>
          <w:kern w:val="0"/>
          <w:sz w:val="24"/>
          <w:szCs w:val="24"/>
          <w:highlight w:val="none"/>
        </w:rPr>
        <w:t>《建筑门窗五金件 通用要求》</w:t>
      </w:r>
      <w:r>
        <w:rPr>
          <w:rFonts w:hint="eastAsia"/>
          <w:color w:val="auto"/>
          <w:kern w:val="0"/>
          <w:sz w:val="24"/>
          <w:szCs w:val="24"/>
          <w:highlight w:val="none"/>
          <w:lang w:val="en-US" w:eastAsia="zh-CN"/>
        </w:rPr>
        <w:t>GB/T 32223-2015</w:t>
      </w:r>
    </w:p>
    <w:p w14:paraId="641F6FD4">
      <w:pPr>
        <w:ind w:left="735" w:leftChars="270" w:hanging="168" w:hangingChars="70"/>
        <w:rPr>
          <w:color w:val="auto"/>
          <w:sz w:val="24"/>
          <w:szCs w:val="24"/>
          <w:highlight w:val="none"/>
        </w:rPr>
      </w:pPr>
      <w:r>
        <w:rPr>
          <w:color w:val="auto"/>
          <w:sz w:val="24"/>
          <w:szCs w:val="24"/>
          <w:highlight w:val="none"/>
        </w:rPr>
        <w:t>《平开玻璃门用五金件》JG/T326-2011</w:t>
      </w:r>
    </w:p>
    <w:p w14:paraId="0FE32458">
      <w:pPr>
        <w:ind w:left="735" w:leftChars="270" w:hanging="168" w:hangingChars="70"/>
        <w:rPr>
          <w:rFonts w:hint="default" w:eastAsia="宋体"/>
          <w:color w:val="auto"/>
          <w:kern w:val="0"/>
          <w:sz w:val="24"/>
          <w:szCs w:val="24"/>
          <w:highlight w:val="none"/>
          <w:lang w:val="en-US" w:eastAsia="zh-CN"/>
        </w:rPr>
      </w:pPr>
      <w:r>
        <w:rPr>
          <w:color w:val="auto"/>
          <w:kern w:val="0"/>
          <w:sz w:val="24"/>
          <w:highlight w:val="none"/>
        </w:rPr>
        <w:t>《建筑窗用内平开下悬五金系统》GB/T 24601-20</w:t>
      </w:r>
      <w:r>
        <w:rPr>
          <w:rFonts w:hint="eastAsia"/>
          <w:color w:val="auto"/>
          <w:kern w:val="0"/>
          <w:sz w:val="24"/>
          <w:highlight w:val="none"/>
          <w:lang w:val="en-US" w:eastAsia="zh-CN"/>
        </w:rPr>
        <w:t>24</w:t>
      </w:r>
    </w:p>
    <w:p w14:paraId="3D537028">
      <w:pPr>
        <w:ind w:left="735" w:leftChars="270" w:hanging="168" w:hangingChars="70"/>
        <w:rPr>
          <w:color w:val="auto"/>
          <w:kern w:val="0"/>
          <w:sz w:val="24"/>
          <w:szCs w:val="24"/>
          <w:highlight w:val="none"/>
        </w:rPr>
      </w:pPr>
      <w:r>
        <w:rPr>
          <w:color w:val="auto"/>
          <w:kern w:val="0"/>
          <w:sz w:val="24"/>
          <w:szCs w:val="24"/>
          <w:highlight w:val="none"/>
        </w:rPr>
        <w:t>《紧固件 螺栓、螺钉、螺柱和螺母 通用技术条件》GB/T 16938-2008</w:t>
      </w:r>
    </w:p>
    <w:p w14:paraId="1868C22D">
      <w:pPr>
        <w:ind w:left="735" w:leftChars="270" w:hanging="168" w:hangingChars="70"/>
        <w:rPr>
          <w:rFonts w:hint="default" w:eastAsia="宋体"/>
          <w:color w:val="auto"/>
          <w:kern w:val="0"/>
          <w:sz w:val="24"/>
          <w:szCs w:val="24"/>
          <w:highlight w:val="none"/>
          <w:lang w:val="en-US" w:eastAsia="zh-CN"/>
        </w:rPr>
      </w:pPr>
      <w:r>
        <w:rPr>
          <w:color w:val="auto"/>
          <w:kern w:val="0"/>
          <w:sz w:val="24"/>
          <w:szCs w:val="24"/>
          <w:highlight w:val="none"/>
        </w:rPr>
        <w:t>《紧固件机械性能 不锈钢螺栓螺钉和螺柱》GB/T 3098</w:t>
      </w:r>
      <w:r>
        <w:rPr>
          <w:b/>
          <w:color w:val="auto"/>
          <w:kern w:val="0"/>
          <w:sz w:val="24"/>
          <w:szCs w:val="24"/>
          <w:highlight w:val="none"/>
        </w:rPr>
        <w:t>.</w:t>
      </w:r>
      <w:r>
        <w:rPr>
          <w:color w:val="auto"/>
          <w:sz w:val="24"/>
          <w:highlight w:val="none"/>
        </w:rPr>
        <w:t>6</w:t>
      </w:r>
      <w:r>
        <w:rPr>
          <w:color w:val="auto"/>
          <w:kern w:val="0"/>
          <w:sz w:val="24"/>
          <w:szCs w:val="24"/>
          <w:highlight w:val="none"/>
        </w:rPr>
        <w:t>-20</w:t>
      </w:r>
      <w:r>
        <w:rPr>
          <w:rFonts w:hint="eastAsia"/>
          <w:color w:val="auto"/>
          <w:kern w:val="0"/>
          <w:sz w:val="24"/>
          <w:szCs w:val="24"/>
          <w:highlight w:val="none"/>
          <w:lang w:val="en-US" w:eastAsia="zh-CN"/>
        </w:rPr>
        <w:t>23</w:t>
      </w:r>
    </w:p>
    <w:p w14:paraId="338A97A3">
      <w:pPr>
        <w:ind w:left="735" w:leftChars="270" w:hanging="168" w:hangingChars="70"/>
        <w:rPr>
          <w:rFonts w:hint="default" w:eastAsia="宋体"/>
          <w:color w:val="auto"/>
          <w:kern w:val="0"/>
          <w:sz w:val="24"/>
          <w:szCs w:val="24"/>
          <w:highlight w:val="none"/>
          <w:lang w:val="en-US" w:eastAsia="zh-CN"/>
        </w:rPr>
      </w:pPr>
      <w:r>
        <w:rPr>
          <w:color w:val="auto"/>
          <w:kern w:val="0"/>
          <w:sz w:val="24"/>
          <w:szCs w:val="24"/>
          <w:highlight w:val="none"/>
        </w:rPr>
        <w:t>《紧固件机械性能 不锈钢螺母》GB/T 3098</w:t>
      </w:r>
      <w:r>
        <w:rPr>
          <w:b/>
          <w:color w:val="auto"/>
          <w:kern w:val="0"/>
          <w:sz w:val="24"/>
          <w:szCs w:val="24"/>
          <w:highlight w:val="none"/>
        </w:rPr>
        <w:t>.</w:t>
      </w:r>
      <w:r>
        <w:rPr>
          <w:color w:val="auto"/>
          <w:sz w:val="24"/>
          <w:highlight w:val="none"/>
        </w:rPr>
        <w:t xml:space="preserve"> 15</w:t>
      </w:r>
      <w:r>
        <w:rPr>
          <w:color w:val="auto"/>
          <w:kern w:val="0"/>
          <w:sz w:val="24"/>
          <w:szCs w:val="24"/>
          <w:highlight w:val="none"/>
        </w:rPr>
        <w:t>-20</w:t>
      </w:r>
      <w:r>
        <w:rPr>
          <w:rFonts w:hint="eastAsia"/>
          <w:color w:val="auto"/>
          <w:kern w:val="0"/>
          <w:sz w:val="24"/>
          <w:szCs w:val="24"/>
          <w:highlight w:val="none"/>
          <w:lang w:val="en-US" w:eastAsia="zh-CN"/>
        </w:rPr>
        <w:t>23</w:t>
      </w:r>
    </w:p>
    <w:p w14:paraId="044E16A1">
      <w:pPr>
        <w:ind w:left="735" w:leftChars="270" w:hanging="168" w:hangingChars="70"/>
        <w:rPr>
          <w:color w:val="auto"/>
          <w:kern w:val="0"/>
          <w:sz w:val="24"/>
          <w:szCs w:val="24"/>
          <w:highlight w:val="none"/>
        </w:rPr>
      </w:pPr>
    </w:p>
    <w:p w14:paraId="282EE3FB">
      <w:pPr>
        <w:ind w:left="735" w:leftChars="270" w:hanging="168" w:hangingChars="70"/>
        <w:rPr>
          <w:rFonts w:hint="default" w:eastAsia="宋体"/>
          <w:color w:val="auto"/>
          <w:sz w:val="24"/>
          <w:szCs w:val="24"/>
          <w:highlight w:val="none"/>
          <w:lang w:val="en-US" w:eastAsia="zh-CN"/>
        </w:rPr>
      </w:pPr>
      <w:r>
        <w:rPr>
          <w:color w:val="auto"/>
          <w:sz w:val="24"/>
          <w:szCs w:val="24"/>
          <w:highlight w:val="none"/>
        </w:rPr>
        <w:t>《绝热用岩棉、矿渣棉及其制品》GB/T11835-20</w:t>
      </w:r>
      <w:r>
        <w:rPr>
          <w:rFonts w:hint="eastAsia"/>
          <w:color w:val="auto"/>
          <w:sz w:val="24"/>
          <w:szCs w:val="24"/>
          <w:highlight w:val="none"/>
          <w:lang w:val="en-US" w:eastAsia="zh-CN"/>
        </w:rPr>
        <w:t>16</w:t>
      </w:r>
    </w:p>
    <w:p w14:paraId="42E719ED">
      <w:pPr>
        <w:ind w:left="735" w:leftChars="270" w:hanging="168" w:hangingChars="70"/>
        <w:rPr>
          <w:rFonts w:hint="default" w:eastAsia="宋体"/>
          <w:color w:val="auto"/>
          <w:sz w:val="24"/>
          <w:szCs w:val="24"/>
          <w:highlight w:val="none"/>
          <w:lang w:val="en-US" w:eastAsia="zh-CN"/>
        </w:rPr>
      </w:pPr>
      <w:r>
        <w:rPr>
          <w:color w:val="auto"/>
          <w:sz w:val="24"/>
          <w:szCs w:val="24"/>
          <w:highlight w:val="none"/>
        </w:rPr>
        <w:t>《建筑外墙保温用岩棉制品》GB/T 25975-20</w:t>
      </w:r>
      <w:r>
        <w:rPr>
          <w:rFonts w:hint="eastAsia"/>
          <w:color w:val="auto"/>
          <w:sz w:val="24"/>
          <w:szCs w:val="24"/>
          <w:highlight w:val="none"/>
          <w:lang w:val="en-US" w:eastAsia="zh-CN"/>
        </w:rPr>
        <w:t>18</w:t>
      </w:r>
    </w:p>
    <w:p w14:paraId="351613DC">
      <w:pPr>
        <w:ind w:left="735" w:leftChars="270" w:hanging="168" w:hangingChars="70"/>
        <w:rPr>
          <w:color w:val="auto"/>
          <w:kern w:val="0"/>
          <w:sz w:val="24"/>
          <w:szCs w:val="24"/>
          <w:highlight w:val="none"/>
        </w:rPr>
      </w:pPr>
      <w:r>
        <w:rPr>
          <w:color w:val="auto"/>
          <w:sz w:val="24"/>
          <w:szCs w:val="24"/>
          <w:highlight w:val="none"/>
        </w:rPr>
        <w:t>《外墙保温用锚栓》JG/T 366-2012</w:t>
      </w:r>
    </w:p>
    <w:p w14:paraId="53137927">
      <w:pPr>
        <w:ind w:left="735" w:leftChars="270" w:hanging="168" w:hangingChars="70"/>
        <w:rPr>
          <w:color w:val="auto"/>
          <w:sz w:val="24"/>
          <w:highlight w:val="none"/>
        </w:rPr>
      </w:pPr>
    </w:p>
    <w:p w14:paraId="0761A2B1">
      <w:pPr>
        <w:ind w:left="735" w:leftChars="270" w:hanging="168" w:hangingChars="70"/>
        <w:rPr>
          <w:color w:val="auto"/>
          <w:highlight w:val="none"/>
        </w:rPr>
      </w:pPr>
      <w:r>
        <w:rPr>
          <w:color w:val="auto"/>
          <w:kern w:val="0"/>
          <w:sz w:val="24"/>
          <w:szCs w:val="24"/>
          <w:highlight w:val="none"/>
        </w:rPr>
        <w:t>《建筑外墙清洗维护技术规程》JGJ 168-2009</w:t>
      </w:r>
    </w:p>
    <w:p w14:paraId="62FFB5FF">
      <w:pPr>
        <w:pStyle w:val="5"/>
        <w:ind w:left="735" w:leftChars="270" w:hanging="168" w:hangingChars="70"/>
        <w:jc w:val="both"/>
        <w:rPr>
          <w:rFonts w:hint="default" w:eastAsia="宋体"/>
          <w:color w:val="auto"/>
          <w:highlight w:val="none"/>
          <w:lang w:val="en-US" w:eastAsia="zh-CN"/>
        </w:rPr>
      </w:pPr>
      <w:r>
        <w:rPr>
          <w:color w:val="auto"/>
          <w:highlight w:val="none"/>
        </w:rPr>
        <w:t>《擦窗机》GB</w:t>
      </w:r>
      <w:r>
        <w:rPr>
          <w:rFonts w:hint="eastAsia"/>
          <w:color w:val="auto"/>
          <w:highlight w:val="none"/>
          <w:lang w:val="en-US" w:eastAsia="zh-CN"/>
        </w:rPr>
        <w:t>/T</w:t>
      </w:r>
      <w:r>
        <w:rPr>
          <w:color w:val="auto"/>
          <w:highlight w:val="none"/>
        </w:rPr>
        <w:t>19154-20</w:t>
      </w:r>
      <w:r>
        <w:rPr>
          <w:rFonts w:hint="eastAsia"/>
          <w:color w:val="auto"/>
          <w:highlight w:val="none"/>
          <w:lang w:val="en-US" w:eastAsia="zh-CN"/>
        </w:rPr>
        <w:t>17</w:t>
      </w:r>
    </w:p>
    <w:p w14:paraId="0B11879B">
      <w:pPr>
        <w:autoSpaceDE w:val="0"/>
        <w:autoSpaceDN w:val="0"/>
        <w:adjustRightInd w:val="0"/>
        <w:ind w:left="735" w:leftChars="270" w:hanging="168" w:hangingChars="70"/>
        <w:jc w:val="left"/>
        <w:rPr>
          <w:rFonts w:hint="default" w:eastAsia="宋体"/>
          <w:color w:val="auto"/>
          <w:sz w:val="24"/>
          <w:szCs w:val="24"/>
          <w:highlight w:val="none"/>
          <w:lang w:val="en-US" w:eastAsia="zh-CN"/>
        </w:rPr>
      </w:pPr>
      <w:r>
        <w:rPr>
          <w:color w:val="auto"/>
          <w:sz w:val="24"/>
          <w:szCs w:val="24"/>
          <w:highlight w:val="none"/>
        </w:rPr>
        <w:t>《高处作业吊蓝》GB</w:t>
      </w:r>
      <w:r>
        <w:rPr>
          <w:rFonts w:hint="eastAsia"/>
          <w:color w:val="auto"/>
          <w:sz w:val="24"/>
          <w:szCs w:val="24"/>
          <w:highlight w:val="none"/>
          <w:lang w:val="en-US" w:eastAsia="zh-CN"/>
        </w:rPr>
        <w:t>/T</w:t>
      </w:r>
      <w:r>
        <w:rPr>
          <w:color w:val="auto"/>
          <w:sz w:val="24"/>
          <w:szCs w:val="24"/>
          <w:highlight w:val="none"/>
        </w:rPr>
        <w:t>19155-20</w:t>
      </w:r>
      <w:r>
        <w:rPr>
          <w:rFonts w:hint="eastAsia"/>
          <w:color w:val="auto"/>
          <w:sz w:val="24"/>
          <w:szCs w:val="24"/>
          <w:highlight w:val="none"/>
          <w:lang w:val="en-US" w:eastAsia="zh-CN"/>
        </w:rPr>
        <w:t>17</w:t>
      </w:r>
    </w:p>
    <w:p w14:paraId="089A494D">
      <w:pPr>
        <w:autoSpaceDE w:val="0"/>
        <w:autoSpaceDN w:val="0"/>
        <w:adjustRightInd w:val="0"/>
        <w:ind w:left="0" w:firstLine="0"/>
        <w:jc w:val="left"/>
        <w:rPr>
          <w:color w:val="auto"/>
          <w:kern w:val="0"/>
          <w:sz w:val="24"/>
          <w:szCs w:val="24"/>
          <w:highlight w:val="none"/>
        </w:rPr>
      </w:pPr>
    </w:p>
    <w:p w14:paraId="6D9057BE">
      <w:pPr>
        <w:tabs>
          <w:tab w:val="left" w:pos="840"/>
        </w:tabs>
        <w:ind w:left="418" w:hanging="417" w:hangingChars="174"/>
        <w:rPr>
          <w:b/>
          <w:bCs/>
          <w:color w:val="auto"/>
          <w:sz w:val="24"/>
          <w:szCs w:val="24"/>
          <w:highlight w:val="none"/>
        </w:rPr>
      </w:pPr>
      <w:r>
        <w:rPr>
          <w:color w:val="auto"/>
          <w:sz w:val="24"/>
          <w:szCs w:val="24"/>
          <w:highlight w:val="none"/>
        </w:rPr>
        <w:br w:type="page"/>
      </w:r>
      <w:r>
        <w:rPr>
          <w:b/>
          <w:color w:val="auto"/>
          <w:sz w:val="24"/>
          <w:highlight w:val="none"/>
        </w:rPr>
        <w:t>附件二：</w:t>
      </w:r>
      <w:r>
        <w:rPr>
          <w:b/>
          <w:bCs/>
          <w:color w:val="auto"/>
          <w:sz w:val="24"/>
          <w:szCs w:val="24"/>
          <w:highlight w:val="none"/>
        </w:rPr>
        <w:t>建筑幕墙</w:t>
      </w:r>
      <w:r>
        <w:rPr>
          <w:rFonts w:hint="eastAsia"/>
          <w:b/>
          <w:bCs/>
          <w:color w:val="auto"/>
          <w:sz w:val="24"/>
          <w:szCs w:val="24"/>
          <w:highlight w:val="none"/>
          <w:lang w:val="en-US" w:eastAsia="zh-CN"/>
        </w:rPr>
        <w:t>深化</w:t>
      </w:r>
      <w:r>
        <w:rPr>
          <w:b/>
          <w:bCs/>
          <w:color w:val="auto"/>
          <w:sz w:val="24"/>
          <w:szCs w:val="24"/>
          <w:highlight w:val="none"/>
        </w:rPr>
        <w:t>图文件内容的要求</w:t>
      </w:r>
    </w:p>
    <w:p w14:paraId="22F1171C">
      <w:pPr>
        <w:numPr>
          <w:ilvl w:val="0"/>
          <w:numId w:val="15"/>
        </w:numPr>
        <w:bidi w:val="0"/>
        <w:rPr>
          <w:b/>
          <w:bCs/>
          <w:sz w:val="24"/>
          <w:szCs w:val="24"/>
        </w:rPr>
      </w:pPr>
      <w:r>
        <w:rPr>
          <w:rFonts w:hint="eastAsia"/>
          <w:b/>
          <w:bCs/>
          <w:sz w:val="24"/>
          <w:szCs w:val="24"/>
        </w:rPr>
        <w:t>定义</w:t>
      </w:r>
    </w:p>
    <w:p w14:paraId="007F4E7B">
      <w:pPr>
        <w:ind w:left="0" w:leftChars="0" w:firstLine="480" w:firstLineChars="200"/>
        <w:rPr>
          <w:color w:val="333333"/>
          <w:sz w:val="24"/>
          <w:szCs w:val="24"/>
        </w:rPr>
      </w:pPr>
      <w:r>
        <w:rPr>
          <w:rFonts w:hint="eastAsia"/>
          <w:color w:val="333333"/>
          <w:sz w:val="24"/>
          <w:szCs w:val="24"/>
        </w:rPr>
        <w:t>幕墙</w:t>
      </w:r>
      <w:r>
        <w:rPr>
          <w:rFonts w:hint="eastAsia"/>
          <w:color w:val="333333"/>
          <w:sz w:val="24"/>
          <w:szCs w:val="24"/>
          <w:lang w:val="en-US" w:eastAsia="zh-CN"/>
        </w:rPr>
        <w:t>深化</w:t>
      </w:r>
      <w:r>
        <w:rPr>
          <w:rFonts w:hint="eastAsia"/>
          <w:color w:val="333333"/>
          <w:sz w:val="24"/>
          <w:szCs w:val="24"/>
        </w:rPr>
        <w:t>图是指由幕墙施工承包单位根据我司提供的招标文件、技术要求、相关图纸及合同等文件完成的用于幕墙施工的技术性文件。</w:t>
      </w:r>
    </w:p>
    <w:p w14:paraId="1D7C4AFE">
      <w:pPr>
        <w:ind w:left="0" w:leftChars="0" w:firstLine="480" w:firstLineChars="200"/>
        <w:rPr>
          <w:color w:val="333333"/>
          <w:sz w:val="24"/>
          <w:szCs w:val="24"/>
        </w:rPr>
      </w:pPr>
      <w:r>
        <w:rPr>
          <w:rFonts w:hint="eastAsia"/>
          <w:color w:val="333333"/>
          <w:sz w:val="24"/>
          <w:szCs w:val="24"/>
        </w:rPr>
        <w:t>幕墙</w:t>
      </w:r>
      <w:r>
        <w:rPr>
          <w:rFonts w:hint="eastAsia"/>
          <w:color w:val="333333"/>
          <w:sz w:val="24"/>
          <w:szCs w:val="24"/>
          <w:lang w:val="en-US" w:eastAsia="zh-CN"/>
        </w:rPr>
        <w:t>深化</w:t>
      </w:r>
      <w:r>
        <w:rPr>
          <w:rFonts w:hint="eastAsia"/>
          <w:color w:val="333333"/>
          <w:sz w:val="24"/>
          <w:szCs w:val="24"/>
        </w:rPr>
        <w:t>图由业主组织相关单位及部门进行审核和审定，最终以蓝图形式下发。</w:t>
      </w:r>
    </w:p>
    <w:p w14:paraId="524CC3BD">
      <w:pPr>
        <w:numPr>
          <w:ilvl w:val="0"/>
          <w:numId w:val="15"/>
        </w:numPr>
        <w:bidi w:val="0"/>
        <w:rPr>
          <w:b/>
          <w:bCs/>
          <w:sz w:val="24"/>
          <w:szCs w:val="24"/>
        </w:rPr>
      </w:pPr>
      <w:r>
        <w:rPr>
          <w:rFonts w:hint="eastAsia"/>
          <w:b/>
          <w:bCs/>
          <w:sz w:val="24"/>
          <w:szCs w:val="24"/>
        </w:rPr>
        <w:t>幕墙</w:t>
      </w:r>
      <w:r>
        <w:rPr>
          <w:rFonts w:hint="eastAsia"/>
          <w:color w:val="333333"/>
          <w:sz w:val="24"/>
          <w:szCs w:val="24"/>
          <w:lang w:val="en-US" w:eastAsia="zh-CN"/>
        </w:rPr>
        <w:t>深化</w:t>
      </w:r>
      <w:r>
        <w:rPr>
          <w:rFonts w:hint="eastAsia"/>
          <w:b/>
          <w:bCs/>
          <w:sz w:val="24"/>
          <w:szCs w:val="24"/>
        </w:rPr>
        <w:t>图的内容要求</w:t>
      </w:r>
    </w:p>
    <w:p w14:paraId="7FC510DB">
      <w:pPr>
        <w:ind w:left="0" w:leftChars="0" w:firstLine="480" w:firstLineChars="200"/>
        <w:rPr>
          <w:color w:val="333333"/>
          <w:sz w:val="24"/>
          <w:szCs w:val="24"/>
        </w:rPr>
      </w:pPr>
      <w:r>
        <w:rPr>
          <w:rFonts w:hint="eastAsia"/>
          <w:color w:val="333333"/>
          <w:sz w:val="24"/>
          <w:szCs w:val="24"/>
        </w:rPr>
        <w:t>幕墙工程</w:t>
      </w:r>
      <w:r>
        <w:rPr>
          <w:rFonts w:hint="eastAsia"/>
          <w:color w:val="333333"/>
          <w:sz w:val="24"/>
          <w:szCs w:val="24"/>
          <w:lang w:val="en-US" w:eastAsia="zh-CN"/>
        </w:rPr>
        <w:t>深化</w:t>
      </w:r>
      <w:r>
        <w:rPr>
          <w:rFonts w:hint="eastAsia"/>
          <w:color w:val="333333"/>
          <w:sz w:val="24"/>
          <w:szCs w:val="24"/>
        </w:rPr>
        <w:t>图纸应包括封面、目录、设计说明、材料明细表、立面图、平面图、立面索引图、标准节点图、全部大样图、节点图、埋件图以及型材截面图等，包含与图纸配套的力学和热工计算书。各部分图纸及计算书内容应统一、完善，立面图、平面图与大样图、节点图等图纸的表述要一致，前后对应。</w:t>
      </w:r>
    </w:p>
    <w:p w14:paraId="65C583EA">
      <w:pPr>
        <w:numPr>
          <w:ilvl w:val="0"/>
          <w:numId w:val="15"/>
        </w:numPr>
        <w:bidi w:val="0"/>
        <w:rPr>
          <w:b/>
          <w:bCs/>
          <w:sz w:val="24"/>
          <w:szCs w:val="24"/>
        </w:rPr>
      </w:pPr>
      <w:r>
        <w:rPr>
          <w:rFonts w:hint="eastAsia"/>
          <w:b/>
          <w:bCs/>
          <w:sz w:val="24"/>
          <w:szCs w:val="24"/>
        </w:rPr>
        <w:t>幕墙工程</w:t>
      </w:r>
      <w:r>
        <w:rPr>
          <w:rFonts w:hint="eastAsia"/>
          <w:b/>
          <w:bCs/>
          <w:sz w:val="24"/>
          <w:szCs w:val="24"/>
          <w:lang w:val="en-US" w:eastAsia="zh-CN"/>
        </w:rPr>
        <w:t>深化</w:t>
      </w:r>
      <w:r>
        <w:rPr>
          <w:rFonts w:hint="eastAsia"/>
          <w:b/>
          <w:bCs/>
          <w:sz w:val="24"/>
          <w:szCs w:val="24"/>
        </w:rPr>
        <w:t>图命名及格式要求</w:t>
      </w:r>
    </w:p>
    <w:p w14:paraId="5F84A848">
      <w:pPr>
        <w:pStyle w:val="28"/>
        <w:numPr>
          <w:ilvl w:val="0"/>
          <w:numId w:val="16"/>
        </w:numPr>
        <w:ind w:firstLineChars="0"/>
        <w:jc w:val="left"/>
        <w:rPr>
          <w:color w:val="333333"/>
          <w:sz w:val="24"/>
          <w:szCs w:val="24"/>
        </w:rPr>
      </w:pPr>
      <w:r>
        <w:rPr>
          <w:rFonts w:hint="eastAsia"/>
          <w:color w:val="333333"/>
          <w:sz w:val="24"/>
          <w:szCs w:val="24"/>
        </w:rPr>
        <w:t>文件名称及格式</w:t>
      </w:r>
    </w:p>
    <w:p w14:paraId="1FFEBCC6">
      <w:pPr>
        <w:ind w:left="0" w:leftChars="0" w:firstLine="480" w:firstLineChars="200"/>
        <w:rPr>
          <w:color w:val="333333"/>
          <w:sz w:val="24"/>
          <w:szCs w:val="24"/>
        </w:rPr>
      </w:pPr>
      <w:r>
        <w:rPr>
          <w:rFonts w:hint="eastAsia"/>
          <w:color w:val="333333"/>
          <w:sz w:val="24"/>
          <w:szCs w:val="24"/>
        </w:rPr>
        <w:t>电子版本的幕墙施工图应包含出图日期、项目名称、单体名称及版本号等内容，格式为P</w:t>
      </w:r>
      <w:r>
        <w:rPr>
          <w:color w:val="333333"/>
          <w:sz w:val="24"/>
          <w:szCs w:val="24"/>
        </w:rPr>
        <w:t>DF</w:t>
      </w:r>
      <w:r>
        <w:rPr>
          <w:rFonts w:hint="eastAsia"/>
          <w:color w:val="333333"/>
          <w:sz w:val="24"/>
          <w:szCs w:val="24"/>
        </w:rPr>
        <w:t>整合版+</w:t>
      </w:r>
      <w:r>
        <w:rPr>
          <w:color w:val="333333"/>
          <w:sz w:val="24"/>
          <w:szCs w:val="24"/>
        </w:rPr>
        <w:t>CAD2012</w:t>
      </w:r>
      <w:r>
        <w:rPr>
          <w:rFonts w:hint="eastAsia"/>
          <w:color w:val="333333"/>
          <w:sz w:val="24"/>
          <w:szCs w:val="24"/>
        </w:rPr>
        <w:t>可编辑版（计算书需提供计算模型等可编辑文件版）</w:t>
      </w:r>
    </w:p>
    <w:p w14:paraId="6CB94BED">
      <w:pPr>
        <w:ind w:left="0" w:leftChars="0" w:firstLine="480" w:firstLineChars="200"/>
        <w:rPr>
          <w:color w:val="333333"/>
          <w:sz w:val="24"/>
          <w:szCs w:val="24"/>
        </w:rPr>
      </w:pPr>
      <w:r>
        <w:rPr>
          <w:rFonts w:hint="eastAsia"/>
          <w:color w:val="333333"/>
          <w:sz w:val="24"/>
          <w:szCs w:val="24"/>
        </w:rPr>
        <w:t>P</w:t>
      </w:r>
      <w:r>
        <w:rPr>
          <w:color w:val="333333"/>
          <w:sz w:val="24"/>
          <w:szCs w:val="24"/>
        </w:rPr>
        <w:t>DF</w:t>
      </w:r>
      <w:r>
        <w:rPr>
          <w:rFonts w:hint="eastAsia"/>
          <w:color w:val="333333"/>
          <w:sz w:val="24"/>
          <w:szCs w:val="24"/>
        </w:rPr>
        <w:t>整合版名称编号为提交日期+项目名称+单体名称+版本号</w:t>
      </w:r>
    </w:p>
    <w:p w14:paraId="5EC9DEE8">
      <w:pPr>
        <w:ind w:left="0" w:leftChars="0" w:firstLine="480" w:firstLineChars="200"/>
        <w:rPr>
          <w:color w:val="333333"/>
          <w:sz w:val="24"/>
          <w:szCs w:val="24"/>
        </w:rPr>
      </w:pPr>
      <w:r>
        <w:rPr>
          <w:rFonts w:hint="eastAsia"/>
          <w:color w:val="333333"/>
          <w:sz w:val="24"/>
          <w:szCs w:val="24"/>
        </w:rPr>
        <w:t>例：2</w:t>
      </w:r>
      <w:r>
        <w:rPr>
          <w:color w:val="333333"/>
          <w:sz w:val="24"/>
          <w:szCs w:val="24"/>
        </w:rPr>
        <w:t>020</w:t>
      </w:r>
      <w:r>
        <w:rPr>
          <w:rFonts w:hint="eastAsia"/>
          <w:color w:val="333333"/>
          <w:sz w:val="24"/>
          <w:szCs w:val="24"/>
        </w:rPr>
        <w:t>年6月2</w:t>
      </w:r>
      <w:r>
        <w:rPr>
          <w:color w:val="333333"/>
          <w:sz w:val="24"/>
          <w:szCs w:val="24"/>
        </w:rPr>
        <w:t>0</w:t>
      </w:r>
      <w:r>
        <w:rPr>
          <w:rFonts w:hint="eastAsia"/>
          <w:color w:val="333333"/>
          <w:sz w:val="24"/>
          <w:szCs w:val="24"/>
        </w:rPr>
        <w:t>日提交</w:t>
      </w:r>
      <w:r>
        <w:rPr>
          <w:rFonts w:hint="eastAsia"/>
          <w:color w:val="333333"/>
          <w:sz w:val="24"/>
          <w:szCs w:val="24"/>
          <w:lang w:val="en-US" w:eastAsia="zh-CN"/>
        </w:rPr>
        <w:t>XX项目1号楼</w:t>
      </w:r>
      <w:r>
        <w:rPr>
          <w:rFonts w:hint="eastAsia"/>
          <w:color w:val="333333"/>
          <w:sz w:val="24"/>
          <w:szCs w:val="24"/>
        </w:rPr>
        <w:t>B版</w:t>
      </w:r>
    </w:p>
    <w:p w14:paraId="3EA85337">
      <w:pPr>
        <w:ind w:left="0" w:leftChars="0" w:firstLine="480" w:firstLineChars="200"/>
        <w:rPr>
          <w:color w:val="333333"/>
          <w:sz w:val="24"/>
          <w:szCs w:val="24"/>
        </w:rPr>
      </w:pPr>
      <w:r>
        <w:rPr>
          <w:rFonts w:hint="eastAsia"/>
          <w:color w:val="333333"/>
          <w:sz w:val="24"/>
          <w:szCs w:val="24"/>
        </w:rPr>
        <w:t>2</w:t>
      </w:r>
      <w:r>
        <w:rPr>
          <w:color w:val="333333"/>
          <w:sz w:val="24"/>
          <w:szCs w:val="24"/>
        </w:rPr>
        <w:t>0200620</w:t>
      </w:r>
      <w:r>
        <w:rPr>
          <w:rFonts w:hint="eastAsia"/>
          <w:color w:val="333333"/>
          <w:sz w:val="24"/>
          <w:szCs w:val="24"/>
          <w:lang w:val="en-US" w:eastAsia="zh-CN"/>
        </w:rPr>
        <w:t>xx项目1号楼</w:t>
      </w:r>
      <w:r>
        <w:rPr>
          <w:rFonts w:hint="eastAsia"/>
          <w:color w:val="333333"/>
          <w:sz w:val="24"/>
          <w:szCs w:val="24"/>
        </w:rPr>
        <w:t>幕墙</w:t>
      </w:r>
      <w:r>
        <w:rPr>
          <w:rFonts w:hint="eastAsia"/>
          <w:color w:val="333333"/>
          <w:sz w:val="24"/>
          <w:szCs w:val="24"/>
          <w:lang w:val="en-US" w:eastAsia="zh-CN"/>
        </w:rPr>
        <w:t>深化</w:t>
      </w:r>
      <w:r>
        <w:rPr>
          <w:rFonts w:hint="eastAsia"/>
          <w:color w:val="333333"/>
          <w:sz w:val="24"/>
          <w:szCs w:val="24"/>
        </w:rPr>
        <w:t>图B版</w:t>
      </w:r>
    </w:p>
    <w:p w14:paraId="05227373">
      <w:pPr>
        <w:pStyle w:val="28"/>
        <w:numPr>
          <w:ilvl w:val="0"/>
          <w:numId w:val="16"/>
        </w:numPr>
        <w:ind w:firstLineChars="0"/>
        <w:jc w:val="left"/>
        <w:rPr>
          <w:color w:val="333333"/>
          <w:sz w:val="24"/>
          <w:szCs w:val="24"/>
        </w:rPr>
      </w:pPr>
      <w:r>
        <w:rPr>
          <w:rFonts w:hint="eastAsia"/>
          <w:color w:val="333333"/>
          <w:sz w:val="24"/>
          <w:szCs w:val="24"/>
        </w:rPr>
        <w:t>图框及图纸编号</w:t>
      </w:r>
    </w:p>
    <w:p w14:paraId="514DBCDC">
      <w:pPr>
        <w:ind w:left="0" w:leftChars="0" w:firstLine="480" w:firstLineChars="200"/>
        <w:rPr>
          <w:color w:val="333333"/>
          <w:sz w:val="24"/>
          <w:szCs w:val="24"/>
        </w:rPr>
      </w:pPr>
      <w:r>
        <w:rPr>
          <w:rFonts w:hint="eastAsia"/>
          <w:color w:val="333333"/>
          <w:sz w:val="24"/>
          <w:szCs w:val="24"/>
        </w:rPr>
        <w:t>幕墙工程</w:t>
      </w:r>
      <w:r>
        <w:rPr>
          <w:rFonts w:hint="eastAsia"/>
          <w:color w:val="333333"/>
          <w:sz w:val="24"/>
          <w:szCs w:val="24"/>
          <w:lang w:val="en-US" w:eastAsia="zh-CN"/>
        </w:rPr>
        <w:t>深化</w:t>
      </w:r>
      <w:r>
        <w:rPr>
          <w:rFonts w:hint="eastAsia"/>
          <w:color w:val="333333"/>
          <w:sz w:val="24"/>
          <w:szCs w:val="24"/>
        </w:rPr>
        <w:t>图图框中应含有工程项目名称，建设单位名称（与任务书相同），建筑设计单位名称，图纸绘制比例、图幅、图号、版本号、索引；剖面、大样及节点图必须包含反索引图号；索引图注明索引号图号和索引号勾注一起放大放置图纸右下角。</w:t>
      </w:r>
    </w:p>
    <w:p w14:paraId="200FC63F">
      <w:pPr>
        <w:ind w:left="0" w:leftChars="0" w:firstLine="480" w:firstLineChars="200"/>
        <w:rPr>
          <w:color w:val="333333"/>
          <w:sz w:val="24"/>
          <w:szCs w:val="24"/>
        </w:rPr>
      </w:pPr>
      <w:r>
        <w:rPr>
          <w:rFonts w:hint="eastAsia"/>
          <w:color w:val="333333"/>
          <w:sz w:val="24"/>
          <w:szCs w:val="24"/>
        </w:rPr>
        <w:t>幕墙</w:t>
      </w:r>
      <w:r>
        <w:rPr>
          <w:rFonts w:hint="eastAsia"/>
          <w:color w:val="333333"/>
          <w:sz w:val="24"/>
          <w:szCs w:val="24"/>
          <w:lang w:val="en-US" w:eastAsia="zh-CN"/>
        </w:rPr>
        <w:t>深化</w:t>
      </w:r>
      <w:r>
        <w:rPr>
          <w:rFonts w:hint="eastAsia"/>
          <w:color w:val="333333"/>
          <w:sz w:val="24"/>
          <w:szCs w:val="24"/>
        </w:rPr>
        <w:t>施工图图纸编号及命名应按照项目名称、单体名称、图纸内容的分类进行编号，各类别编号应统一连续。</w:t>
      </w:r>
    </w:p>
    <w:p w14:paraId="17E3C6C6">
      <w:pPr>
        <w:ind w:left="0" w:leftChars="0" w:firstLine="480" w:firstLineChars="200"/>
        <w:rPr>
          <w:rFonts w:hint="eastAsia"/>
          <w:color w:val="333333"/>
          <w:sz w:val="24"/>
          <w:szCs w:val="24"/>
        </w:rPr>
      </w:pPr>
      <w:r>
        <w:rPr>
          <w:rFonts w:hint="eastAsia"/>
          <w:color w:val="333333"/>
          <w:sz w:val="24"/>
          <w:szCs w:val="24"/>
        </w:rPr>
        <w:t>图纸编号：项目名称+单体名称+图纸类别+序号</w:t>
      </w:r>
    </w:p>
    <w:p w14:paraId="72718CBC">
      <w:pPr>
        <w:ind w:left="0" w:leftChars="0" w:firstLine="480" w:firstLineChars="200"/>
        <w:rPr>
          <w:rFonts w:hint="eastAsia"/>
          <w:color w:val="333333"/>
          <w:sz w:val="24"/>
          <w:szCs w:val="24"/>
        </w:rPr>
      </w:pPr>
      <w:r>
        <w:rPr>
          <w:rFonts w:hint="eastAsia"/>
          <w:color w:val="333333"/>
          <w:sz w:val="24"/>
          <w:szCs w:val="24"/>
        </w:rPr>
        <w:t>例：</w:t>
      </w:r>
      <w:r>
        <w:rPr>
          <w:rFonts w:hint="eastAsia"/>
          <w:color w:val="333333"/>
          <w:sz w:val="24"/>
          <w:szCs w:val="24"/>
          <w:lang w:val="en-US" w:eastAsia="zh-CN"/>
        </w:rPr>
        <w:t>XX项目，1号楼，</w:t>
      </w:r>
      <w:r>
        <w:rPr>
          <w:rFonts w:hint="eastAsia"/>
          <w:color w:val="333333"/>
          <w:sz w:val="24"/>
          <w:szCs w:val="24"/>
        </w:rPr>
        <w:t>大样图3</w:t>
      </w:r>
    </w:p>
    <w:p w14:paraId="5952C027">
      <w:pPr>
        <w:ind w:left="0" w:leftChars="0" w:firstLine="480" w:firstLineChars="200"/>
        <w:rPr>
          <w:color w:val="333333"/>
          <w:sz w:val="24"/>
          <w:szCs w:val="24"/>
        </w:rPr>
      </w:pPr>
      <w:r>
        <w:rPr>
          <w:rFonts w:hint="eastAsia"/>
          <w:color w:val="333333"/>
          <w:sz w:val="24"/>
          <w:szCs w:val="24"/>
          <w:lang w:val="en-US" w:eastAsia="zh-CN"/>
        </w:rPr>
        <w:t>XX</w:t>
      </w:r>
      <w:r>
        <w:rPr>
          <w:color w:val="333333"/>
          <w:sz w:val="24"/>
          <w:szCs w:val="24"/>
        </w:rPr>
        <w:t>-</w:t>
      </w:r>
      <w:r>
        <w:rPr>
          <w:rFonts w:hint="eastAsia"/>
          <w:color w:val="333333"/>
          <w:sz w:val="24"/>
          <w:szCs w:val="24"/>
          <w:lang w:val="en-US" w:eastAsia="zh-CN"/>
        </w:rPr>
        <w:t>01</w:t>
      </w:r>
      <w:r>
        <w:rPr>
          <w:color w:val="333333"/>
          <w:sz w:val="24"/>
          <w:szCs w:val="24"/>
        </w:rPr>
        <w:t>-DY-03</w:t>
      </w:r>
    </w:p>
    <w:p w14:paraId="3D8CB7B7">
      <w:pPr>
        <w:numPr>
          <w:ilvl w:val="0"/>
          <w:numId w:val="15"/>
        </w:numPr>
        <w:bidi w:val="0"/>
        <w:rPr>
          <w:b/>
          <w:bCs/>
          <w:sz w:val="24"/>
          <w:szCs w:val="24"/>
        </w:rPr>
      </w:pPr>
      <w:r>
        <w:rPr>
          <w:rFonts w:hint="eastAsia"/>
          <w:b/>
          <w:bCs/>
          <w:sz w:val="24"/>
          <w:szCs w:val="24"/>
        </w:rPr>
        <w:t>封面和目录设计深度要求</w:t>
      </w:r>
    </w:p>
    <w:p w14:paraId="0EDF696A">
      <w:pPr>
        <w:pStyle w:val="28"/>
        <w:numPr>
          <w:ilvl w:val="0"/>
          <w:numId w:val="17"/>
        </w:numPr>
        <w:ind w:firstLineChars="0"/>
        <w:jc w:val="left"/>
        <w:rPr>
          <w:color w:val="333333"/>
          <w:sz w:val="24"/>
          <w:szCs w:val="24"/>
        </w:rPr>
      </w:pPr>
      <w:r>
        <w:rPr>
          <w:rFonts w:hint="eastAsia"/>
          <w:color w:val="333333"/>
          <w:sz w:val="24"/>
          <w:szCs w:val="24"/>
        </w:rPr>
        <w:t>封面</w:t>
      </w:r>
    </w:p>
    <w:p w14:paraId="1534679A">
      <w:pPr>
        <w:ind w:left="0" w:leftChars="0" w:firstLine="480" w:firstLineChars="200"/>
        <w:rPr>
          <w:color w:val="333333"/>
          <w:sz w:val="24"/>
          <w:szCs w:val="24"/>
        </w:rPr>
      </w:pPr>
      <w:r>
        <w:rPr>
          <w:rFonts w:hint="eastAsia"/>
          <w:color w:val="333333"/>
          <w:sz w:val="24"/>
          <w:szCs w:val="24"/>
        </w:rPr>
        <w:t>应包括工程名称、单体名称、出图公司名称、出图日期及版本号。</w:t>
      </w:r>
    </w:p>
    <w:p w14:paraId="09B42349">
      <w:pPr>
        <w:pStyle w:val="28"/>
        <w:numPr>
          <w:ilvl w:val="0"/>
          <w:numId w:val="17"/>
        </w:numPr>
        <w:ind w:firstLineChars="0"/>
        <w:jc w:val="left"/>
        <w:rPr>
          <w:color w:val="333333"/>
          <w:sz w:val="24"/>
          <w:szCs w:val="24"/>
        </w:rPr>
      </w:pPr>
      <w:r>
        <w:rPr>
          <w:rFonts w:hint="eastAsia"/>
          <w:color w:val="333333"/>
          <w:sz w:val="24"/>
          <w:szCs w:val="24"/>
        </w:rPr>
        <w:t>目录</w:t>
      </w:r>
    </w:p>
    <w:p w14:paraId="76C4D5A0">
      <w:pPr>
        <w:ind w:left="0" w:leftChars="0" w:firstLine="480" w:firstLineChars="200"/>
        <w:rPr>
          <w:color w:val="333333"/>
          <w:sz w:val="24"/>
          <w:szCs w:val="24"/>
        </w:rPr>
      </w:pPr>
      <w:r>
        <w:rPr>
          <w:rFonts w:hint="eastAsia"/>
          <w:color w:val="333333"/>
          <w:sz w:val="24"/>
          <w:szCs w:val="24"/>
        </w:rPr>
        <w:t>应按全部图纸的种类划分大项，在大项下按图纸编号、名称等顺序排列，图纸页数应连续编码，图纸编号和名称与图纸一致，提交图纸数量需自行核查与目录数量一致。</w:t>
      </w:r>
    </w:p>
    <w:p w14:paraId="5372AF9E">
      <w:pPr>
        <w:numPr>
          <w:ilvl w:val="0"/>
          <w:numId w:val="15"/>
        </w:numPr>
        <w:bidi w:val="0"/>
        <w:jc w:val="left"/>
        <w:rPr>
          <w:b/>
          <w:bCs/>
          <w:sz w:val="24"/>
          <w:szCs w:val="24"/>
        </w:rPr>
      </w:pPr>
      <w:r>
        <w:rPr>
          <w:rFonts w:hint="eastAsia"/>
          <w:b/>
          <w:bCs/>
          <w:sz w:val="24"/>
          <w:szCs w:val="24"/>
        </w:rPr>
        <w:t>设计说明设计深度要求</w:t>
      </w:r>
    </w:p>
    <w:p w14:paraId="425B908F">
      <w:pPr>
        <w:ind w:left="0" w:leftChars="0" w:firstLine="480" w:firstLineChars="200"/>
        <w:rPr>
          <w:color w:val="333333"/>
          <w:sz w:val="24"/>
          <w:szCs w:val="24"/>
        </w:rPr>
      </w:pPr>
      <w:r>
        <w:rPr>
          <w:rFonts w:hint="eastAsia"/>
          <w:color w:val="333333"/>
          <w:sz w:val="24"/>
          <w:szCs w:val="24"/>
        </w:rPr>
        <w:t>设计说明应包括幕墙工程概况、本次设计范围描述（列举单项和分布情况），设计依据和采用规范、设计理念和构造设计理论、主要幕墙形式系统概述（幕墙结构选材及构造要点说明）、物理性能、建筑设计（防火和避雷）、材料物理性能和本项目选用概述、加工要求、施工要求、其他施工单位配合和施工注意事项、面饰材料色差控制办法、实验要求、清洗配套措施、成品保护、物料表及保养保修等。</w:t>
      </w:r>
    </w:p>
    <w:p w14:paraId="641FD2CE">
      <w:pPr>
        <w:pStyle w:val="28"/>
        <w:numPr>
          <w:ilvl w:val="0"/>
          <w:numId w:val="18"/>
        </w:numPr>
        <w:ind w:firstLineChars="0"/>
        <w:jc w:val="left"/>
        <w:rPr>
          <w:color w:val="333333"/>
          <w:sz w:val="24"/>
          <w:szCs w:val="24"/>
        </w:rPr>
      </w:pPr>
      <w:r>
        <w:rPr>
          <w:rFonts w:hint="eastAsia"/>
          <w:color w:val="333333"/>
          <w:sz w:val="24"/>
          <w:szCs w:val="24"/>
        </w:rPr>
        <w:t>幕墙工程概况</w:t>
      </w:r>
    </w:p>
    <w:p w14:paraId="3C4357D9">
      <w:pPr>
        <w:ind w:left="0" w:leftChars="0" w:firstLine="480" w:firstLineChars="200"/>
        <w:rPr>
          <w:color w:val="333333"/>
          <w:sz w:val="24"/>
          <w:szCs w:val="24"/>
        </w:rPr>
      </w:pPr>
      <w:r>
        <w:rPr>
          <w:rFonts w:hint="eastAsia"/>
          <w:color w:val="333333"/>
          <w:sz w:val="24"/>
          <w:szCs w:val="24"/>
        </w:rPr>
        <w:t>包括幕墙工程名称、建设地点、开发单位、建筑设计单位、建筑物总高度、层数、标准层高、总面积、主体结构形式地面粗糙类别、建筑物耐火等级、抗震设计烈度、设计使用年限、幕墙工程概述等。</w:t>
      </w:r>
    </w:p>
    <w:p w14:paraId="0E88BF66">
      <w:pPr>
        <w:pStyle w:val="28"/>
        <w:numPr>
          <w:ilvl w:val="0"/>
          <w:numId w:val="18"/>
        </w:numPr>
        <w:ind w:firstLineChars="0"/>
        <w:jc w:val="left"/>
        <w:rPr>
          <w:color w:val="333333"/>
          <w:sz w:val="24"/>
          <w:szCs w:val="24"/>
        </w:rPr>
      </w:pPr>
      <w:r>
        <w:rPr>
          <w:rFonts w:hint="eastAsia"/>
          <w:color w:val="333333"/>
          <w:sz w:val="24"/>
          <w:szCs w:val="24"/>
        </w:rPr>
        <w:t>设计依据</w:t>
      </w:r>
    </w:p>
    <w:p w14:paraId="3A950837">
      <w:pPr>
        <w:ind w:left="0" w:leftChars="0" w:firstLine="480" w:firstLineChars="200"/>
        <w:rPr>
          <w:color w:val="333333"/>
          <w:sz w:val="24"/>
          <w:szCs w:val="24"/>
        </w:rPr>
      </w:pPr>
      <w:r>
        <w:rPr>
          <w:rFonts w:hint="eastAsia"/>
          <w:color w:val="333333"/>
          <w:sz w:val="24"/>
          <w:szCs w:val="24"/>
        </w:rPr>
        <w:t>列举幕墙工程所参照和引用的国家及项目所在地颁布的规范及规程、法令以及行业标准文件包括工程招标和答疑文件等，所有规范、规程、法令以及行业标准文件须更新到最新版本。</w:t>
      </w:r>
    </w:p>
    <w:p w14:paraId="669B5CEF">
      <w:pPr>
        <w:pStyle w:val="28"/>
        <w:numPr>
          <w:ilvl w:val="0"/>
          <w:numId w:val="18"/>
        </w:numPr>
        <w:ind w:firstLineChars="0"/>
        <w:jc w:val="left"/>
        <w:rPr>
          <w:color w:val="333333"/>
          <w:sz w:val="24"/>
          <w:szCs w:val="24"/>
        </w:rPr>
      </w:pPr>
      <w:r>
        <w:rPr>
          <w:rFonts w:hint="eastAsia"/>
          <w:color w:val="333333"/>
          <w:sz w:val="24"/>
          <w:szCs w:val="24"/>
        </w:rPr>
        <w:t>主要幕墙形式说明</w:t>
      </w:r>
    </w:p>
    <w:p w14:paraId="3E6FCC66">
      <w:pPr>
        <w:ind w:left="0" w:leftChars="0" w:firstLine="480" w:firstLineChars="200"/>
        <w:rPr>
          <w:color w:val="333333"/>
          <w:sz w:val="24"/>
          <w:szCs w:val="24"/>
        </w:rPr>
      </w:pPr>
      <w:r>
        <w:rPr>
          <w:rFonts w:hint="eastAsia"/>
          <w:color w:val="333333"/>
          <w:sz w:val="24"/>
          <w:szCs w:val="24"/>
        </w:rPr>
        <w:t>对幕墙工程所采用的主要幕墙形式进行简要说明，包括但不限于对主要幕墙形式的分布部位和位置、结构体系、龙骨和面板材质与规格等、节点做法、主要特点等的简要说明（可以配图）。</w:t>
      </w:r>
    </w:p>
    <w:p w14:paraId="6F09DEF0">
      <w:pPr>
        <w:pStyle w:val="28"/>
        <w:numPr>
          <w:ilvl w:val="0"/>
          <w:numId w:val="18"/>
        </w:numPr>
        <w:ind w:firstLineChars="0"/>
        <w:jc w:val="left"/>
        <w:rPr>
          <w:color w:val="333333"/>
          <w:sz w:val="24"/>
          <w:szCs w:val="24"/>
        </w:rPr>
      </w:pPr>
      <w:r>
        <w:rPr>
          <w:rFonts w:hint="eastAsia"/>
          <w:color w:val="333333"/>
          <w:sz w:val="24"/>
          <w:szCs w:val="24"/>
        </w:rPr>
        <w:t>幕墙结构及构造要点说明</w:t>
      </w:r>
    </w:p>
    <w:p w14:paraId="517E40FB">
      <w:pPr>
        <w:ind w:left="0" w:leftChars="0" w:firstLine="480" w:firstLineChars="200"/>
        <w:rPr>
          <w:color w:val="333333"/>
          <w:sz w:val="24"/>
          <w:szCs w:val="24"/>
        </w:rPr>
      </w:pPr>
      <w:r>
        <w:rPr>
          <w:rFonts w:hint="eastAsia"/>
          <w:color w:val="333333"/>
          <w:sz w:val="24"/>
          <w:szCs w:val="24"/>
        </w:rPr>
        <w:t>对幕墙工程的面板及主受力构件体系、荷载分布组合、传力途径、预埋件（或后补埋件）及埋件反力等进行详细说明，应表明工程设计构造形式和连接节点具有的安全性、先进性和经济性，以及立面分格和幕墙的构造厚度等。</w:t>
      </w:r>
    </w:p>
    <w:p w14:paraId="4BE6D6CB">
      <w:pPr>
        <w:pStyle w:val="28"/>
        <w:numPr>
          <w:ilvl w:val="0"/>
          <w:numId w:val="18"/>
        </w:numPr>
        <w:ind w:firstLineChars="0"/>
        <w:jc w:val="left"/>
        <w:rPr>
          <w:color w:val="333333"/>
          <w:sz w:val="24"/>
          <w:szCs w:val="24"/>
        </w:rPr>
      </w:pPr>
      <w:r>
        <w:rPr>
          <w:rFonts w:hint="eastAsia"/>
          <w:color w:val="333333"/>
          <w:sz w:val="24"/>
          <w:szCs w:val="24"/>
        </w:rPr>
        <w:t>物理性能</w:t>
      </w:r>
    </w:p>
    <w:p w14:paraId="109B18B3">
      <w:pPr>
        <w:ind w:left="0" w:leftChars="0" w:firstLine="480" w:firstLineChars="200"/>
        <w:rPr>
          <w:color w:val="333333"/>
          <w:sz w:val="24"/>
          <w:szCs w:val="24"/>
        </w:rPr>
      </w:pPr>
      <w:r>
        <w:rPr>
          <w:rFonts w:hint="eastAsia"/>
          <w:color w:val="333333"/>
          <w:sz w:val="24"/>
          <w:szCs w:val="24"/>
        </w:rPr>
        <w:t>明确幕墙工程的设计抗风压性能、气密性、水密性、平面变形性能；隔声性能、保温性能、耐撞击性能以及光学性能等。需要计算的，须表达计算过程并提供计算依据。</w:t>
      </w:r>
    </w:p>
    <w:p w14:paraId="5799B441">
      <w:pPr>
        <w:pStyle w:val="28"/>
        <w:numPr>
          <w:ilvl w:val="0"/>
          <w:numId w:val="18"/>
        </w:numPr>
        <w:ind w:firstLineChars="0"/>
        <w:jc w:val="left"/>
        <w:rPr>
          <w:color w:val="333333"/>
          <w:sz w:val="24"/>
          <w:szCs w:val="24"/>
        </w:rPr>
      </w:pPr>
      <w:r>
        <w:rPr>
          <w:rFonts w:hint="eastAsia"/>
          <w:color w:val="333333"/>
          <w:sz w:val="24"/>
          <w:szCs w:val="24"/>
        </w:rPr>
        <w:t>建筑设计</w:t>
      </w:r>
    </w:p>
    <w:p w14:paraId="37406EBA">
      <w:pPr>
        <w:ind w:left="0" w:leftChars="0" w:firstLine="0" w:firstLineChars="0"/>
        <w:rPr>
          <w:rFonts w:hint="eastAsia"/>
          <w:color w:val="333333"/>
          <w:sz w:val="24"/>
          <w:szCs w:val="24"/>
        </w:rPr>
      </w:pPr>
    </w:p>
    <w:p w14:paraId="4EC99C3D">
      <w:pPr>
        <w:ind w:left="0" w:leftChars="0" w:firstLine="480" w:firstLineChars="200"/>
        <w:rPr>
          <w:color w:val="333333"/>
          <w:sz w:val="24"/>
          <w:szCs w:val="24"/>
        </w:rPr>
      </w:pPr>
      <w:r>
        <w:rPr>
          <w:rFonts w:hint="eastAsia"/>
          <w:color w:val="333333"/>
          <w:sz w:val="24"/>
          <w:szCs w:val="24"/>
        </w:rPr>
        <w:t>主要包括幕墙工程的防雷构造设计、防火构造设计、抗震设计、耐腐蚀设计、绿色环保和节能设计、可视（玻璃、透明）幕墙所暴露出的内围护结构外表面（墙面、梁柱、洞口、百叶等部位）的设计等。</w:t>
      </w:r>
    </w:p>
    <w:p w14:paraId="5A31C9A5">
      <w:pPr>
        <w:pStyle w:val="28"/>
        <w:numPr>
          <w:ilvl w:val="0"/>
          <w:numId w:val="18"/>
        </w:numPr>
        <w:ind w:firstLineChars="0"/>
        <w:jc w:val="left"/>
        <w:rPr>
          <w:color w:val="333333"/>
          <w:sz w:val="24"/>
          <w:szCs w:val="24"/>
        </w:rPr>
      </w:pPr>
      <w:r>
        <w:rPr>
          <w:rFonts w:hint="eastAsia"/>
          <w:color w:val="333333"/>
          <w:sz w:val="24"/>
          <w:szCs w:val="24"/>
        </w:rPr>
        <w:t>材料选择</w:t>
      </w:r>
    </w:p>
    <w:p w14:paraId="478EFB82">
      <w:pPr>
        <w:ind w:left="0" w:leftChars="0" w:firstLine="480" w:firstLineChars="200"/>
        <w:rPr>
          <w:color w:val="333333"/>
          <w:sz w:val="24"/>
          <w:szCs w:val="24"/>
        </w:rPr>
      </w:pPr>
      <w:r>
        <w:rPr>
          <w:rFonts w:hint="eastAsia"/>
          <w:color w:val="333333"/>
          <w:sz w:val="24"/>
          <w:szCs w:val="24"/>
        </w:rPr>
        <w:t>表明用于幕墙工程的主要材料的使用部位、材质、规格、产地要求（如有）、主要性能指标等。一般应包括铝合金型材、钢制件、玻璃、金属板及其它板材、胶类、密封胶条、五金配件及其它附件等，应对幕墙工程所用的主要材料进行有针对性的说明和描述。其中特别强调以下内容：</w:t>
      </w:r>
    </w:p>
    <w:p w14:paraId="71B2803E">
      <w:pPr>
        <w:ind w:left="0" w:leftChars="0" w:firstLine="480" w:firstLineChars="200"/>
        <w:rPr>
          <w:color w:val="333333"/>
          <w:sz w:val="24"/>
          <w:szCs w:val="24"/>
        </w:rPr>
      </w:pPr>
      <w:r>
        <w:rPr>
          <w:rFonts w:hint="eastAsia"/>
          <w:color w:val="333333"/>
          <w:sz w:val="24"/>
          <w:szCs w:val="24"/>
        </w:rPr>
        <w:t>1）铝合金型材、钢制件、金属板等需特别明确材质和表面处理要求。</w:t>
      </w:r>
    </w:p>
    <w:p w14:paraId="3B003499">
      <w:pPr>
        <w:ind w:left="0" w:leftChars="0" w:firstLine="480" w:firstLineChars="200"/>
        <w:rPr>
          <w:color w:val="333333"/>
          <w:sz w:val="24"/>
          <w:szCs w:val="24"/>
        </w:rPr>
      </w:pPr>
      <w:r>
        <w:rPr>
          <w:rFonts w:hint="eastAsia"/>
          <w:color w:val="333333"/>
          <w:sz w:val="24"/>
          <w:szCs w:val="24"/>
        </w:rPr>
        <w:t>2）钢材表面处理完整的写出除锈方法、除锈等级、底面配套涂料名称及道数、涂膜总厚度等，端口焊接封堵。</w:t>
      </w:r>
    </w:p>
    <w:p w14:paraId="724EA6EB">
      <w:pPr>
        <w:ind w:left="0" w:leftChars="0" w:firstLine="480" w:firstLineChars="200"/>
        <w:rPr>
          <w:color w:val="333333"/>
          <w:sz w:val="24"/>
          <w:szCs w:val="24"/>
        </w:rPr>
      </w:pPr>
      <w:r>
        <w:rPr>
          <w:color w:val="333333"/>
          <w:sz w:val="24"/>
          <w:szCs w:val="24"/>
        </w:rPr>
        <w:t>3</w:t>
      </w:r>
      <w:r>
        <w:rPr>
          <w:rFonts w:hint="eastAsia"/>
          <w:color w:val="333333"/>
          <w:sz w:val="24"/>
          <w:szCs w:val="24"/>
        </w:rPr>
        <w:t>）玻璃需特别明确原片、钢化、夹胶、中空层、镀膜等主要性能指标，对原片颜色、夹胶胶片、中空层的构造和填充、镀膜的类型及镀膜面的位置等要重点予以说明。</w:t>
      </w:r>
    </w:p>
    <w:p w14:paraId="094FEFF6">
      <w:pPr>
        <w:ind w:left="0" w:leftChars="0" w:firstLine="480" w:firstLineChars="200"/>
        <w:rPr>
          <w:color w:val="333333"/>
          <w:sz w:val="24"/>
          <w:szCs w:val="24"/>
        </w:rPr>
      </w:pPr>
      <w:r>
        <w:rPr>
          <w:color w:val="333333"/>
          <w:sz w:val="24"/>
          <w:szCs w:val="24"/>
        </w:rPr>
        <w:t>4</w:t>
      </w:r>
      <w:r>
        <w:rPr>
          <w:rFonts w:hint="eastAsia"/>
          <w:color w:val="333333"/>
          <w:sz w:val="24"/>
          <w:szCs w:val="24"/>
        </w:rPr>
        <w:t>）胶类包括硅酮耐候胶和结构胶等，需特别明确区分中性或酸性、单组份或双组分等要求。注明在有效期内使用，硅酮结构胶相容性实验和复验的要求，不合格不得使用，全玻幕墙除外，现场不得填注。同一幕墙采用同一品牌结构胶和密封胶，含相容性可配套实验报告。</w:t>
      </w:r>
    </w:p>
    <w:p w14:paraId="640BE041">
      <w:pPr>
        <w:ind w:left="0" w:leftChars="0" w:firstLine="480" w:firstLineChars="200"/>
        <w:rPr>
          <w:color w:val="333333"/>
          <w:sz w:val="24"/>
          <w:szCs w:val="24"/>
        </w:rPr>
      </w:pPr>
      <w:r>
        <w:rPr>
          <w:rFonts w:hint="eastAsia"/>
          <w:color w:val="333333"/>
          <w:sz w:val="24"/>
          <w:szCs w:val="24"/>
          <w:lang w:val="en-US" w:eastAsia="zh-CN"/>
        </w:rPr>
        <w:t>5</w:t>
      </w:r>
      <w:r>
        <w:rPr>
          <w:rFonts w:hint="eastAsia"/>
          <w:color w:val="333333"/>
          <w:sz w:val="24"/>
          <w:szCs w:val="24"/>
        </w:rPr>
        <w:t>）密封胶条需特别明确材质，区分三元乙丙、氯丁橡胶、硅橡胶等具体要求。</w:t>
      </w:r>
    </w:p>
    <w:p w14:paraId="0CB03131">
      <w:pPr>
        <w:ind w:left="0" w:leftChars="0" w:firstLine="480" w:firstLineChars="200"/>
        <w:rPr>
          <w:color w:val="333333"/>
          <w:sz w:val="24"/>
          <w:szCs w:val="24"/>
        </w:rPr>
      </w:pPr>
      <w:r>
        <w:rPr>
          <w:rFonts w:hint="eastAsia"/>
          <w:color w:val="333333"/>
          <w:sz w:val="24"/>
          <w:szCs w:val="24"/>
          <w:lang w:val="en-US" w:eastAsia="zh-CN"/>
        </w:rPr>
        <w:t>6</w:t>
      </w:r>
      <w:r>
        <w:rPr>
          <w:rFonts w:hint="eastAsia"/>
          <w:color w:val="333333"/>
          <w:sz w:val="24"/>
          <w:szCs w:val="24"/>
        </w:rPr>
        <w:t>）五金配件需特别明确材质、开启方式、规格等指标，如应区分不锈钢304 和316 的材质要求，说明开启五金的铰链、风撑、多点锁系统具体配置、地弹簧的承重要求等。螺栓注明加设弹簧垫圈作为防松措施。</w:t>
      </w:r>
    </w:p>
    <w:p w14:paraId="7B70C391">
      <w:pPr>
        <w:ind w:left="0" w:leftChars="0" w:firstLine="480" w:firstLineChars="200"/>
        <w:rPr>
          <w:color w:val="333333"/>
          <w:sz w:val="24"/>
          <w:szCs w:val="24"/>
        </w:rPr>
      </w:pPr>
      <w:r>
        <w:rPr>
          <w:rFonts w:hint="eastAsia"/>
          <w:color w:val="333333"/>
          <w:sz w:val="24"/>
          <w:szCs w:val="24"/>
          <w:lang w:val="en-US" w:eastAsia="zh-CN"/>
        </w:rPr>
        <w:t>7</w:t>
      </w:r>
      <w:r>
        <w:rPr>
          <w:rFonts w:hint="eastAsia"/>
          <w:color w:val="333333"/>
          <w:sz w:val="24"/>
          <w:szCs w:val="24"/>
        </w:rPr>
        <w:t>）焊条型号、焊缝形式和焊缝质量等级。</w:t>
      </w:r>
    </w:p>
    <w:p w14:paraId="4BF4C1D6">
      <w:pPr>
        <w:ind w:left="0" w:leftChars="0" w:firstLine="480" w:firstLineChars="200"/>
        <w:rPr>
          <w:color w:val="333333"/>
          <w:sz w:val="24"/>
          <w:szCs w:val="24"/>
        </w:rPr>
      </w:pPr>
      <w:r>
        <w:rPr>
          <w:rFonts w:hint="eastAsia"/>
          <w:color w:val="333333"/>
          <w:sz w:val="24"/>
          <w:szCs w:val="24"/>
          <w:lang w:val="en-US" w:eastAsia="zh-CN"/>
        </w:rPr>
        <w:t>8</w:t>
      </w:r>
      <w:r>
        <w:rPr>
          <w:rFonts w:hint="eastAsia"/>
          <w:color w:val="333333"/>
          <w:sz w:val="24"/>
          <w:szCs w:val="24"/>
        </w:rPr>
        <w:t>）根据建筑设计窗墙比，在建筑设计节能专篇等相关表格中查出玻璃及窗框类别，核对建筑图纸相关技术指标要求，存在矛盾点时及时和甲方联系，以便准确选择相关材料。</w:t>
      </w:r>
    </w:p>
    <w:p w14:paraId="3616480D">
      <w:pPr>
        <w:ind w:left="0" w:leftChars="0" w:firstLine="480" w:firstLineChars="200"/>
        <w:rPr>
          <w:color w:val="333333"/>
          <w:sz w:val="24"/>
          <w:szCs w:val="24"/>
        </w:rPr>
      </w:pPr>
      <w:r>
        <w:rPr>
          <w:rFonts w:hint="eastAsia"/>
          <w:color w:val="333333"/>
          <w:sz w:val="24"/>
          <w:szCs w:val="24"/>
          <w:lang w:val="en-US" w:eastAsia="zh-CN"/>
        </w:rPr>
        <w:t>9</w:t>
      </w:r>
      <w:r>
        <w:rPr>
          <w:rFonts w:hint="eastAsia"/>
          <w:color w:val="333333"/>
          <w:sz w:val="24"/>
          <w:szCs w:val="24"/>
        </w:rPr>
        <w:t>）所有的节点图中，不得标注饰面颜色，颜色详施工封样或单独的颜色说明图纸。</w:t>
      </w:r>
    </w:p>
    <w:p w14:paraId="1943B477">
      <w:pPr>
        <w:pStyle w:val="28"/>
        <w:numPr>
          <w:ilvl w:val="0"/>
          <w:numId w:val="18"/>
        </w:numPr>
        <w:ind w:firstLineChars="0"/>
        <w:jc w:val="left"/>
        <w:rPr>
          <w:color w:val="333333"/>
          <w:sz w:val="24"/>
          <w:szCs w:val="24"/>
        </w:rPr>
      </w:pPr>
      <w:r>
        <w:rPr>
          <w:rFonts w:hint="eastAsia"/>
          <w:color w:val="333333"/>
          <w:sz w:val="24"/>
          <w:szCs w:val="24"/>
        </w:rPr>
        <w:t>加工及施工要求</w:t>
      </w:r>
    </w:p>
    <w:p w14:paraId="5D159EBE">
      <w:pPr>
        <w:ind w:left="0" w:leftChars="0" w:firstLine="480" w:firstLineChars="200"/>
        <w:rPr>
          <w:color w:val="333333"/>
          <w:sz w:val="24"/>
          <w:szCs w:val="24"/>
        </w:rPr>
      </w:pPr>
      <w:r>
        <w:rPr>
          <w:rFonts w:hint="eastAsia"/>
          <w:color w:val="333333"/>
          <w:sz w:val="24"/>
          <w:szCs w:val="24"/>
        </w:rPr>
        <w:t>说明对面饰材料、构件加工精度的要求、与土建设计施工的配合要求、与电气设计施工的配合要求、对幕墙施工的要求包括施工精度要求等。</w:t>
      </w:r>
    </w:p>
    <w:p w14:paraId="6656E896">
      <w:pPr>
        <w:pStyle w:val="28"/>
        <w:numPr>
          <w:ilvl w:val="0"/>
          <w:numId w:val="18"/>
        </w:numPr>
        <w:ind w:firstLineChars="0"/>
        <w:jc w:val="left"/>
        <w:rPr>
          <w:color w:val="333333"/>
          <w:sz w:val="24"/>
          <w:szCs w:val="24"/>
        </w:rPr>
      </w:pPr>
      <w:r>
        <w:rPr>
          <w:rFonts w:hint="eastAsia"/>
          <w:color w:val="333333"/>
          <w:sz w:val="24"/>
          <w:szCs w:val="24"/>
        </w:rPr>
        <w:t>清洗和维护</w:t>
      </w:r>
    </w:p>
    <w:p w14:paraId="1286B1D1">
      <w:pPr>
        <w:ind w:left="0" w:leftChars="0" w:firstLine="480" w:firstLineChars="200"/>
        <w:rPr>
          <w:color w:val="333333"/>
          <w:sz w:val="24"/>
          <w:szCs w:val="24"/>
        </w:rPr>
      </w:pPr>
      <w:r>
        <w:rPr>
          <w:rFonts w:hint="eastAsia"/>
          <w:color w:val="333333"/>
          <w:sz w:val="24"/>
          <w:szCs w:val="24"/>
        </w:rPr>
        <w:t>包括对清洗设备（如有）及设计资料的一般说明。</w:t>
      </w:r>
    </w:p>
    <w:p w14:paraId="57830B39">
      <w:pPr>
        <w:pStyle w:val="28"/>
        <w:numPr>
          <w:ilvl w:val="0"/>
          <w:numId w:val="18"/>
        </w:numPr>
        <w:ind w:firstLineChars="0"/>
        <w:jc w:val="both"/>
        <w:rPr>
          <w:color w:val="333333"/>
          <w:sz w:val="24"/>
          <w:szCs w:val="24"/>
        </w:rPr>
      </w:pPr>
      <w:r>
        <w:rPr>
          <w:rFonts w:hint="eastAsia"/>
          <w:color w:val="333333"/>
          <w:sz w:val="24"/>
          <w:szCs w:val="24"/>
        </w:rPr>
        <w:t>需其他专业配合内容和幕墙施工单位配合事项</w:t>
      </w:r>
    </w:p>
    <w:p w14:paraId="2F7ABD41">
      <w:pPr>
        <w:ind w:left="0" w:leftChars="0" w:firstLine="480" w:firstLineChars="200"/>
        <w:rPr>
          <w:color w:val="333333"/>
          <w:sz w:val="24"/>
          <w:szCs w:val="24"/>
        </w:rPr>
      </w:pPr>
      <w:r>
        <w:rPr>
          <w:rFonts w:hint="eastAsia"/>
          <w:color w:val="333333"/>
          <w:sz w:val="24"/>
          <w:szCs w:val="24"/>
        </w:rPr>
        <w:t>说明需建筑配合完善内容和其他专业设计和施工时注意事项，施工单位进场测量后绘制分格图和局部节点尺寸，待设计单位确认后方可施工。</w:t>
      </w:r>
    </w:p>
    <w:p w14:paraId="4C36C0F6">
      <w:pPr>
        <w:pStyle w:val="28"/>
        <w:numPr>
          <w:ilvl w:val="0"/>
          <w:numId w:val="18"/>
        </w:numPr>
        <w:ind w:firstLineChars="0"/>
        <w:jc w:val="left"/>
        <w:rPr>
          <w:color w:val="333333"/>
          <w:sz w:val="24"/>
          <w:szCs w:val="24"/>
        </w:rPr>
      </w:pPr>
      <w:r>
        <w:rPr>
          <w:rFonts w:hint="eastAsia"/>
          <w:color w:val="333333"/>
          <w:sz w:val="24"/>
          <w:szCs w:val="24"/>
        </w:rPr>
        <w:t>实验</w:t>
      </w:r>
    </w:p>
    <w:p w14:paraId="23A70D97">
      <w:pPr>
        <w:ind w:left="0" w:leftChars="0" w:firstLine="480" w:firstLineChars="200"/>
        <w:rPr>
          <w:color w:val="333333"/>
          <w:sz w:val="24"/>
          <w:szCs w:val="24"/>
        </w:rPr>
      </w:pPr>
      <w:r>
        <w:rPr>
          <w:rFonts w:hint="eastAsia"/>
          <w:color w:val="333333"/>
          <w:sz w:val="24"/>
          <w:szCs w:val="24"/>
        </w:rPr>
        <w:t>列出实验详单（表格形式），注明组数划分、相关数据、试验时间。</w:t>
      </w:r>
    </w:p>
    <w:p w14:paraId="3B327EA7">
      <w:pPr>
        <w:ind w:left="0" w:leftChars="0" w:firstLine="480" w:firstLineChars="200"/>
        <w:rPr>
          <w:color w:val="333333"/>
          <w:sz w:val="24"/>
          <w:szCs w:val="24"/>
        </w:rPr>
      </w:pPr>
      <w:r>
        <w:rPr>
          <w:rFonts w:hint="eastAsia"/>
          <w:color w:val="333333"/>
          <w:sz w:val="24"/>
          <w:szCs w:val="24"/>
        </w:rPr>
        <w:t>1）四性试验，另行出图并提供测试流程。</w:t>
      </w:r>
    </w:p>
    <w:p w14:paraId="0D055916">
      <w:pPr>
        <w:ind w:left="0" w:leftChars="0" w:firstLine="480" w:firstLineChars="200"/>
        <w:rPr>
          <w:color w:val="333333"/>
          <w:sz w:val="24"/>
          <w:szCs w:val="24"/>
        </w:rPr>
      </w:pPr>
      <w:r>
        <w:rPr>
          <w:rFonts w:hint="eastAsia"/>
          <w:color w:val="333333"/>
          <w:sz w:val="24"/>
          <w:szCs w:val="24"/>
        </w:rPr>
        <w:t>2）材料检测，同一厂家生产的同一品种、同类型的进场材料应至少抽取一组样品进行复验，当合同另有约定时，应按合同执行。</w:t>
      </w:r>
    </w:p>
    <w:p w14:paraId="17771153">
      <w:pPr>
        <w:ind w:left="0" w:leftChars="0" w:firstLine="480" w:firstLineChars="200"/>
        <w:rPr>
          <w:color w:val="333333"/>
          <w:sz w:val="24"/>
          <w:szCs w:val="24"/>
        </w:rPr>
      </w:pPr>
      <w:r>
        <w:rPr>
          <w:rFonts w:hint="eastAsia"/>
          <w:color w:val="333333"/>
          <w:sz w:val="24"/>
          <w:szCs w:val="24"/>
        </w:rPr>
        <w:t>3）现场实验</w:t>
      </w:r>
    </w:p>
    <w:p w14:paraId="7C62B5C7">
      <w:pPr>
        <w:ind w:left="0" w:leftChars="0" w:firstLine="0" w:firstLineChars="0"/>
        <w:rPr>
          <w:color w:val="333333"/>
          <w:sz w:val="24"/>
          <w:szCs w:val="24"/>
        </w:rPr>
      </w:pPr>
      <w:r>
        <w:rPr>
          <w:color w:val="333333"/>
          <w:sz w:val="24"/>
          <w:szCs w:val="24"/>
        </w:rPr>
        <w:t>A.</w:t>
      </w:r>
      <w:r>
        <w:rPr>
          <w:rFonts w:hint="eastAsia"/>
          <w:color w:val="333333"/>
          <w:sz w:val="24"/>
          <w:szCs w:val="24"/>
        </w:rPr>
        <w:t>后置预埋件的现场拉拔试验，抽取数量应按规范规定的比例采取随机抽样的依法进行；</w:t>
      </w:r>
    </w:p>
    <w:p w14:paraId="71E77C06">
      <w:pPr>
        <w:ind w:left="0" w:leftChars="0" w:firstLine="0" w:firstLineChars="0"/>
        <w:rPr>
          <w:color w:val="333333"/>
          <w:sz w:val="24"/>
          <w:szCs w:val="24"/>
        </w:rPr>
      </w:pPr>
      <w:r>
        <w:rPr>
          <w:color w:val="333333"/>
          <w:sz w:val="24"/>
          <w:szCs w:val="24"/>
        </w:rPr>
        <w:t>B.</w:t>
      </w:r>
      <w:r>
        <w:rPr>
          <w:rFonts w:hint="eastAsia"/>
          <w:color w:val="333333"/>
          <w:sz w:val="24"/>
          <w:szCs w:val="24"/>
        </w:rPr>
        <w:t>硅酮结构密封胶的剥离试验，抽取数量为每100 个组件抽取1 件。</w:t>
      </w:r>
    </w:p>
    <w:p w14:paraId="6C508DBB">
      <w:pPr>
        <w:ind w:left="0" w:leftChars="0" w:firstLine="0" w:firstLineChars="0"/>
        <w:rPr>
          <w:color w:val="333333"/>
          <w:sz w:val="24"/>
          <w:szCs w:val="24"/>
        </w:rPr>
      </w:pPr>
      <w:r>
        <w:rPr>
          <w:color w:val="333333"/>
          <w:sz w:val="24"/>
          <w:szCs w:val="24"/>
        </w:rPr>
        <w:t>C.</w:t>
      </w:r>
      <w:r>
        <w:rPr>
          <w:rFonts w:hint="eastAsia"/>
          <w:color w:val="333333"/>
          <w:sz w:val="24"/>
          <w:szCs w:val="24"/>
        </w:rPr>
        <w:t>如果采用双组分硅酮结构密封胶，还应做混匀性（蝴蝶）试验和拉断（胶杯）试验。同种类型做一组即可。</w:t>
      </w:r>
    </w:p>
    <w:p w14:paraId="6B018EE5">
      <w:pPr>
        <w:ind w:left="0" w:leftChars="0" w:firstLine="0" w:firstLineChars="0"/>
        <w:rPr>
          <w:color w:val="333333"/>
          <w:sz w:val="24"/>
          <w:szCs w:val="24"/>
        </w:rPr>
      </w:pPr>
      <w:r>
        <w:rPr>
          <w:color w:val="333333"/>
          <w:sz w:val="24"/>
          <w:szCs w:val="24"/>
        </w:rPr>
        <w:t>D.100%</w:t>
      </w:r>
      <w:r>
        <w:rPr>
          <w:rFonts w:hint="eastAsia"/>
          <w:color w:val="333333"/>
          <w:sz w:val="24"/>
          <w:szCs w:val="24"/>
        </w:rPr>
        <w:t>淋水试验。</w:t>
      </w:r>
    </w:p>
    <w:p w14:paraId="08D1285C">
      <w:pPr>
        <w:ind w:left="0" w:leftChars="0" w:firstLine="480" w:firstLineChars="200"/>
        <w:rPr>
          <w:color w:val="333333"/>
          <w:sz w:val="24"/>
          <w:szCs w:val="24"/>
        </w:rPr>
      </w:pPr>
      <w:r>
        <w:rPr>
          <w:rFonts w:hint="eastAsia"/>
          <w:color w:val="333333"/>
          <w:sz w:val="24"/>
          <w:szCs w:val="24"/>
        </w:rPr>
        <w:t>4）检验批的划分：</w:t>
      </w:r>
    </w:p>
    <w:p w14:paraId="37360977">
      <w:pPr>
        <w:ind w:left="0" w:leftChars="0" w:firstLine="0" w:firstLineChars="0"/>
        <w:rPr>
          <w:color w:val="333333"/>
          <w:sz w:val="24"/>
          <w:szCs w:val="24"/>
        </w:rPr>
      </w:pPr>
      <w:r>
        <w:rPr>
          <w:color w:val="333333"/>
          <w:sz w:val="24"/>
          <w:szCs w:val="24"/>
        </w:rPr>
        <w:t>A.</w:t>
      </w:r>
      <w:r>
        <w:rPr>
          <w:rFonts w:hint="eastAsia"/>
          <w:color w:val="333333"/>
          <w:sz w:val="24"/>
          <w:szCs w:val="24"/>
        </w:rPr>
        <w:t>相同设计、材料、工艺和施工条件的幕墙工程每500～1000 平方米为一个检验批，不足500 平方米应划分为一个检验批；每个检验批每100 平方米应至少抽查一处，每处不得小于10 平方米。</w:t>
      </w:r>
    </w:p>
    <w:p w14:paraId="1C001753">
      <w:pPr>
        <w:ind w:left="0" w:leftChars="0" w:firstLine="0" w:firstLineChars="0"/>
        <w:rPr>
          <w:color w:val="333333"/>
          <w:sz w:val="24"/>
          <w:szCs w:val="24"/>
        </w:rPr>
      </w:pPr>
      <w:r>
        <w:rPr>
          <w:color w:val="333333"/>
          <w:sz w:val="24"/>
          <w:szCs w:val="24"/>
        </w:rPr>
        <w:t>B.</w:t>
      </w:r>
      <w:r>
        <w:rPr>
          <w:rFonts w:hint="eastAsia"/>
          <w:color w:val="333333"/>
          <w:sz w:val="24"/>
          <w:szCs w:val="24"/>
        </w:rPr>
        <w:t>同一单位工程的不连续的幕墙工程应单独划分检验批。</w:t>
      </w:r>
    </w:p>
    <w:p w14:paraId="6CC3CD27">
      <w:pPr>
        <w:ind w:left="0" w:leftChars="0" w:firstLine="0" w:firstLineChars="0"/>
        <w:rPr>
          <w:color w:val="333333"/>
          <w:sz w:val="24"/>
          <w:szCs w:val="24"/>
        </w:rPr>
      </w:pPr>
      <w:r>
        <w:rPr>
          <w:color w:val="333333"/>
          <w:sz w:val="24"/>
          <w:szCs w:val="24"/>
        </w:rPr>
        <w:t>C.</w:t>
      </w:r>
      <w:r>
        <w:rPr>
          <w:rFonts w:hint="eastAsia"/>
          <w:color w:val="333333"/>
          <w:sz w:val="24"/>
          <w:szCs w:val="24"/>
        </w:rPr>
        <w:t>对于异形或者有特殊要求的幕墙，检验批的划分和每个检验批的检查数量应根据幕墙的结构、工艺特点及幕墙工程的规模，由监理单位、建设单位和施工单位协商确定。</w:t>
      </w:r>
    </w:p>
    <w:p w14:paraId="6ECB0A50">
      <w:pPr>
        <w:numPr>
          <w:ilvl w:val="0"/>
          <w:numId w:val="15"/>
        </w:numPr>
        <w:bidi w:val="0"/>
        <w:rPr>
          <w:b/>
          <w:bCs/>
          <w:sz w:val="24"/>
          <w:szCs w:val="24"/>
        </w:rPr>
      </w:pPr>
      <w:r>
        <w:rPr>
          <w:rFonts w:hint="eastAsia"/>
          <w:b/>
          <w:bCs/>
          <w:sz w:val="24"/>
          <w:szCs w:val="24"/>
        </w:rPr>
        <w:t>材料明细表设计深度要求</w:t>
      </w:r>
    </w:p>
    <w:p w14:paraId="5A176A89">
      <w:pPr>
        <w:ind w:left="0" w:leftChars="0" w:firstLine="480" w:firstLineChars="200"/>
        <w:rPr>
          <w:color w:val="333333"/>
          <w:sz w:val="24"/>
          <w:szCs w:val="24"/>
        </w:rPr>
      </w:pPr>
      <w:r>
        <w:rPr>
          <w:rFonts w:hint="eastAsia"/>
          <w:color w:val="333333"/>
          <w:sz w:val="24"/>
          <w:szCs w:val="24"/>
        </w:rPr>
        <w:t>材料明细表应表示出该工程所用的所有材料，包括铝型材、玻璃、铝板、石材、钢板、钢型材、钢加工件、密封胶、胶条、保温防火材料、五金件、螺栓螺钉及其他辅材等。</w:t>
      </w:r>
    </w:p>
    <w:p w14:paraId="1CBAE633">
      <w:pPr>
        <w:ind w:left="0" w:leftChars="0" w:firstLine="480" w:firstLineChars="200"/>
        <w:rPr>
          <w:color w:val="333333"/>
          <w:sz w:val="24"/>
          <w:szCs w:val="24"/>
        </w:rPr>
      </w:pPr>
      <w:r>
        <w:rPr>
          <w:rFonts w:hint="eastAsia"/>
          <w:color w:val="333333"/>
          <w:sz w:val="24"/>
          <w:szCs w:val="24"/>
        </w:rPr>
        <w:t>铝型材须说明各种材料所有的部位，表面处理、材质要求、线密度和断面形式等。</w:t>
      </w:r>
    </w:p>
    <w:p w14:paraId="794A3725">
      <w:pPr>
        <w:ind w:left="0" w:leftChars="0" w:firstLine="480" w:firstLineChars="200"/>
        <w:rPr>
          <w:color w:val="333333"/>
          <w:sz w:val="24"/>
          <w:szCs w:val="24"/>
        </w:rPr>
      </w:pPr>
      <w:r>
        <w:rPr>
          <w:rFonts w:hint="eastAsia"/>
          <w:color w:val="333333"/>
          <w:sz w:val="24"/>
          <w:szCs w:val="24"/>
        </w:rPr>
        <w:t>玻璃须说明各种材料所有的部位和主要说明，比如玻璃的厚度、颜色、镀膜处理等。</w:t>
      </w:r>
    </w:p>
    <w:p w14:paraId="16D97702">
      <w:pPr>
        <w:ind w:left="0" w:leftChars="0" w:firstLine="480" w:firstLineChars="200"/>
        <w:rPr>
          <w:color w:val="333333"/>
          <w:sz w:val="24"/>
          <w:szCs w:val="24"/>
        </w:rPr>
      </w:pPr>
      <w:r>
        <w:rPr>
          <w:rFonts w:hint="eastAsia"/>
          <w:color w:val="333333"/>
          <w:sz w:val="24"/>
          <w:szCs w:val="24"/>
        </w:rPr>
        <w:t>铝板、钢板、钢型材及钢加工件等须说明各种材料所有的部位、表面处理、规格要求及质量等级等。</w:t>
      </w:r>
    </w:p>
    <w:p w14:paraId="2D7C0462">
      <w:pPr>
        <w:numPr>
          <w:ilvl w:val="0"/>
          <w:numId w:val="15"/>
        </w:numPr>
        <w:bidi w:val="0"/>
        <w:rPr>
          <w:b/>
          <w:bCs/>
          <w:sz w:val="24"/>
          <w:szCs w:val="24"/>
        </w:rPr>
      </w:pPr>
      <w:r>
        <w:rPr>
          <w:rFonts w:hint="eastAsia"/>
          <w:b/>
          <w:bCs/>
          <w:sz w:val="24"/>
          <w:szCs w:val="24"/>
        </w:rPr>
        <w:t>立面图设计深度要求</w:t>
      </w:r>
    </w:p>
    <w:p w14:paraId="4EF16F54">
      <w:pPr>
        <w:ind w:left="0" w:leftChars="0" w:firstLine="480" w:firstLineChars="200"/>
        <w:rPr>
          <w:color w:val="333333"/>
          <w:sz w:val="24"/>
          <w:szCs w:val="24"/>
        </w:rPr>
      </w:pPr>
      <w:r>
        <w:rPr>
          <w:rFonts w:hint="eastAsia"/>
          <w:color w:val="333333"/>
          <w:sz w:val="24"/>
          <w:szCs w:val="24"/>
        </w:rPr>
        <w:t>根据最终的建筑立面图及招标图的彩色立面分色图样式完善施工图立面分色图。幕墙立面图应完善表达出建筑幕墙立面设计效果、幕墙材料及所在位置、分格等。</w:t>
      </w:r>
    </w:p>
    <w:p w14:paraId="41D688EC">
      <w:pPr>
        <w:pStyle w:val="28"/>
        <w:numPr>
          <w:ilvl w:val="0"/>
          <w:numId w:val="19"/>
        </w:numPr>
        <w:ind w:firstLineChars="0"/>
        <w:rPr>
          <w:color w:val="333333"/>
          <w:sz w:val="24"/>
          <w:szCs w:val="24"/>
        </w:rPr>
      </w:pPr>
      <w:r>
        <w:rPr>
          <w:rFonts w:hint="eastAsia"/>
          <w:color w:val="333333"/>
          <w:sz w:val="24"/>
          <w:szCs w:val="24"/>
        </w:rPr>
        <w:t>幕墙立面图中应准确表示出立面分格、凹凸转折关系及窗洞位置，有凹凸或转折关系时，应采用粗线明确表示，遮挡部分必须采用展开图表示，斜面幕墙或弧面幕墙可以采用展开图表示等。</w:t>
      </w:r>
    </w:p>
    <w:p w14:paraId="4FE83090">
      <w:pPr>
        <w:pStyle w:val="28"/>
        <w:numPr>
          <w:ilvl w:val="0"/>
          <w:numId w:val="19"/>
        </w:numPr>
        <w:ind w:firstLineChars="0"/>
        <w:rPr>
          <w:color w:val="333333"/>
          <w:sz w:val="24"/>
          <w:szCs w:val="24"/>
        </w:rPr>
      </w:pPr>
      <w:r>
        <w:rPr>
          <w:rFonts w:hint="eastAsia"/>
          <w:color w:val="333333"/>
          <w:sz w:val="24"/>
          <w:szCs w:val="24"/>
        </w:rPr>
        <w:t>幕墙立面图中应对不同材料和结构形式的幕墙进行不同的填充表示，图中幕墙工程材料超过一种时，应用不同的填充图案表示，并有图例说明。</w:t>
      </w:r>
    </w:p>
    <w:p w14:paraId="1324A612">
      <w:pPr>
        <w:pStyle w:val="28"/>
        <w:numPr>
          <w:ilvl w:val="0"/>
          <w:numId w:val="19"/>
        </w:numPr>
        <w:ind w:firstLineChars="0"/>
        <w:rPr>
          <w:color w:val="333333"/>
          <w:sz w:val="24"/>
          <w:szCs w:val="24"/>
        </w:rPr>
      </w:pPr>
      <w:r>
        <w:rPr>
          <w:rFonts w:hint="eastAsia"/>
          <w:color w:val="333333"/>
          <w:sz w:val="24"/>
          <w:szCs w:val="24"/>
        </w:rPr>
        <w:t>立面图的竖向标注应包括楼层标高标注、楼层号标注、竖向板块分格尺寸标注、层高标注、建筑总高标注等，需要时应对局部标高进行标注，尺寸标注必须跟相应的楼层标高有关系，所有的标注必须字高大小一样，字高2.5mm，等比例缩放。</w:t>
      </w:r>
    </w:p>
    <w:p w14:paraId="01D5E0D1">
      <w:pPr>
        <w:pStyle w:val="28"/>
        <w:numPr>
          <w:ilvl w:val="0"/>
          <w:numId w:val="19"/>
        </w:numPr>
        <w:ind w:firstLineChars="0"/>
        <w:rPr>
          <w:color w:val="333333"/>
          <w:sz w:val="24"/>
          <w:szCs w:val="24"/>
        </w:rPr>
      </w:pPr>
      <w:r>
        <w:rPr>
          <w:rFonts w:hint="eastAsia"/>
          <w:color w:val="333333"/>
          <w:sz w:val="24"/>
          <w:szCs w:val="24"/>
        </w:rPr>
        <w:t>幕墙立面图绘制比例应合理，不能超过1：</w:t>
      </w:r>
      <w:r>
        <w:rPr>
          <w:color w:val="333333"/>
          <w:sz w:val="24"/>
          <w:szCs w:val="24"/>
        </w:rPr>
        <w:t>5</w:t>
      </w:r>
      <w:r>
        <w:rPr>
          <w:rFonts w:hint="eastAsia"/>
          <w:color w:val="333333"/>
          <w:sz w:val="24"/>
          <w:szCs w:val="24"/>
        </w:rPr>
        <w:t>00，必要时应分段绘制，比例要求必须遵循建筑制图标准。</w:t>
      </w:r>
    </w:p>
    <w:p w14:paraId="231D0A90">
      <w:pPr>
        <w:pStyle w:val="28"/>
        <w:numPr>
          <w:ilvl w:val="0"/>
          <w:numId w:val="19"/>
        </w:numPr>
        <w:ind w:firstLineChars="0"/>
        <w:rPr>
          <w:color w:val="333333"/>
          <w:sz w:val="24"/>
          <w:szCs w:val="24"/>
        </w:rPr>
      </w:pPr>
      <w:r>
        <w:rPr>
          <w:rFonts w:hint="eastAsia"/>
          <w:color w:val="333333"/>
          <w:sz w:val="24"/>
          <w:szCs w:val="24"/>
        </w:rPr>
        <w:t>幕墙立面图中应表示出幕墙开启扇的开启方式，出入口门的类型。</w:t>
      </w:r>
    </w:p>
    <w:p w14:paraId="034CD1ED">
      <w:pPr>
        <w:pStyle w:val="28"/>
        <w:numPr>
          <w:ilvl w:val="0"/>
          <w:numId w:val="19"/>
        </w:numPr>
        <w:ind w:firstLineChars="0"/>
        <w:rPr>
          <w:color w:val="333333"/>
          <w:sz w:val="24"/>
          <w:szCs w:val="24"/>
        </w:rPr>
      </w:pPr>
      <w:r>
        <w:rPr>
          <w:rFonts w:hint="eastAsia"/>
          <w:color w:val="333333"/>
          <w:sz w:val="24"/>
          <w:szCs w:val="24"/>
        </w:rPr>
        <w:t>雨篷的位置、类型及拉杆的位置高度等。</w:t>
      </w:r>
    </w:p>
    <w:p w14:paraId="15F06A3B">
      <w:pPr>
        <w:pStyle w:val="28"/>
        <w:numPr>
          <w:ilvl w:val="0"/>
          <w:numId w:val="19"/>
        </w:numPr>
        <w:ind w:firstLineChars="0"/>
        <w:rPr>
          <w:color w:val="333333"/>
          <w:sz w:val="24"/>
          <w:szCs w:val="24"/>
        </w:rPr>
      </w:pPr>
      <w:r>
        <w:rPr>
          <w:rFonts w:hint="eastAsia"/>
          <w:color w:val="333333"/>
          <w:sz w:val="24"/>
          <w:szCs w:val="24"/>
        </w:rPr>
        <w:t>幕墙立面图中大的平面转折部位应标注转折角度。</w:t>
      </w:r>
    </w:p>
    <w:p w14:paraId="3E7ACC0E">
      <w:pPr>
        <w:pStyle w:val="28"/>
        <w:numPr>
          <w:ilvl w:val="0"/>
          <w:numId w:val="19"/>
        </w:numPr>
        <w:ind w:firstLineChars="0"/>
        <w:rPr>
          <w:color w:val="333333"/>
          <w:sz w:val="24"/>
          <w:szCs w:val="24"/>
        </w:rPr>
      </w:pPr>
      <w:r>
        <w:rPr>
          <w:rFonts w:hint="eastAsia"/>
          <w:color w:val="333333"/>
          <w:sz w:val="24"/>
          <w:szCs w:val="24"/>
        </w:rPr>
        <w:t>幕墙立面图中应表达可视（玻璃、透明）幕墙所暴露出的内围护结构外表面（墙面、梁柱、洞口、百叶等部位）的做法及其与幕墙的关系。</w:t>
      </w:r>
    </w:p>
    <w:p w14:paraId="125C8090">
      <w:pPr>
        <w:pStyle w:val="28"/>
        <w:numPr>
          <w:ilvl w:val="0"/>
          <w:numId w:val="19"/>
        </w:numPr>
        <w:ind w:firstLineChars="0"/>
        <w:rPr>
          <w:color w:val="333333"/>
          <w:sz w:val="24"/>
          <w:szCs w:val="24"/>
        </w:rPr>
      </w:pPr>
      <w:r>
        <w:rPr>
          <w:rFonts w:hint="eastAsia"/>
          <w:color w:val="333333"/>
          <w:sz w:val="24"/>
          <w:szCs w:val="24"/>
        </w:rPr>
        <w:t>若有女儿墙挡住部分幕墙立面，应采用虚线表示被挡住立面的轮廓及分格。</w:t>
      </w:r>
    </w:p>
    <w:p w14:paraId="61C1F2AE">
      <w:pPr>
        <w:pStyle w:val="28"/>
        <w:numPr>
          <w:ilvl w:val="0"/>
          <w:numId w:val="19"/>
        </w:numPr>
        <w:ind w:firstLineChars="0"/>
        <w:rPr>
          <w:color w:val="333333"/>
          <w:sz w:val="24"/>
          <w:szCs w:val="24"/>
        </w:rPr>
      </w:pPr>
      <w:r>
        <w:rPr>
          <w:rFonts w:hint="eastAsia"/>
          <w:color w:val="333333"/>
          <w:sz w:val="24"/>
          <w:szCs w:val="24"/>
        </w:rPr>
        <w:t xml:space="preserve"> 索引大样时应明确标注大样索引图的范围和索引号，如果有方向区分时，应表示出方向。</w:t>
      </w:r>
    </w:p>
    <w:p w14:paraId="60572DB1">
      <w:pPr>
        <w:pStyle w:val="28"/>
        <w:numPr>
          <w:ilvl w:val="0"/>
          <w:numId w:val="19"/>
        </w:numPr>
        <w:ind w:firstLineChars="0"/>
        <w:rPr>
          <w:color w:val="333333"/>
          <w:sz w:val="24"/>
          <w:szCs w:val="24"/>
        </w:rPr>
      </w:pPr>
      <w:r>
        <w:rPr>
          <w:color w:val="333333"/>
          <w:sz w:val="24"/>
          <w:szCs w:val="24"/>
        </w:rPr>
        <w:t xml:space="preserve"> </w:t>
      </w:r>
      <w:r>
        <w:rPr>
          <w:rFonts w:hint="eastAsia"/>
          <w:color w:val="333333"/>
          <w:sz w:val="24"/>
          <w:szCs w:val="24"/>
        </w:rPr>
        <w:t>图纸图框上应有图纸名称、图纸编号、比例、索引位置、页码、版本号等，必要时可以表示设计要求等。</w:t>
      </w:r>
    </w:p>
    <w:p w14:paraId="5E16DB7A">
      <w:pPr>
        <w:numPr>
          <w:ilvl w:val="0"/>
          <w:numId w:val="15"/>
        </w:numPr>
        <w:bidi w:val="0"/>
        <w:rPr>
          <w:b/>
          <w:bCs/>
          <w:sz w:val="24"/>
          <w:szCs w:val="24"/>
        </w:rPr>
      </w:pPr>
      <w:r>
        <w:rPr>
          <w:rFonts w:hint="eastAsia"/>
          <w:b/>
          <w:bCs/>
          <w:sz w:val="24"/>
          <w:szCs w:val="24"/>
        </w:rPr>
        <w:t>平面图设计深度要求</w:t>
      </w:r>
    </w:p>
    <w:p w14:paraId="45CA2452">
      <w:pPr>
        <w:ind w:left="0" w:leftChars="0" w:firstLine="480" w:firstLineChars="200"/>
        <w:rPr>
          <w:color w:val="333333"/>
          <w:sz w:val="24"/>
          <w:szCs w:val="24"/>
        </w:rPr>
      </w:pPr>
      <w:r>
        <w:rPr>
          <w:rFonts w:hint="eastAsia"/>
          <w:color w:val="333333"/>
          <w:sz w:val="24"/>
          <w:szCs w:val="24"/>
        </w:rPr>
        <w:t>幕墙工程平面图应表示出幕墙轮廓、主体结构、平面分格、立柱位置等设计内容。</w:t>
      </w:r>
    </w:p>
    <w:p w14:paraId="2F704700">
      <w:pPr>
        <w:pStyle w:val="28"/>
        <w:numPr>
          <w:ilvl w:val="0"/>
          <w:numId w:val="20"/>
        </w:numPr>
        <w:ind w:firstLineChars="0"/>
        <w:rPr>
          <w:color w:val="333333"/>
          <w:sz w:val="24"/>
          <w:szCs w:val="24"/>
        </w:rPr>
      </w:pPr>
      <w:r>
        <w:rPr>
          <w:rFonts w:hint="eastAsia"/>
          <w:color w:val="333333"/>
          <w:sz w:val="24"/>
          <w:szCs w:val="24"/>
        </w:rPr>
        <w:t>结构平面</w:t>
      </w:r>
    </w:p>
    <w:p w14:paraId="1E65F65C">
      <w:pPr>
        <w:ind w:left="0" w:leftChars="0" w:firstLine="480" w:firstLineChars="200"/>
        <w:rPr>
          <w:color w:val="333333"/>
          <w:sz w:val="24"/>
          <w:szCs w:val="24"/>
        </w:rPr>
      </w:pPr>
      <w:r>
        <w:rPr>
          <w:rFonts w:hint="eastAsia"/>
          <w:color w:val="333333"/>
          <w:sz w:val="24"/>
          <w:szCs w:val="24"/>
        </w:rPr>
        <w:t>幕墙平面图必须以建筑结构平面图为基准进行绘制，应准确表示出幕墙附近的主体结构，包括结构柱、构造柱、剪力墙、填充墙、主体结构边梁，其中柱、剪力墙及填充墙应区分明确，首层的有橱窗位置应将橱窗内墙和门表示清楚。</w:t>
      </w:r>
    </w:p>
    <w:p w14:paraId="591E2F46">
      <w:pPr>
        <w:pStyle w:val="28"/>
        <w:numPr>
          <w:ilvl w:val="0"/>
          <w:numId w:val="20"/>
        </w:numPr>
        <w:ind w:firstLineChars="0"/>
        <w:rPr>
          <w:color w:val="333333"/>
          <w:sz w:val="24"/>
          <w:szCs w:val="24"/>
        </w:rPr>
      </w:pPr>
      <w:r>
        <w:rPr>
          <w:rFonts w:hint="eastAsia"/>
          <w:color w:val="333333"/>
          <w:sz w:val="24"/>
          <w:szCs w:val="24"/>
        </w:rPr>
        <w:t>不同幕墙总类的表达</w:t>
      </w:r>
    </w:p>
    <w:p w14:paraId="4776CA80">
      <w:pPr>
        <w:ind w:left="0" w:leftChars="0" w:firstLine="480" w:firstLineChars="200"/>
        <w:rPr>
          <w:color w:val="333333"/>
          <w:sz w:val="24"/>
          <w:szCs w:val="24"/>
        </w:rPr>
      </w:pPr>
      <w:r>
        <w:rPr>
          <w:rFonts w:hint="eastAsia"/>
          <w:color w:val="333333"/>
          <w:sz w:val="24"/>
          <w:szCs w:val="24"/>
        </w:rPr>
        <w:t>幕墙平面图应准确表示出立柱的位置及幕墙面板，面板的接缝应予以定位表示，全玻幕墙应表示出玻璃肋。可以看到的装饰面应用图例填充，有装饰条的幕墙应表示清楚装饰条距面板的距离，雨篷应在平面图上表示出来，有吊顶时，应将吊顶平面图表示清楚，如有灯具也应表示，如有拉杆表示出栏杆位置和标高。</w:t>
      </w:r>
    </w:p>
    <w:p w14:paraId="268AE37D">
      <w:pPr>
        <w:pStyle w:val="28"/>
        <w:numPr>
          <w:ilvl w:val="0"/>
          <w:numId w:val="20"/>
        </w:numPr>
        <w:ind w:firstLineChars="0"/>
        <w:rPr>
          <w:color w:val="333333"/>
          <w:sz w:val="24"/>
          <w:szCs w:val="24"/>
        </w:rPr>
      </w:pPr>
      <w:r>
        <w:rPr>
          <w:rFonts w:hint="eastAsia"/>
          <w:color w:val="333333"/>
          <w:sz w:val="24"/>
          <w:szCs w:val="24"/>
        </w:rPr>
        <w:t>标注</w:t>
      </w:r>
    </w:p>
    <w:p w14:paraId="0C5AFDC6">
      <w:pPr>
        <w:ind w:left="0" w:leftChars="0" w:firstLine="480" w:firstLineChars="200"/>
        <w:rPr>
          <w:color w:val="333333"/>
          <w:sz w:val="24"/>
          <w:szCs w:val="24"/>
        </w:rPr>
      </w:pPr>
      <w:r>
        <w:rPr>
          <w:rFonts w:hint="eastAsia"/>
          <w:color w:val="333333"/>
          <w:sz w:val="24"/>
          <w:szCs w:val="24"/>
        </w:rPr>
        <w:t>幕墙平面图中应标出面板的分格、幕墙构造厚度尺寸及幕墙种类的分界线，尺寸标注必须含有相邻轴线有关系，所有的标注必须字高大小一样，字高2.5mm，等比例缩放。索引大样时应明确标注大样的范围和索引号。</w:t>
      </w:r>
    </w:p>
    <w:p w14:paraId="7E04F4C5">
      <w:pPr>
        <w:pStyle w:val="28"/>
        <w:numPr>
          <w:ilvl w:val="0"/>
          <w:numId w:val="20"/>
        </w:numPr>
        <w:ind w:firstLineChars="0"/>
        <w:rPr>
          <w:color w:val="333333"/>
          <w:sz w:val="24"/>
          <w:szCs w:val="24"/>
        </w:rPr>
      </w:pPr>
      <w:r>
        <w:rPr>
          <w:rFonts w:hint="eastAsia"/>
          <w:color w:val="333333"/>
          <w:sz w:val="24"/>
          <w:szCs w:val="24"/>
        </w:rPr>
        <w:t>幕墙平面图绘制比例应合理，不能超过1：</w:t>
      </w:r>
      <w:r>
        <w:rPr>
          <w:color w:val="333333"/>
          <w:sz w:val="24"/>
          <w:szCs w:val="24"/>
        </w:rPr>
        <w:t>5</w:t>
      </w:r>
      <w:r>
        <w:rPr>
          <w:rFonts w:hint="eastAsia"/>
          <w:color w:val="333333"/>
          <w:sz w:val="24"/>
          <w:szCs w:val="24"/>
        </w:rPr>
        <w:t>00，必要时应分段绘制，比例要求必须遵循建筑制图标准。</w:t>
      </w:r>
    </w:p>
    <w:p w14:paraId="0264018A">
      <w:pPr>
        <w:pStyle w:val="28"/>
        <w:numPr>
          <w:ilvl w:val="0"/>
          <w:numId w:val="20"/>
        </w:numPr>
        <w:ind w:firstLineChars="0"/>
        <w:rPr>
          <w:color w:val="333333"/>
          <w:sz w:val="24"/>
          <w:szCs w:val="24"/>
        </w:rPr>
      </w:pPr>
      <w:r>
        <w:rPr>
          <w:rFonts w:hint="eastAsia"/>
          <w:color w:val="333333"/>
          <w:sz w:val="24"/>
          <w:szCs w:val="24"/>
        </w:rPr>
        <w:t>幕墙平面图剖切位置应在窗高中部，图中应表示出开启扇及门的位置，表示出门窗编号及幕墙编号。门窗和幕墙编号和建筑蓝图对应。</w:t>
      </w:r>
    </w:p>
    <w:p w14:paraId="5234F030">
      <w:pPr>
        <w:pStyle w:val="28"/>
        <w:numPr>
          <w:ilvl w:val="0"/>
          <w:numId w:val="20"/>
        </w:numPr>
        <w:ind w:firstLineChars="0"/>
        <w:rPr>
          <w:color w:val="333333"/>
          <w:sz w:val="24"/>
          <w:szCs w:val="24"/>
        </w:rPr>
      </w:pPr>
      <w:r>
        <w:rPr>
          <w:rFonts w:hint="eastAsia"/>
          <w:color w:val="333333"/>
          <w:sz w:val="24"/>
          <w:szCs w:val="24"/>
        </w:rPr>
        <w:t>幕墙平面图中应将室内部分表达完整，特别是与幕墙紧邻、相关的隔墙以及临近幕墙的房间名称。</w:t>
      </w:r>
    </w:p>
    <w:p w14:paraId="29507F03">
      <w:pPr>
        <w:pStyle w:val="28"/>
        <w:numPr>
          <w:ilvl w:val="0"/>
          <w:numId w:val="20"/>
        </w:numPr>
        <w:ind w:firstLineChars="0"/>
        <w:rPr>
          <w:color w:val="333333"/>
          <w:sz w:val="24"/>
          <w:szCs w:val="24"/>
        </w:rPr>
      </w:pPr>
      <w:r>
        <w:rPr>
          <w:rFonts w:hint="eastAsia"/>
          <w:color w:val="333333"/>
          <w:sz w:val="24"/>
          <w:szCs w:val="24"/>
        </w:rPr>
        <w:t>幕墙平面图中应表达幕墙龙骨与室内隔墙交接位置关系。</w:t>
      </w:r>
    </w:p>
    <w:p w14:paraId="1A99154B">
      <w:pPr>
        <w:pStyle w:val="28"/>
        <w:numPr>
          <w:ilvl w:val="0"/>
          <w:numId w:val="20"/>
        </w:numPr>
        <w:ind w:firstLineChars="0"/>
        <w:rPr>
          <w:color w:val="333333"/>
          <w:sz w:val="24"/>
          <w:szCs w:val="24"/>
        </w:rPr>
      </w:pPr>
      <w:r>
        <w:rPr>
          <w:rFonts w:hint="eastAsia"/>
          <w:color w:val="333333"/>
          <w:sz w:val="24"/>
          <w:szCs w:val="24"/>
        </w:rPr>
        <w:t>图框中含有工程项目名称，建设单位名称（与任务书相同），建筑设计单位名称，图纸绘制比例、图幅、图号、版本号和页码，索引图注明索引号。</w:t>
      </w:r>
    </w:p>
    <w:p w14:paraId="40D4114C">
      <w:pPr>
        <w:numPr>
          <w:ilvl w:val="0"/>
          <w:numId w:val="15"/>
        </w:numPr>
        <w:bidi w:val="0"/>
        <w:rPr>
          <w:b/>
          <w:bCs/>
        </w:rPr>
      </w:pPr>
      <w:r>
        <w:rPr>
          <w:rFonts w:hint="eastAsia"/>
          <w:b/>
          <w:bCs/>
        </w:rPr>
        <w:t>大样图设计深度要求</w:t>
      </w:r>
    </w:p>
    <w:p w14:paraId="71A52C68">
      <w:pPr>
        <w:ind w:left="0" w:leftChars="0" w:firstLine="480" w:firstLineChars="200"/>
        <w:rPr>
          <w:color w:val="333333"/>
          <w:sz w:val="24"/>
          <w:szCs w:val="24"/>
        </w:rPr>
      </w:pPr>
      <w:r>
        <w:rPr>
          <w:rFonts w:hint="eastAsia"/>
          <w:color w:val="333333"/>
          <w:sz w:val="24"/>
          <w:szCs w:val="24"/>
        </w:rPr>
        <w:t xml:space="preserve">不同类型的幕墙包括面板材料、结构形式和做法不同的幕墙，以及幕墙立面或平面比较复杂的部位，均应绘制大样图，大样图的选取范围应能完整的指导现场施工。 </w:t>
      </w:r>
    </w:p>
    <w:p w14:paraId="24B37FB1">
      <w:pPr>
        <w:pStyle w:val="28"/>
        <w:numPr>
          <w:ilvl w:val="0"/>
          <w:numId w:val="21"/>
        </w:numPr>
        <w:ind w:firstLineChars="0"/>
        <w:rPr>
          <w:color w:val="333333"/>
          <w:sz w:val="24"/>
          <w:szCs w:val="24"/>
        </w:rPr>
      </w:pPr>
      <w:r>
        <w:rPr>
          <w:rFonts w:hint="eastAsia"/>
          <w:color w:val="333333"/>
          <w:sz w:val="24"/>
          <w:szCs w:val="24"/>
        </w:rPr>
        <w:t>大样图应标明索引自立面或平面图纸的编号。</w:t>
      </w:r>
    </w:p>
    <w:p w14:paraId="47BD4925">
      <w:pPr>
        <w:pStyle w:val="28"/>
        <w:numPr>
          <w:ilvl w:val="0"/>
          <w:numId w:val="21"/>
        </w:numPr>
        <w:ind w:firstLineChars="0"/>
        <w:rPr>
          <w:color w:val="333333"/>
          <w:sz w:val="24"/>
          <w:szCs w:val="24"/>
        </w:rPr>
      </w:pPr>
      <w:r>
        <w:rPr>
          <w:rFonts w:hint="eastAsia"/>
          <w:color w:val="333333"/>
          <w:sz w:val="24"/>
          <w:szCs w:val="24"/>
        </w:rPr>
        <w:t>大样图绘制顺序应先设计主要大样，后设计次要大样。</w:t>
      </w:r>
    </w:p>
    <w:p w14:paraId="055B6B45">
      <w:pPr>
        <w:pStyle w:val="28"/>
        <w:numPr>
          <w:ilvl w:val="0"/>
          <w:numId w:val="21"/>
        </w:numPr>
        <w:ind w:firstLineChars="0"/>
        <w:rPr>
          <w:color w:val="333333"/>
          <w:sz w:val="24"/>
          <w:szCs w:val="24"/>
        </w:rPr>
      </w:pPr>
      <w:r>
        <w:rPr>
          <w:rFonts w:hint="eastAsia"/>
          <w:color w:val="333333"/>
          <w:sz w:val="24"/>
          <w:szCs w:val="24"/>
        </w:rPr>
        <w:t>大样图的设计内容至少应包括立面大样图、平面大样图（横剖）和墙身大样图（竖剖），每种不同的位置应要有相应的横剖和竖剖。</w:t>
      </w:r>
    </w:p>
    <w:p w14:paraId="7BE34D02">
      <w:pPr>
        <w:pStyle w:val="28"/>
        <w:numPr>
          <w:ilvl w:val="0"/>
          <w:numId w:val="21"/>
        </w:numPr>
        <w:ind w:firstLineChars="0"/>
        <w:rPr>
          <w:color w:val="333333"/>
          <w:sz w:val="24"/>
          <w:szCs w:val="24"/>
        </w:rPr>
      </w:pPr>
      <w:r>
        <w:rPr>
          <w:rFonts w:hint="eastAsia"/>
          <w:color w:val="333333"/>
          <w:sz w:val="24"/>
          <w:szCs w:val="24"/>
        </w:rPr>
        <w:t>大样图应采取合适的比例，不能超过1：</w:t>
      </w:r>
      <w:r>
        <w:rPr>
          <w:color w:val="333333"/>
          <w:sz w:val="24"/>
          <w:szCs w:val="24"/>
        </w:rPr>
        <w:t>20</w:t>
      </w:r>
      <w:r>
        <w:rPr>
          <w:rFonts w:hint="eastAsia"/>
          <w:color w:val="333333"/>
          <w:sz w:val="24"/>
          <w:szCs w:val="24"/>
        </w:rPr>
        <w:t>0，主要大样图比例不能超过1：</w:t>
      </w:r>
      <w:r>
        <w:rPr>
          <w:color w:val="333333"/>
          <w:sz w:val="24"/>
          <w:szCs w:val="24"/>
        </w:rPr>
        <w:t>10</w:t>
      </w:r>
      <w:r>
        <w:rPr>
          <w:rFonts w:hint="eastAsia"/>
          <w:color w:val="333333"/>
          <w:sz w:val="24"/>
          <w:szCs w:val="24"/>
        </w:rPr>
        <w:t>0，必要时将局部立面大样图、横剖和竖剖相应的分成三张图布置，比例要求必须遵循建筑制图标准，保证图纸表达清楚。</w:t>
      </w:r>
    </w:p>
    <w:p w14:paraId="240C3A29">
      <w:pPr>
        <w:pStyle w:val="28"/>
        <w:numPr>
          <w:ilvl w:val="0"/>
          <w:numId w:val="21"/>
        </w:numPr>
        <w:ind w:firstLineChars="0"/>
        <w:rPr>
          <w:color w:val="333333"/>
          <w:sz w:val="24"/>
          <w:szCs w:val="24"/>
        </w:rPr>
      </w:pPr>
      <w:r>
        <w:rPr>
          <w:rFonts w:hint="eastAsia"/>
          <w:color w:val="333333"/>
          <w:sz w:val="24"/>
          <w:szCs w:val="24"/>
        </w:rPr>
        <w:t>大样图中应索引详细的节点图，将各部位的不同做法反映清楚，包括所有的收边收口节点、有墙体部分的幕墙处理、女儿墙处理节点、踢脚收口节点等。</w:t>
      </w:r>
    </w:p>
    <w:p w14:paraId="4D729B8C">
      <w:pPr>
        <w:pStyle w:val="28"/>
        <w:numPr>
          <w:ilvl w:val="0"/>
          <w:numId w:val="21"/>
        </w:numPr>
        <w:ind w:firstLineChars="0"/>
        <w:rPr>
          <w:color w:val="333333"/>
          <w:sz w:val="24"/>
          <w:szCs w:val="24"/>
        </w:rPr>
      </w:pPr>
      <w:r>
        <w:rPr>
          <w:rFonts w:hint="eastAsia"/>
          <w:color w:val="333333"/>
          <w:sz w:val="24"/>
          <w:szCs w:val="24"/>
        </w:rPr>
        <w:t>大样图中应用填充的方式区分不同的材料，除胶缝可用单线条简单表示外，其余应按节点设计的实际情况表达清楚。</w:t>
      </w:r>
    </w:p>
    <w:p w14:paraId="24D45977">
      <w:pPr>
        <w:pStyle w:val="28"/>
        <w:numPr>
          <w:ilvl w:val="0"/>
          <w:numId w:val="21"/>
        </w:numPr>
        <w:ind w:firstLineChars="0"/>
        <w:rPr>
          <w:color w:val="333333"/>
          <w:sz w:val="24"/>
          <w:szCs w:val="24"/>
        </w:rPr>
      </w:pPr>
      <w:r>
        <w:rPr>
          <w:rFonts w:hint="eastAsia"/>
          <w:color w:val="333333"/>
          <w:sz w:val="24"/>
          <w:szCs w:val="24"/>
        </w:rPr>
        <w:t>平面大样图应对面层的平面分格、立柱的位置及横梁与立柱的连接、防火保温做法等有清楚的表达，并与节点设计保持一致。</w:t>
      </w:r>
    </w:p>
    <w:p w14:paraId="4730A744">
      <w:pPr>
        <w:pStyle w:val="28"/>
        <w:numPr>
          <w:ilvl w:val="0"/>
          <w:numId w:val="21"/>
        </w:numPr>
        <w:ind w:firstLineChars="0"/>
        <w:rPr>
          <w:color w:val="333333"/>
          <w:sz w:val="24"/>
          <w:szCs w:val="24"/>
        </w:rPr>
      </w:pPr>
      <w:r>
        <w:rPr>
          <w:rFonts w:hint="eastAsia"/>
          <w:color w:val="333333"/>
          <w:sz w:val="24"/>
          <w:szCs w:val="24"/>
        </w:rPr>
        <w:t>立面大样图和平面大样图均应表示出幕墙开启扇的开启方式及出入口门的形式等。</w:t>
      </w:r>
    </w:p>
    <w:p w14:paraId="79A102C6">
      <w:pPr>
        <w:pStyle w:val="28"/>
        <w:numPr>
          <w:ilvl w:val="0"/>
          <w:numId w:val="21"/>
        </w:numPr>
        <w:ind w:firstLineChars="0"/>
        <w:rPr>
          <w:color w:val="333333"/>
          <w:sz w:val="24"/>
          <w:szCs w:val="24"/>
        </w:rPr>
      </w:pPr>
      <w:r>
        <w:rPr>
          <w:rFonts w:hint="eastAsia"/>
          <w:color w:val="333333"/>
          <w:sz w:val="24"/>
          <w:szCs w:val="24"/>
        </w:rPr>
        <w:t>墙身大样图应对面材的立面分格、横梁的位置及与立柱的连接、防火保温、防雷做法等有清楚的表达，并与节点设计保持一致。</w:t>
      </w:r>
    </w:p>
    <w:p w14:paraId="71B33524">
      <w:pPr>
        <w:pStyle w:val="28"/>
        <w:numPr>
          <w:ilvl w:val="0"/>
          <w:numId w:val="21"/>
        </w:numPr>
        <w:ind w:firstLineChars="0"/>
        <w:rPr>
          <w:color w:val="333333"/>
          <w:sz w:val="24"/>
          <w:szCs w:val="24"/>
        </w:rPr>
      </w:pPr>
      <w:r>
        <w:rPr>
          <w:rFonts w:hint="eastAsia"/>
          <w:color w:val="333333"/>
          <w:sz w:val="24"/>
          <w:szCs w:val="24"/>
        </w:rPr>
        <w:t>局部立面大样图的竖向标注和竖剖大样图应包括楼层标高标注、楼层号标注、竖向板块分格尺寸标注、层高标注等，尺寸标注必须跟相应的楼层标高有关系；局部立面大样图的横向标注和横剖大样图应包括幕墙板块的横向分格、幕墙厚度尺寸及幕墙种类的分界线，尺寸标注必须跟相邻轴线有关系，所有的标注必须字高大小一样，字高2.5mm，等比例缩放。</w:t>
      </w:r>
    </w:p>
    <w:p w14:paraId="0F2BCBB3">
      <w:pPr>
        <w:pStyle w:val="28"/>
        <w:numPr>
          <w:ilvl w:val="0"/>
          <w:numId w:val="21"/>
        </w:numPr>
        <w:ind w:firstLineChars="0"/>
        <w:rPr>
          <w:color w:val="333333"/>
          <w:sz w:val="24"/>
          <w:szCs w:val="24"/>
        </w:rPr>
      </w:pPr>
      <w:r>
        <w:rPr>
          <w:rFonts w:hint="eastAsia"/>
          <w:color w:val="333333"/>
          <w:sz w:val="24"/>
          <w:szCs w:val="24"/>
        </w:rPr>
        <w:t>图纸图框上应有图纸名称、图纸编号、比例、索引位置、版本号、页码等，必要时可以表示设计要求等。</w:t>
      </w:r>
    </w:p>
    <w:p w14:paraId="38CDE441">
      <w:pPr>
        <w:numPr>
          <w:ilvl w:val="0"/>
          <w:numId w:val="15"/>
        </w:numPr>
        <w:bidi w:val="0"/>
        <w:rPr>
          <w:b/>
          <w:bCs/>
          <w:sz w:val="24"/>
          <w:szCs w:val="24"/>
        </w:rPr>
      </w:pPr>
      <w:r>
        <w:rPr>
          <w:rFonts w:hint="eastAsia"/>
          <w:b/>
          <w:bCs/>
          <w:sz w:val="24"/>
          <w:szCs w:val="24"/>
        </w:rPr>
        <w:t>节点图设计深度要求</w:t>
      </w:r>
    </w:p>
    <w:p w14:paraId="532DC86B">
      <w:pPr>
        <w:ind w:left="0" w:leftChars="0" w:firstLine="480" w:firstLineChars="200"/>
        <w:rPr>
          <w:color w:val="333333"/>
          <w:sz w:val="24"/>
          <w:szCs w:val="24"/>
        </w:rPr>
      </w:pPr>
      <w:r>
        <w:rPr>
          <w:rFonts w:hint="eastAsia"/>
          <w:color w:val="333333"/>
          <w:sz w:val="24"/>
          <w:szCs w:val="24"/>
        </w:rPr>
        <w:t>幕墙工程节点图应能清楚表现整个幕墙的材料及构造做法，对节点做法表达应完整清晰。节点图应清晰准确的反映幕墙的具体做法和全部材料，幕墙承包范围内的材料均须在节点图内进行表现并准确的进行标注，在节点图上出现的不在幕墙承包范围内的材料，亦须明确标注为非承包项或以其它方式进行区分。</w:t>
      </w:r>
    </w:p>
    <w:p w14:paraId="6FA2CF96">
      <w:pPr>
        <w:pStyle w:val="28"/>
        <w:numPr>
          <w:ilvl w:val="0"/>
          <w:numId w:val="22"/>
        </w:numPr>
        <w:ind w:firstLineChars="0"/>
        <w:rPr>
          <w:color w:val="333333"/>
          <w:sz w:val="24"/>
          <w:szCs w:val="24"/>
        </w:rPr>
      </w:pPr>
      <w:r>
        <w:rPr>
          <w:rFonts w:hint="eastAsia"/>
          <w:color w:val="333333"/>
          <w:sz w:val="24"/>
          <w:szCs w:val="24"/>
        </w:rPr>
        <w:t>节点图应至少包括但不限于以下内容：</w:t>
      </w:r>
    </w:p>
    <w:p w14:paraId="090FF88A">
      <w:pPr>
        <w:rPr>
          <w:color w:val="333333"/>
          <w:sz w:val="24"/>
          <w:szCs w:val="24"/>
        </w:rPr>
      </w:pPr>
      <w:r>
        <w:rPr>
          <w:rFonts w:hint="eastAsia"/>
          <w:color w:val="333333"/>
          <w:sz w:val="24"/>
          <w:szCs w:val="24"/>
        </w:rPr>
        <w:t>1）标准节点，包括各类幕墙的标准横剖节点和标准纵剖节点。</w:t>
      </w:r>
    </w:p>
    <w:p w14:paraId="0F4556DE">
      <w:pPr>
        <w:rPr>
          <w:color w:val="333333"/>
          <w:sz w:val="24"/>
          <w:szCs w:val="24"/>
        </w:rPr>
      </w:pPr>
      <w:r>
        <w:rPr>
          <w:rFonts w:hint="eastAsia"/>
          <w:color w:val="333333"/>
          <w:sz w:val="24"/>
          <w:szCs w:val="24"/>
        </w:rPr>
        <w:t>2）纵剖节点，包括窗间墙纵剖节点、封顶纵剖节点、封底纵剖节点。</w:t>
      </w:r>
    </w:p>
    <w:p w14:paraId="2B7B95D6">
      <w:pPr>
        <w:rPr>
          <w:color w:val="333333"/>
          <w:sz w:val="24"/>
          <w:szCs w:val="24"/>
        </w:rPr>
      </w:pPr>
      <w:r>
        <w:rPr>
          <w:rFonts w:hint="eastAsia"/>
          <w:color w:val="333333"/>
          <w:sz w:val="24"/>
          <w:szCs w:val="24"/>
        </w:rPr>
        <w:t>3）横剖节点，包括封边横剖节点，转角横剖节点。</w:t>
      </w:r>
    </w:p>
    <w:p w14:paraId="4345EB86">
      <w:pPr>
        <w:rPr>
          <w:color w:val="333333"/>
          <w:sz w:val="24"/>
          <w:szCs w:val="24"/>
        </w:rPr>
      </w:pPr>
      <w:r>
        <w:rPr>
          <w:rFonts w:hint="eastAsia"/>
          <w:color w:val="333333"/>
          <w:sz w:val="24"/>
          <w:szCs w:val="24"/>
        </w:rPr>
        <w:t>4）立柱安装节点。</w:t>
      </w:r>
    </w:p>
    <w:p w14:paraId="3D491623">
      <w:pPr>
        <w:rPr>
          <w:color w:val="333333"/>
          <w:sz w:val="24"/>
          <w:szCs w:val="24"/>
        </w:rPr>
      </w:pPr>
      <w:r>
        <w:rPr>
          <w:rFonts w:hint="eastAsia"/>
          <w:color w:val="333333"/>
          <w:sz w:val="24"/>
          <w:szCs w:val="24"/>
        </w:rPr>
        <w:t>5）横梁安装节点。</w:t>
      </w:r>
    </w:p>
    <w:p w14:paraId="5880E580">
      <w:pPr>
        <w:rPr>
          <w:color w:val="333333"/>
          <w:sz w:val="24"/>
          <w:szCs w:val="24"/>
        </w:rPr>
      </w:pPr>
      <w:r>
        <w:rPr>
          <w:rFonts w:hint="eastAsia"/>
          <w:color w:val="333333"/>
          <w:sz w:val="24"/>
          <w:szCs w:val="24"/>
        </w:rPr>
        <w:t>6）功能节点，包括防雷、防火、防水、连接节点等。</w:t>
      </w:r>
    </w:p>
    <w:p w14:paraId="31CAC800">
      <w:pPr>
        <w:rPr>
          <w:color w:val="333333"/>
          <w:sz w:val="24"/>
          <w:szCs w:val="24"/>
        </w:rPr>
      </w:pPr>
      <w:r>
        <w:rPr>
          <w:rFonts w:hint="eastAsia"/>
          <w:color w:val="333333"/>
          <w:sz w:val="24"/>
          <w:szCs w:val="24"/>
        </w:rPr>
        <w:t>7）开启扇和门的五金配件装配图（包括胶条和毛条）。</w:t>
      </w:r>
    </w:p>
    <w:p w14:paraId="401D90C1">
      <w:pPr>
        <w:rPr>
          <w:color w:val="333333"/>
          <w:sz w:val="24"/>
          <w:szCs w:val="24"/>
        </w:rPr>
      </w:pPr>
      <w:r>
        <w:rPr>
          <w:rFonts w:hint="eastAsia"/>
          <w:color w:val="333333"/>
          <w:sz w:val="24"/>
          <w:szCs w:val="24"/>
        </w:rPr>
        <w:t>8）幕墙与室内隔墙，结构等位置的交接节点。</w:t>
      </w:r>
      <w:r>
        <w:rPr>
          <w:color w:val="333333"/>
          <w:sz w:val="24"/>
          <w:szCs w:val="24"/>
        </w:rPr>
        <w:t xml:space="preserve"> </w:t>
      </w:r>
    </w:p>
    <w:p w14:paraId="20B0E700">
      <w:pPr>
        <w:pStyle w:val="28"/>
        <w:numPr>
          <w:ilvl w:val="0"/>
          <w:numId w:val="22"/>
        </w:numPr>
        <w:ind w:firstLineChars="0"/>
        <w:rPr>
          <w:color w:val="333333"/>
          <w:sz w:val="24"/>
          <w:szCs w:val="24"/>
        </w:rPr>
      </w:pPr>
      <w:r>
        <w:rPr>
          <w:rFonts w:hint="eastAsia"/>
          <w:color w:val="333333"/>
          <w:sz w:val="24"/>
          <w:szCs w:val="24"/>
        </w:rPr>
        <w:t>节点图中应标明索引图纸的编号。节点图可以从大样图中索引，也可从其它节点图中索引，均应标注清楚，节点图应采取合适的比例，标准节点比例应按1：1 表示。</w:t>
      </w:r>
    </w:p>
    <w:p w14:paraId="7A1333B1">
      <w:pPr>
        <w:pStyle w:val="28"/>
        <w:numPr>
          <w:ilvl w:val="0"/>
          <w:numId w:val="22"/>
        </w:numPr>
        <w:ind w:firstLineChars="0"/>
        <w:rPr>
          <w:color w:val="333333"/>
          <w:sz w:val="24"/>
          <w:szCs w:val="24"/>
        </w:rPr>
      </w:pPr>
      <w:r>
        <w:rPr>
          <w:rFonts w:hint="eastAsia"/>
          <w:color w:val="333333"/>
          <w:sz w:val="24"/>
          <w:szCs w:val="24"/>
        </w:rPr>
        <w:t>节点图绘制顺序应先绘制主要节点（包括标准节点、功能节点、安装节点、主要交接节点、梁间节点及女儿墙收口节点、踢脚收口节点等），后绘制辅助节点及收边节点。在设计主要节点时应注意考虑与辅助节点和收边节点的配合，尽量减少对辅助节点和收边节点的特殊处理。</w:t>
      </w:r>
    </w:p>
    <w:p w14:paraId="43E12DEF">
      <w:pPr>
        <w:pStyle w:val="28"/>
        <w:numPr>
          <w:ilvl w:val="0"/>
          <w:numId w:val="22"/>
        </w:numPr>
        <w:ind w:firstLineChars="0"/>
        <w:rPr>
          <w:color w:val="333333"/>
          <w:sz w:val="24"/>
          <w:szCs w:val="24"/>
        </w:rPr>
      </w:pPr>
      <w:r>
        <w:rPr>
          <w:rFonts w:hint="eastAsia"/>
          <w:color w:val="333333"/>
          <w:sz w:val="24"/>
          <w:szCs w:val="24"/>
        </w:rPr>
        <w:t>节点图应表达清楚，标注详细，表达完整的设计思想，主要节点的应将所有的要求尺寸标注清楚，所有用的材料名称须标注清楚。</w:t>
      </w:r>
    </w:p>
    <w:p w14:paraId="6EF162F1">
      <w:pPr>
        <w:pStyle w:val="28"/>
        <w:numPr>
          <w:ilvl w:val="0"/>
          <w:numId w:val="22"/>
        </w:numPr>
        <w:ind w:firstLineChars="0"/>
        <w:rPr>
          <w:color w:val="333333"/>
          <w:sz w:val="24"/>
          <w:szCs w:val="24"/>
        </w:rPr>
      </w:pPr>
      <w:r>
        <w:rPr>
          <w:rFonts w:hint="eastAsia"/>
          <w:color w:val="333333"/>
          <w:sz w:val="24"/>
          <w:szCs w:val="24"/>
        </w:rPr>
        <w:t>对幕墙的主要部分要进行详细设计，对墙角区和墙面区分开设计，不同楼层标高分开设计，确保节点做法安全、经济。</w:t>
      </w:r>
    </w:p>
    <w:p w14:paraId="0736F02A">
      <w:pPr>
        <w:pStyle w:val="28"/>
        <w:numPr>
          <w:ilvl w:val="0"/>
          <w:numId w:val="22"/>
        </w:numPr>
        <w:ind w:firstLineChars="0"/>
        <w:rPr>
          <w:color w:val="333333"/>
          <w:sz w:val="24"/>
          <w:szCs w:val="24"/>
        </w:rPr>
      </w:pPr>
      <w:r>
        <w:rPr>
          <w:rFonts w:hint="eastAsia"/>
          <w:color w:val="333333"/>
          <w:sz w:val="24"/>
          <w:szCs w:val="24"/>
        </w:rPr>
        <w:t>应根据制图规范及三视图的原理，对节点图中的参考投影线及投影面进行合理表达。(亦可绘制相应三维图)</w:t>
      </w:r>
    </w:p>
    <w:p w14:paraId="0DEE88A5">
      <w:pPr>
        <w:pStyle w:val="28"/>
        <w:numPr>
          <w:ilvl w:val="0"/>
          <w:numId w:val="22"/>
        </w:numPr>
        <w:ind w:firstLineChars="0"/>
        <w:rPr>
          <w:color w:val="333333"/>
          <w:sz w:val="24"/>
          <w:szCs w:val="24"/>
        </w:rPr>
      </w:pPr>
      <w:r>
        <w:rPr>
          <w:rFonts w:hint="eastAsia"/>
          <w:color w:val="333333"/>
          <w:sz w:val="24"/>
          <w:szCs w:val="24"/>
        </w:rPr>
        <w:t>节点图中无法表示或标注清楚的部位应绘制放大节点图。</w:t>
      </w:r>
    </w:p>
    <w:p w14:paraId="07D1747F">
      <w:pPr>
        <w:pStyle w:val="28"/>
        <w:numPr>
          <w:ilvl w:val="0"/>
          <w:numId w:val="22"/>
        </w:numPr>
        <w:ind w:firstLineChars="0"/>
        <w:rPr>
          <w:color w:val="333333"/>
          <w:sz w:val="24"/>
          <w:szCs w:val="24"/>
        </w:rPr>
      </w:pPr>
      <w:r>
        <w:rPr>
          <w:rFonts w:hint="eastAsia"/>
          <w:color w:val="333333"/>
          <w:sz w:val="24"/>
          <w:szCs w:val="24"/>
        </w:rPr>
        <w:t>图纸图框上应有图纸名称、图纸编号、比例、索引位置、版本号、页码等，必要时可以表示设计要求等。</w:t>
      </w:r>
    </w:p>
    <w:p w14:paraId="07360571">
      <w:pPr>
        <w:numPr>
          <w:ilvl w:val="0"/>
          <w:numId w:val="15"/>
        </w:numPr>
        <w:bidi w:val="0"/>
        <w:rPr>
          <w:b/>
          <w:bCs/>
          <w:sz w:val="24"/>
          <w:szCs w:val="24"/>
        </w:rPr>
      </w:pPr>
      <w:r>
        <w:rPr>
          <w:rFonts w:hint="eastAsia"/>
          <w:b/>
          <w:bCs/>
          <w:sz w:val="24"/>
          <w:szCs w:val="24"/>
        </w:rPr>
        <w:t>埋件图设计深度要求</w:t>
      </w:r>
    </w:p>
    <w:p w14:paraId="79EA5A2E">
      <w:pPr>
        <w:ind w:left="0" w:leftChars="0" w:firstLine="480" w:firstLineChars="200"/>
        <w:rPr>
          <w:color w:val="333333"/>
          <w:sz w:val="24"/>
          <w:szCs w:val="24"/>
        </w:rPr>
      </w:pPr>
      <w:r>
        <w:rPr>
          <w:rFonts w:hint="eastAsia"/>
          <w:color w:val="333333"/>
          <w:sz w:val="24"/>
          <w:szCs w:val="24"/>
        </w:rPr>
        <w:t>幕墙埋件图一般采用平面图方式表达，也可根据需要设计成立面图，比如主体结构立面上有布置了埋件的斜梁，则应绘制埋件立面图以准确表示埋件的定位。</w:t>
      </w:r>
    </w:p>
    <w:p w14:paraId="5C6D8CDC">
      <w:pPr>
        <w:pStyle w:val="28"/>
        <w:numPr>
          <w:ilvl w:val="0"/>
          <w:numId w:val="23"/>
        </w:numPr>
        <w:ind w:firstLineChars="0"/>
        <w:rPr>
          <w:color w:val="333333"/>
          <w:sz w:val="24"/>
          <w:szCs w:val="24"/>
        </w:rPr>
      </w:pPr>
      <w:r>
        <w:rPr>
          <w:rFonts w:hint="eastAsia"/>
          <w:color w:val="333333"/>
          <w:sz w:val="24"/>
          <w:szCs w:val="24"/>
        </w:rPr>
        <w:t>埋件平面图应以幕墙平面图为基准，根据节点设计及结构设计，将幕墙埋件的实际平面位置表示清楚，标注埋件的施工定位尺寸，定位尺寸一般包括中心线间距及与相邻轴线的距离等。</w:t>
      </w:r>
    </w:p>
    <w:p w14:paraId="7490BF26">
      <w:pPr>
        <w:pStyle w:val="28"/>
        <w:numPr>
          <w:ilvl w:val="0"/>
          <w:numId w:val="23"/>
        </w:numPr>
        <w:ind w:firstLineChars="0"/>
        <w:rPr>
          <w:color w:val="333333"/>
          <w:sz w:val="24"/>
          <w:szCs w:val="24"/>
        </w:rPr>
      </w:pPr>
      <w:r>
        <w:rPr>
          <w:rFonts w:hint="eastAsia"/>
          <w:color w:val="333333"/>
          <w:sz w:val="24"/>
          <w:szCs w:val="24"/>
        </w:rPr>
        <w:t>应在埋件平面图的基础上绘制埋件剖面图，清楚表示各部位埋件的不同配置及反力。剖面图上应表示埋件的施工定位尺寸、楼层标高、楼层名称、相关的轴线及其编号，以及与埋件有关的技术要求。</w:t>
      </w:r>
    </w:p>
    <w:p w14:paraId="5DF1E688">
      <w:pPr>
        <w:pStyle w:val="28"/>
        <w:numPr>
          <w:ilvl w:val="0"/>
          <w:numId w:val="23"/>
        </w:numPr>
        <w:ind w:firstLineChars="0"/>
        <w:rPr>
          <w:color w:val="333333"/>
          <w:sz w:val="24"/>
          <w:szCs w:val="24"/>
        </w:rPr>
      </w:pPr>
      <w:r>
        <w:rPr>
          <w:rFonts w:hint="eastAsia"/>
          <w:color w:val="333333"/>
          <w:sz w:val="24"/>
          <w:szCs w:val="24"/>
        </w:rPr>
        <w:t>对不同的埋件，应绘制埋件加工图，标注详细，技术要求明确。</w:t>
      </w:r>
    </w:p>
    <w:p w14:paraId="6C45312E">
      <w:pPr>
        <w:pStyle w:val="28"/>
        <w:numPr>
          <w:ilvl w:val="0"/>
          <w:numId w:val="23"/>
        </w:numPr>
        <w:ind w:firstLineChars="0"/>
        <w:rPr>
          <w:color w:val="333333"/>
          <w:sz w:val="24"/>
          <w:szCs w:val="24"/>
        </w:rPr>
      </w:pPr>
      <w:r>
        <w:rPr>
          <w:rFonts w:hint="eastAsia"/>
          <w:color w:val="333333"/>
          <w:sz w:val="24"/>
          <w:szCs w:val="24"/>
        </w:rPr>
        <w:t>所有的楼层均须有相应的埋件平面图，应全面反映幕墙工程主体结构上埋件的配置和定位情况。</w:t>
      </w:r>
    </w:p>
    <w:p w14:paraId="40784D77">
      <w:pPr>
        <w:pStyle w:val="28"/>
        <w:numPr>
          <w:ilvl w:val="0"/>
          <w:numId w:val="23"/>
        </w:numPr>
        <w:ind w:firstLineChars="0"/>
        <w:rPr>
          <w:color w:val="333333"/>
          <w:sz w:val="24"/>
          <w:szCs w:val="24"/>
        </w:rPr>
      </w:pPr>
      <w:r>
        <w:rPr>
          <w:rFonts w:hint="eastAsia"/>
          <w:color w:val="333333"/>
          <w:sz w:val="24"/>
          <w:szCs w:val="24"/>
        </w:rPr>
        <w:t>应注意区分不同类型埋件，如板式埋件和槽式埋件等的埋设范围。</w:t>
      </w:r>
    </w:p>
    <w:p w14:paraId="062DDAFB">
      <w:pPr>
        <w:pStyle w:val="28"/>
        <w:numPr>
          <w:ilvl w:val="0"/>
          <w:numId w:val="23"/>
        </w:numPr>
        <w:ind w:firstLineChars="0"/>
        <w:rPr>
          <w:color w:val="333333"/>
          <w:sz w:val="24"/>
          <w:szCs w:val="24"/>
        </w:rPr>
      </w:pPr>
      <w:r>
        <w:rPr>
          <w:rFonts w:hint="eastAsia"/>
          <w:color w:val="333333"/>
          <w:sz w:val="24"/>
          <w:szCs w:val="24"/>
        </w:rPr>
        <w:t>图纸图框上应有图纸名称、图纸编号、比例、索引位置、版本号、页码等，必要时可以表示设计要求等。</w:t>
      </w:r>
    </w:p>
    <w:p w14:paraId="56DD79FF">
      <w:pPr>
        <w:numPr>
          <w:ilvl w:val="0"/>
          <w:numId w:val="15"/>
        </w:numPr>
        <w:bidi w:val="0"/>
        <w:rPr>
          <w:b/>
          <w:bCs/>
          <w:sz w:val="24"/>
          <w:szCs w:val="24"/>
        </w:rPr>
      </w:pPr>
      <w:r>
        <w:rPr>
          <w:rFonts w:hint="eastAsia"/>
          <w:b/>
          <w:bCs/>
          <w:sz w:val="24"/>
          <w:szCs w:val="24"/>
        </w:rPr>
        <w:t>结构计算书要求</w:t>
      </w:r>
    </w:p>
    <w:p w14:paraId="3C383D7A">
      <w:pPr>
        <w:ind w:left="0" w:leftChars="0" w:firstLine="480" w:firstLineChars="200"/>
        <w:rPr>
          <w:color w:val="333333"/>
          <w:sz w:val="24"/>
          <w:szCs w:val="24"/>
        </w:rPr>
      </w:pPr>
      <w:r>
        <w:rPr>
          <w:rFonts w:hint="eastAsia"/>
          <w:color w:val="333333"/>
          <w:sz w:val="24"/>
          <w:szCs w:val="24"/>
        </w:rPr>
        <w:t>幕墙结构计算书是</w:t>
      </w:r>
      <w:r>
        <w:rPr>
          <w:rFonts w:hint="eastAsia"/>
          <w:sz w:val="24"/>
          <w:szCs w:val="24"/>
        </w:rPr>
        <w:t>幕墙施工图结构安全性保障的重要依据文件</w:t>
      </w:r>
      <w:r>
        <w:rPr>
          <w:rFonts w:hint="eastAsia"/>
          <w:color w:val="333333"/>
          <w:sz w:val="24"/>
          <w:szCs w:val="24"/>
        </w:rPr>
        <w:t>，计算依据须与幕墙施工图完全相同，计算过程应清楚展示面板、龙骨、连接件、埋件的受力分析安全可靠，并有有效的图纸索引关系，便于查阅和审核。幕墙结构计算书应包括但不限于以下内容：</w:t>
      </w:r>
    </w:p>
    <w:p w14:paraId="1073C3A6">
      <w:pPr>
        <w:pStyle w:val="28"/>
        <w:numPr>
          <w:ilvl w:val="0"/>
          <w:numId w:val="24"/>
        </w:numPr>
        <w:ind w:firstLineChars="0"/>
        <w:rPr>
          <w:color w:val="333333"/>
          <w:sz w:val="24"/>
          <w:szCs w:val="24"/>
        </w:rPr>
      </w:pPr>
      <w:r>
        <w:rPr>
          <w:rFonts w:hint="eastAsia"/>
          <w:color w:val="333333"/>
          <w:sz w:val="24"/>
          <w:szCs w:val="24"/>
        </w:rPr>
        <w:t>幕墙工程概况</w:t>
      </w:r>
    </w:p>
    <w:p w14:paraId="58D94FB8">
      <w:pPr>
        <w:ind w:left="0" w:leftChars="0" w:firstLine="480" w:firstLineChars="200"/>
        <w:rPr>
          <w:color w:val="333333"/>
          <w:sz w:val="24"/>
          <w:szCs w:val="24"/>
        </w:rPr>
      </w:pPr>
      <w:r>
        <w:rPr>
          <w:rFonts w:hint="eastAsia"/>
          <w:color w:val="333333"/>
          <w:sz w:val="24"/>
          <w:szCs w:val="24"/>
        </w:rPr>
        <w:t>包括幕墙工程名称、建设地点、开发单位、建筑设计单位、建筑物总高度、层数、标准层高、总面积、主体结构形式、层间弹性位移量、地面粗糙类别、基本风压、基本雪压、活荷载、年温度变化值、建筑物耐火等级、抗震设防烈度及基本地震加速度值、设计使用年限、幕墙系统汇总等。</w:t>
      </w:r>
    </w:p>
    <w:p w14:paraId="6F08C962">
      <w:pPr>
        <w:pStyle w:val="28"/>
        <w:numPr>
          <w:ilvl w:val="0"/>
          <w:numId w:val="24"/>
        </w:numPr>
        <w:ind w:firstLineChars="0"/>
        <w:rPr>
          <w:color w:val="333333"/>
          <w:sz w:val="24"/>
          <w:szCs w:val="24"/>
        </w:rPr>
      </w:pPr>
      <w:r>
        <w:rPr>
          <w:rFonts w:hint="eastAsia"/>
          <w:color w:val="333333"/>
          <w:sz w:val="24"/>
          <w:szCs w:val="24"/>
        </w:rPr>
        <w:t>计算依据</w:t>
      </w:r>
    </w:p>
    <w:p w14:paraId="36A77F06">
      <w:pPr>
        <w:ind w:left="0" w:leftChars="0" w:firstLine="480" w:firstLineChars="200"/>
        <w:rPr>
          <w:color w:val="333333"/>
          <w:sz w:val="24"/>
          <w:szCs w:val="24"/>
        </w:rPr>
      </w:pPr>
      <w:r>
        <w:rPr>
          <w:rFonts w:hint="eastAsia"/>
          <w:color w:val="333333"/>
          <w:sz w:val="24"/>
          <w:szCs w:val="24"/>
        </w:rPr>
        <w:t>注明本版本结构计算书所依据的幕墙施工图版本号及日期</w:t>
      </w:r>
      <w:r>
        <w:rPr>
          <w:rFonts w:hint="eastAsia"/>
          <w:color w:val="333333"/>
          <w:sz w:val="24"/>
          <w:szCs w:val="24"/>
          <w:lang w:val="en-US" w:eastAsia="zh-CN"/>
        </w:rPr>
        <w:t>,</w:t>
      </w:r>
      <w:r>
        <w:rPr>
          <w:rFonts w:hint="eastAsia"/>
          <w:color w:val="333333"/>
          <w:sz w:val="24"/>
          <w:szCs w:val="24"/>
        </w:rPr>
        <w:t>建筑施工图版本号及日期。列举所参照和引用的国家及项目所在地颁布的规范及规程、法令以及行业标准文件包括工程招标和答疑文件等</w:t>
      </w:r>
      <w:r>
        <w:rPr>
          <w:rFonts w:hint="eastAsia"/>
          <w:color w:val="333333"/>
          <w:sz w:val="24"/>
          <w:szCs w:val="24"/>
          <w:lang w:val="en-US" w:eastAsia="zh-CN"/>
        </w:rPr>
        <w:t>,</w:t>
      </w:r>
      <w:r>
        <w:rPr>
          <w:rFonts w:hint="eastAsia"/>
          <w:color w:val="333333"/>
          <w:sz w:val="24"/>
          <w:szCs w:val="24"/>
        </w:rPr>
        <w:t>所有规范、规程、法令以及行业标准文件须更新到最新版本。</w:t>
      </w:r>
    </w:p>
    <w:p w14:paraId="14B1EF04">
      <w:pPr>
        <w:pStyle w:val="28"/>
        <w:numPr>
          <w:ilvl w:val="0"/>
          <w:numId w:val="24"/>
        </w:numPr>
        <w:ind w:firstLineChars="0"/>
        <w:rPr>
          <w:color w:val="333333"/>
          <w:sz w:val="24"/>
          <w:szCs w:val="24"/>
        </w:rPr>
      </w:pPr>
      <w:r>
        <w:rPr>
          <w:rFonts w:hint="eastAsia"/>
          <w:color w:val="333333"/>
          <w:sz w:val="24"/>
          <w:szCs w:val="24"/>
        </w:rPr>
        <w:t>主要材料设计指标及基本参数</w:t>
      </w:r>
    </w:p>
    <w:p w14:paraId="6DC41415">
      <w:pPr>
        <w:ind w:left="0" w:leftChars="0" w:firstLine="480" w:firstLineChars="200"/>
        <w:rPr>
          <w:color w:val="333333"/>
          <w:sz w:val="24"/>
          <w:szCs w:val="24"/>
        </w:rPr>
      </w:pPr>
      <w:r>
        <w:rPr>
          <w:rFonts w:hint="eastAsia"/>
          <w:color w:val="333333"/>
          <w:sz w:val="24"/>
          <w:szCs w:val="24"/>
        </w:rPr>
        <w:t>罗列项目所采用的主要材料的物理力学性能，特殊材料（如有）物理力学性能不确定的，应补充提供国家级材料检测机构的测试报告。</w:t>
      </w:r>
    </w:p>
    <w:p w14:paraId="6773FF75">
      <w:pPr>
        <w:pStyle w:val="28"/>
        <w:numPr>
          <w:ilvl w:val="0"/>
          <w:numId w:val="24"/>
        </w:numPr>
        <w:ind w:firstLineChars="0"/>
        <w:rPr>
          <w:color w:val="333333"/>
          <w:sz w:val="24"/>
          <w:szCs w:val="24"/>
        </w:rPr>
      </w:pPr>
      <w:r>
        <w:rPr>
          <w:rFonts w:hint="eastAsia"/>
          <w:color w:val="333333"/>
          <w:sz w:val="24"/>
          <w:szCs w:val="24"/>
        </w:rPr>
        <w:t>各幕墙系统的结构计算</w:t>
      </w:r>
    </w:p>
    <w:p w14:paraId="2AB87199">
      <w:pPr>
        <w:rPr>
          <w:color w:val="333333"/>
          <w:sz w:val="24"/>
          <w:szCs w:val="24"/>
        </w:rPr>
      </w:pPr>
      <w:r>
        <w:rPr>
          <w:rFonts w:hint="eastAsia"/>
          <w:color w:val="333333"/>
          <w:sz w:val="24"/>
          <w:szCs w:val="24"/>
        </w:rPr>
        <w:t>1）计算位置须配图表达分格大小，跨度大小、受力荷载名称及方向、受力型材厚度及受力偏心距离。</w:t>
      </w:r>
    </w:p>
    <w:p w14:paraId="6FE62744">
      <w:pPr>
        <w:rPr>
          <w:color w:val="333333"/>
          <w:sz w:val="24"/>
          <w:szCs w:val="24"/>
        </w:rPr>
      </w:pPr>
      <w:r>
        <w:rPr>
          <w:rFonts w:hint="eastAsia"/>
          <w:color w:val="333333"/>
          <w:sz w:val="24"/>
          <w:szCs w:val="24"/>
        </w:rPr>
        <w:t>2）描述荷载的受力传递路径。</w:t>
      </w:r>
    </w:p>
    <w:p w14:paraId="4AF5E6E9">
      <w:pPr>
        <w:rPr>
          <w:color w:val="333333"/>
          <w:sz w:val="24"/>
          <w:szCs w:val="24"/>
        </w:rPr>
      </w:pPr>
      <w:r>
        <w:rPr>
          <w:rFonts w:hint="eastAsia"/>
          <w:color w:val="333333"/>
          <w:sz w:val="24"/>
          <w:szCs w:val="24"/>
        </w:rPr>
        <w:t>3）计算书的内容须包含面板、面板与龙骨的连接（包含但不限于结构胶、附框、压块、外扣板、玻璃托板、连接螺丝灯）、龙骨（立柱、横梁、立柱横梁连接角码螺栓或销钉、龙骨搭接处插芯或者连接水槽）、龙骨连接件（螺栓、转接件、焊缝）、开启扇锁点、支座及埋件（支座反力，后补埋件需提供锚栓拉拔值）等。</w:t>
      </w:r>
    </w:p>
    <w:p w14:paraId="2F1FB9F4">
      <w:pPr>
        <w:pStyle w:val="28"/>
        <w:numPr>
          <w:ilvl w:val="0"/>
          <w:numId w:val="24"/>
        </w:numPr>
        <w:ind w:firstLineChars="0"/>
        <w:rPr>
          <w:color w:val="333333"/>
          <w:sz w:val="24"/>
          <w:szCs w:val="24"/>
        </w:rPr>
      </w:pPr>
      <w:r>
        <w:rPr>
          <w:rFonts w:hint="eastAsia"/>
          <w:color w:val="333333"/>
          <w:sz w:val="24"/>
          <w:szCs w:val="24"/>
        </w:rPr>
        <w:t>建筑不同位置的体型系数不同，相同幕墙系统的荷载也不相同，可采用分区计算的方法，但应在计算书和引用的图纸位置中标记清楚，体型系数的选取应符合相应规范的要求。</w:t>
      </w:r>
    </w:p>
    <w:p w14:paraId="7FDBFCCA">
      <w:pPr>
        <w:pStyle w:val="28"/>
        <w:numPr>
          <w:ilvl w:val="0"/>
          <w:numId w:val="24"/>
        </w:numPr>
        <w:ind w:firstLineChars="0"/>
        <w:rPr>
          <w:color w:val="333333"/>
          <w:sz w:val="24"/>
          <w:szCs w:val="24"/>
        </w:rPr>
      </w:pPr>
      <w:r>
        <w:rPr>
          <w:rFonts w:hint="eastAsia"/>
          <w:color w:val="333333"/>
          <w:sz w:val="24"/>
          <w:szCs w:val="24"/>
        </w:rPr>
        <w:t>计算书的截图在完成后必须由施工图设计负责人核查一遍，保证所提交的计算书截图与施工图一致。</w:t>
      </w:r>
    </w:p>
    <w:p w14:paraId="4F96656E">
      <w:pPr>
        <w:numPr>
          <w:ilvl w:val="0"/>
          <w:numId w:val="15"/>
        </w:numPr>
        <w:bidi w:val="0"/>
        <w:rPr>
          <w:b/>
          <w:bCs/>
          <w:sz w:val="24"/>
          <w:szCs w:val="24"/>
        </w:rPr>
      </w:pPr>
      <w:r>
        <w:rPr>
          <w:rFonts w:hint="eastAsia"/>
          <w:b/>
          <w:bCs/>
          <w:sz w:val="24"/>
          <w:szCs w:val="24"/>
        </w:rPr>
        <w:t>节能计算书要求</w:t>
      </w:r>
    </w:p>
    <w:p w14:paraId="076E9A77">
      <w:pPr>
        <w:ind w:left="0" w:leftChars="0" w:firstLine="480" w:firstLineChars="200"/>
        <w:rPr>
          <w:color w:val="333333"/>
          <w:sz w:val="24"/>
          <w:szCs w:val="24"/>
        </w:rPr>
      </w:pPr>
      <w:r>
        <w:rPr>
          <w:rFonts w:hint="eastAsia"/>
          <w:color w:val="333333"/>
          <w:sz w:val="24"/>
          <w:szCs w:val="24"/>
        </w:rPr>
        <w:t>幕墙节能计算书是对幕墙施工图热工性能的验证性文件，计算依据须与幕墙施工图完全相同，计算过程应清楚展示，并有有效的图纸索引关系，便于查阅和审核。幕墙节能计算书应包括但不限于以下内容：</w:t>
      </w:r>
    </w:p>
    <w:p w14:paraId="09815BD8">
      <w:pPr>
        <w:pStyle w:val="28"/>
        <w:numPr>
          <w:ilvl w:val="0"/>
          <w:numId w:val="25"/>
        </w:numPr>
        <w:ind w:firstLineChars="0"/>
        <w:rPr>
          <w:color w:val="333333"/>
          <w:sz w:val="24"/>
          <w:szCs w:val="24"/>
        </w:rPr>
      </w:pPr>
      <w:r>
        <w:rPr>
          <w:rFonts w:hint="eastAsia"/>
          <w:color w:val="333333"/>
          <w:sz w:val="24"/>
          <w:szCs w:val="24"/>
        </w:rPr>
        <w:t>幕墙工程概况</w:t>
      </w:r>
    </w:p>
    <w:p w14:paraId="3E33ED60">
      <w:pPr>
        <w:ind w:left="0" w:leftChars="0" w:firstLine="480" w:firstLineChars="200"/>
        <w:rPr>
          <w:color w:val="333333"/>
          <w:sz w:val="24"/>
          <w:szCs w:val="24"/>
        </w:rPr>
      </w:pPr>
      <w:r>
        <w:rPr>
          <w:rFonts w:hint="eastAsia"/>
          <w:color w:val="333333"/>
          <w:sz w:val="24"/>
          <w:szCs w:val="24"/>
        </w:rPr>
        <w:t>包括幕墙工程名称、建设地点、开发单位、建筑设计单位、建筑物总高度、层数、标准层高、总面积、主体结构形式、层间弹性位移量、地面粗糙类别、基本风压、基本雪压、活荷载、年温度变化值、建筑物耐火等级、抗震设防烈度及基本地震加速度值、设计使用年限、幕墙系统汇总等。</w:t>
      </w:r>
    </w:p>
    <w:p w14:paraId="096C2601">
      <w:pPr>
        <w:pStyle w:val="28"/>
        <w:numPr>
          <w:ilvl w:val="0"/>
          <w:numId w:val="25"/>
        </w:numPr>
        <w:ind w:firstLineChars="0"/>
        <w:rPr>
          <w:color w:val="333333"/>
          <w:sz w:val="24"/>
          <w:szCs w:val="24"/>
        </w:rPr>
      </w:pPr>
      <w:r>
        <w:rPr>
          <w:rFonts w:hint="eastAsia"/>
          <w:color w:val="333333"/>
          <w:sz w:val="24"/>
          <w:szCs w:val="24"/>
        </w:rPr>
        <w:t>计算依据</w:t>
      </w:r>
    </w:p>
    <w:p w14:paraId="1A3B40E2">
      <w:pPr>
        <w:ind w:left="0" w:leftChars="0" w:firstLine="480" w:firstLineChars="200"/>
        <w:rPr>
          <w:color w:val="333333"/>
          <w:sz w:val="24"/>
          <w:szCs w:val="24"/>
        </w:rPr>
      </w:pPr>
      <w:r>
        <w:rPr>
          <w:rFonts w:hint="eastAsia"/>
          <w:color w:val="333333"/>
          <w:sz w:val="24"/>
          <w:szCs w:val="24"/>
        </w:rPr>
        <w:t>注明本版本节能计算书所依据的幕墙施工图版本号及日期，建筑施工图版本号及日期，建筑节能计算书版本号及日期。</w:t>
      </w:r>
    </w:p>
    <w:p w14:paraId="295EC59E">
      <w:pPr>
        <w:ind w:left="0" w:leftChars="0" w:firstLine="480" w:firstLineChars="200"/>
        <w:rPr>
          <w:color w:val="333333"/>
          <w:sz w:val="24"/>
          <w:szCs w:val="24"/>
        </w:rPr>
      </w:pPr>
      <w:r>
        <w:rPr>
          <w:rFonts w:hint="eastAsia"/>
          <w:color w:val="333333"/>
          <w:sz w:val="24"/>
          <w:szCs w:val="24"/>
        </w:rPr>
        <w:t>列举所参照和引用的国家及项目所在地颁布的规范及规程、法令以及行业标准文件包括工程招标和答疑文件等，所有规范、规程、法令以及行业标准文件须更新到最新版本。声明本版本节能计算书所采用的计算软件名称及版本。</w:t>
      </w:r>
    </w:p>
    <w:p w14:paraId="316C0B3F">
      <w:pPr>
        <w:pStyle w:val="28"/>
        <w:numPr>
          <w:ilvl w:val="0"/>
          <w:numId w:val="25"/>
        </w:numPr>
        <w:ind w:firstLineChars="0"/>
        <w:rPr>
          <w:color w:val="333333"/>
          <w:sz w:val="24"/>
          <w:szCs w:val="24"/>
        </w:rPr>
      </w:pPr>
      <w:r>
        <w:rPr>
          <w:rFonts w:hint="eastAsia"/>
          <w:color w:val="333333"/>
          <w:sz w:val="24"/>
          <w:szCs w:val="24"/>
        </w:rPr>
        <w:t>边界条件</w:t>
      </w:r>
    </w:p>
    <w:p w14:paraId="39E74397">
      <w:pPr>
        <w:ind w:left="0" w:leftChars="0" w:firstLine="480" w:firstLineChars="200"/>
        <w:rPr>
          <w:color w:val="333333"/>
          <w:sz w:val="24"/>
          <w:szCs w:val="24"/>
        </w:rPr>
      </w:pPr>
      <w:r>
        <w:rPr>
          <w:rFonts w:hint="eastAsia"/>
          <w:color w:val="333333"/>
          <w:sz w:val="24"/>
          <w:szCs w:val="24"/>
        </w:rPr>
        <w:t>根据项目所在地的气候特征、规范要求的计算规则及建筑节能计算书要求的传热系数、太阳得热系数限制确定本项目的计算边界条件。</w:t>
      </w:r>
    </w:p>
    <w:p w14:paraId="6AF5EB72">
      <w:pPr>
        <w:pStyle w:val="28"/>
        <w:numPr>
          <w:ilvl w:val="0"/>
          <w:numId w:val="25"/>
        </w:numPr>
        <w:ind w:firstLineChars="0"/>
        <w:rPr>
          <w:color w:val="333333"/>
          <w:sz w:val="24"/>
          <w:szCs w:val="24"/>
        </w:rPr>
      </w:pPr>
      <w:r>
        <w:rPr>
          <w:rFonts w:hint="eastAsia"/>
          <w:color w:val="333333"/>
          <w:sz w:val="24"/>
          <w:szCs w:val="24"/>
        </w:rPr>
        <w:t>幕墙系统的传热系数计算</w:t>
      </w:r>
    </w:p>
    <w:p w14:paraId="7E429D24">
      <w:pPr>
        <w:rPr>
          <w:color w:val="333333"/>
          <w:sz w:val="24"/>
          <w:szCs w:val="24"/>
        </w:rPr>
      </w:pPr>
      <w:r>
        <w:rPr>
          <w:rFonts w:hint="eastAsia"/>
          <w:color w:val="333333"/>
          <w:sz w:val="24"/>
          <w:szCs w:val="24"/>
        </w:rPr>
        <w:t>1）计算位置须配图表达建筑外立面的分格、面材的选取情况以及外遮阳形式。</w:t>
      </w:r>
    </w:p>
    <w:p w14:paraId="0037E099">
      <w:pPr>
        <w:rPr>
          <w:color w:val="333333"/>
          <w:sz w:val="24"/>
          <w:szCs w:val="24"/>
        </w:rPr>
      </w:pPr>
      <w:r>
        <w:rPr>
          <w:rFonts w:hint="eastAsia"/>
          <w:color w:val="333333"/>
          <w:sz w:val="24"/>
          <w:szCs w:val="24"/>
        </w:rPr>
        <w:t>2）根据节点图纸计算选取幕墙系统的窗框比。</w:t>
      </w:r>
    </w:p>
    <w:p w14:paraId="0DE9469E">
      <w:pPr>
        <w:rPr>
          <w:color w:val="333333"/>
          <w:sz w:val="24"/>
          <w:szCs w:val="24"/>
        </w:rPr>
      </w:pPr>
      <w:r>
        <w:rPr>
          <w:rFonts w:hint="eastAsia"/>
          <w:color w:val="333333"/>
          <w:sz w:val="24"/>
          <w:szCs w:val="24"/>
        </w:rPr>
        <w:t>3）计算框的传热系数。</w:t>
      </w:r>
    </w:p>
    <w:p w14:paraId="554F8E17">
      <w:pPr>
        <w:rPr>
          <w:color w:val="333333"/>
          <w:sz w:val="24"/>
          <w:szCs w:val="24"/>
        </w:rPr>
      </w:pPr>
      <w:r>
        <w:rPr>
          <w:rFonts w:hint="eastAsia"/>
          <w:color w:val="333333"/>
          <w:sz w:val="24"/>
          <w:szCs w:val="24"/>
        </w:rPr>
        <w:t>4）计算框与面板接缝的线传热系数。</w:t>
      </w:r>
    </w:p>
    <w:p w14:paraId="55A1CC38">
      <w:pPr>
        <w:rPr>
          <w:color w:val="333333"/>
          <w:sz w:val="24"/>
          <w:szCs w:val="24"/>
        </w:rPr>
      </w:pPr>
      <w:r>
        <w:rPr>
          <w:rFonts w:hint="eastAsia"/>
          <w:color w:val="333333"/>
          <w:sz w:val="24"/>
          <w:szCs w:val="24"/>
        </w:rPr>
        <w:t>5）选择面板的传热系数。</w:t>
      </w:r>
    </w:p>
    <w:p w14:paraId="52FB6861">
      <w:pPr>
        <w:rPr>
          <w:color w:val="333333"/>
          <w:sz w:val="24"/>
          <w:szCs w:val="24"/>
        </w:rPr>
      </w:pPr>
      <w:r>
        <w:rPr>
          <w:color w:val="333333"/>
          <w:sz w:val="24"/>
          <w:szCs w:val="24"/>
        </w:rPr>
        <w:t>6</w:t>
      </w:r>
      <w:r>
        <w:rPr>
          <w:rFonts w:hint="eastAsia"/>
          <w:color w:val="333333"/>
          <w:sz w:val="24"/>
          <w:szCs w:val="24"/>
        </w:rPr>
        <w:t>）计算选取幕墙系统的综合传热系数。</w:t>
      </w:r>
    </w:p>
    <w:p w14:paraId="5FD55C44">
      <w:pPr>
        <w:rPr>
          <w:color w:val="333333"/>
          <w:sz w:val="24"/>
          <w:szCs w:val="24"/>
        </w:rPr>
      </w:pPr>
      <w:r>
        <w:rPr>
          <w:color w:val="333333"/>
          <w:sz w:val="24"/>
          <w:szCs w:val="24"/>
        </w:rPr>
        <w:t>7</w:t>
      </w:r>
      <w:r>
        <w:rPr>
          <w:rFonts w:hint="eastAsia"/>
          <w:color w:val="333333"/>
          <w:sz w:val="24"/>
          <w:szCs w:val="24"/>
        </w:rPr>
        <w:t>）采用加权平均法计算所有幕墙系统的综合传热系数。</w:t>
      </w:r>
    </w:p>
    <w:p w14:paraId="40FBFB5C">
      <w:pPr>
        <w:pStyle w:val="28"/>
        <w:numPr>
          <w:ilvl w:val="0"/>
          <w:numId w:val="25"/>
        </w:numPr>
        <w:ind w:firstLineChars="0"/>
        <w:rPr>
          <w:color w:val="333333"/>
          <w:sz w:val="24"/>
          <w:szCs w:val="24"/>
        </w:rPr>
      </w:pPr>
      <w:r>
        <w:rPr>
          <w:rFonts w:hint="eastAsia"/>
          <w:color w:val="333333"/>
          <w:sz w:val="24"/>
          <w:szCs w:val="24"/>
        </w:rPr>
        <w:t>幕墙系统的外遮阳系数计算</w:t>
      </w:r>
    </w:p>
    <w:p w14:paraId="19F2836A">
      <w:pPr>
        <w:ind w:left="479" w:leftChars="228" w:firstLine="0" w:firstLineChars="0"/>
        <w:rPr>
          <w:color w:val="333333"/>
          <w:sz w:val="24"/>
          <w:szCs w:val="24"/>
        </w:rPr>
      </w:pPr>
      <w:r>
        <w:rPr>
          <w:rFonts w:hint="eastAsia"/>
          <w:color w:val="333333"/>
          <w:sz w:val="24"/>
          <w:szCs w:val="24"/>
        </w:rPr>
        <w:t>外遮阳系数已经由建筑设计院综合考虑，幕墙专业仅需根据建筑节能计算书选择太阳得热系数满足要求的玻璃即可。</w:t>
      </w:r>
    </w:p>
    <w:p w14:paraId="6AD1C264">
      <w:pPr>
        <w:pStyle w:val="28"/>
        <w:numPr>
          <w:ilvl w:val="0"/>
          <w:numId w:val="25"/>
        </w:numPr>
        <w:ind w:firstLineChars="0"/>
        <w:rPr>
          <w:color w:val="auto"/>
          <w:sz w:val="24"/>
          <w:szCs w:val="24"/>
          <w:highlight w:val="none"/>
        </w:rPr>
      </w:pPr>
      <w:r>
        <w:rPr>
          <w:rFonts w:hint="eastAsia"/>
          <w:color w:val="333333"/>
          <w:sz w:val="24"/>
          <w:szCs w:val="24"/>
        </w:rPr>
        <w:t>幕墙节能计算书还应包含室内结露计算。</w:t>
      </w:r>
    </w:p>
    <w:p w14:paraId="6259340A">
      <w:pPr>
        <w:numPr>
          <w:ilvl w:val="0"/>
          <w:numId w:val="15"/>
        </w:numPr>
        <w:bidi w:val="0"/>
        <w:rPr>
          <w:rFonts w:hint="eastAsia"/>
          <w:b/>
          <w:bCs/>
          <w:sz w:val="24"/>
          <w:szCs w:val="24"/>
        </w:rPr>
      </w:pPr>
      <w:r>
        <w:rPr>
          <w:rFonts w:hint="eastAsia"/>
          <w:b/>
          <w:bCs/>
          <w:sz w:val="24"/>
          <w:szCs w:val="24"/>
        </w:rPr>
        <w:t>检测/试验方案</w:t>
      </w:r>
    </w:p>
    <w:p w14:paraId="50E23C42">
      <w:pPr>
        <w:ind w:left="424" w:leftChars="202" w:firstLine="424" w:firstLineChars="177"/>
        <w:rPr>
          <w:color w:val="auto"/>
          <w:sz w:val="24"/>
          <w:szCs w:val="24"/>
          <w:highlight w:val="none"/>
        </w:rPr>
      </w:pPr>
      <w:r>
        <w:rPr>
          <w:color w:val="auto"/>
          <w:sz w:val="24"/>
          <w:szCs w:val="24"/>
          <w:highlight w:val="none"/>
        </w:rPr>
        <w:t>幕墙检测/试验方案应包括幕墙设计、加工制作、安装所需的各项抽样检测/试验和模型测试试验的项目；</w:t>
      </w:r>
    </w:p>
    <w:p w14:paraId="7353DE4C">
      <w:pPr>
        <w:ind w:left="900" w:leftChars="200" w:hanging="480" w:hangingChars="200"/>
        <w:rPr>
          <w:color w:val="auto"/>
          <w:sz w:val="24"/>
          <w:szCs w:val="24"/>
          <w:highlight w:val="none"/>
        </w:rPr>
      </w:pPr>
      <w:r>
        <w:rPr>
          <w:color w:val="auto"/>
          <w:sz w:val="24"/>
          <w:szCs w:val="24"/>
          <w:highlight w:val="none"/>
        </w:rPr>
        <w:t xml:space="preserve">    抽样检测/试验包括：</w:t>
      </w:r>
    </w:p>
    <w:p w14:paraId="4FDF300B">
      <w:pPr>
        <w:numPr>
          <w:ilvl w:val="0"/>
          <w:numId w:val="26"/>
        </w:numPr>
        <w:rPr>
          <w:color w:val="auto"/>
          <w:sz w:val="24"/>
          <w:szCs w:val="24"/>
          <w:highlight w:val="none"/>
        </w:rPr>
      </w:pPr>
      <w:r>
        <w:rPr>
          <w:color w:val="auto"/>
          <w:sz w:val="24"/>
          <w:szCs w:val="24"/>
          <w:highlight w:val="none"/>
        </w:rPr>
        <w:t>幕墙构件、零配件、紧固件、五金件、结构胶、密封胶等材料的检测试验；</w:t>
      </w:r>
    </w:p>
    <w:p w14:paraId="29D5E8AE">
      <w:pPr>
        <w:numPr>
          <w:ilvl w:val="0"/>
          <w:numId w:val="26"/>
        </w:numPr>
        <w:rPr>
          <w:color w:val="auto"/>
          <w:sz w:val="24"/>
          <w:szCs w:val="24"/>
          <w:highlight w:val="none"/>
        </w:rPr>
      </w:pPr>
      <w:r>
        <w:rPr>
          <w:color w:val="auto"/>
          <w:sz w:val="24"/>
          <w:szCs w:val="24"/>
          <w:highlight w:val="none"/>
        </w:rPr>
        <w:t>预埋件和后置埋件的承载力试验；</w:t>
      </w:r>
    </w:p>
    <w:p w14:paraId="432D3107">
      <w:pPr>
        <w:numPr>
          <w:ilvl w:val="0"/>
          <w:numId w:val="26"/>
        </w:numPr>
        <w:rPr>
          <w:color w:val="auto"/>
          <w:sz w:val="24"/>
          <w:szCs w:val="24"/>
          <w:highlight w:val="none"/>
        </w:rPr>
      </w:pPr>
      <w:r>
        <w:rPr>
          <w:color w:val="auto"/>
          <w:sz w:val="24"/>
          <w:szCs w:val="24"/>
          <w:highlight w:val="none"/>
        </w:rPr>
        <w:t>结构胶的粘接剥离试验、相容性试验；</w:t>
      </w:r>
    </w:p>
    <w:p w14:paraId="006011BC">
      <w:pPr>
        <w:numPr>
          <w:ilvl w:val="0"/>
          <w:numId w:val="26"/>
        </w:numPr>
        <w:rPr>
          <w:color w:val="auto"/>
          <w:sz w:val="24"/>
          <w:szCs w:val="24"/>
          <w:highlight w:val="none"/>
        </w:rPr>
      </w:pPr>
      <w:r>
        <w:rPr>
          <w:color w:val="auto"/>
          <w:sz w:val="24"/>
          <w:szCs w:val="24"/>
          <w:highlight w:val="none"/>
        </w:rPr>
        <w:t>现场淋水试验；</w:t>
      </w:r>
    </w:p>
    <w:p w14:paraId="67B245E2">
      <w:pPr>
        <w:ind w:left="900" w:leftChars="200" w:hanging="480" w:hangingChars="200"/>
        <w:rPr>
          <w:color w:val="auto"/>
          <w:sz w:val="24"/>
          <w:szCs w:val="24"/>
          <w:highlight w:val="none"/>
        </w:rPr>
      </w:pPr>
      <w:r>
        <w:rPr>
          <w:color w:val="auto"/>
          <w:sz w:val="24"/>
          <w:szCs w:val="24"/>
          <w:highlight w:val="none"/>
        </w:rPr>
        <w:t xml:space="preserve">    幕墙抽样检测/试验方案的内容应包括：</w:t>
      </w:r>
    </w:p>
    <w:p w14:paraId="404403E1">
      <w:pPr>
        <w:ind w:left="424" w:leftChars="202" w:firstLine="453" w:firstLineChars="189"/>
        <w:rPr>
          <w:color w:val="auto"/>
          <w:sz w:val="24"/>
          <w:szCs w:val="24"/>
          <w:highlight w:val="none"/>
        </w:rPr>
      </w:pPr>
      <w:r>
        <w:rPr>
          <w:color w:val="auto"/>
          <w:sz w:val="24"/>
          <w:szCs w:val="24"/>
          <w:highlight w:val="none"/>
        </w:rPr>
        <w:t>试验检测采用的标准；试验检测单位；试验检测设备；试件的形式要求；试件的组批和抽样要求；试验检测步骤；试验检测的结果统计和数据处理； 试验检测的结果判定标准；试验检测报告书等；</w:t>
      </w:r>
    </w:p>
    <w:p w14:paraId="3B6A7BCC">
      <w:pPr>
        <w:ind w:left="420" w:firstLine="0"/>
        <w:rPr>
          <w:color w:val="auto"/>
          <w:sz w:val="24"/>
          <w:szCs w:val="24"/>
          <w:highlight w:val="none"/>
        </w:rPr>
      </w:pPr>
      <w:r>
        <w:rPr>
          <w:color w:val="auto"/>
          <w:sz w:val="24"/>
          <w:szCs w:val="24"/>
          <w:highlight w:val="none"/>
        </w:rPr>
        <w:t>幕墙模型测试试验项目包括：</w:t>
      </w:r>
    </w:p>
    <w:p w14:paraId="7C87114B">
      <w:pPr>
        <w:numPr>
          <w:ilvl w:val="0"/>
          <w:numId w:val="27"/>
        </w:numPr>
        <w:rPr>
          <w:color w:val="auto"/>
          <w:sz w:val="24"/>
          <w:szCs w:val="24"/>
          <w:highlight w:val="none"/>
        </w:rPr>
      </w:pPr>
      <w:r>
        <w:rPr>
          <w:color w:val="auto"/>
          <w:sz w:val="24"/>
          <w:szCs w:val="24"/>
          <w:highlight w:val="none"/>
        </w:rPr>
        <w:t>幕墙的抗风压性能、水密性能、气密性能、抗震性能的物理模拟试验</w:t>
      </w:r>
      <w:r>
        <w:rPr>
          <w:rFonts w:hint="eastAsia"/>
          <w:color w:val="auto"/>
          <w:sz w:val="24"/>
          <w:szCs w:val="24"/>
          <w:highlight w:val="none"/>
          <w:lang w:eastAsia="zh-CN"/>
        </w:rPr>
        <w:t>；</w:t>
      </w:r>
      <w:r>
        <w:rPr>
          <w:rFonts w:hint="eastAsia" w:asciiTheme="minorEastAsia" w:hAnsiTheme="minorEastAsia" w:eastAsiaTheme="minorEastAsia" w:cstheme="minorEastAsia"/>
          <w:sz w:val="24"/>
          <w:szCs w:val="24"/>
          <w:lang w:val="en-US" w:eastAsia="zh-CN"/>
        </w:rPr>
        <w:t>金属屋面抗风揭检测</w:t>
      </w:r>
      <w:r>
        <w:rPr>
          <w:color w:val="auto"/>
          <w:sz w:val="24"/>
          <w:szCs w:val="24"/>
          <w:highlight w:val="none"/>
        </w:rPr>
        <w:t>；</w:t>
      </w:r>
    </w:p>
    <w:p w14:paraId="13AF80A4">
      <w:pPr>
        <w:numPr>
          <w:ilvl w:val="0"/>
          <w:numId w:val="27"/>
        </w:numPr>
        <w:rPr>
          <w:color w:val="auto"/>
          <w:sz w:val="24"/>
          <w:szCs w:val="24"/>
          <w:highlight w:val="none"/>
        </w:rPr>
      </w:pPr>
      <w:r>
        <w:rPr>
          <w:color w:val="auto"/>
          <w:sz w:val="24"/>
          <w:szCs w:val="24"/>
          <w:highlight w:val="none"/>
        </w:rPr>
        <w:t>幕墙的隔声性能模拟试验；（其必要性由建筑师决定）</w:t>
      </w:r>
    </w:p>
    <w:p w14:paraId="4AD73CAB">
      <w:pPr>
        <w:numPr>
          <w:ilvl w:val="0"/>
          <w:numId w:val="27"/>
        </w:numPr>
        <w:rPr>
          <w:color w:val="auto"/>
          <w:sz w:val="24"/>
          <w:szCs w:val="24"/>
          <w:highlight w:val="none"/>
        </w:rPr>
      </w:pPr>
      <w:r>
        <w:rPr>
          <w:color w:val="auto"/>
          <w:sz w:val="24"/>
          <w:szCs w:val="24"/>
          <w:highlight w:val="none"/>
        </w:rPr>
        <w:t>幕墙的保温隔热性能试验；（其必要性由建筑师决定）</w:t>
      </w:r>
    </w:p>
    <w:p w14:paraId="1DA5A581">
      <w:pPr>
        <w:numPr>
          <w:ilvl w:val="0"/>
          <w:numId w:val="27"/>
        </w:numPr>
        <w:rPr>
          <w:color w:val="auto"/>
          <w:sz w:val="24"/>
          <w:szCs w:val="24"/>
          <w:highlight w:val="none"/>
        </w:rPr>
      </w:pPr>
      <w:r>
        <w:rPr>
          <w:color w:val="auto"/>
          <w:sz w:val="24"/>
          <w:szCs w:val="24"/>
          <w:highlight w:val="none"/>
        </w:rPr>
        <w:t>幕墙的耐撞击性能试验；</w:t>
      </w:r>
      <w:r>
        <w:rPr>
          <w:rFonts w:hint="eastAsia"/>
          <w:color w:val="auto"/>
          <w:sz w:val="24"/>
          <w:szCs w:val="24"/>
          <w:highlight w:val="none"/>
          <w:lang w:val="en-US" w:eastAsia="zh-CN"/>
        </w:rPr>
        <w:t xml:space="preserve">  </w:t>
      </w:r>
      <w:r>
        <w:rPr>
          <w:color w:val="auto"/>
          <w:sz w:val="24"/>
          <w:szCs w:val="24"/>
          <w:highlight w:val="none"/>
        </w:rPr>
        <w:t>（其必要性由建筑师决定）</w:t>
      </w:r>
    </w:p>
    <w:p w14:paraId="6DAE532F">
      <w:pPr>
        <w:ind w:left="840" w:firstLine="0"/>
        <w:rPr>
          <w:color w:val="auto"/>
          <w:sz w:val="24"/>
          <w:szCs w:val="24"/>
          <w:highlight w:val="none"/>
        </w:rPr>
      </w:pPr>
      <w:r>
        <w:rPr>
          <w:color w:val="auto"/>
          <w:sz w:val="24"/>
          <w:szCs w:val="24"/>
          <w:highlight w:val="none"/>
        </w:rPr>
        <w:t>幕墙模型测试试验方案的内容应包括：</w:t>
      </w:r>
    </w:p>
    <w:p w14:paraId="6A43B496">
      <w:pPr>
        <w:ind w:left="424" w:leftChars="202" w:firstLine="441" w:firstLineChars="184"/>
        <w:rPr>
          <w:color w:val="auto"/>
          <w:sz w:val="24"/>
          <w:szCs w:val="24"/>
          <w:highlight w:val="none"/>
        </w:rPr>
      </w:pPr>
      <w:r>
        <w:rPr>
          <w:color w:val="auto"/>
          <w:sz w:val="24"/>
          <w:szCs w:val="24"/>
          <w:highlight w:val="none"/>
        </w:rPr>
        <w:t>测试试验采用的标准；测试试验单位；测试试验模型方案的设计或选定；测试试验设备和试验步骤；测试试验的结果统计和数据处理；测试试验结果判定标准；测试试验报告书等。</w:t>
      </w:r>
    </w:p>
    <w:p w14:paraId="7D94BAC1">
      <w:pPr>
        <w:ind w:left="424" w:leftChars="202" w:firstLine="441" w:firstLineChars="184"/>
        <w:rPr>
          <w:color w:val="auto"/>
          <w:sz w:val="24"/>
          <w:szCs w:val="24"/>
          <w:highlight w:val="none"/>
        </w:rPr>
      </w:pPr>
    </w:p>
    <w:p w14:paraId="231079C2">
      <w:pPr>
        <w:ind w:left="424" w:leftChars="202" w:firstLine="441" w:firstLineChars="184"/>
        <w:rPr>
          <w:color w:val="auto"/>
          <w:sz w:val="24"/>
          <w:szCs w:val="24"/>
          <w:highlight w:val="none"/>
        </w:rPr>
      </w:pPr>
    </w:p>
    <w:p w14:paraId="0184FA86">
      <w:pPr>
        <w:widowControl/>
        <w:ind w:left="0" w:firstLine="0"/>
        <w:jc w:val="center"/>
        <w:outlineLvl w:val="0"/>
        <w:rPr>
          <w:b/>
          <w:color w:val="auto"/>
          <w:sz w:val="24"/>
          <w:highlight w:val="none"/>
        </w:rPr>
      </w:pPr>
      <w:r>
        <w:rPr>
          <w:rFonts w:hint="eastAsia" w:ascii="宋体" w:hAnsi="宋体"/>
          <w:b/>
          <w:bCs/>
          <w:sz w:val="28"/>
          <w:szCs w:val="28"/>
          <w:lang w:val="en-US" w:eastAsia="zh-CN"/>
        </w:rPr>
        <w:t>第二部分</w:t>
      </w:r>
    </w:p>
    <w:p w14:paraId="1596506A">
      <w:pPr>
        <w:pStyle w:val="40"/>
        <w:spacing w:line="260" w:lineRule="exact"/>
        <w:jc w:val="both"/>
        <w:outlineLvl w:val="0"/>
        <w:rPr>
          <w:rFonts w:ascii="宋体" w:hAnsi="宋体"/>
          <w:b/>
          <w:caps w:val="0"/>
          <w:lang w:eastAsia="zh-CN"/>
        </w:rPr>
      </w:pPr>
      <w:r>
        <w:rPr>
          <w:rFonts w:ascii="宋体" w:hAnsi="宋体"/>
          <w:b/>
          <w:caps w:val="0"/>
          <w:lang w:eastAsia="zh-CN"/>
        </w:rPr>
        <w:t>一般</w:t>
      </w:r>
      <w:r>
        <w:rPr>
          <w:rFonts w:hint="eastAsia" w:ascii="宋体" w:hAnsi="宋体"/>
          <w:b/>
          <w:caps w:val="0"/>
          <w:lang w:eastAsia="zh-CN"/>
        </w:rPr>
        <w:t>照明</w:t>
      </w:r>
      <w:r>
        <w:rPr>
          <w:rFonts w:hint="eastAsia" w:ascii="宋体" w:hAnsi="宋体"/>
          <w:b/>
          <w:lang w:eastAsia="zh-CN"/>
        </w:rPr>
        <w:t>设备及施工规范</w:t>
      </w:r>
    </w:p>
    <w:p w14:paraId="04D4E8DF">
      <w:pPr>
        <w:pStyle w:val="40"/>
        <w:spacing w:line="260" w:lineRule="exact"/>
        <w:rPr>
          <w:lang w:eastAsia="zh-CN"/>
        </w:rPr>
      </w:pPr>
    </w:p>
    <w:p w14:paraId="76F65DF1">
      <w:pPr>
        <w:pStyle w:val="40"/>
        <w:spacing w:line="260" w:lineRule="exact"/>
        <w:rPr>
          <w:lang w:eastAsia="zh-CN"/>
        </w:rPr>
      </w:pPr>
    </w:p>
    <w:p w14:paraId="73DD267B">
      <w:pPr>
        <w:pStyle w:val="40"/>
        <w:spacing w:line="260" w:lineRule="exact"/>
        <w:ind w:left="360" w:hanging="360"/>
        <w:rPr>
          <w:u w:val="single"/>
          <w:lang w:eastAsia="zh-CN"/>
        </w:rPr>
      </w:pPr>
      <w:r>
        <w:rPr>
          <w:rFonts w:hint="eastAsia"/>
          <w:u w:val="single"/>
          <w:lang w:eastAsia="zh-CN"/>
        </w:rPr>
        <w:t>1.概述</w:t>
      </w:r>
    </w:p>
    <w:p w14:paraId="061A2CEE">
      <w:pPr>
        <w:pStyle w:val="40"/>
        <w:spacing w:line="260" w:lineRule="exact"/>
        <w:rPr>
          <w:lang w:eastAsia="zh-CN"/>
        </w:rPr>
      </w:pPr>
    </w:p>
    <w:p w14:paraId="353A5DD5">
      <w:pPr>
        <w:pStyle w:val="40"/>
        <w:numPr>
          <w:ilvl w:val="1"/>
          <w:numId w:val="28"/>
        </w:numPr>
        <w:spacing w:line="260" w:lineRule="exact"/>
        <w:rPr>
          <w:lang w:eastAsia="zh-CN"/>
        </w:rPr>
      </w:pPr>
      <w:r>
        <w:rPr>
          <w:rFonts w:hint="eastAsia"/>
          <w:lang w:eastAsia="zh-CN"/>
        </w:rPr>
        <w:t>说明</w:t>
      </w:r>
    </w:p>
    <w:p w14:paraId="6568DCA0">
      <w:pPr>
        <w:pStyle w:val="40"/>
        <w:spacing w:line="260" w:lineRule="exact"/>
        <w:ind w:left="0" w:firstLine="0"/>
        <w:rPr>
          <w:lang w:eastAsia="zh-CN"/>
        </w:rPr>
      </w:pPr>
    </w:p>
    <w:p w14:paraId="02E4C7D6">
      <w:pPr>
        <w:pStyle w:val="40"/>
        <w:numPr>
          <w:ilvl w:val="2"/>
          <w:numId w:val="28"/>
        </w:numPr>
        <w:spacing w:line="260" w:lineRule="exact"/>
        <w:ind w:left="1276" w:hanging="567"/>
        <w:rPr>
          <w:caps w:val="0"/>
          <w:lang w:eastAsia="zh-CN"/>
        </w:rPr>
      </w:pPr>
      <w:r>
        <w:rPr>
          <w:rFonts w:hint="eastAsia"/>
          <w:lang w:eastAsia="zh-CN"/>
        </w:rPr>
        <w:t>项目概况</w:t>
      </w:r>
    </w:p>
    <w:p w14:paraId="44530F54">
      <w:pPr>
        <w:pStyle w:val="40"/>
        <w:spacing w:line="260" w:lineRule="exact"/>
        <w:ind w:firstLine="0"/>
        <w:rPr>
          <w:lang w:eastAsia="zh-CN"/>
        </w:rPr>
      </w:pPr>
    </w:p>
    <w:p w14:paraId="641C3664">
      <w:pPr>
        <w:pStyle w:val="40"/>
        <w:spacing w:line="260" w:lineRule="exact"/>
        <w:ind w:left="1260" w:firstLine="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本项目广州市番禺区谢村地块，距广州南站2.6公里，东至钟屏路，西至规划路，南至兴业大道，北至规划路。目标为建设世界一流的专业足球场和世界级大型综合体育公园。</w:t>
      </w:r>
    </w:p>
    <w:p w14:paraId="4F7C75D5">
      <w:pPr>
        <w:pStyle w:val="40"/>
        <w:spacing w:line="260" w:lineRule="exact"/>
        <w:ind w:left="0" w:firstLine="0"/>
        <w:rPr>
          <w:lang w:eastAsia="zh-CN"/>
        </w:rPr>
      </w:pPr>
    </w:p>
    <w:p w14:paraId="74C158DF">
      <w:pPr>
        <w:pStyle w:val="40"/>
        <w:numPr>
          <w:ilvl w:val="2"/>
          <w:numId w:val="28"/>
        </w:numPr>
        <w:spacing w:line="260" w:lineRule="exact"/>
        <w:ind w:left="1276" w:hanging="567"/>
        <w:rPr>
          <w:caps w:val="0"/>
          <w:lang w:eastAsia="zh-CN"/>
        </w:rPr>
      </w:pPr>
      <w:r>
        <w:rPr>
          <w:rFonts w:hint="eastAsia"/>
          <w:lang w:eastAsia="zh-CN"/>
        </w:rPr>
        <w:t>规格书说明</w:t>
      </w:r>
    </w:p>
    <w:p w14:paraId="70B105B1">
      <w:pPr>
        <w:spacing w:line="260" w:lineRule="exact"/>
        <w:ind w:left="1129" w:firstLine="131"/>
        <w:rPr>
          <w:rFonts w:ascii="Arial" w:hAnsi="Arial" w:cs="Arial" w:eastAsiaTheme="minorEastAsia"/>
          <w:sz w:val="20"/>
          <w:lang w:eastAsia="zh-CN"/>
        </w:rPr>
      </w:pPr>
    </w:p>
    <w:p w14:paraId="39170F56">
      <w:pPr>
        <w:spacing w:line="260" w:lineRule="exact"/>
        <w:ind w:left="1260"/>
        <w:rPr>
          <w:rFonts w:ascii="Arial" w:hAnsi="Arial" w:cs="Arial" w:eastAsiaTheme="minorEastAsia"/>
          <w:sz w:val="20"/>
          <w:lang w:eastAsia="zh-CN"/>
        </w:rPr>
      </w:pPr>
      <w:r>
        <w:rPr>
          <w:rFonts w:hint="eastAsia" w:ascii="Arial" w:hAnsi="Arial" w:cs="Arial" w:eastAsiaTheme="minorEastAsia"/>
          <w:sz w:val="20"/>
          <w:lang w:eastAsia="zh-CN"/>
        </w:rPr>
        <w:t>本技术规格书概括了本照明工程的工作范围和性能要求。</w:t>
      </w:r>
    </w:p>
    <w:p w14:paraId="28316989">
      <w:pPr>
        <w:pStyle w:val="40"/>
        <w:spacing w:line="260" w:lineRule="exact"/>
        <w:ind w:left="1487" w:leftChars="708" w:firstLine="0"/>
        <w:rPr>
          <w:lang w:eastAsia="zh-CN"/>
        </w:rPr>
      </w:pPr>
    </w:p>
    <w:p w14:paraId="77B44D29">
      <w:pPr>
        <w:pStyle w:val="40"/>
        <w:spacing w:line="260" w:lineRule="exact"/>
        <w:ind w:left="1487" w:leftChars="708" w:firstLine="0"/>
        <w:rPr>
          <w:lang w:eastAsia="zh-CN"/>
        </w:rPr>
      </w:pPr>
      <w:r>
        <w:rPr>
          <w:rFonts w:hint="eastAsia"/>
          <w:lang w:eastAsia="zh-CN"/>
        </w:rPr>
        <w:t>本技术规格书应结合所有附件、本项目照明工程招标图纸，以及招标文件中提供的照明配电相关图纸、建筑图纸、幕墙图纸和其它相关资料进行解读。</w:t>
      </w:r>
    </w:p>
    <w:p w14:paraId="5B012032">
      <w:pPr>
        <w:pStyle w:val="40"/>
        <w:spacing w:line="260" w:lineRule="exact"/>
        <w:ind w:left="1560" w:leftChars="400" w:hangingChars="360"/>
        <w:rPr>
          <w:lang w:eastAsia="zh-CN"/>
        </w:rPr>
      </w:pPr>
    </w:p>
    <w:p w14:paraId="1E4B1850">
      <w:pPr>
        <w:pStyle w:val="40"/>
        <w:spacing w:line="260" w:lineRule="exact"/>
        <w:ind w:left="1276" w:firstLine="0"/>
        <w:rPr>
          <w:lang w:eastAsia="zh-CN"/>
        </w:rPr>
      </w:pPr>
      <w:r>
        <w:rPr>
          <w:rFonts w:hint="eastAsia"/>
          <w:lang w:eastAsia="zh-CN"/>
        </w:rPr>
        <w:t>本技术规格书中要求的灯具安装方式和安装尺寸原则上不可更改；招标图纸内设计的配电箱、控制箱仅供投标单位作指导。投标单位应核对并验证设计图纸包含的所有设备、尺寸是否适合使用目的，根据投标产品特点深化图纸，并对其投标文件里选择的设备负责。</w:t>
      </w:r>
    </w:p>
    <w:p w14:paraId="3AC321FE">
      <w:pPr>
        <w:pStyle w:val="40"/>
        <w:spacing w:line="260" w:lineRule="exact"/>
        <w:ind w:left="1560" w:leftChars="400" w:hangingChars="360"/>
        <w:rPr>
          <w:lang w:eastAsia="zh-CN"/>
        </w:rPr>
      </w:pPr>
    </w:p>
    <w:p w14:paraId="6AFBE6BC">
      <w:pPr>
        <w:pStyle w:val="40"/>
        <w:numPr>
          <w:ilvl w:val="1"/>
          <w:numId w:val="28"/>
        </w:numPr>
        <w:spacing w:line="260" w:lineRule="exact"/>
        <w:rPr>
          <w:lang w:eastAsia="zh-CN"/>
        </w:rPr>
      </w:pPr>
      <w:r>
        <w:rPr>
          <w:rFonts w:hint="eastAsia"/>
          <w:lang w:eastAsia="zh-CN"/>
        </w:rPr>
        <w:t>工作范围</w:t>
      </w:r>
    </w:p>
    <w:p w14:paraId="27805A44">
      <w:pPr>
        <w:pStyle w:val="40"/>
        <w:spacing w:line="260" w:lineRule="exact"/>
        <w:ind w:left="420" w:firstLine="0"/>
        <w:rPr>
          <w:lang w:eastAsia="zh-CN"/>
        </w:rPr>
      </w:pPr>
    </w:p>
    <w:p w14:paraId="493ADD6B">
      <w:pPr>
        <w:pStyle w:val="40"/>
        <w:spacing w:line="260" w:lineRule="exact"/>
        <w:ind w:left="493" w:leftChars="235" w:firstLine="302" w:firstLineChars="151"/>
        <w:rPr>
          <w:lang w:eastAsia="zh-CN"/>
        </w:rPr>
      </w:pPr>
      <w:r>
        <w:rPr>
          <w:rFonts w:hint="eastAsia"/>
          <w:lang w:eastAsia="zh-CN"/>
        </w:rPr>
        <w:t>本照明工程承包人工作范围包括但不仅限于：</w:t>
      </w:r>
    </w:p>
    <w:p w14:paraId="724D3886">
      <w:pPr>
        <w:pStyle w:val="40"/>
        <w:spacing w:line="260" w:lineRule="exact"/>
        <w:ind w:left="493" w:leftChars="235" w:firstLine="2" w:firstLineChars="1"/>
        <w:rPr>
          <w:lang w:eastAsia="zh-CN"/>
        </w:rPr>
      </w:pPr>
    </w:p>
    <w:p w14:paraId="177E57AE">
      <w:pPr>
        <w:pStyle w:val="40"/>
        <w:numPr>
          <w:ilvl w:val="2"/>
          <w:numId w:val="28"/>
        </w:numPr>
        <w:spacing w:line="260" w:lineRule="exact"/>
        <w:ind w:left="1276" w:hanging="567"/>
        <w:rPr>
          <w:caps w:val="0"/>
          <w:lang w:eastAsia="zh-CN"/>
        </w:rPr>
      </w:pPr>
      <w:r>
        <w:rPr>
          <w:rFonts w:hint="eastAsia"/>
          <w:caps w:val="0"/>
          <w:lang w:eastAsia="zh-CN"/>
        </w:rPr>
        <w:t>照明系统的系统深化设计和以下部分的供应、调试和安装</w:t>
      </w:r>
    </w:p>
    <w:p w14:paraId="64F6705F">
      <w:pPr>
        <w:pStyle w:val="40"/>
        <w:spacing w:line="260" w:lineRule="exact"/>
        <w:ind w:left="1276" w:firstLine="0"/>
        <w:rPr>
          <w:caps w:val="0"/>
          <w:lang w:eastAsia="zh-CN"/>
        </w:rPr>
      </w:pPr>
    </w:p>
    <w:tbl>
      <w:tblPr>
        <w:tblStyle w:val="13"/>
        <w:tblW w:w="0" w:type="auto"/>
        <w:tblInd w:w="138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7"/>
        <w:gridCol w:w="2552"/>
        <w:gridCol w:w="3118"/>
      </w:tblGrid>
      <w:tr w14:paraId="4FECC3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14:paraId="5D41D543">
            <w:pPr>
              <w:pStyle w:val="40"/>
              <w:spacing w:line="260" w:lineRule="exact"/>
              <w:ind w:left="0" w:firstLine="0"/>
              <w:rPr>
                <w:caps w:val="0"/>
                <w:lang w:eastAsia="zh-CN"/>
              </w:rPr>
            </w:pPr>
            <w:r>
              <w:rPr>
                <w:rFonts w:hint="eastAsia"/>
                <w:caps w:val="0"/>
                <w:lang w:eastAsia="zh-CN"/>
              </w:rPr>
              <w:t>√</w:t>
            </w:r>
          </w:p>
        </w:tc>
        <w:tc>
          <w:tcPr>
            <w:tcW w:w="2552" w:type="dxa"/>
          </w:tcPr>
          <w:p w14:paraId="419F42A2">
            <w:pPr>
              <w:pStyle w:val="40"/>
              <w:spacing w:line="260" w:lineRule="exact"/>
              <w:ind w:left="0" w:firstLine="0"/>
              <w:rPr>
                <w:caps w:val="0"/>
                <w:lang w:eastAsia="zh-CN"/>
              </w:rPr>
            </w:pPr>
            <w:r>
              <w:rPr>
                <w:rFonts w:hint="eastAsia"/>
                <w:caps w:val="0"/>
                <w:lang w:eastAsia="zh-CN"/>
              </w:rPr>
              <w:t>强电控制系统</w:t>
            </w:r>
          </w:p>
        </w:tc>
        <w:tc>
          <w:tcPr>
            <w:tcW w:w="3118" w:type="dxa"/>
          </w:tcPr>
          <w:p w14:paraId="15CC0BC8">
            <w:pPr>
              <w:pStyle w:val="40"/>
              <w:spacing w:line="260" w:lineRule="exact"/>
              <w:ind w:left="0" w:firstLine="0"/>
              <w:rPr>
                <w:caps w:val="0"/>
                <w:lang w:eastAsia="zh-CN"/>
              </w:rPr>
            </w:pPr>
            <w:r>
              <w:rPr>
                <w:rFonts w:hint="eastAsia"/>
                <w:caps w:val="0"/>
                <w:lang w:eastAsia="zh-CN"/>
              </w:rPr>
              <w:t>HV control system</w:t>
            </w:r>
          </w:p>
        </w:tc>
      </w:tr>
      <w:tr w14:paraId="3CBAA4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14:paraId="491CDE9B">
            <w:pPr>
              <w:pStyle w:val="40"/>
              <w:spacing w:line="260" w:lineRule="exact"/>
              <w:ind w:left="0" w:firstLine="0"/>
              <w:rPr>
                <w:caps w:val="0"/>
                <w:lang w:eastAsia="zh-CN"/>
              </w:rPr>
            </w:pPr>
            <w:r>
              <w:rPr>
                <w:rFonts w:hint="eastAsia"/>
                <w:caps w:val="0"/>
                <w:lang w:eastAsia="zh-CN"/>
              </w:rPr>
              <w:t>√</w:t>
            </w:r>
          </w:p>
        </w:tc>
        <w:tc>
          <w:tcPr>
            <w:tcW w:w="2552" w:type="dxa"/>
          </w:tcPr>
          <w:p w14:paraId="7394B0B4">
            <w:pPr>
              <w:pStyle w:val="40"/>
              <w:spacing w:line="260" w:lineRule="exact"/>
              <w:ind w:left="0" w:firstLine="0"/>
              <w:rPr>
                <w:caps w:val="0"/>
                <w:lang w:eastAsia="zh-CN"/>
              </w:rPr>
            </w:pPr>
            <w:r>
              <w:rPr>
                <w:rFonts w:hint="eastAsia"/>
                <w:caps w:val="0"/>
                <w:lang w:eastAsia="zh-CN"/>
              </w:rPr>
              <w:t>LED灯具控制系统</w:t>
            </w:r>
          </w:p>
        </w:tc>
        <w:tc>
          <w:tcPr>
            <w:tcW w:w="3118" w:type="dxa"/>
          </w:tcPr>
          <w:p w14:paraId="2A4BE5C6">
            <w:pPr>
              <w:pStyle w:val="40"/>
              <w:spacing w:line="260" w:lineRule="exact"/>
              <w:ind w:left="0" w:firstLine="0"/>
              <w:rPr>
                <w:caps w:val="0"/>
                <w:lang w:eastAsia="zh-CN"/>
              </w:rPr>
            </w:pPr>
            <w:r>
              <w:rPr>
                <w:rFonts w:hint="eastAsia"/>
                <w:caps w:val="0"/>
                <w:lang w:eastAsia="zh-CN"/>
              </w:rPr>
              <w:t>LED fixture control system</w:t>
            </w:r>
          </w:p>
        </w:tc>
      </w:tr>
      <w:tr w14:paraId="361F82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14:paraId="5F4514CB">
            <w:pPr>
              <w:pStyle w:val="40"/>
              <w:spacing w:line="260" w:lineRule="exact"/>
              <w:ind w:left="0" w:firstLine="0"/>
              <w:rPr>
                <w:caps w:val="0"/>
                <w:lang w:eastAsia="zh-CN"/>
              </w:rPr>
            </w:pPr>
            <w:r>
              <w:rPr>
                <w:rFonts w:hint="eastAsia"/>
                <w:caps w:val="0"/>
                <w:lang w:eastAsia="zh-CN"/>
              </w:rPr>
              <w:t>√</w:t>
            </w:r>
          </w:p>
        </w:tc>
        <w:tc>
          <w:tcPr>
            <w:tcW w:w="2552" w:type="dxa"/>
          </w:tcPr>
          <w:p w14:paraId="783B913A">
            <w:pPr>
              <w:pStyle w:val="40"/>
              <w:spacing w:line="260" w:lineRule="exact"/>
              <w:ind w:left="0" w:firstLine="0"/>
              <w:rPr>
                <w:caps w:val="0"/>
                <w:lang w:eastAsia="zh-CN"/>
              </w:rPr>
            </w:pPr>
            <w:r>
              <w:rPr>
                <w:rFonts w:hint="eastAsia"/>
                <w:caps w:val="0"/>
                <w:lang w:eastAsia="zh-CN"/>
              </w:rPr>
              <w:t>照明配电箱</w:t>
            </w:r>
          </w:p>
        </w:tc>
        <w:tc>
          <w:tcPr>
            <w:tcW w:w="3118" w:type="dxa"/>
          </w:tcPr>
          <w:p w14:paraId="203F43FA">
            <w:pPr>
              <w:pStyle w:val="40"/>
              <w:spacing w:line="260" w:lineRule="exact"/>
              <w:ind w:left="0" w:firstLine="0"/>
              <w:rPr>
                <w:caps w:val="0"/>
                <w:lang w:eastAsia="zh-CN"/>
              </w:rPr>
            </w:pPr>
            <w:r>
              <w:rPr>
                <w:rFonts w:hint="eastAsia"/>
                <w:caps w:val="0"/>
                <w:lang w:eastAsia="zh-CN"/>
              </w:rPr>
              <w:t>Distribution box</w:t>
            </w:r>
          </w:p>
        </w:tc>
      </w:tr>
      <w:tr w14:paraId="56A2C7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14:paraId="71DE1036">
            <w:pPr>
              <w:pStyle w:val="40"/>
              <w:spacing w:line="260" w:lineRule="exact"/>
              <w:ind w:left="0" w:firstLine="0"/>
              <w:rPr>
                <w:caps w:val="0"/>
                <w:lang w:eastAsia="zh-CN"/>
              </w:rPr>
            </w:pPr>
            <w:r>
              <w:rPr>
                <w:rFonts w:hint="eastAsia"/>
                <w:caps w:val="0"/>
                <w:lang w:eastAsia="zh-CN"/>
              </w:rPr>
              <w:t>√</w:t>
            </w:r>
          </w:p>
        </w:tc>
        <w:tc>
          <w:tcPr>
            <w:tcW w:w="2552" w:type="dxa"/>
          </w:tcPr>
          <w:p w14:paraId="6F20CBCB">
            <w:pPr>
              <w:pStyle w:val="40"/>
              <w:spacing w:line="260" w:lineRule="exact"/>
              <w:ind w:left="0" w:firstLine="0"/>
              <w:rPr>
                <w:caps w:val="0"/>
                <w:lang w:eastAsia="zh-CN"/>
              </w:rPr>
            </w:pPr>
            <w:r>
              <w:rPr>
                <w:rFonts w:hint="eastAsia"/>
                <w:caps w:val="0"/>
                <w:lang w:eastAsia="zh-CN"/>
              </w:rPr>
              <w:t>桥架、管线</w:t>
            </w:r>
          </w:p>
        </w:tc>
        <w:tc>
          <w:tcPr>
            <w:tcW w:w="3118" w:type="dxa"/>
          </w:tcPr>
          <w:p w14:paraId="58372567">
            <w:pPr>
              <w:pStyle w:val="40"/>
              <w:spacing w:line="260" w:lineRule="exact"/>
              <w:ind w:left="0" w:firstLine="0"/>
              <w:rPr>
                <w:caps w:val="0"/>
                <w:lang w:eastAsia="zh-CN"/>
              </w:rPr>
            </w:pPr>
            <w:r>
              <w:rPr>
                <w:rFonts w:hint="eastAsia"/>
                <w:caps w:val="0"/>
                <w:lang w:eastAsia="zh-CN"/>
              </w:rPr>
              <w:t>Cable tray &amp; pipeline</w:t>
            </w:r>
          </w:p>
        </w:tc>
      </w:tr>
      <w:tr w14:paraId="0934AC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14:paraId="3DCFF0A1">
            <w:pPr>
              <w:pStyle w:val="40"/>
              <w:spacing w:line="260" w:lineRule="exact"/>
              <w:ind w:left="0" w:firstLine="0"/>
              <w:rPr>
                <w:caps w:val="0"/>
                <w:lang w:eastAsia="zh-CN"/>
              </w:rPr>
            </w:pPr>
            <w:r>
              <w:rPr>
                <w:rFonts w:hint="eastAsia"/>
                <w:caps w:val="0"/>
                <w:lang w:eastAsia="zh-CN"/>
              </w:rPr>
              <w:t>√</w:t>
            </w:r>
          </w:p>
        </w:tc>
        <w:tc>
          <w:tcPr>
            <w:tcW w:w="2552" w:type="dxa"/>
          </w:tcPr>
          <w:p w14:paraId="6D4F253B">
            <w:pPr>
              <w:pStyle w:val="40"/>
              <w:spacing w:line="260" w:lineRule="exact"/>
              <w:ind w:left="0" w:firstLine="0"/>
              <w:rPr>
                <w:caps w:val="0"/>
                <w:lang w:eastAsia="zh-CN"/>
              </w:rPr>
            </w:pPr>
            <w:r>
              <w:rPr>
                <w:rFonts w:hint="eastAsia"/>
                <w:caps w:val="0"/>
                <w:lang w:eastAsia="zh-CN"/>
              </w:rPr>
              <w:t>LED灯具的电源</w:t>
            </w:r>
          </w:p>
        </w:tc>
        <w:tc>
          <w:tcPr>
            <w:tcW w:w="3118" w:type="dxa"/>
          </w:tcPr>
          <w:p w14:paraId="105432FC">
            <w:pPr>
              <w:pStyle w:val="40"/>
              <w:spacing w:line="260" w:lineRule="exact"/>
              <w:ind w:left="0" w:firstLine="0"/>
              <w:rPr>
                <w:caps w:val="0"/>
                <w:lang w:eastAsia="zh-CN"/>
              </w:rPr>
            </w:pPr>
            <w:r>
              <w:rPr>
                <w:rFonts w:hint="eastAsia"/>
                <w:caps w:val="0"/>
                <w:lang w:eastAsia="zh-CN"/>
              </w:rPr>
              <w:t>LED fixture power supply</w:t>
            </w:r>
          </w:p>
        </w:tc>
      </w:tr>
      <w:tr w14:paraId="74550E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Pr>
          <w:p w14:paraId="44C72132">
            <w:pPr>
              <w:pStyle w:val="40"/>
              <w:spacing w:line="260" w:lineRule="exact"/>
              <w:ind w:left="0" w:firstLine="0"/>
              <w:rPr>
                <w:caps w:val="0"/>
                <w:lang w:eastAsia="zh-CN"/>
              </w:rPr>
            </w:pPr>
            <w:r>
              <w:rPr>
                <w:rFonts w:hint="eastAsia"/>
                <w:caps w:val="0"/>
                <w:lang w:eastAsia="zh-CN"/>
              </w:rPr>
              <w:t>√</w:t>
            </w:r>
          </w:p>
        </w:tc>
        <w:tc>
          <w:tcPr>
            <w:tcW w:w="2552" w:type="dxa"/>
          </w:tcPr>
          <w:p w14:paraId="265147F8">
            <w:pPr>
              <w:pStyle w:val="40"/>
              <w:spacing w:line="260" w:lineRule="exact"/>
              <w:ind w:left="0" w:firstLine="0"/>
              <w:rPr>
                <w:caps w:val="0"/>
                <w:lang w:eastAsia="zh-CN"/>
              </w:rPr>
            </w:pPr>
            <w:r>
              <w:rPr>
                <w:rFonts w:hint="eastAsia"/>
                <w:caps w:val="0"/>
                <w:lang w:eastAsia="zh-CN"/>
              </w:rPr>
              <w:t>灯具及所有附件设备</w:t>
            </w:r>
          </w:p>
        </w:tc>
        <w:tc>
          <w:tcPr>
            <w:tcW w:w="3118" w:type="dxa"/>
          </w:tcPr>
          <w:p w14:paraId="1742AF8A">
            <w:pPr>
              <w:pStyle w:val="40"/>
              <w:spacing w:line="260" w:lineRule="exact"/>
              <w:ind w:left="0" w:firstLine="0"/>
              <w:rPr>
                <w:caps w:val="0"/>
                <w:lang w:eastAsia="zh-CN"/>
              </w:rPr>
            </w:pPr>
            <w:r>
              <w:rPr>
                <w:rFonts w:hint="eastAsia"/>
                <w:caps w:val="0"/>
                <w:lang w:eastAsia="zh-CN"/>
              </w:rPr>
              <w:t>fixtures and all the attachment</w:t>
            </w:r>
          </w:p>
        </w:tc>
      </w:tr>
    </w:tbl>
    <w:p w14:paraId="7E212956">
      <w:pPr>
        <w:pStyle w:val="40"/>
        <w:spacing w:line="260" w:lineRule="exact"/>
        <w:ind w:left="709" w:firstLine="0"/>
        <w:rPr>
          <w:lang w:eastAsia="zh-CN"/>
        </w:rPr>
      </w:pPr>
    </w:p>
    <w:p w14:paraId="6346A906">
      <w:pPr>
        <w:pStyle w:val="40"/>
        <w:numPr>
          <w:ilvl w:val="2"/>
          <w:numId w:val="28"/>
        </w:numPr>
        <w:spacing w:line="260" w:lineRule="exact"/>
        <w:ind w:left="1276" w:hanging="567"/>
        <w:rPr>
          <w:caps w:val="0"/>
          <w:lang w:eastAsia="zh-CN"/>
        </w:rPr>
      </w:pPr>
      <w:r>
        <w:rPr>
          <w:rFonts w:hint="eastAsia"/>
          <w:caps w:val="0"/>
          <w:lang w:eastAsia="zh-CN"/>
        </w:rPr>
        <w:t>提供完成本工程所必须的人工、材料、维护及管理，也包括完成本项目需要的协调、质量保证、试验、样品呈送和工程责任等各方面。</w:t>
      </w:r>
    </w:p>
    <w:p w14:paraId="28CF3E1F">
      <w:pPr>
        <w:pStyle w:val="28"/>
        <w:spacing w:line="260" w:lineRule="exact"/>
        <w:ind w:firstLine="360"/>
        <w:rPr>
          <w:lang w:eastAsia="zh-CN"/>
        </w:rPr>
      </w:pPr>
    </w:p>
    <w:p w14:paraId="318EF72A">
      <w:pPr>
        <w:pStyle w:val="40"/>
        <w:numPr>
          <w:ilvl w:val="2"/>
          <w:numId w:val="28"/>
        </w:numPr>
        <w:spacing w:line="260" w:lineRule="exact"/>
        <w:ind w:left="1276" w:hanging="567"/>
        <w:rPr>
          <w:lang w:eastAsia="zh-CN"/>
        </w:rPr>
      </w:pPr>
      <w:r>
        <w:rPr>
          <w:rFonts w:hint="eastAsia"/>
          <w:lang w:eastAsia="zh-CN"/>
        </w:rPr>
        <w:t>及时与施工总承包人、机电总承包人、幕墙分包人、景观分包人及相关专业承包人协调，以确保各专业间的施工界面清晰明确，满足项目需求。</w:t>
      </w:r>
    </w:p>
    <w:p w14:paraId="0720D0A1">
      <w:pPr>
        <w:pStyle w:val="28"/>
        <w:spacing w:line="260" w:lineRule="exact"/>
        <w:ind w:firstLine="360"/>
        <w:rPr>
          <w:lang w:eastAsia="zh-CN"/>
        </w:rPr>
      </w:pPr>
    </w:p>
    <w:p w14:paraId="10F05F66">
      <w:pPr>
        <w:pStyle w:val="40"/>
        <w:numPr>
          <w:ilvl w:val="2"/>
          <w:numId w:val="28"/>
        </w:numPr>
        <w:spacing w:line="260" w:lineRule="exact"/>
        <w:ind w:left="1276" w:hanging="567"/>
        <w:rPr>
          <w:lang w:eastAsia="zh-CN"/>
        </w:rPr>
      </w:pPr>
      <w:r>
        <w:rPr>
          <w:rFonts w:hint="eastAsia"/>
          <w:lang w:eastAsia="zh-CN"/>
        </w:rPr>
        <w:t>需负责向当地有关政府部门、机构取得所需的批准书。一切有关费用应包含在投标报价内。若因有关设备未能获得应有的批准，因此而引致工期延误，一切损失费用均由承包人负责。</w:t>
      </w:r>
    </w:p>
    <w:p w14:paraId="3DE2297A">
      <w:pPr>
        <w:pStyle w:val="40"/>
        <w:spacing w:line="260" w:lineRule="exact"/>
        <w:ind w:left="709" w:firstLine="0"/>
        <w:rPr>
          <w:lang w:eastAsia="zh-CN"/>
        </w:rPr>
      </w:pPr>
    </w:p>
    <w:p w14:paraId="285E0B0F">
      <w:pPr>
        <w:pStyle w:val="40"/>
        <w:numPr>
          <w:ilvl w:val="2"/>
          <w:numId w:val="28"/>
        </w:numPr>
        <w:spacing w:line="260" w:lineRule="exact"/>
        <w:ind w:left="1276" w:hanging="567"/>
        <w:rPr>
          <w:lang w:eastAsia="zh-CN"/>
        </w:rPr>
      </w:pPr>
      <w:r>
        <w:rPr>
          <w:rFonts w:hint="eastAsia"/>
          <w:lang w:eastAsia="zh-CN"/>
        </w:rPr>
        <w:t>需提供、制作所有常规模式、重大节日模式所需的多媒体文件，并进行调试，直至达到发包人/设计人的要求。</w:t>
      </w:r>
    </w:p>
    <w:p w14:paraId="7DD5F360">
      <w:pPr>
        <w:pStyle w:val="40"/>
        <w:spacing w:line="260" w:lineRule="exact"/>
        <w:ind w:left="-11" w:firstLine="0"/>
        <w:rPr>
          <w:lang w:eastAsia="zh-CN"/>
        </w:rPr>
      </w:pPr>
    </w:p>
    <w:p w14:paraId="13E6B1F3">
      <w:pPr>
        <w:pStyle w:val="40"/>
        <w:numPr>
          <w:ilvl w:val="1"/>
          <w:numId w:val="28"/>
        </w:numPr>
        <w:spacing w:line="260" w:lineRule="exact"/>
        <w:rPr>
          <w:lang w:eastAsia="zh-CN"/>
        </w:rPr>
      </w:pPr>
      <w:r>
        <w:rPr>
          <w:rFonts w:hint="eastAsia"/>
          <w:lang w:eastAsia="zh-CN"/>
        </w:rPr>
        <w:t>制造商经验</w:t>
      </w:r>
    </w:p>
    <w:p w14:paraId="454E4919">
      <w:pPr>
        <w:pStyle w:val="40"/>
        <w:spacing w:line="260" w:lineRule="exact"/>
        <w:ind w:firstLine="0"/>
        <w:rPr>
          <w:lang w:eastAsia="zh-CN"/>
        </w:rPr>
      </w:pPr>
    </w:p>
    <w:p w14:paraId="128B8AC6">
      <w:pPr>
        <w:pStyle w:val="40"/>
        <w:spacing w:line="260" w:lineRule="exact"/>
        <w:ind w:left="846" w:leftChars="403" w:firstLine="2" w:firstLineChars="1"/>
        <w:rPr>
          <w:lang w:eastAsia="zh-CN"/>
        </w:rPr>
      </w:pPr>
      <w:r>
        <w:rPr>
          <w:rFonts w:hint="eastAsia"/>
          <w:lang w:eastAsia="zh-CN"/>
        </w:rPr>
        <w:t>除获特别批准外，承包人在本规格书中所提供的所有材料和设备，需具有相关生产许可，并须由具有</w:t>
      </w:r>
      <w:r>
        <w:rPr>
          <w:lang w:eastAsia="zh-CN"/>
        </w:rPr>
        <w:t>5</w:t>
      </w:r>
      <w:r>
        <w:rPr>
          <w:rFonts w:hint="eastAsia"/>
          <w:lang w:eastAsia="zh-CN"/>
        </w:rPr>
        <w:t>年或以上生产同类型产品经验的制造商提供。承包人须提交有关制造商的资质证明文件、设备材料产地证明文件。</w:t>
      </w:r>
    </w:p>
    <w:p w14:paraId="0E578AB3">
      <w:pPr>
        <w:pStyle w:val="40"/>
        <w:spacing w:line="260" w:lineRule="exact"/>
        <w:ind w:left="493" w:leftChars="235" w:firstLine="302" w:firstLineChars="151"/>
        <w:rPr>
          <w:lang w:eastAsia="zh-CN"/>
        </w:rPr>
      </w:pPr>
    </w:p>
    <w:p w14:paraId="31C639F9">
      <w:pPr>
        <w:pStyle w:val="40"/>
        <w:spacing w:line="260" w:lineRule="exact"/>
        <w:ind w:left="846" w:leftChars="403" w:firstLine="2" w:firstLineChars="1"/>
        <w:rPr>
          <w:lang w:eastAsia="zh-CN"/>
        </w:rPr>
      </w:pPr>
      <w:r>
        <w:rPr>
          <w:rFonts w:hint="eastAsia"/>
          <w:lang w:eastAsia="zh-CN"/>
        </w:rPr>
        <w:t>进口产品须提供产地认证、商检证明、安装说明及维修保养手册。</w:t>
      </w:r>
    </w:p>
    <w:p w14:paraId="1CAADBC7">
      <w:pPr>
        <w:pStyle w:val="40"/>
        <w:spacing w:line="260" w:lineRule="exact"/>
        <w:ind w:firstLine="0"/>
        <w:rPr>
          <w:lang w:eastAsia="zh-CN"/>
        </w:rPr>
      </w:pPr>
    </w:p>
    <w:p w14:paraId="61BE1E5C">
      <w:pPr>
        <w:pStyle w:val="40"/>
        <w:numPr>
          <w:ilvl w:val="1"/>
          <w:numId w:val="28"/>
        </w:numPr>
        <w:spacing w:line="260" w:lineRule="exact"/>
        <w:rPr>
          <w:lang w:eastAsia="zh-CN"/>
        </w:rPr>
      </w:pPr>
      <w:r>
        <w:rPr>
          <w:rFonts w:hint="eastAsia"/>
          <w:lang w:eastAsia="zh-CN"/>
        </w:rPr>
        <w:t>相关规范</w:t>
      </w:r>
    </w:p>
    <w:p w14:paraId="64983E8D">
      <w:pPr>
        <w:pStyle w:val="40"/>
        <w:spacing w:line="260" w:lineRule="exact"/>
        <w:ind w:firstLine="0"/>
        <w:rPr>
          <w:lang w:eastAsia="zh-CN"/>
        </w:rPr>
      </w:pPr>
    </w:p>
    <w:p w14:paraId="2A6A35C3">
      <w:pPr>
        <w:spacing w:line="260" w:lineRule="exact"/>
        <w:ind w:left="300" w:firstLine="420"/>
        <w:rPr>
          <w:rFonts w:ascii="宋体" w:hAnsi="宋体" w:eastAsia="宋体"/>
          <w:sz w:val="20"/>
          <w:lang w:eastAsia="zh-CN"/>
        </w:rPr>
      </w:pPr>
      <w:r>
        <w:rPr>
          <w:rFonts w:hint="eastAsia" w:ascii="宋体" w:hAnsi="宋体" w:eastAsia="宋体"/>
          <w:sz w:val="20"/>
          <w:lang w:eastAsia="zh-CN"/>
        </w:rPr>
        <w:t>本技术规格书内所列的有关规范和标准是指于签订合同时所颁布的最新修订版本。</w:t>
      </w:r>
    </w:p>
    <w:p w14:paraId="479D4F68">
      <w:pPr>
        <w:pStyle w:val="40"/>
        <w:spacing w:line="260" w:lineRule="exact"/>
        <w:ind w:left="846" w:leftChars="403" w:firstLine="2" w:firstLineChars="1"/>
        <w:rPr>
          <w:lang w:eastAsia="zh-CN"/>
        </w:rPr>
      </w:pPr>
    </w:p>
    <w:p w14:paraId="6D427DC7">
      <w:pPr>
        <w:pStyle w:val="40"/>
        <w:spacing w:line="260" w:lineRule="exact"/>
        <w:ind w:left="846" w:leftChars="403" w:firstLine="2" w:firstLineChars="1"/>
        <w:rPr>
          <w:lang w:eastAsia="zh-CN"/>
        </w:rPr>
      </w:pPr>
      <w:r>
        <w:rPr>
          <w:rFonts w:hint="eastAsia"/>
          <w:lang w:eastAsia="zh-CN"/>
        </w:rPr>
        <w:t>民用建筑电气设计标准</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GB 51348-2019</w:t>
      </w:r>
    </w:p>
    <w:p w14:paraId="2AE021B9">
      <w:pPr>
        <w:pStyle w:val="40"/>
        <w:spacing w:line="260" w:lineRule="exact"/>
        <w:ind w:left="846" w:leftChars="403" w:firstLine="2" w:firstLineChars="1"/>
        <w:rPr>
          <w:lang w:eastAsia="zh-CN"/>
        </w:rPr>
      </w:pPr>
      <w:r>
        <w:rPr>
          <w:rFonts w:hint="eastAsia"/>
          <w:lang w:eastAsia="zh-CN"/>
        </w:rPr>
        <w:t>低压配电设计规范</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GB 50054-2011</w:t>
      </w:r>
    </w:p>
    <w:p w14:paraId="737A755E">
      <w:pPr>
        <w:pStyle w:val="40"/>
        <w:spacing w:line="260" w:lineRule="exact"/>
        <w:ind w:left="846" w:leftChars="403" w:firstLine="2" w:firstLineChars="1"/>
        <w:rPr>
          <w:lang w:eastAsia="zh-CN"/>
        </w:rPr>
      </w:pPr>
      <w:r>
        <w:rPr>
          <w:rFonts w:hint="eastAsia"/>
          <w:lang w:eastAsia="zh-CN"/>
        </w:rPr>
        <w:t>建筑照明设计标准</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GB</w:t>
      </w:r>
      <w:r>
        <w:rPr>
          <w:rFonts w:hint="eastAsia"/>
          <w:lang w:eastAsia="zh-CN"/>
        </w:rPr>
        <w:t>/T</w:t>
      </w:r>
      <w:r>
        <w:rPr>
          <w:lang w:eastAsia="zh-CN"/>
        </w:rPr>
        <w:t xml:space="preserve"> 50034-20</w:t>
      </w:r>
      <w:r>
        <w:rPr>
          <w:rFonts w:hint="eastAsia"/>
          <w:lang w:eastAsia="zh-CN"/>
        </w:rPr>
        <w:t>24</w:t>
      </w:r>
    </w:p>
    <w:p w14:paraId="3BF59C12">
      <w:pPr>
        <w:pStyle w:val="40"/>
        <w:spacing w:line="260" w:lineRule="exact"/>
        <w:ind w:left="846" w:leftChars="403" w:firstLine="2" w:firstLineChars="1"/>
        <w:rPr>
          <w:lang w:eastAsia="zh-CN"/>
        </w:rPr>
      </w:pPr>
      <w:r>
        <w:rPr>
          <w:rFonts w:hint="eastAsia"/>
          <w:lang w:eastAsia="zh-CN"/>
        </w:rPr>
        <w:t>建筑照明术语标准</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JGJ/T 119-2008</w:t>
      </w:r>
    </w:p>
    <w:p w14:paraId="5871415E">
      <w:pPr>
        <w:pStyle w:val="40"/>
        <w:spacing w:line="260" w:lineRule="exact"/>
        <w:ind w:left="846" w:leftChars="403" w:firstLine="2" w:firstLineChars="1"/>
        <w:rPr>
          <w:lang w:eastAsia="zh-CN"/>
        </w:rPr>
      </w:pPr>
      <w:r>
        <w:rPr>
          <w:rFonts w:hint="eastAsia"/>
          <w:lang w:eastAsia="zh-CN"/>
        </w:rPr>
        <w:t>智能建筑设计标准</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GB/T 50314-20</w:t>
      </w:r>
      <w:r>
        <w:rPr>
          <w:rFonts w:hint="eastAsia"/>
          <w:lang w:eastAsia="zh-CN"/>
        </w:rPr>
        <w:t>15</w:t>
      </w:r>
    </w:p>
    <w:p w14:paraId="0BE5A365">
      <w:pPr>
        <w:pStyle w:val="40"/>
        <w:spacing w:line="260" w:lineRule="exact"/>
        <w:ind w:left="846" w:leftChars="403" w:firstLine="2" w:firstLineChars="1"/>
        <w:rPr>
          <w:lang w:eastAsia="zh-CN"/>
        </w:rPr>
      </w:pPr>
      <w:r>
        <w:rPr>
          <w:rFonts w:hint="eastAsia"/>
          <w:lang w:eastAsia="zh-CN"/>
        </w:rPr>
        <w:t>建筑电气工程施工质量验收规范</w:t>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GB 50303-20</w:t>
      </w:r>
      <w:r>
        <w:rPr>
          <w:rFonts w:hint="eastAsia"/>
          <w:lang w:eastAsia="zh-CN"/>
        </w:rPr>
        <w:t>15</w:t>
      </w:r>
    </w:p>
    <w:p w14:paraId="03BA10EB">
      <w:pPr>
        <w:pStyle w:val="40"/>
        <w:spacing w:line="260" w:lineRule="exact"/>
        <w:ind w:left="846" w:leftChars="403" w:firstLine="2" w:firstLineChars="1"/>
        <w:rPr>
          <w:lang w:eastAsia="zh-CN"/>
        </w:rPr>
      </w:pPr>
      <w:r>
        <w:rPr>
          <w:rFonts w:hint="eastAsia"/>
          <w:lang w:eastAsia="zh-CN"/>
        </w:rPr>
        <w:t>电气装置安装工程接地装置施工及验收规范</w:t>
      </w:r>
      <w:r>
        <w:rPr>
          <w:rFonts w:hint="eastAsia"/>
          <w:lang w:eastAsia="zh-CN"/>
        </w:rPr>
        <w:tab/>
      </w:r>
      <w:r>
        <w:rPr>
          <w:rFonts w:hint="eastAsia"/>
          <w:lang w:eastAsia="zh-CN"/>
        </w:rPr>
        <w:tab/>
      </w:r>
      <w:r>
        <w:rPr>
          <w:lang w:eastAsia="zh-CN"/>
        </w:rPr>
        <w:t>GB 50169-2016</w:t>
      </w:r>
    </w:p>
    <w:p w14:paraId="1427B5D4">
      <w:pPr>
        <w:pStyle w:val="40"/>
        <w:spacing w:line="260" w:lineRule="exact"/>
        <w:ind w:left="846" w:leftChars="403" w:firstLine="2" w:firstLineChars="1"/>
        <w:rPr>
          <w:lang w:eastAsia="zh-CN"/>
        </w:rPr>
      </w:pPr>
      <w:r>
        <w:rPr>
          <w:rFonts w:hint="eastAsia"/>
          <w:lang w:eastAsia="zh-CN"/>
        </w:rPr>
        <w:t>建筑工程施工质量验收统一标准</w:t>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GB 50300-20</w:t>
      </w:r>
      <w:r>
        <w:rPr>
          <w:rFonts w:hint="eastAsia"/>
          <w:lang w:eastAsia="zh-CN"/>
        </w:rPr>
        <w:t>13</w:t>
      </w:r>
    </w:p>
    <w:p w14:paraId="5277512B">
      <w:pPr>
        <w:pStyle w:val="40"/>
        <w:spacing w:line="260" w:lineRule="exact"/>
        <w:ind w:left="846" w:leftChars="403" w:firstLine="2" w:firstLineChars="1"/>
        <w:rPr>
          <w:lang w:eastAsia="zh-CN"/>
        </w:rPr>
      </w:pPr>
      <w:r>
        <w:rPr>
          <w:rFonts w:hint="eastAsia"/>
          <w:lang w:eastAsia="zh-CN"/>
        </w:rPr>
        <w:t>城市道路照明设计标准</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CJJ 45-2015</w:t>
      </w:r>
    </w:p>
    <w:p w14:paraId="4671BF94">
      <w:pPr>
        <w:pStyle w:val="40"/>
        <w:spacing w:line="260" w:lineRule="exact"/>
        <w:ind w:left="846" w:leftChars="403" w:firstLine="2" w:firstLineChars="1"/>
        <w:rPr>
          <w:lang w:eastAsia="zh-CN"/>
        </w:rPr>
      </w:pPr>
      <w:r>
        <w:rPr>
          <w:rFonts w:hint="eastAsia"/>
          <w:lang w:eastAsia="zh-CN"/>
        </w:rPr>
        <w:t>城市夜景照明设计规范</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JGJ/T 163-2008</w:t>
      </w:r>
    </w:p>
    <w:p w14:paraId="14CF6C42">
      <w:pPr>
        <w:pStyle w:val="40"/>
        <w:spacing w:line="260" w:lineRule="exact"/>
        <w:ind w:left="846" w:leftChars="403" w:firstLine="2" w:firstLineChars="1"/>
        <w:rPr>
          <w:lang w:eastAsia="zh-CN"/>
        </w:rPr>
      </w:pPr>
      <w:r>
        <w:rPr>
          <w:rFonts w:hint="eastAsia"/>
          <w:lang w:eastAsia="zh-CN"/>
        </w:rPr>
        <w:t>室外作业场地照明设计标准</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GB 50582-2010</w:t>
      </w:r>
    </w:p>
    <w:p w14:paraId="7478CB22">
      <w:pPr>
        <w:pStyle w:val="40"/>
        <w:spacing w:line="260" w:lineRule="exact"/>
        <w:ind w:left="846" w:leftChars="403" w:firstLine="2" w:firstLineChars="1"/>
        <w:rPr>
          <w:lang w:eastAsia="zh-CN"/>
        </w:rPr>
      </w:pPr>
      <w:r>
        <w:rPr>
          <w:rFonts w:hint="eastAsia"/>
          <w:lang w:eastAsia="zh-CN"/>
        </w:rPr>
        <w:t>外壳防护等级（IP代码）</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GB/t</w:t>
      </w:r>
      <w:r>
        <w:rPr>
          <w:lang w:eastAsia="zh-CN"/>
        </w:rPr>
        <w:t xml:space="preserve"> </w:t>
      </w:r>
      <w:r>
        <w:rPr>
          <w:rFonts w:hint="eastAsia"/>
          <w:lang w:eastAsia="zh-CN"/>
        </w:rPr>
        <w:t>4208-20</w:t>
      </w:r>
      <w:r>
        <w:rPr>
          <w:lang w:eastAsia="zh-CN"/>
        </w:rPr>
        <w:t>17</w:t>
      </w:r>
    </w:p>
    <w:p w14:paraId="3259F9EE">
      <w:pPr>
        <w:pStyle w:val="40"/>
        <w:spacing w:line="260" w:lineRule="exact"/>
        <w:ind w:left="846" w:leftChars="403" w:firstLine="2" w:firstLineChars="1"/>
        <w:rPr>
          <w:lang w:eastAsia="zh-CN"/>
        </w:rPr>
      </w:pPr>
      <w:r>
        <w:rPr>
          <w:rFonts w:hint="eastAsia"/>
          <w:lang w:eastAsia="zh-CN"/>
        </w:rPr>
        <w:t>建筑节能与可再生能源利用通用规范</w:t>
      </w:r>
      <w:r>
        <w:rPr>
          <w:lang w:eastAsia="zh-CN"/>
        </w:rPr>
        <w:tab/>
      </w:r>
      <w:r>
        <w:rPr>
          <w:lang w:eastAsia="zh-CN"/>
        </w:rPr>
        <w:tab/>
      </w:r>
      <w:r>
        <w:rPr>
          <w:lang w:eastAsia="zh-CN"/>
        </w:rPr>
        <w:tab/>
      </w:r>
      <w:r>
        <w:rPr>
          <w:lang w:eastAsia="zh-CN"/>
        </w:rPr>
        <w:t>GB 55015-2021</w:t>
      </w:r>
    </w:p>
    <w:p w14:paraId="311C70AF">
      <w:pPr>
        <w:pStyle w:val="40"/>
        <w:spacing w:line="260" w:lineRule="exact"/>
        <w:ind w:left="846" w:leftChars="403" w:firstLine="2" w:firstLineChars="1"/>
        <w:rPr>
          <w:lang w:eastAsia="zh-CN"/>
        </w:rPr>
      </w:pPr>
      <w:r>
        <w:rPr>
          <w:rFonts w:hint="eastAsia"/>
          <w:lang w:eastAsia="zh-CN"/>
        </w:rPr>
        <w:t>建筑环境通用规范</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GB 55016-2021</w:t>
      </w:r>
    </w:p>
    <w:p w14:paraId="5915C92B">
      <w:pPr>
        <w:pStyle w:val="40"/>
        <w:spacing w:line="260" w:lineRule="exact"/>
        <w:ind w:left="846" w:leftChars="403" w:firstLine="2" w:firstLineChars="1"/>
        <w:rPr>
          <w:lang w:eastAsia="zh-CN"/>
        </w:rPr>
      </w:pPr>
      <w:r>
        <w:rPr>
          <w:lang w:eastAsia="zh-CN"/>
        </w:rPr>
        <w:t>CCC</w:t>
      </w:r>
      <w:r>
        <w:rPr>
          <w:rFonts w:hint="eastAsia"/>
          <w:lang w:eastAsia="zh-CN"/>
        </w:rPr>
        <w:t>中国强制产品认证</w:t>
      </w:r>
    </w:p>
    <w:p w14:paraId="59A81DE9">
      <w:pPr>
        <w:pStyle w:val="40"/>
        <w:spacing w:line="260" w:lineRule="exact"/>
        <w:ind w:firstLine="0"/>
        <w:rPr>
          <w:lang w:eastAsia="zh-CN"/>
        </w:rPr>
      </w:pPr>
    </w:p>
    <w:p w14:paraId="39D96A1F">
      <w:pPr>
        <w:pStyle w:val="40"/>
        <w:spacing w:line="260" w:lineRule="exact"/>
        <w:ind w:left="846" w:leftChars="403" w:firstLine="2" w:firstLineChars="1"/>
        <w:rPr>
          <w:lang w:eastAsia="zh-CN"/>
        </w:rPr>
      </w:pPr>
      <w:r>
        <w:rPr>
          <w:rFonts w:hint="eastAsia"/>
          <w:lang w:eastAsia="zh-CN"/>
        </w:rPr>
        <w:t>本技术规格书所规定的条款与上述标准或当地地方要求发生抵触时，或技术规格书和图纸上所标注或要求有互相矛盾时，或技术规格书内有关章节的要求有互相矛盾时，或有技术要求未在规格书或图纸中列明时，</w:t>
      </w:r>
      <w:r>
        <w:rPr>
          <w:rFonts w:hint="eastAsia" w:ascii="宋体" w:hAnsi="宋体"/>
          <w:lang w:eastAsia="zh-CN"/>
        </w:rPr>
        <w:t>同类要求以较高者为依据，</w:t>
      </w:r>
      <w:r>
        <w:rPr>
          <w:rFonts w:hint="eastAsia"/>
          <w:lang w:eastAsia="zh-CN"/>
        </w:rPr>
        <w:t>矛盾处</w:t>
      </w:r>
      <w:r>
        <w:rPr>
          <w:rFonts w:hint="eastAsia" w:ascii="宋体" w:hAnsi="宋体"/>
          <w:lang w:eastAsia="zh-CN"/>
        </w:rPr>
        <w:t>应按下列次序先后作优先考虑处理：</w:t>
      </w:r>
    </w:p>
    <w:p w14:paraId="33EC7A9C">
      <w:pPr>
        <w:spacing w:line="260" w:lineRule="exact"/>
        <w:ind w:left="420"/>
        <w:rPr>
          <w:rFonts w:ascii="Arial" w:hAnsi="Arial" w:eastAsia="宋体"/>
          <w:caps/>
          <w:kern w:val="0"/>
          <w:sz w:val="20"/>
          <w:lang w:eastAsia="zh-CN"/>
        </w:rPr>
      </w:pPr>
    </w:p>
    <w:p w14:paraId="1228718A">
      <w:pPr>
        <w:pStyle w:val="28"/>
        <w:numPr>
          <w:ilvl w:val="0"/>
          <w:numId w:val="29"/>
        </w:numPr>
        <w:spacing w:line="260" w:lineRule="exact"/>
        <w:ind w:left="1418" w:hanging="283" w:firstLineChars="0"/>
        <w:rPr>
          <w:rFonts w:eastAsia="宋体"/>
          <w:lang w:eastAsia="zh-CN"/>
        </w:rPr>
      </w:pPr>
      <w:r>
        <w:rPr>
          <w:rFonts w:hint="eastAsia" w:ascii="宋体" w:hAnsi="宋体" w:eastAsia="宋体"/>
          <w:sz w:val="20"/>
          <w:lang w:eastAsia="zh-CN"/>
        </w:rPr>
        <w:t>当地地方的条例，指令和规范；</w:t>
      </w:r>
    </w:p>
    <w:p w14:paraId="34987DD2">
      <w:pPr>
        <w:pStyle w:val="28"/>
        <w:numPr>
          <w:ilvl w:val="0"/>
          <w:numId w:val="29"/>
        </w:numPr>
        <w:spacing w:line="260" w:lineRule="exact"/>
        <w:ind w:left="1418" w:hanging="283" w:firstLineChars="0"/>
        <w:rPr>
          <w:rFonts w:ascii="Arial" w:hAnsi="Arial" w:eastAsia="宋体" w:cs="Arial"/>
          <w:sz w:val="20"/>
          <w:lang w:eastAsia="zh-CN"/>
        </w:rPr>
      </w:pPr>
      <w:r>
        <w:rPr>
          <w:rFonts w:hint="eastAsia" w:ascii="宋体" w:hAnsi="宋体" w:eastAsia="宋体"/>
          <w:sz w:val="20"/>
          <w:lang w:eastAsia="zh-CN"/>
        </w:rPr>
        <w:t>行业条例和规范；</w:t>
      </w:r>
    </w:p>
    <w:p w14:paraId="591FAE17">
      <w:pPr>
        <w:pStyle w:val="28"/>
        <w:numPr>
          <w:ilvl w:val="0"/>
          <w:numId w:val="29"/>
        </w:numPr>
        <w:spacing w:line="260" w:lineRule="exact"/>
        <w:ind w:left="1418" w:hanging="283" w:firstLineChars="0"/>
        <w:rPr>
          <w:rFonts w:ascii="Arial" w:hAnsi="Arial" w:eastAsia="宋体" w:cs="Arial"/>
          <w:sz w:val="20"/>
          <w:lang w:eastAsia="zh-CN"/>
        </w:rPr>
      </w:pPr>
      <w:r>
        <w:rPr>
          <w:rFonts w:hint="eastAsia" w:ascii="宋体" w:hAnsi="宋体" w:eastAsia="宋体"/>
          <w:sz w:val="20"/>
          <w:lang w:eastAsia="zh-CN"/>
        </w:rPr>
        <w:t>本技术规格书和图纸；</w:t>
      </w:r>
    </w:p>
    <w:p w14:paraId="2F66892A">
      <w:pPr>
        <w:pStyle w:val="28"/>
        <w:numPr>
          <w:ilvl w:val="0"/>
          <w:numId w:val="29"/>
        </w:numPr>
        <w:spacing w:line="260" w:lineRule="exact"/>
        <w:ind w:left="1418" w:hanging="283" w:firstLineChars="0"/>
        <w:rPr>
          <w:rFonts w:ascii="Arial" w:hAnsi="Arial" w:eastAsia="宋体" w:cs="Arial"/>
          <w:sz w:val="20"/>
          <w:lang w:eastAsia="zh-CN"/>
        </w:rPr>
      </w:pPr>
      <w:r>
        <w:rPr>
          <w:rFonts w:hint="eastAsia" w:ascii="宋体" w:hAnsi="宋体" w:eastAsia="宋体"/>
          <w:sz w:val="20"/>
          <w:lang w:eastAsia="zh-CN"/>
        </w:rPr>
        <w:t>其他认可的标准。</w:t>
      </w:r>
    </w:p>
    <w:p w14:paraId="0BA8DDD0">
      <w:pPr>
        <w:pStyle w:val="40"/>
        <w:spacing w:line="260" w:lineRule="exact"/>
        <w:ind w:left="846" w:leftChars="403" w:firstLine="2" w:firstLineChars="1"/>
        <w:rPr>
          <w:color w:val="00B050"/>
          <w:lang w:eastAsia="zh-CN"/>
        </w:rPr>
      </w:pPr>
    </w:p>
    <w:p w14:paraId="32D3F96F">
      <w:pPr>
        <w:pStyle w:val="40"/>
        <w:spacing w:line="260" w:lineRule="exact"/>
        <w:ind w:left="846" w:leftChars="403" w:firstLine="2" w:firstLineChars="1"/>
        <w:rPr>
          <w:color w:val="00B050"/>
          <w:lang w:eastAsia="zh-CN"/>
        </w:rPr>
      </w:pPr>
      <w:r>
        <w:rPr>
          <w:rFonts w:hint="eastAsia"/>
          <w:lang w:eastAsia="zh-CN"/>
        </w:rPr>
        <w:t>承包人必须将以上矛盾及未列明处向发包人/设计人反映，发包人具有最终决定权，而有关最终决定不构成任何造价变更。</w:t>
      </w:r>
    </w:p>
    <w:p w14:paraId="0914F4D7">
      <w:pPr>
        <w:pStyle w:val="40"/>
        <w:spacing w:line="260" w:lineRule="exact"/>
        <w:ind w:left="846" w:leftChars="403" w:firstLine="2" w:firstLineChars="1"/>
        <w:rPr>
          <w:lang w:eastAsia="zh-CN"/>
        </w:rPr>
      </w:pPr>
    </w:p>
    <w:p w14:paraId="49222D7E">
      <w:pPr>
        <w:pStyle w:val="40"/>
        <w:spacing w:line="260" w:lineRule="exact"/>
        <w:ind w:left="846" w:leftChars="403" w:firstLine="2" w:firstLineChars="1"/>
        <w:rPr>
          <w:lang w:eastAsia="zh-CN"/>
        </w:rPr>
      </w:pPr>
      <w:r>
        <w:rPr>
          <w:rFonts w:hint="eastAsia"/>
          <w:lang w:eastAsia="zh-CN"/>
        </w:rPr>
        <w:t>不论本技术规格中是否列出，所有与本工程有关的中国国家标准和规范以及地方有关规定都必须遵守。</w:t>
      </w:r>
    </w:p>
    <w:p w14:paraId="3F381B5B">
      <w:pPr>
        <w:pStyle w:val="40"/>
        <w:spacing w:line="260" w:lineRule="exact"/>
        <w:ind w:left="846" w:leftChars="403" w:firstLine="2" w:firstLineChars="1"/>
        <w:rPr>
          <w:lang w:eastAsia="zh-CN"/>
        </w:rPr>
      </w:pPr>
    </w:p>
    <w:p w14:paraId="667E5111">
      <w:pPr>
        <w:pStyle w:val="40"/>
        <w:numPr>
          <w:ilvl w:val="1"/>
          <w:numId w:val="28"/>
        </w:numPr>
        <w:spacing w:line="260" w:lineRule="exact"/>
        <w:rPr>
          <w:lang w:eastAsia="zh-CN"/>
        </w:rPr>
      </w:pPr>
      <w:r>
        <w:rPr>
          <w:rFonts w:hint="eastAsia"/>
          <w:lang w:eastAsia="zh-CN"/>
        </w:rPr>
        <w:t>电力供应</w:t>
      </w:r>
    </w:p>
    <w:p w14:paraId="649B7CEA">
      <w:pPr>
        <w:pStyle w:val="40"/>
        <w:spacing w:line="260" w:lineRule="exact"/>
        <w:ind w:firstLine="0"/>
        <w:rPr>
          <w:lang w:eastAsia="zh-CN"/>
        </w:rPr>
      </w:pPr>
    </w:p>
    <w:p w14:paraId="3C140515">
      <w:pPr>
        <w:pStyle w:val="40"/>
        <w:numPr>
          <w:ilvl w:val="2"/>
          <w:numId w:val="28"/>
        </w:numPr>
        <w:spacing w:line="260" w:lineRule="exact"/>
        <w:ind w:left="1276" w:hanging="567"/>
        <w:rPr>
          <w:lang w:eastAsia="zh-CN"/>
        </w:rPr>
      </w:pPr>
      <w:r>
        <w:rPr>
          <w:rFonts w:hint="eastAsia"/>
          <w:lang w:eastAsia="zh-CN"/>
        </w:rPr>
        <w:t>除本技术规格书另有说明外，所有电气设备及安装应按下列的电压操作：</w:t>
      </w:r>
    </w:p>
    <w:p w14:paraId="2306E491">
      <w:pPr>
        <w:pStyle w:val="40"/>
        <w:spacing w:line="260" w:lineRule="exact"/>
        <w:ind w:left="0" w:firstLine="0"/>
        <w:rPr>
          <w:lang w:eastAsia="zh-CN"/>
        </w:rPr>
      </w:pPr>
    </w:p>
    <w:p w14:paraId="5A7B5C00">
      <w:pPr>
        <w:pStyle w:val="40"/>
        <w:spacing w:line="260" w:lineRule="exact"/>
        <w:ind w:left="1276" w:firstLine="0"/>
        <w:rPr>
          <w:lang w:eastAsia="zh-CN"/>
        </w:rPr>
      </w:pPr>
      <w:r>
        <w:rPr>
          <w:rFonts w:hint="eastAsia"/>
          <w:lang w:eastAsia="zh-CN"/>
        </w:rPr>
        <w:t>电压：三相设备：380伏</w:t>
      </w:r>
    </w:p>
    <w:p w14:paraId="49855739">
      <w:pPr>
        <w:pStyle w:val="40"/>
        <w:spacing w:line="260" w:lineRule="exact"/>
        <w:ind w:left="1487" w:leftChars="708" w:firstLine="600" w:firstLineChars="300"/>
        <w:rPr>
          <w:lang w:eastAsia="zh-CN"/>
        </w:rPr>
      </w:pPr>
      <w:r>
        <w:rPr>
          <w:rFonts w:hint="eastAsia"/>
          <w:lang w:eastAsia="zh-CN"/>
        </w:rPr>
        <w:t>单相设备：220伏</w:t>
      </w:r>
    </w:p>
    <w:p w14:paraId="1B6FFCC7">
      <w:pPr>
        <w:pStyle w:val="40"/>
        <w:spacing w:line="260" w:lineRule="exact"/>
        <w:ind w:left="1653" w:leftChars="709" w:hanging="164"/>
        <w:rPr>
          <w:lang w:eastAsia="zh-CN"/>
        </w:rPr>
      </w:pPr>
      <w:r>
        <w:rPr>
          <w:rFonts w:hint="eastAsia"/>
          <w:lang w:eastAsia="zh-CN"/>
        </w:rPr>
        <w:t>频率：50赫兹</w:t>
      </w:r>
    </w:p>
    <w:p w14:paraId="32411451">
      <w:pPr>
        <w:pStyle w:val="40"/>
        <w:spacing w:line="260" w:lineRule="exact"/>
        <w:ind w:left="1560" w:leftChars="400"/>
        <w:rPr>
          <w:lang w:eastAsia="zh-CN"/>
        </w:rPr>
      </w:pPr>
    </w:p>
    <w:p w14:paraId="05B53FD8">
      <w:pPr>
        <w:pStyle w:val="40"/>
        <w:numPr>
          <w:ilvl w:val="2"/>
          <w:numId w:val="28"/>
        </w:numPr>
        <w:spacing w:line="260" w:lineRule="exact"/>
        <w:ind w:left="1276" w:hanging="567"/>
        <w:rPr>
          <w:lang w:eastAsia="zh-CN"/>
        </w:rPr>
      </w:pPr>
      <w:r>
        <w:rPr>
          <w:rFonts w:hint="eastAsia"/>
          <w:lang w:eastAsia="zh-CN"/>
        </w:rPr>
        <w:t>除上述所说明外，所有电气设备亦须适合下列操作条件：</w:t>
      </w:r>
    </w:p>
    <w:p w14:paraId="02BB399C">
      <w:pPr>
        <w:pStyle w:val="40"/>
        <w:spacing w:line="260" w:lineRule="exact"/>
        <w:ind w:left="0" w:firstLine="0"/>
        <w:rPr>
          <w:lang w:eastAsia="zh-CN"/>
        </w:rPr>
      </w:pPr>
    </w:p>
    <w:p w14:paraId="639DCED7">
      <w:pPr>
        <w:pStyle w:val="40"/>
        <w:spacing w:line="260" w:lineRule="exact"/>
        <w:ind w:left="1276" w:firstLine="0"/>
        <w:rPr>
          <w:lang w:eastAsia="zh-CN"/>
        </w:rPr>
      </w:pPr>
      <w:r>
        <w:rPr>
          <w:rFonts w:hint="eastAsia"/>
          <w:lang w:eastAsia="zh-CN"/>
        </w:rPr>
        <w:t>电压波动：</w:t>
      </w:r>
      <w:r>
        <w:rPr>
          <w:rFonts w:hint="eastAsia" w:ascii="宋体" w:hAnsi="宋体"/>
          <w:lang w:eastAsia="zh-CN"/>
        </w:rPr>
        <w:t>±</w:t>
      </w:r>
      <w:r>
        <w:rPr>
          <w:rFonts w:hint="eastAsia"/>
          <w:lang w:eastAsia="zh-CN"/>
        </w:rPr>
        <w:t>10%正常数值</w:t>
      </w:r>
    </w:p>
    <w:p w14:paraId="3814FEA7">
      <w:pPr>
        <w:pStyle w:val="40"/>
        <w:spacing w:line="260" w:lineRule="exact"/>
        <w:ind w:left="1276" w:firstLine="0"/>
        <w:rPr>
          <w:lang w:eastAsia="zh-CN"/>
        </w:rPr>
      </w:pPr>
      <w:r>
        <w:rPr>
          <w:rFonts w:hint="eastAsia"/>
          <w:lang w:eastAsia="zh-CN"/>
        </w:rPr>
        <w:t>频率波动：</w:t>
      </w:r>
      <w:r>
        <w:rPr>
          <w:rFonts w:hint="eastAsia" w:ascii="宋体" w:hAnsi="宋体"/>
          <w:lang w:eastAsia="zh-CN"/>
        </w:rPr>
        <w:t>±</w:t>
      </w:r>
      <w:r>
        <w:rPr>
          <w:rFonts w:hint="eastAsia"/>
          <w:lang w:eastAsia="zh-CN"/>
        </w:rPr>
        <w:t>2%正常数值</w:t>
      </w:r>
    </w:p>
    <w:p w14:paraId="187A1068">
      <w:pPr>
        <w:pStyle w:val="40"/>
        <w:spacing w:line="260" w:lineRule="exact"/>
        <w:ind w:left="1440"/>
        <w:rPr>
          <w:lang w:eastAsia="zh-CN"/>
        </w:rPr>
      </w:pPr>
    </w:p>
    <w:p w14:paraId="1DD4210D">
      <w:pPr>
        <w:pStyle w:val="40"/>
        <w:numPr>
          <w:ilvl w:val="1"/>
          <w:numId w:val="28"/>
        </w:numPr>
        <w:spacing w:line="260" w:lineRule="exact"/>
        <w:rPr>
          <w:lang w:eastAsia="zh-CN"/>
        </w:rPr>
      </w:pPr>
      <w:r>
        <w:rPr>
          <w:rFonts w:hint="eastAsia"/>
          <w:lang w:eastAsia="zh-CN"/>
        </w:rPr>
        <w:t>设备及材料</w:t>
      </w:r>
    </w:p>
    <w:p w14:paraId="46DB2053">
      <w:pPr>
        <w:pStyle w:val="40"/>
        <w:spacing w:line="260" w:lineRule="exact"/>
        <w:rPr>
          <w:lang w:eastAsia="zh-CN"/>
        </w:rPr>
      </w:pPr>
    </w:p>
    <w:p w14:paraId="5F73DF0D">
      <w:pPr>
        <w:pStyle w:val="40"/>
        <w:numPr>
          <w:ilvl w:val="2"/>
          <w:numId w:val="28"/>
        </w:numPr>
        <w:spacing w:line="260" w:lineRule="exact"/>
        <w:ind w:left="1276" w:hanging="567"/>
        <w:rPr>
          <w:lang w:eastAsia="zh-CN"/>
        </w:rPr>
      </w:pPr>
      <w:r>
        <w:rPr>
          <w:rFonts w:hint="eastAsia"/>
          <w:lang w:eastAsia="zh-CN"/>
        </w:rPr>
        <w:t>质量保证</w:t>
      </w:r>
    </w:p>
    <w:p w14:paraId="01F16745">
      <w:pPr>
        <w:pStyle w:val="40"/>
        <w:spacing w:line="260" w:lineRule="exact"/>
        <w:ind w:firstLine="0"/>
        <w:rPr>
          <w:lang w:eastAsia="zh-CN"/>
        </w:rPr>
      </w:pPr>
    </w:p>
    <w:p w14:paraId="25138009">
      <w:pPr>
        <w:numPr>
          <w:ilvl w:val="0"/>
          <w:numId w:val="30"/>
        </w:numPr>
        <w:spacing w:line="260" w:lineRule="exact"/>
        <w:ind w:left="1773" w:leftChars="710" w:hanging="282" w:hangingChars="141"/>
        <w:rPr>
          <w:rFonts w:ascii="Arial" w:hAnsi="Arial" w:eastAsia="宋体"/>
          <w:caps/>
          <w:kern w:val="0"/>
          <w:sz w:val="20"/>
          <w:lang w:eastAsia="zh-CN"/>
        </w:rPr>
      </w:pPr>
      <w:r>
        <w:rPr>
          <w:rFonts w:hint="eastAsia" w:ascii="Arial" w:hAnsi="Arial" w:eastAsia="宋体"/>
          <w:caps/>
          <w:kern w:val="0"/>
          <w:sz w:val="20"/>
          <w:lang w:eastAsia="zh-CN"/>
        </w:rPr>
        <w:t>照明系统的安全运行性能由本工程承包人负责。</w:t>
      </w:r>
    </w:p>
    <w:p w14:paraId="081A75B6">
      <w:pPr>
        <w:spacing w:line="260" w:lineRule="exact"/>
        <w:ind w:left="720"/>
        <w:rPr>
          <w:rFonts w:ascii="Arial" w:hAnsi="Arial" w:eastAsia="宋体"/>
          <w:caps/>
          <w:kern w:val="0"/>
          <w:sz w:val="20"/>
          <w:lang w:eastAsia="zh-CN"/>
        </w:rPr>
      </w:pPr>
    </w:p>
    <w:p w14:paraId="7A2273FF">
      <w:pPr>
        <w:numPr>
          <w:ilvl w:val="0"/>
          <w:numId w:val="30"/>
        </w:numPr>
        <w:spacing w:line="260" w:lineRule="exact"/>
        <w:ind w:left="1773" w:leftChars="710" w:hanging="282" w:hangingChars="141"/>
        <w:rPr>
          <w:rFonts w:ascii="Arial" w:hAnsi="Arial" w:eastAsia="宋体"/>
          <w:caps/>
          <w:kern w:val="0"/>
          <w:sz w:val="20"/>
          <w:lang w:eastAsia="zh-CN"/>
        </w:rPr>
      </w:pPr>
      <w:r>
        <w:rPr>
          <w:rFonts w:hint="eastAsia" w:ascii="Arial" w:hAnsi="Arial" w:eastAsia="宋体"/>
          <w:caps/>
          <w:kern w:val="0"/>
          <w:sz w:val="20"/>
          <w:lang w:eastAsia="zh-CN"/>
        </w:rPr>
        <w:t>适用的规范、标准和条例</w:t>
      </w:r>
    </w:p>
    <w:p w14:paraId="369C9FFD">
      <w:pPr>
        <w:spacing w:line="260" w:lineRule="exact"/>
        <w:ind w:left="1440"/>
        <w:rPr>
          <w:rFonts w:ascii="宋体" w:hAnsi="宋体" w:eastAsia="宋体"/>
          <w:sz w:val="20"/>
          <w:lang w:eastAsia="zh-CN"/>
        </w:rPr>
      </w:pPr>
    </w:p>
    <w:p w14:paraId="2A10581A">
      <w:pPr>
        <w:numPr>
          <w:ilvl w:val="0"/>
          <w:numId w:val="31"/>
        </w:numPr>
        <w:spacing w:line="260" w:lineRule="exact"/>
        <w:ind w:left="2245" w:leftChars="867" w:hanging="424" w:hangingChars="212"/>
        <w:rPr>
          <w:rFonts w:ascii="宋体" w:hAnsi="宋体" w:eastAsia="宋体"/>
          <w:sz w:val="20"/>
          <w:lang w:eastAsia="zh-CN"/>
        </w:rPr>
      </w:pPr>
      <w:r>
        <w:rPr>
          <w:rFonts w:hint="eastAsia" w:ascii="宋体" w:hAnsi="宋体" w:eastAsia="宋体"/>
          <w:sz w:val="20"/>
          <w:lang w:eastAsia="zh-CN"/>
        </w:rPr>
        <w:t>承包人应依照工程所在城市、省份、国家的现行规范，进行灯具的施工、安装及走线，提供符合或超出</w:t>
      </w:r>
      <w:r>
        <w:rPr>
          <w:rFonts w:ascii="宋体" w:hAnsi="宋体" w:eastAsia="宋体"/>
          <w:sz w:val="20"/>
          <w:lang w:eastAsia="zh-CN"/>
        </w:rPr>
        <w:t>UL</w:t>
      </w:r>
      <w:r>
        <w:rPr>
          <w:rFonts w:hint="eastAsia" w:ascii="宋体" w:hAnsi="宋体" w:eastAsia="宋体"/>
          <w:sz w:val="20"/>
          <w:lang w:eastAsia="zh-CN"/>
        </w:rPr>
        <w:t>（美国保险商实验所）或</w:t>
      </w:r>
      <w:r>
        <w:rPr>
          <w:rFonts w:ascii="宋体" w:hAnsi="宋体" w:eastAsia="宋体"/>
          <w:sz w:val="20"/>
          <w:lang w:eastAsia="zh-CN"/>
        </w:rPr>
        <w:t>CQC</w:t>
      </w:r>
      <w:r>
        <w:rPr>
          <w:rFonts w:hint="eastAsia" w:ascii="宋体" w:hAnsi="宋体" w:eastAsia="宋体"/>
          <w:sz w:val="20"/>
          <w:lang w:eastAsia="zh-CN"/>
        </w:rPr>
        <w:t>标准的设备；另外，提供的设备符合在当地使用附加规范。所有的电气部件要通过</w:t>
      </w:r>
      <w:r>
        <w:rPr>
          <w:rFonts w:ascii="宋体" w:hAnsi="宋体" w:eastAsia="宋体"/>
          <w:sz w:val="20"/>
          <w:lang w:eastAsia="zh-CN"/>
        </w:rPr>
        <w:t>UL</w:t>
      </w:r>
      <w:r>
        <w:rPr>
          <w:rFonts w:hint="eastAsia" w:ascii="宋体" w:hAnsi="宋体" w:eastAsia="宋体"/>
          <w:sz w:val="20"/>
          <w:lang w:eastAsia="zh-CN"/>
        </w:rPr>
        <w:t>标准认证或中国</w:t>
      </w:r>
      <w:r>
        <w:rPr>
          <w:rFonts w:ascii="宋体" w:hAnsi="宋体" w:eastAsia="宋体"/>
          <w:sz w:val="20"/>
          <w:lang w:eastAsia="zh-CN"/>
        </w:rPr>
        <w:t>CQC</w:t>
      </w:r>
      <w:r>
        <w:rPr>
          <w:rFonts w:hint="eastAsia" w:ascii="宋体" w:hAnsi="宋体" w:eastAsia="宋体"/>
          <w:sz w:val="20"/>
          <w:lang w:eastAsia="zh-CN"/>
        </w:rPr>
        <w:t>认证或</w:t>
      </w:r>
      <w:r>
        <w:rPr>
          <w:rFonts w:ascii="宋体" w:hAnsi="宋体" w:eastAsia="宋体"/>
          <w:sz w:val="20"/>
          <w:lang w:eastAsia="zh-CN"/>
        </w:rPr>
        <w:t>CE</w:t>
      </w:r>
      <w:r>
        <w:rPr>
          <w:rFonts w:hint="eastAsia" w:ascii="宋体" w:hAnsi="宋体" w:eastAsia="宋体"/>
          <w:sz w:val="20"/>
          <w:lang w:eastAsia="zh-CN"/>
        </w:rPr>
        <w:t>认证。</w:t>
      </w:r>
    </w:p>
    <w:p w14:paraId="5010B45D">
      <w:pPr>
        <w:pStyle w:val="28"/>
        <w:spacing w:line="260" w:lineRule="exact"/>
        <w:ind w:firstLine="400"/>
        <w:rPr>
          <w:rFonts w:ascii="宋体" w:hAnsi="宋体" w:eastAsia="宋体"/>
          <w:sz w:val="20"/>
          <w:lang w:eastAsia="zh-CN"/>
        </w:rPr>
      </w:pPr>
    </w:p>
    <w:p w14:paraId="2BE4223D">
      <w:pPr>
        <w:numPr>
          <w:ilvl w:val="0"/>
          <w:numId w:val="31"/>
        </w:numPr>
        <w:spacing w:line="260" w:lineRule="exact"/>
        <w:ind w:left="2245" w:leftChars="867" w:hanging="424" w:hangingChars="212"/>
        <w:rPr>
          <w:rFonts w:ascii="宋体" w:hAnsi="宋体" w:eastAsia="宋体"/>
          <w:sz w:val="20"/>
          <w:lang w:eastAsia="zh-CN"/>
        </w:rPr>
      </w:pPr>
      <w:r>
        <w:rPr>
          <w:rFonts w:hint="eastAsia" w:ascii="宋体" w:hAnsi="宋体" w:eastAsia="宋体"/>
          <w:sz w:val="20"/>
          <w:lang w:eastAsia="zh-CN"/>
        </w:rPr>
        <w:t>所有电气设备的施工应遵照当地地方的法规或条例等进行。倘若当地法规或条例对系统的设计，材料或设备的选型产生影响时，所提供的系统、材料或设备必须符合有关条例的要求。</w:t>
      </w:r>
    </w:p>
    <w:p w14:paraId="723CA01E">
      <w:pPr>
        <w:spacing w:line="260" w:lineRule="exact"/>
        <w:ind w:left="420"/>
        <w:rPr>
          <w:rFonts w:ascii="Arial" w:hAnsi="Arial" w:eastAsia="宋体"/>
          <w:caps/>
          <w:kern w:val="0"/>
          <w:sz w:val="20"/>
          <w:lang w:eastAsia="zh-CN"/>
        </w:rPr>
      </w:pPr>
    </w:p>
    <w:p w14:paraId="1AD780E8">
      <w:pPr>
        <w:numPr>
          <w:ilvl w:val="0"/>
          <w:numId w:val="30"/>
        </w:numPr>
        <w:spacing w:line="260" w:lineRule="exact"/>
        <w:ind w:left="1773" w:leftChars="710" w:hanging="282" w:hangingChars="141"/>
        <w:rPr>
          <w:rFonts w:ascii="Arial" w:hAnsi="Arial" w:eastAsia="宋体"/>
          <w:caps/>
          <w:kern w:val="0"/>
          <w:sz w:val="20"/>
          <w:lang w:eastAsia="zh-CN"/>
        </w:rPr>
      </w:pPr>
      <w:r>
        <w:rPr>
          <w:rFonts w:hint="eastAsia" w:ascii="Arial" w:hAnsi="Arial" w:eastAsia="宋体"/>
          <w:caps/>
          <w:kern w:val="0"/>
          <w:sz w:val="20"/>
          <w:lang w:eastAsia="zh-CN"/>
        </w:rPr>
        <w:t>因</w:t>
      </w:r>
      <w:r>
        <w:rPr>
          <w:rFonts w:ascii="Arial" w:hAnsi="Arial" w:eastAsia="宋体"/>
          <w:caps/>
          <w:kern w:val="0"/>
          <w:sz w:val="20"/>
          <w:lang w:eastAsia="zh-CN"/>
        </w:rPr>
        <w:t>LED</w:t>
      </w:r>
      <w:r>
        <w:rPr>
          <w:rFonts w:hint="eastAsia" w:ascii="Arial" w:hAnsi="Arial" w:eastAsia="宋体"/>
          <w:caps/>
          <w:kern w:val="0"/>
          <w:sz w:val="20"/>
          <w:lang w:eastAsia="zh-CN"/>
        </w:rPr>
        <w:t>技术仍处于高速发展阶段，因此承包人须保证项目最终提供的设备可以满足当时最新的</w:t>
      </w:r>
      <w:r>
        <w:rPr>
          <w:rFonts w:ascii="Arial" w:hAnsi="Arial" w:eastAsia="宋体"/>
          <w:caps/>
          <w:kern w:val="0"/>
          <w:sz w:val="20"/>
          <w:lang w:eastAsia="zh-CN"/>
        </w:rPr>
        <w:t>LED</w:t>
      </w:r>
      <w:r>
        <w:rPr>
          <w:rFonts w:hint="eastAsia" w:ascii="Arial" w:hAnsi="Arial" w:eastAsia="宋体"/>
          <w:caps/>
          <w:kern w:val="0"/>
          <w:sz w:val="20"/>
          <w:lang w:eastAsia="zh-CN"/>
        </w:rPr>
        <w:t>灯具技术及产品的要求。</w:t>
      </w:r>
    </w:p>
    <w:p w14:paraId="3723F85A">
      <w:pPr>
        <w:pStyle w:val="40"/>
        <w:spacing w:line="260" w:lineRule="exact"/>
        <w:ind w:firstLine="0"/>
        <w:rPr>
          <w:lang w:eastAsia="zh-CN"/>
        </w:rPr>
      </w:pPr>
    </w:p>
    <w:p w14:paraId="79FB6564">
      <w:pPr>
        <w:pStyle w:val="40"/>
        <w:numPr>
          <w:ilvl w:val="2"/>
          <w:numId w:val="28"/>
        </w:numPr>
        <w:spacing w:line="260" w:lineRule="exact"/>
        <w:ind w:left="1276" w:hanging="567"/>
        <w:rPr>
          <w:caps w:val="0"/>
          <w:lang w:eastAsia="zh-CN"/>
        </w:rPr>
      </w:pPr>
      <w:r>
        <w:rPr>
          <w:rFonts w:hint="eastAsia"/>
          <w:lang w:eastAsia="zh-CN"/>
        </w:rPr>
        <w:t>设备的制造及种类</w:t>
      </w:r>
    </w:p>
    <w:p w14:paraId="548204C7">
      <w:pPr>
        <w:pStyle w:val="40"/>
        <w:spacing w:line="260" w:lineRule="exact"/>
        <w:ind w:left="1440"/>
        <w:rPr>
          <w:lang w:eastAsia="zh-CN"/>
        </w:rPr>
      </w:pPr>
    </w:p>
    <w:p w14:paraId="1AFE338A">
      <w:pPr>
        <w:pStyle w:val="40"/>
        <w:numPr>
          <w:ilvl w:val="0"/>
          <w:numId w:val="32"/>
        </w:numPr>
        <w:spacing w:line="260" w:lineRule="exact"/>
        <w:ind w:left="1773" w:leftChars="710" w:hanging="282" w:hangingChars="141"/>
        <w:rPr>
          <w:caps w:val="0"/>
          <w:lang w:eastAsia="zh-CN"/>
        </w:rPr>
      </w:pPr>
      <w:r>
        <w:rPr>
          <w:rFonts w:hint="eastAsia"/>
          <w:lang w:eastAsia="zh-CN"/>
        </w:rPr>
        <w:t>本规格书可让承包人进行招标与及提供其所建议的设备及安装方法，同时也能保证有关设备能完全符合其基本要求及本项目要求。</w:t>
      </w:r>
    </w:p>
    <w:p w14:paraId="59B00340">
      <w:pPr>
        <w:pStyle w:val="40"/>
        <w:spacing w:line="260" w:lineRule="exact"/>
        <w:ind w:left="1080" w:firstLine="0"/>
        <w:rPr>
          <w:lang w:eastAsia="zh-CN"/>
        </w:rPr>
      </w:pPr>
    </w:p>
    <w:p w14:paraId="507990C8">
      <w:pPr>
        <w:pStyle w:val="40"/>
        <w:numPr>
          <w:ilvl w:val="0"/>
          <w:numId w:val="32"/>
        </w:numPr>
        <w:spacing w:line="260" w:lineRule="exact"/>
        <w:ind w:left="1773" w:leftChars="710" w:hanging="282" w:hangingChars="141"/>
        <w:rPr>
          <w:lang w:eastAsia="zh-CN"/>
        </w:rPr>
      </w:pPr>
      <w:r>
        <w:rPr>
          <w:rFonts w:hint="eastAsia"/>
          <w:lang w:eastAsia="zh-CN"/>
        </w:rPr>
        <w:t>在任何情况下，若设计人认为所提交的招标文件其内容违反本规格书的基本要求，或企图修改本规格书的相关条款﹑工程范围或其他要求时，设计人保留其拒绝接受其投标的权利。</w:t>
      </w:r>
    </w:p>
    <w:p w14:paraId="32CA5D40">
      <w:pPr>
        <w:pStyle w:val="28"/>
        <w:spacing w:line="260" w:lineRule="exact"/>
        <w:ind w:firstLine="360"/>
        <w:rPr>
          <w:rFonts w:eastAsiaTheme="minorEastAsia"/>
          <w:lang w:eastAsia="zh-CN"/>
        </w:rPr>
      </w:pPr>
    </w:p>
    <w:p w14:paraId="18683393">
      <w:pPr>
        <w:pStyle w:val="40"/>
        <w:numPr>
          <w:ilvl w:val="0"/>
          <w:numId w:val="32"/>
        </w:numPr>
        <w:spacing w:line="260" w:lineRule="exact"/>
        <w:ind w:left="1773" w:leftChars="710" w:hanging="282" w:hangingChars="141"/>
        <w:rPr>
          <w:caps w:val="0"/>
          <w:lang w:eastAsia="zh-CN"/>
        </w:rPr>
      </w:pPr>
      <w:r>
        <w:rPr>
          <w:rFonts w:hint="eastAsia"/>
          <w:lang w:eastAsia="zh-CN"/>
        </w:rPr>
        <w:t>承包人选择设备的制造和种类时，应确保</w:t>
      </w:r>
      <w:r>
        <w:rPr>
          <w:lang w:eastAsia="zh-CN"/>
        </w:rPr>
        <w:t>/</w:t>
      </w:r>
      <w:r>
        <w:rPr>
          <w:rFonts w:hint="eastAsia"/>
          <w:lang w:eastAsia="zh-CN"/>
        </w:rPr>
        <w:t>提供适当的保养、维修和更换方面的措施并不会造成延误而导致对发包人造成不便或损失。</w:t>
      </w:r>
    </w:p>
    <w:p w14:paraId="42C82772">
      <w:pPr>
        <w:pStyle w:val="40"/>
        <w:spacing w:line="260" w:lineRule="exact"/>
        <w:rPr>
          <w:lang w:eastAsia="zh-CN"/>
        </w:rPr>
      </w:pPr>
    </w:p>
    <w:p w14:paraId="139E1490">
      <w:pPr>
        <w:pStyle w:val="40"/>
        <w:numPr>
          <w:ilvl w:val="2"/>
          <w:numId w:val="28"/>
        </w:numPr>
        <w:spacing w:line="260" w:lineRule="exact"/>
        <w:ind w:left="1276" w:hanging="567"/>
        <w:rPr>
          <w:caps w:val="0"/>
          <w:lang w:eastAsia="zh-CN"/>
        </w:rPr>
      </w:pPr>
      <w:r>
        <w:rPr>
          <w:rFonts w:hint="eastAsia"/>
          <w:lang w:eastAsia="zh-CN"/>
        </w:rPr>
        <w:t>保证</w:t>
      </w:r>
    </w:p>
    <w:p w14:paraId="14F0B739">
      <w:pPr>
        <w:pStyle w:val="40"/>
        <w:spacing w:line="260" w:lineRule="exact"/>
        <w:ind w:firstLine="0"/>
        <w:rPr>
          <w:lang w:eastAsia="zh-CN"/>
        </w:rPr>
      </w:pPr>
    </w:p>
    <w:p w14:paraId="71B1B775">
      <w:pPr>
        <w:pStyle w:val="40"/>
        <w:numPr>
          <w:ilvl w:val="0"/>
          <w:numId w:val="33"/>
        </w:numPr>
        <w:spacing w:line="260" w:lineRule="exact"/>
        <w:ind w:left="1773" w:leftChars="710" w:hanging="282" w:hangingChars="141"/>
        <w:rPr>
          <w:caps w:val="0"/>
          <w:lang w:eastAsia="zh-CN"/>
        </w:rPr>
      </w:pPr>
      <w:r>
        <w:rPr>
          <w:rFonts w:hint="eastAsia"/>
          <w:lang w:eastAsia="zh-CN"/>
        </w:rPr>
        <w:t>承包人需保证整个照明系统的安装及运作均达到相关部门的要求。</w:t>
      </w:r>
    </w:p>
    <w:p w14:paraId="7CD4225D">
      <w:pPr>
        <w:pStyle w:val="40"/>
        <w:spacing w:line="260" w:lineRule="exact"/>
        <w:ind w:left="1080" w:firstLine="0"/>
        <w:rPr>
          <w:lang w:eastAsia="zh-CN"/>
        </w:rPr>
      </w:pPr>
    </w:p>
    <w:p w14:paraId="71373CB9">
      <w:pPr>
        <w:pStyle w:val="40"/>
        <w:numPr>
          <w:ilvl w:val="0"/>
          <w:numId w:val="33"/>
        </w:numPr>
        <w:spacing w:line="260" w:lineRule="exact"/>
        <w:ind w:left="1773" w:leftChars="710" w:hanging="282" w:hangingChars="141"/>
        <w:rPr>
          <w:lang w:eastAsia="zh-CN"/>
        </w:rPr>
      </w:pPr>
      <w:r>
        <w:rPr>
          <w:rFonts w:hint="eastAsia"/>
          <w:lang w:eastAsia="zh-CN"/>
        </w:rPr>
        <w:t>承包人须保证其所提供的设备或配件，均能按要求在任何工作环境下正常操作。</w:t>
      </w:r>
    </w:p>
    <w:p w14:paraId="71F6F6AF">
      <w:pPr>
        <w:pStyle w:val="40"/>
        <w:spacing w:line="260" w:lineRule="exact"/>
        <w:ind w:left="1080" w:firstLine="0"/>
        <w:rPr>
          <w:lang w:eastAsia="zh-CN"/>
        </w:rPr>
      </w:pPr>
    </w:p>
    <w:p w14:paraId="2A629561">
      <w:pPr>
        <w:pStyle w:val="40"/>
        <w:numPr>
          <w:ilvl w:val="0"/>
          <w:numId w:val="33"/>
        </w:numPr>
        <w:spacing w:line="260" w:lineRule="exact"/>
        <w:ind w:left="1773" w:leftChars="710" w:hanging="282" w:hangingChars="141"/>
        <w:rPr>
          <w:lang w:eastAsia="zh-CN"/>
        </w:rPr>
      </w:pPr>
      <w:r>
        <w:rPr>
          <w:rFonts w:hint="eastAsia"/>
          <w:lang w:eastAsia="zh-CN"/>
        </w:rPr>
        <w:t>承包人如认为本技术规格书或图纸中的要求或说明，对其所保证或所负的责任并不适用或不一致，必须于投标时提出。</w:t>
      </w:r>
    </w:p>
    <w:p w14:paraId="3EFA467D">
      <w:pPr>
        <w:pStyle w:val="28"/>
        <w:spacing w:line="260" w:lineRule="exact"/>
        <w:ind w:firstLine="360"/>
        <w:rPr>
          <w:lang w:eastAsia="zh-CN"/>
        </w:rPr>
      </w:pPr>
    </w:p>
    <w:p w14:paraId="226F0DE4">
      <w:pPr>
        <w:pStyle w:val="40"/>
        <w:numPr>
          <w:ilvl w:val="0"/>
          <w:numId w:val="33"/>
        </w:numPr>
        <w:spacing w:line="260" w:lineRule="exact"/>
        <w:ind w:left="1773" w:leftChars="710" w:hanging="282" w:hangingChars="141"/>
        <w:rPr>
          <w:lang w:eastAsia="zh-CN"/>
        </w:rPr>
      </w:pPr>
      <w:r>
        <w:rPr>
          <w:rFonts w:hint="eastAsia"/>
          <w:lang w:eastAsia="zh-CN"/>
        </w:rPr>
        <w:t>任何制造商的产品质保应在完工日仍然有效，项目完工后，产品质保的属权将自动转归发包人所拥有，其后有关制造商质保下续有的权利和责任亦转归为发包人所拥有。</w:t>
      </w:r>
    </w:p>
    <w:p w14:paraId="2C331699">
      <w:pPr>
        <w:pStyle w:val="28"/>
        <w:spacing w:line="260" w:lineRule="exact"/>
        <w:ind w:firstLine="360"/>
        <w:rPr>
          <w:lang w:eastAsia="zh-CN"/>
        </w:rPr>
      </w:pPr>
    </w:p>
    <w:p w14:paraId="3EF6C8A5">
      <w:pPr>
        <w:pStyle w:val="40"/>
        <w:numPr>
          <w:ilvl w:val="0"/>
          <w:numId w:val="33"/>
        </w:numPr>
        <w:spacing w:line="260" w:lineRule="exact"/>
        <w:ind w:left="1773" w:leftChars="710" w:hanging="282" w:hangingChars="141"/>
        <w:rPr>
          <w:lang w:eastAsia="zh-CN"/>
        </w:rPr>
      </w:pPr>
      <w:r>
        <w:rPr>
          <w:rFonts w:hint="eastAsia"/>
          <w:lang w:eastAsia="zh-CN"/>
        </w:rPr>
        <w:t>若在本规格书保修期满后发现系统上潜在缺陷，而经设计人认为乃由于承包人的工料和施工方法不符合本规格书和图纸的要求而引起的，承包人须负全责免费更换或修正，而不能以保修期届满、维修保养证书已签发、发包方已接收安装、工料或施工方案已获批准等理由为借口推诿。</w:t>
      </w:r>
    </w:p>
    <w:p w14:paraId="62BE13F8">
      <w:pPr>
        <w:pStyle w:val="40"/>
        <w:spacing w:line="260" w:lineRule="exact"/>
        <w:rPr>
          <w:lang w:eastAsia="zh-CN"/>
        </w:rPr>
      </w:pPr>
    </w:p>
    <w:p w14:paraId="3110EF6E">
      <w:pPr>
        <w:pStyle w:val="40"/>
        <w:numPr>
          <w:ilvl w:val="2"/>
          <w:numId w:val="28"/>
        </w:numPr>
        <w:spacing w:line="260" w:lineRule="exact"/>
        <w:ind w:left="1276" w:hanging="567"/>
        <w:rPr>
          <w:caps w:val="0"/>
          <w:lang w:eastAsia="zh-CN"/>
        </w:rPr>
      </w:pPr>
      <w:r>
        <w:rPr>
          <w:rFonts w:hint="eastAsia"/>
          <w:lang w:eastAsia="zh-CN"/>
        </w:rPr>
        <w:t>设备的更改</w:t>
      </w:r>
    </w:p>
    <w:p w14:paraId="256146F8">
      <w:pPr>
        <w:pStyle w:val="40"/>
        <w:spacing w:line="260" w:lineRule="exact"/>
        <w:rPr>
          <w:lang w:eastAsia="zh-CN"/>
        </w:rPr>
      </w:pPr>
    </w:p>
    <w:p w14:paraId="1FEC5683">
      <w:pPr>
        <w:pStyle w:val="40"/>
        <w:numPr>
          <w:ilvl w:val="0"/>
          <w:numId w:val="34"/>
        </w:numPr>
        <w:spacing w:line="260" w:lineRule="exact"/>
        <w:ind w:left="1773" w:leftChars="710" w:hanging="282" w:hangingChars="141"/>
        <w:rPr>
          <w:lang w:eastAsia="zh-CN"/>
        </w:rPr>
      </w:pPr>
      <w:r>
        <w:rPr>
          <w:rFonts w:hint="eastAsia"/>
          <w:lang w:eastAsia="zh-CN"/>
        </w:rPr>
        <w:t>在签订合同后，原则上承包人不允许使用非入围的设备或材料。若在特殊情况下，承包人需更改某产品，则须以书面形式提交合理解释及证明文件，及建议设备或材料的制造商。重新建议的设备或材料制造商，必须于本招标书的可接受生产商清单内挑选，并同时获得发包人</w:t>
      </w:r>
      <w:r>
        <w:rPr>
          <w:lang w:eastAsia="zh-CN"/>
        </w:rPr>
        <w:t>/</w:t>
      </w:r>
      <w:r>
        <w:rPr>
          <w:rFonts w:hint="eastAsia"/>
          <w:lang w:eastAsia="zh-CN"/>
        </w:rPr>
        <w:t>设计人的书面批准方可使用，然而该等设备及材料必须达到本技术规格书的要求。如有额外费用，应由承包人完全负责。</w:t>
      </w:r>
    </w:p>
    <w:p w14:paraId="7A3D108A">
      <w:pPr>
        <w:pStyle w:val="40"/>
        <w:spacing w:line="260" w:lineRule="exact"/>
        <w:ind w:left="1080" w:firstLine="0"/>
        <w:rPr>
          <w:lang w:eastAsia="zh-CN"/>
        </w:rPr>
      </w:pPr>
    </w:p>
    <w:p w14:paraId="13B0830F">
      <w:pPr>
        <w:pStyle w:val="40"/>
        <w:numPr>
          <w:ilvl w:val="0"/>
          <w:numId w:val="34"/>
        </w:numPr>
        <w:spacing w:line="260" w:lineRule="exact"/>
        <w:ind w:left="1773" w:leftChars="710" w:hanging="282" w:hangingChars="141"/>
        <w:rPr>
          <w:lang w:eastAsia="zh-CN"/>
        </w:rPr>
      </w:pPr>
      <w:r>
        <w:rPr>
          <w:rFonts w:hint="eastAsia"/>
          <w:lang w:eastAsia="zh-CN"/>
        </w:rPr>
        <w:t>承包人须清楚任何更改合同上要求的材料及设备通常会导致延迟审批时间。承包人需对此类延迟负上全部责任，而发包人</w:t>
      </w:r>
      <w:r>
        <w:rPr>
          <w:lang w:eastAsia="zh-CN"/>
        </w:rPr>
        <w:t>/</w:t>
      </w:r>
      <w:r>
        <w:rPr>
          <w:rFonts w:hint="eastAsia"/>
          <w:lang w:eastAsia="zh-CN"/>
        </w:rPr>
        <w:t>设计人决定为最终决定。</w:t>
      </w:r>
    </w:p>
    <w:p w14:paraId="2C310B40">
      <w:pPr>
        <w:pStyle w:val="28"/>
        <w:spacing w:line="260" w:lineRule="exact"/>
        <w:ind w:firstLine="360"/>
        <w:rPr>
          <w:rFonts w:eastAsiaTheme="minorEastAsia"/>
          <w:lang w:eastAsia="zh-CN"/>
        </w:rPr>
      </w:pPr>
    </w:p>
    <w:p w14:paraId="708973FC">
      <w:pPr>
        <w:pStyle w:val="40"/>
        <w:numPr>
          <w:ilvl w:val="0"/>
          <w:numId w:val="34"/>
        </w:numPr>
        <w:spacing w:line="260" w:lineRule="exact"/>
        <w:ind w:left="1773" w:leftChars="710" w:hanging="282" w:hangingChars="141"/>
        <w:rPr>
          <w:lang w:eastAsia="zh-CN"/>
        </w:rPr>
      </w:pPr>
      <w:r>
        <w:rPr>
          <w:rFonts w:hint="eastAsia"/>
          <w:lang w:eastAsia="zh-CN"/>
        </w:rPr>
        <w:t>若发包人</w:t>
      </w:r>
      <w:r>
        <w:rPr>
          <w:lang w:eastAsia="zh-CN"/>
        </w:rPr>
        <w:t>/</w:t>
      </w:r>
      <w:r>
        <w:rPr>
          <w:rFonts w:hint="eastAsia"/>
          <w:lang w:eastAsia="zh-CN"/>
        </w:rPr>
        <w:t>设计人接受承包人采用与招标时不同的材料及设备，所有因此而导致的有关改动包括建筑和幕墙的改动或对本身和其他专业产生的影响而所引起的一切额外费用均需由承包人负责。</w:t>
      </w:r>
    </w:p>
    <w:p w14:paraId="23F50C66">
      <w:pPr>
        <w:pStyle w:val="28"/>
        <w:spacing w:line="260" w:lineRule="exact"/>
        <w:ind w:firstLine="360"/>
        <w:rPr>
          <w:lang w:eastAsia="zh-CN"/>
        </w:rPr>
      </w:pPr>
    </w:p>
    <w:p w14:paraId="383AA572">
      <w:pPr>
        <w:pStyle w:val="40"/>
        <w:numPr>
          <w:ilvl w:val="0"/>
          <w:numId w:val="34"/>
        </w:numPr>
        <w:spacing w:line="260" w:lineRule="exact"/>
        <w:ind w:left="1773" w:leftChars="710" w:hanging="282" w:hangingChars="141"/>
        <w:rPr>
          <w:lang w:eastAsia="zh-CN"/>
        </w:rPr>
      </w:pPr>
      <w:r>
        <w:rPr>
          <w:rFonts w:hint="eastAsia"/>
          <w:lang w:eastAsia="zh-CN"/>
        </w:rPr>
        <w:t>如获批准的改动与原招标图纸上所示或所说明的电缆、导管和设备的数量及排列有差距，承包人需提供有关管道、结构支架、电缆、导管和其他所需的附加材料及附件，并须承担所有增加的费用。</w:t>
      </w:r>
    </w:p>
    <w:p w14:paraId="3CE9D5D7">
      <w:pPr>
        <w:pStyle w:val="40"/>
        <w:spacing w:line="260" w:lineRule="exact"/>
        <w:rPr>
          <w:lang w:eastAsia="zh-CN"/>
        </w:rPr>
      </w:pPr>
    </w:p>
    <w:p w14:paraId="71BD6142">
      <w:pPr>
        <w:pStyle w:val="40"/>
        <w:numPr>
          <w:ilvl w:val="2"/>
          <w:numId w:val="28"/>
        </w:numPr>
        <w:spacing w:line="260" w:lineRule="exact"/>
        <w:ind w:left="1276" w:hanging="567"/>
        <w:rPr>
          <w:lang w:eastAsia="zh-CN"/>
        </w:rPr>
      </w:pPr>
      <w:r>
        <w:rPr>
          <w:rFonts w:hint="eastAsia"/>
          <w:lang w:eastAsia="zh-CN"/>
        </w:rPr>
        <w:t>拒绝不合适的材料</w:t>
      </w:r>
    </w:p>
    <w:p w14:paraId="5514D8D6">
      <w:pPr>
        <w:pStyle w:val="40"/>
        <w:spacing w:line="260" w:lineRule="exact"/>
        <w:ind w:firstLine="0"/>
        <w:rPr>
          <w:lang w:eastAsia="zh-CN"/>
        </w:rPr>
      </w:pPr>
    </w:p>
    <w:p w14:paraId="1BCF5A38">
      <w:pPr>
        <w:pStyle w:val="40"/>
        <w:numPr>
          <w:ilvl w:val="0"/>
          <w:numId w:val="35"/>
        </w:numPr>
        <w:spacing w:line="260" w:lineRule="exact"/>
        <w:ind w:left="1773" w:leftChars="710" w:hanging="282" w:hangingChars="141"/>
        <w:rPr>
          <w:lang w:eastAsia="zh-CN"/>
        </w:rPr>
      </w:pPr>
      <w:r>
        <w:rPr>
          <w:rFonts w:hint="eastAsia"/>
          <w:lang w:eastAsia="zh-CN"/>
        </w:rPr>
        <w:t>发包人</w:t>
      </w:r>
      <w:r>
        <w:rPr>
          <w:lang w:eastAsia="zh-CN"/>
        </w:rPr>
        <w:t>/</w:t>
      </w:r>
      <w:r>
        <w:rPr>
          <w:rFonts w:hint="eastAsia"/>
          <w:lang w:eastAsia="zh-CN"/>
        </w:rPr>
        <w:t>设计人有权拒绝接受任何不符合本技术规格书要求的设备﹑材料和工艺，并同时有权命令承包人将不符合要求的设备、材料和工艺拆除、更换，因此而引致工期延误及一切有关费用均由承包人负责。</w:t>
      </w:r>
    </w:p>
    <w:p w14:paraId="24F80988">
      <w:pPr>
        <w:pStyle w:val="40"/>
        <w:spacing w:line="260" w:lineRule="exact"/>
        <w:ind w:left="1080" w:firstLine="0"/>
        <w:rPr>
          <w:lang w:eastAsia="zh-CN"/>
        </w:rPr>
      </w:pPr>
    </w:p>
    <w:p w14:paraId="5A926C2A">
      <w:pPr>
        <w:pStyle w:val="40"/>
        <w:numPr>
          <w:ilvl w:val="0"/>
          <w:numId w:val="35"/>
        </w:numPr>
        <w:spacing w:line="260" w:lineRule="exact"/>
        <w:ind w:left="1773" w:leftChars="710" w:hanging="282" w:hangingChars="141"/>
        <w:rPr>
          <w:lang w:eastAsia="zh-CN"/>
        </w:rPr>
      </w:pPr>
      <w:r>
        <w:rPr>
          <w:rFonts w:hint="eastAsia"/>
          <w:lang w:eastAsia="zh-CN"/>
        </w:rPr>
        <w:t>设备及材料是否满足规格书的要求，应按发包人</w:t>
      </w:r>
      <w:r>
        <w:rPr>
          <w:lang w:eastAsia="zh-CN"/>
        </w:rPr>
        <w:t>/</w:t>
      </w:r>
      <w:r>
        <w:rPr>
          <w:rFonts w:hint="eastAsia"/>
          <w:lang w:eastAsia="zh-CN"/>
        </w:rPr>
        <w:t>设计人的决定为最后的决定及约束。</w:t>
      </w:r>
    </w:p>
    <w:p w14:paraId="13D3E6A5">
      <w:pPr>
        <w:pStyle w:val="28"/>
        <w:spacing w:line="260" w:lineRule="exact"/>
        <w:ind w:firstLine="360"/>
        <w:rPr>
          <w:lang w:eastAsia="zh-CN"/>
        </w:rPr>
      </w:pPr>
    </w:p>
    <w:p w14:paraId="4343FE7D">
      <w:pPr>
        <w:pStyle w:val="40"/>
        <w:numPr>
          <w:ilvl w:val="0"/>
          <w:numId w:val="35"/>
        </w:numPr>
        <w:spacing w:line="260" w:lineRule="exact"/>
        <w:ind w:left="1773" w:leftChars="710" w:hanging="282" w:hangingChars="141"/>
        <w:rPr>
          <w:lang w:eastAsia="zh-CN"/>
        </w:rPr>
      </w:pPr>
      <w:r>
        <w:rPr>
          <w:rFonts w:hint="eastAsia"/>
          <w:lang w:eastAsia="zh-CN"/>
        </w:rPr>
        <w:t>不合规格而被拒绝的材料或安装，不能构成逾时完工的原因或借口。</w:t>
      </w:r>
    </w:p>
    <w:p w14:paraId="2BEEE867">
      <w:pPr>
        <w:pStyle w:val="40"/>
        <w:spacing w:line="260" w:lineRule="exact"/>
        <w:rPr>
          <w:lang w:eastAsia="zh-CN"/>
        </w:rPr>
      </w:pPr>
    </w:p>
    <w:p w14:paraId="07569502">
      <w:pPr>
        <w:pStyle w:val="40"/>
        <w:numPr>
          <w:ilvl w:val="2"/>
          <w:numId w:val="28"/>
        </w:numPr>
        <w:spacing w:line="260" w:lineRule="exact"/>
        <w:ind w:left="1276" w:hanging="567"/>
        <w:rPr>
          <w:lang w:eastAsia="zh-CN"/>
        </w:rPr>
      </w:pPr>
      <w:r>
        <w:rPr>
          <w:rFonts w:hint="eastAsia"/>
          <w:lang w:eastAsia="zh-CN"/>
        </w:rPr>
        <w:t>设备材料的包装和保护</w:t>
      </w:r>
    </w:p>
    <w:p w14:paraId="3609023A">
      <w:pPr>
        <w:pStyle w:val="40"/>
        <w:spacing w:line="260" w:lineRule="exact"/>
        <w:rPr>
          <w:lang w:eastAsia="zh-CN"/>
        </w:rPr>
      </w:pPr>
      <w:r>
        <w:rPr>
          <w:rFonts w:hint="eastAsia"/>
          <w:lang w:eastAsia="zh-CN"/>
        </w:rPr>
        <w:tab/>
      </w:r>
    </w:p>
    <w:p w14:paraId="12A74C08">
      <w:pPr>
        <w:pStyle w:val="40"/>
        <w:numPr>
          <w:ilvl w:val="0"/>
          <w:numId w:val="36"/>
        </w:numPr>
        <w:spacing w:line="260" w:lineRule="exact"/>
        <w:ind w:left="1773" w:leftChars="710" w:hanging="282" w:hangingChars="141"/>
        <w:rPr>
          <w:lang w:eastAsia="zh-CN"/>
        </w:rPr>
      </w:pPr>
      <w:r>
        <w:rPr>
          <w:rFonts w:hint="eastAsia"/>
          <w:lang w:eastAsia="zh-CN"/>
        </w:rPr>
        <w:t>所有运送到工地的设备和材料均应保持全新的状态，并应有适当的包装和保护以避免在运送过程中、恶劣的气候或其他情况下造成损毁。同时，在实际情况许可下，设备和材料在进行施工前亦应存放于包装箱内，或用防护罩加以保护。</w:t>
      </w:r>
    </w:p>
    <w:p w14:paraId="5C01F86D">
      <w:pPr>
        <w:pStyle w:val="40"/>
        <w:spacing w:line="260" w:lineRule="exact"/>
        <w:ind w:left="1080" w:firstLine="0"/>
        <w:rPr>
          <w:lang w:eastAsia="zh-CN"/>
        </w:rPr>
      </w:pPr>
    </w:p>
    <w:p w14:paraId="52A45F6A">
      <w:pPr>
        <w:pStyle w:val="40"/>
        <w:numPr>
          <w:ilvl w:val="0"/>
          <w:numId w:val="36"/>
        </w:numPr>
        <w:spacing w:line="260" w:lineRule="exact"/>
        <w:ind w:left="1773" w:leftChars="710" w:hanging="282" w:hangingChars="141"/>
        <w:rPr>
          <w:lang w:eastAsia="zh-CN"/>
        </w:rPr>
      </w:pPr>
      <w:r>
        <w:rPr>
          <w:rFonts w:hint="eastAsia"/>
          <w:lang w:eastAsia="zh-CN"/>
        </w:rPr>
        <w:t>所有于运送过程中或在工地上受损毁的设备或材料，将被拒绝接受，承包人必须作无偿更换。不接受因更换设备或材料而要求延长工期。</w:t>
      </w:r>
    </w:p>
    <w:p w14:paraId="5622B0D3">
      <w:pPr>
        <w:pStyle w:val="28"/>
        <w:spacing w:line="260" w:lineRule="exact"/>
        <w:ind w:firstLine="360"/>
        <w:rPr>
          <w:rFonts w:eastAsiaTheme="minorEastAsia"/>
          <w:lang w:eastAsia="zh-CN"/>
        </w:rPr>
      </w:pPr>
    </w:p>
    <w:p w14:paraId="0BE661AD">
      <w:pPr>
        <w:pStyle w:val="40"/>
        <w:numPr>
          <w:ilvl w:val="0"/>
          <w:numId w:val="36"/>
        </w:numPr>
        <w:spacing w:line="260" w:lineRule="exact"/>
        <w:ind w:left="1773" w:leftChars="710" w:hanging="282" w:hangingChars="141"/>
        <w:rPr>
          <w:lang w:eastAsia="zh-CN"/>
        </w:rPr>
      </w:pPr>
      <w:r>
        <w:rPr>
          <w:rFonts w:hint="eastAsia"/>
          <w:lang w:eastAsia="zh-CN"/>
        </w:rPr>
        <w:t>承包人应该清楚工地现场可供存放物料的场地极为有限，因此承包人对设备的到场必须事先有详细的计划和安排，并提出切实可行的运送方案。</w:t>
      </w:r>
    </w:p>
    <w:p w14:paraId="01DBF9C2">
      <w:pPr>
        <w:pStyle w:val="28"/>
        <w:spacing w:line="260" w:lineRule="exact"/>
        <w:ind w:firstLine="360"/>
        <w:rPr>
          <w:lang w:eastAsia="zh-CN"/>
        </w:rPr>
      </w:pPr>
    </w:p>
    <w:p w14:paraId="6F09339B">
      <w:pPr>
        <w:pStyle w:val="40"/>
        <w:numPr>
          <w:ilvl w:val="0"/>
          <w:numId w:val="36"/>
        </w:numPr>
        <w:spacing w:line="260" w:lineRule="exact"/>
        <w:ind w:left="1773" w:leftChars="710" w:hanging="282" w:hangingChars="141"/>
        <w:rPr>
          <w:lang w:eastAsia="zh-CN"/>
        </w:rPr>
      </w:pPr>
      <w:r>
        <w:rPr>
          <w:rFonts w:hint="eastAsia"/>
          <w:lang w:eastAsia="zh-CN"/>
        </w:rPr>
        <w:t>施工过程中的半成品和成品保护是承包人的工作内容，成品保护措施和专项方案，应获得总承包人/监理人批准后方可实施。</w:t>
      </w:r>
    </w:p>
    <w:p w14:paraId="5DB1883E">
      <w:pPr>
        <w:pStyle w:val="28"/>
        <w:spacing w:line="260" w:lineRule="exact"/>
        <w:ind w:firstLine="360"/>
        <w:rPr>
          <w:lang w:eastAsia="zh-CN"/>
        </w:rPr>
      </w:pPr>
    </w:p>
    <w:p w14:paraId="593A9010">
      <w:pPr>
        <w:pStyle w:val="40"/>
        <w:numPr>
          <w:ilvl w:val="0"/>
          <w:numId w:val="36"/>
        </w:numPr>
        <w:spacing w:line="260" w:lineRule="exact"/>
        <w:ind w:left="1773" w:leftChars="710" w:hanging="282" w:hangingChars="141"/>
        <w:rPr>
          <w:lang w:eastAsia="zh-CN"/>
        </w:rPr>
      </w:pPr>
      <w:r>
        <w:rPr>
          <w:rFonts w:hint="eastAsia"/>
          <w:lang w:eastAsia="zh-CN"/>
        </w:rPr>
        <w:t>设备上应带有明显的标签以标识编号。</w:t>
      </w:r>
    </w:p>
    <w:p w14:paraId="36B59A98">
      <w:pPr>
        <w:pStyle w:val="28"/>
        <w:spacing w:line="260" w:lineRule="exact"/>
        <w:ind w:firstLine="360"/>
        <w:rPr>
          <w:lang w:eastAsia="zh-CN"/>
        </w:rPr>
      </w:pPr>
    </w:p>
    <w:p w14:paraId="6FF87875">
      <w:pPr>
        <w:pStyle w:val="40"/>
        <w:numPr>
          <w:ilvl w:val="0"/>
          <w:numId w:val="36"/>
        </w:numPr>
        <w:spacing w:line="260" w:lineRule="exact"/>
        <w:ind w:left="1773" w:leftChars="710" w:hanging="282" w:hangingChars="141"/>
        <w:rPr>
          <w:lang w:eastAsia="zh-CN"/>
        </w:rPr>
      </w:pPr>
      <w:r>
        <w:rPr>
          <w:rFonts w:hint="eastAsia"/>
          <w:lang w:eastAsia="zh-CN"/>
        </w:rPr>
        <w:t>在通电调试之前，应保留保护膜。但是应确保在通电调试时，去除所有保护膜。</w:t>
      </w:r>
    </w:p>
    <w:p w14:paraId="5C1E3F8A">
      <w:pPr>
        <w:pStyle w:val="28"/>
        <w:spacing w:line="260" w:lineRule="exact"/>
        <w:ind w:firstLine="360"/>
        <w:rPr>
          <w:lang w:eastAsia="zh-CN"/>
        </w:rPr>
      </w:pPr>
    </w:p>
    <w:p w14:paraId="0F787AC9">
      <w:pPr>
        <w:pStyle w:val="40"/>
        <w:numPr>
          <w:ilvl w:val="0"/>
          <w:numId w:val="36"/>
        </w:numPr>
        <w:spacing w:line="260" w:lineRule="exact"/>
        <w:ind w:left="1773" w:leftChars="710" w:hanging="282" w:hangingChars="141"/>
        <w:rPr>
          <w:lang w:eastAsia="zh-CN"/>
        </w:rPr>
      </w:pPr>
      <w:r>
        <w:rPr>
          <w:rFonts w:hint="eastAsia"/>
          <w:lang w:eastAsia="zh-CN"/>
        </w:rPr>
        <w:t>组装过程中，应与施工总承包人、幕墙承包人、机电承包人或其他相关承包人协调，确保灯具和物料部件运送到位。</w:t>
      </w:r>
    </w:p>
    <w:p w14:paraId="732AA64E">
      <w:pPr>
        <w:pStyle w:val="40"/>
        <w:spacing w:line="260" w:lineRule="exact"/>
        <w:rPr>
          <w:lang w:eastAsia="zh-CN"/>
        </w:rPr>
      </w:pPr>
    </w:p>
    <w:p w14:paraId="463AF53F">
      <w:pPr>
        <w:pStyle w:val="40"/>
        <w:numPr>
          <w:ilvl w:val="2"/>
          <w:numId w:val="28"/>
        </w:numPr>
        <w:spacing w:line="260" w:lineRule="exact"/>
        <w:ind w:left="1276" w:hanging="567"/>
        <w:rPr>
          <w:lang w:eastAsia="zh-CN"/>
        </w:rPr>
      </w:pPr>
      <w:r>
        <w:rPr>
          <w:rFonts w:hint="eastAsia"/>
          <w:lang w:eastAsia="zh-CN"/>
        </w:rPr>
        <w:t>对设备的责任拥有权</w:t>
      </w:r>
    </w:p>
    <w:p w14:paraId="38EFDEA8">
      <w:pPr>
        <w:pStyle w:val="40"/>
        <w:spacing w:line="260" w:lineRule="exact"/>
        <w:rPr>
          <w:lang w:eastAsia="zh-CN"/>
        </w:rPr>
      </w:pPr>
      <w:r>
        <w:rPr>
          <w:rFonts w:hint="eastAsia"/>
          <w:lang w:eastAsia="zh-CN"/>
        </w:rPr>
        <w:tab/>
      </w:r>
    </w:p>
    <w:p w14:paraId="653D950B">
      <w:pPr>
        <w:pStyle w:val="40"/>
        <w:numPr>
          <w:ilvl w:val="0"/>
          <w:numId w:val="37"/>
        </w:numPr>
        <w:spacing w:line="260" w:lineRule="exact"/>
        <w:ind w:left="1771" w:leftChars="708" w:hanging="284" w:hangingChars="142"/>
        <w:rPr>
          <w:lang w:eastAsia="zh-CN"/>
        </w:rPr>
      </w:pPr>
      <w:r>
        <w:rPr>
          <w:rFonts w:hint="eastAsia"/>
          <w:lang w:eastAsia="zh-CN"/>
        </w:rPr>
        <w:t>在本工程建设期间承包人须对任何材料﹑机件及设备的破损和丢失等负责。</w:t>
      </w:r>
    </w:p>
    <w:p w14:paraId="35CB61BC">
      <w:pPr>
        <w:pStyle w:val="40"/>
        <w:spacing w:line="260" w:lineRule="exact"/>
        <w:ind w:left="1080" w:firstLine="0"/>
        <w:rPr>
          <w:lang w:eastAsia="zh-CN"/>
        </w:rPr>
      </w:pPr>
    </w:p>
    <w:p w14:paraId="4FD0A26A">
      <w:pPr>
        <w:pStyle w:val="40"/>
        <w:numPr>
          <w:ilvl w:val="0"/>
          <w:numId w:val="37"/>
        </w:numPr>
        <w:spacing w:line="260" w:lineRule="exact"/>
        <w:ind w:left="1771" w:leftChars="708" w:hanging="284" w:hangingChars="142"/>
        <w:rPr>
          <w:lang w:eastAsia="zh-CN"/>
        </w:rPr>
      </w:pPr>
      <w:r>
        <w:rPr>
          <w:rFonts w:hint="eastAsia"/>
          <w:lang w:eastAsia="zh-CN"/>
        </w:rPr>
        <w:t>在合约范围内所提供的一切材料﹑机件和设备一经送抵工地后，其拥有权归发包人所有。</w:t>
      </w:r>
    </w:p>
    <w:p w14:paraId="11F3A735">
      <w:pPr>
        <w:pStyle w:val="28"/>
        <w:spacing w:line="260" w:lineRule="exact"/>
        <w:ind w:firstLine="360"/>
        <w:rPr>
          <w:lang w:eastAsia="zh-CN"/>
        </w:rPr>
      </w:pPr>
    </w:p>
    <w:p w14:paraId="4B6268E8">
      <w:pPr>
        <w:pStyle w:val="40"/>
        <w:numPr>
          <w:ilvl w:val="0"/>
          <w:numId w:val="37"/>
        </w:numPr>
        <w:spacing w:line="260" w:lineRule="exact"/>
        <w:ind w:left="1771" w:leftChars="708" w:hanging="284" w:hangingChars="142"/>
        <w:rPr>
          <w:lang w:eastAsia="zh-CN"/>
        </w:rPr>
      </w:pPr>
      <w:r>
        <w:rPr>
          <w:rFonts w:hint="eastAsia"/>
          <w:lang w:eastAsia="zh-CN"/>
        </w:rPr>
        <w:t>在未得施工总承包人的书面批准前，任何材料、机件或设备皆不得移离工地。</w:t>
      </w:r>
    </w:p>
    <w:p w14:paraId="7AD230F5">
      <w:pPr>
        <w:pStyle w:val="40"/>
        <w:spacing w:line="260" w:lineRule="exact"/>
        <w:rPr>
          <w:lang w:eastAsia="zh-CN"/>
        </w:rPr>
      </w:pPr>
    </w:p>
    <w:p w14:paraId="6CAD2661">
      <w:pPr>
        <w:pStyle w:val="40"/>
        <w:numPr>
          <w:ilvl w:val="2"/>
          <w:numId w:val="28"/>
        </w:numPr>
        <w:spacing w:line="260" w:lineRule="exact"/>
        <w:ind w:left="1276" w:hanging="567"/>
        <w:rPr>
          <w:lang w:eastAsia="zh-CN"/>
        </w:rPr>
      </w:pPr>
      <w:r>
        <w:rPr>
          <w:rFonts w:hint="eastAsia"/>
          <w:lang w:eastAsia="zh-CN"/>
        </w:rPr>
        <w:t>设备的大小及运送通道</w:t>
      </w:r>
    </w:p>
    <w:p w14:paraId="0C3EE9C5">
      <w:pPr>
        <w:pStyle w:val="40"/>
        <w:spacing w:line="260" w:lineRule="exact"/>
        <w:ind w:left="0" w:firstLine="0"/>
        <w:rPr>
          <w:lang w:eastAsia="zh-CN"/>
        </w:rPr>
      </w:pPr>
    </w:p>
    <w:p w14:paraId="22F4CCCD">
      <w:pPr>
        <w:pStyle w:val="40"/>
        <w:numPr>
          <w:ilvl w:val="0"/>
          <w:numId w:val="38"/>
        </w:numPr>
        <w:spacing w:line="260" w:lineRule="exact"/>
        <w:ind w:left="1771" w:leftChars="708" w:hanging="284" w:hangingChars="142"/>
        <w:rPr>
          <w:lang w:eastAsia="zh-CN"/>
        </w:rPr>
      </w:pPr>
      <w:r>
        <w:rPr>
          <w:rFonts w:hint="eastAsia"/>
          <w:lang w:eastAsia="zh-CN"/>
        </w:rPr>
        <w:t>所提供的设备和设备的大小尺寸应能适合于所指定的安装空间，并须考虑提供足够的维修及保养所需的通道。承包人应负责与机电承包人协调所需检修门的位置及要求。</w:t>
      </w:r>
    </w:p>
    <w:p w14:paraId="24619D4E">
      <w:pPr>
        <w:pStyle w:val="40"/>
        <w:spacing w:line="260" w:lineRule="exact"/>
        <w:ind w:left="1080" w:firstLine="0"/>
        <w:rPr>
          <w:lang w:eastAsia="zh-CN"/>
        </w:rPr>
      </w:pPr>
    </w:p>
    <w:p w14:paraId="59779481">
      <w:pPr>
        <w:pStyle w:val="40"/>
        <w:numPr>
          <w:ilvl w:val="0"/>
          <w:numId w:val="38"/>
        </w:numPr>
        <w:spacing w:line="260" w:lineRule="exact"/>
        <w:ind w:left="1771" w:leftChars="708" w:hanging="284" w:hangingChars="142"/>
        <w:rPr>
          <w:lang w:eastAsia="zh-CN"/>
        </w:rPr>
      </w:pPr>
      <w:r>
        <w:rPr>
          <w:rFonts w:hint="eastAsia"/>
          <w:lang w:eastAsia="zh-CN"/>
        </w:rPr>
        <w:t>承包人应提交所提供设备的施工图和具体尺寸要求。若所提供的设备及其尺寸与图纸所示不符，因此而引起的一切改动和费用开支，须由承包人负责。承包人应负责把全部材料运送到安装现场。</w:t>
      </w:r>
    </w:p>
    <w:p w14:paraId="5B890522">
      <w:pPr>
        <w:pStyle w:val="40"/>
        <w:spacing w:line="260" w:lineRule="exact"/>
        <w:ind w:left="0" w:firstLine="0"/>
        <w:rPr>
          <w:lang w:eastAsia="zh-CN"/>
        </w:rPr>
      </w:pPr>
    </w:p>
    <w:p w14:paraId="3296D540">
      <w:pPr>
        <w:pStyle w:val="40"/>
        <w:numPr>
          <w:ilvl w:val="2"/>
          <w:numId w:val="28"/>
        </w:numPr>
        <w:spacing w:line="260" w:lineRule="exact"/>
        <w:ind w:left="1276" w:hanging="567"/>
        <w:rPr>
          <w:lang w:eastAsia="zh-CN"/>
        </w:rPr>
      </w:pPr>
      <w:r>
        <w:rPr>
          <w:rFonts w:hint="eastAsia"/>
          <w:lang w:eastAsia="zh-CN"/>
        </w:rPr>
        <w:t>安全设施</w:t>
      </w:r>
    </w:p>
    <w:p w14:paraId="4327AAFF">
      <w:pPr>
        <w:pStyle w:val="40"/>
        <w:spacing w:line="260" w:lineRule="exact"/>
        <w:ind w:firstLine="0"/>
        <w:rPr>
          <w:lang w:eastAsia="zh-CN"/>
        </w:rPr>
      </w:pPr>
    </w:p>
    <w:p w14:paraId="69FD20A1">
      <w:pPr>
        <w:spacing w:line="260" w:lineRule="exact"/>
        <w:ind w:left="1276"/>
        <w:rPr>
          <w:rFonts w:ascii="宋体" w:hAnsi="宋体" w:eastAsia="宋体"/>
          <w:sz w:val="20"/>
        </w:rPr>
      </w:pPr>
      <w:r>
        <w:rPr>
          <w:rFonts w:hint="eastAsia" w:ascii="宋体" w:hAnsi="宋体" w:eastAsia="宋体"/>
          <w:sz w:val="20"/>
        </w:rPr>
        <w:t>承包人应在施工期间确保工程、工具、人员的安全。</w:t>
      </w:r>
      <w:r>
        <w:rPr>
          <w:rFonts w:hint="eastAsia" w:ascii="宋体" w:hAnsi="宋体" w:eastAsia="宋体"/>
          <w:sz w:val="20"/>
          <w:lang w:eastAsia="zh-CN"/>
        </w:rPr>
        <w:t>所用固定灯具的螺栓和附件必须带有防坠落设施。由于承包人操作不当引起的安全问题，由承包人负责。</w:t>
      </w:r>
    </w:p>
    <w:p w14:paraId="2ED9A1D2">
      <w:pPr>
        <w:pStyle w:val="40"/>
        <w:spacing w:line="260" w:lineRule="exact"/>
        <w:ind w:left="0" w:firstLine="0"/>
        <w:rPr>
          <w:lang w:eastAsia="zh-CN"/>
        </w:rPr>
      </w:pPr>
    </w:p>
    <w:p w14:paraId="6E21CD41">
      <w:pPr>
        <w:pStyle w:val="40"/>
        <w:numPr>
          <w:ilvl w:val="2"/>
          <w:numId w:val="28"/>
        </w:numPr>
        <w:spacing w:line="260" w:lineRule="exact"/>
        <w:ind w:left="1276" w:hanging="567"/>
        <w:rPr>
          <w:lang w:eastAsia="zh-CN"/>
        </w:rPr>
      </w:pPr>
      <w:r>
        <w:rPr>
          <w:rFonts w:hint="eastAsia"/>
          <w:lang w:eastAsia="zh-CN"/>
        </w:rPr>
        <w:t>施工临水临电费用</w:t>
      </w:r>
    </w:p>
    <w:p w14:paraId="2E0A3398">
      <w:pPr>
        <w:pStyle w:val="40"/>
        <w:spacing w:line="260" w:lineRule="exact"/>
        <w:ind w:firstLine="0"/>
        <w:rPr>
          <w:lang w:eastAsia="zh-CN"/>
        </w:rPr>
      </w:pPr>
    </w:p>
    <w:p w14:paraId="7976114D">
      <w:pPr>
        <w:pStyle w:val="40"/>
        <w:spacing w:line="260" w:lineRule="exact"/>
        <w:ind w:left="1276" w:firstLine="0"/>
        <w:rPr>
          <w:lang w:eastAsia="zh-CN"/>
        </w:rPr>
      </w:pPr>
      <w:r>
        <w:rPr>
          <w:rFonts w:hint="eastAsia"/>
          <w:lang w:eastAsia="zh-CN"/>
        </w:rPr>
        <w:t>发包人决定施工期间临水临电费用由谁承担。</w:t>
      </w:r>
    </w:p>
    <w:p w14:paraId="4182BA19">
      <w:pPr>
        <w:pStyle w:val="40"/>
        <w:spacing w:line="260" w:lineRule="exact"/>
        <w:ind w:left="0" w:firstLine="0"/>
        <w:rPr>
          <w:lang w:eastAsia="zh-CN"/>
        </w:rPr>
      </w:pPr>
    </w:p>
    <w:p w14:paraId="4F2A2620">
      <w:pPr>
        <w:pStyle w:val="40"/>
        <w:numPr>
          <w:ilvl w:val="2"/>
          <w:numId w:val="28"/>
        </w:numPr>
        <w:spacing w:line="260" w:lineRule="exact"/>
        <w:ind w:left="1276" w:hanging="567"/>
        <w:rPr>
          <w:lang w:eastAsia="zh-CN"/>
        </w:rPr>
      </w:pPr>
      <w:r>
        <w:rPr>
          <w:rFonts w:hint="eastAsia"/>
          <w:lang w:eastAsia="zh-CN"/>
        </w:rPr>
        <w:t>现场临时仓储及垂直运输费用</w:t>
      </w:r>
    </w:p>
    <w:p w14:paraId="301A032B">
      <w:pPr>
        <w:pStyle w:val="40"/>
        <w:spacing w:line="260" w:lineRule="exact"/>
        <w:ind w:firstLine="0"/>
        <w:rPr>
          <w:lang w:eastAsia="zh-CN"/>
        </w:rPr>
      </w:pPr>
    </w:p>
    <w:p w14:paraId="045075C2">
      <w:pPr>
        <w:pStyle w:val="40"/>
        <w:spacing w:line="260" w:lineRule="exact"/>
        <w:ind w:left="1276" w:firstLine="0"/>
        <w:rPr>
          <w:lang w:eastAsia="zh-CN"/>
        </w:rPr>
      </w:pPr>
      <w:r>
        <w:rPr>
          <w:rFonts w:hint="eastAsia"/>
          <w:lang w:eastAsia="zh-CN"/>
        </w:rPr>
        <w:t>发包人决定现场材料的临时仓储及垂直运输费用由谁提供。</w:t>
      </w:r>
    </w:p>
    <w:p w14:paraId="1DC2478E">
      <w:pPr>
        <w:pStyle w:val="40"/>
        <w:spacing w:line="260" w:lineRule="exact"/>
        <w:ind w:left="0" w:firstLine="0"/>
        <w:rPr>
          <w:lang w:eastAsia="zh-CN"/>
        </w:rPr>
      </w:pPr>
    </w:p>
    <w:p w14:paraId="413FCF47">
      <w:pPr>
        <w:pStyle w:val="40"/>
        <w:numPr>
          <w:ilvl w:val="2"/>
          <w:numId w:val="28"/>
        </w:numPr>
        <w:spacing w:line="260" w:lineRule="exact"/>
        <w:ind w:left="1276" w:hanging="567"/>
        <w:rPr>
          <w:lang w:eastAsia="zh-CN"/>
        </w:rPr>
      </w:pPr>
      <w:r>
        <w:rPr>
          <w:rFonts w:hint="eastAsia"/>
          <w:lang w:eastAsia="zh-CN"/>
        </w:rPr>
        <w:t>维护检查费用</w:t>
      </w:r>
    </w:p>
    <w:p w14:paraId="37E5BFFD">
      <w:pPr>
        <w:pStyle w:val="40"/>
        <w:spacing w:line="260" w:lineRule="exact"/>
        <w:ind w:firstLine="0"/>
        <w:rPr>
          <w:lang w:eastAsia="zh-CN"/>
        </w:rPr>
      </w:pPr>
    </w:p>
    <w:p w14:paraId="075CEC27">
      <w:pPr>
        <w:pStyle w:val="40"/>
        <w:spacing w:line="260" w:lineRule="exact"/>
        <w:ind w:left="1276" w:firstLine="0"/>
        <w:rPr>
          <w:lang w:eastAsia="zh-CN"/>
        </w:rPr>
      </w:pPr>
      <w:r>
        <w:rPr>
          <w:rFonts w:hint="eastAsia"/>
          <w:lang w:eastAsia="zh-CN"/>
        </w:rPr>
        <w:t>项目整体获得初步接收证书后</w:t>
      </w:r>
      <w:r>
        <w:rPr>
          <w:lang w:eastAsia="zh-CN"/>
        </w:rPr>
        <w:t>2</w:t>
      </w:r>
      <w:r>
        <w:rPr>
          <w:rFonts w:hint="eastAsia"/>
          <w:lang w:eastAsia="zh-CN"/>
        </w:rPr>
        <w:t>年内的各种维护、维修、检查费用由承包人承担。</w:t>
      </w:r>
    </w:p>
    <w:p w14:paraId="12DC3750">
      <w:pPr>
        <w:pStyle w:val="40"/>
        <w:spacing w:line="260" w:lineRule="exact"/>
        <w:rPr>
          <w:lang w:eastAsia="zh-CN"/>
        </w:rPr>
      </w:pPr>
    </w:p>
    <w:p w14:paraId="2542B2CF">
      <w:pPr>
        <w:pStyle w:val="40"/>
        <w:numPr>
          <w:ilvl w:val="1"/>
          <w:numId w:val="28"/>
        </w:numPr>
        <w:spacing w:line="260" w:lineRule="exact"/>
        <w:rPr>
          <w:lang w:eastAsia="zh-CN"/>
        </w:rPr>
      </w:pPr>
      <w:r>
        <w:rPr>
          <w:rFonts w:hint="eastAsia"/>
          <w:lang w:eastAsia="zh-CN"/>
        </w:rPr>
        <w:t>投标文件</w:t>
      </w:r>
    </w:p>
    <w:p w14:paraId="0AD27243">
      <w:pPr>
        <w:pStyle w:val="40"/>
        <w:spacing w:line="260" w:lineRule="exact"/>
        <w:ind w:firstLine="0"/>
        <w:rPr>
          <w:lang w:eastAsia="zh-CN"/>
        </w:rPr>
      </w:pPr>
    </w:p>
    <w:p w14:paraId="07F87B29">
      <w:pPr>
        <w:pStyle w:val="41"/>
        <w:spacing w:line="260" w:lineRule="exact"/>
        <w:ind w:left="720" w:firstLine="0"/>
        <w:rPr>
          <w:lang w:eastAsia="zh-CN"/>
        </w:rPr>
      </w:pPr>
      <w:r>
        <w:rPr>
          <w:rFonts w:hint="eastAsia"/>
          <w:lang w:eastAsia="zh-CN"/>
        </w:rPr>
        <w:t>投标文件必须至少包括以下内容：</w:t>
      </w:r>
    </w:p>
    <w:p w14:paraId="629975AF">
      <w:pPr>
        <w:pStyle w:val="41"/>
        <w:spacing w:line="260" w:lineRule="exact"/>
        <w:ind w:left="0" w:firstLine="0"/>
        <w:rPr>
          <w:lang w:eastAsia="zh-CN"/>
        </w:rPr>
      </w:pPr>
    </w:p>
    <w:p w14:paraId="3444B7B5">
      <w:pPr>
        <w:pStyle w:val="40"/>
        <w:numPr>
          <w:ilvl w:val="2"/>
          <w:numId w:val="28"/>
        </w:numPr>
        <w:spacing w:line="260" w:lineRule="exact"/>
        <w:ind w:left="1276" w:hanging="567"/>
        <w:rPr>
          <w:lang w:eastAsia="zh-CN"/>
        </w:rPr>
      </w:pPr>
      <w:r>
        <w:rPr>
          <w:rFonts w:hint="eastAsia"/>
          <w:lang w:eastAsia="zh-CN"/>
        </w:rPr>
        <w:t>详细的投标图纸，显示以下信息：</w:t>
      </w:r>
    </w:p>
    <w:p w14:paraId="6D5E8E69">
      <w:pPr>
        <w:pStyle w:val="41"/>
        <w:spacing w:line="260" w:lineRule="exact"/>
        <w:ind w:left="0" w:firstLine="0"/>
        <w:rPr>
          <w:lang w:eastAsia="zh-CN"/>
        </w:rPr>
      </w:pPr>
    </w:p>
    <w:p w14:paraId="5F8A53FE">
      <w:pPr>
        <w:pStyle w:val="41"/>
        <w:numPr>
          <w:ilvl w:val="0"/>
          <w:numId w:val="39"/>
        </w:numPr>
        <w:spacing w:line="260" w:lineRule="exact"/>
        <w:ind w:left="1276"/>
        <w:rPr>
          <w:lang w:eastAsia="zh-CN"/>
        </w:rPr>
      </w:pPr>
      <w:r>
        <w:rPr>
          <w:rFonts w:hint="eastAsia"/>
          <w:lang w:eastAsia="zh-CN"/>
        </w:rPr>
        <w:t>灯具布置图</w:t>
      </w:r>
    </w:p>
    <w:p w14:paraId="58C52F3C">
      <w:pPr>
        <w:pStyle w:val="41"/>
        <w:numPr>
          <w:ilvl w:val="0"/>
          <w:numId w:val="39"/>
        </w:numPr>
        <w:spacing w:line="260" w:lineRule="exact"/>
        <w:ind w:left="1276"/>
        <w:rPr>
          <w:lang w:eastAsia="zh-CN"/>
        </w:rPr>
      </w:pPr>
      <w:r>
        <w:rPr>
          <w:rFonts w:hint="eastAsia"/>
          <w:lang w:eastAsia="zh-CN"/>
        </w:rPr>
        <w:t>灯具控制图</w:t>
      </w:r>
    </w:p>
    <w:p w14:paraId="1FB1E338">
      <w:pPr>
        <w:pStyle w:val="41"/>
        <w:numPr>
          <w:ilvl w:val="0"/>
          <w:numId w:val="39"/>
        </w:numPr>
        <w:spacing w:line="260" w:lineRule="exact"/>
        <w:ind w:left="1276"/>
        <w:rPr>
          <w:lang w:eastAsia="zh-CN"/>
        </w:rPr>
      </w:pPr>
      <w:r>
        <w:rPr>
          <w:rFonts w:hint="eastAsia"/>
          <w:lang w:eastAsia="zh-CN"/>
        </w:rPr>
        <w:t>灯具安装节点</w:t>
      </w:r>
    </w:p>
    <w:p w14:paraId="0666ADB2">
      <w:pPr>
        <w:pStyle w:val="41"/>
        <w:numPr>
          <w:ilvl w:val="0"/>
          <w:numId w:val="39"/>
        </w:numPr>
        <w:spacing w:line="260" w:lineRule="exact"/>
        <w:ind w:left="1276"/>
        <w:rPr>
          <w:lang w:eastAsia="zh-CN"/>
        </w:rPr>
      </w:pPr>
      <w:r>
        <w:rPr>
          <w:rFonts w:hint="eastAsia"/>
          <w:lang w:eastAsia="zh-CN"/>
        </w:rPr>
        <w:t>照明配电系统图</w:t>
      </w:r>
    </w:p>
    <w:p w14:paraId="2C222AAE">
      <w:pPr>
        <w:pStyle w:val="41"/>
        <w:numPr>
          <w:ilvl w:val="0"/>
          <w:numId w:val="39"/>
        </w:numPr>
        <w:spacing w:line="260" w:lineRule="exact"/>
        <w:ind w:left="1276"/>
        <w:rPr>
          <w:lang w:eastAsia="zh-CN"/>
        </w:rPr>
      </w:pPr>
      <w:r>
        <w:rPr>
          <w:lang w:eastAsia="zh-CN"/>
        </w:rPr>
        <w:t>LED</w:t>
      </w:r>
      <w:r>
        <w:rPr>
          <w:rFonts w:hint="eastAsia"/>
          <w:lang w:eastAsia="zh-CN"/>
        </w:rPr>
        <w:t>灯具控制系统单线图</w:t>
      </w:r>
    </w:p>
    <w:p w14:paraId="35CC24B6">
      <w:pPr>
        <w:pStyle w:val="41"/>
        <w:numPr>
          <w:ilvl w:val="0"/>
          <w:numId w:val="39"/>
        </w:numPr>
        <w:spacing w:line="260" w:lineRule="exact"/>
        <w:ind w:left="1276"/>
        <w:rPr>
          <w:lang w:eastAsia="zh-CN"/>
        </w:rPr>
      </w:pPr>
      <w:r>
        <w:rPr>
          <w:rFonts w:hint="eastAsia"/>
          <w:lang w:eastAsia="zh-CN"/>
        </w:rPr>
        <w:t>强电设备平面图</w:t>
      </w:r>
    </w:p>
    <w:p w14:paraId="73A9293D">
      <w:pPr>
        <w:pStyle w:val="41"/>
        <w:numPr>
          <w:ilvl w:val="0"/>
          <w:numId w:val="39"/>
        </w:numPr>
        <w:spacing w:line="260" w:lineRule="exact"/>
        <w:ind w:left="1276"/>
        <w:rPr>
          <w:lang w:eastAsia="zh-CN"/>
        </w:rPr>
      </w:pPr>
      <w:r>
        <w:rPr>
          <w:rFonts w:hint="eastAsia"/>
          <w:lang w:eastAsia="zh-CN"/>
        </w:rPr>
        <w:t>弱电设备平面图</w:t>
      </w:r>
    </w:p>
    <w:p w14:paraId="3BA0022C">
      <w:pPr>
        <w:pStyle w:val="41"/>
        <w:numPr>
          <w:ilvl w:val="0"/>
          <w:numId w:val="39"/>
        </w:numPr>
        <w:spacing w:line="260" w:lineRule="exact"/>
        <w:ind w:left="1276"/>
        <w:rPr>
          <w:lang w:eastAsia="zh-CN"/>
        </w:rPr>
      </w:pPr>
      <w:r>
        <w:rPr>
          <w:rFonts w:hint="eastAsia"/>
          <w:lang w:eastAsia="zh-CN"/>
        </w:rPr>
        <w:t>灯具表、物料表</w:t>
      </w:r>
    </w:p>
    <w:p w14:paraId="048012F3">
      <w:pPr>
        <w:pStyle w:val="41"/>
        <w:numPr>
          <w:ilvl w:val="0"/>
          <w:numId w:val="39"/>
        </w:numPr>
        <w:spacing w:line="260" w:lineRule="exact"/>
        <w:ind w:left="1276"/>
        <w:rPr>
          <w:lang w:eastAsia="zh-CN"/>
        </w:rPr>
      </w:pPr>
      <w:r>
        <w:rPr>
          <w:rFonts w:hint="eastAsia"/>
          <w:lang w:eastAsia="zh-CN"/>
        </w:rPr>
        <w:t>所有灯具的详细技术资料</w:t>
      </w:r>
    </w:p>
    <w:p w14:paraId="4063BA43">
      <w:pPr>
        <w:pStyle w:val="41"/>
        <w:spacing w:line="260" w:lineRule="exact"/>
        <w:ind w:left="1276" w:firstLine="0"/>
        <w:rPr>
          <w:lang w:eastAsia="zh-CN"/>
        </w:rPr>
      </w:pPr>
      <w:r>
        <w:rPr>
          <w:rFonts w:hint="eastAsia"/>
          <w:lang w:eastAsia="zh-CN"/>
        </w:rPr>
        <w:t>灯具的技术资料至少应列明以下参数：灯体主要材质及表面处理方式，主要尺寸，灯具品牌及光源品牌，功率，光源类型、光束角度、配光曲线、色温或相关色温、显色指数、防护等级、灯具整体光通量。</w:t>
      </w:r>
    </w:p>
    <w:p w14:paraId="4CED68D7">
      <w:pPr>
        <w:pStyle w:val="41"/>
        <w:spacing w:line="260" w:lineRule="exact"/>
        <w:ind w:left="851" w:firstLine="0"/>
        <w:rPr>
          <w:lang w:eastAsia="zh-CN"/>
        </w:rPr>
      </w:pPr>
    </w:p>
    <w:p w14:paraId="4ADBEB67">
      <w:pPr>
        <w:pStyle w:val="40"/>
        <w:numPr>
          <w:ilvl w:val="2"/>
          <w:numId w:val="28"/>
        </w:numPr>
        <w:spacing w:line="260" w:lineRule="exact"/>
        <w:ind w:left="1276" w:hanging="567"/>
        <w:rPr>
          <w:lang w:eastAsia="zh-CN"/>
        </w:rPr>
      </w:pPr>
      <w:r>
        <w:rPr>
          <w:rFonts w:hint="eastAsia"/>
          <w:lang w:eastAsia="zh-CN"/>
        </w:rPr>
        <w:t>配电、控制系统、电气附件的检测报告。</w:t>
      </w:r>
    </w:p>
    <w:p w14:paraId="1FFEB669">
      <w:pPr>
        <w:pStyle w:val="40"/>
        <w:spacing w:line="260" w:lineRule="exact"/>
        <w:ind w:firstLine="0"/>
        <w:rPr>
          <w:lang w:eastAsia="zh-CN"/>
        </w:rPr>
      </w:pPr>
    </w:p>
    <w:p w14:paraId="09A88CBA">
      <w:pPr>
        <w:pStyle w:val="40"/>
        <w:numPr>
          <w:ilvl w:val="2"/>
          <w:numId w:val="28"/>
        </w:numPr>
        <w:spacing w:line="260" w:lineRule="exact"/>
        <w:ind w:left="1276" w:hanging="567"/>
        <w:rPr>
          <w:lang w:eastAsia="zh-CN"/>
        </w:rPr>
      </w:pPr>
      <w:r>
        <w:rPr>
          <w:rFonts w:hint="eastAsia"/>
          <w:lang w:eastAsia="zh-CN"/>
        </w:rPr>
        <w:t>生产厂家针对本项目的授权文件。</w:t>
      </w:r>
    </w:p>
    <w:p w14:paraId="750E2B06">
      <w:pPr>
        <w:pStyle w:val="40"/>
        <w:spacing w:line="260" w:lineRule="exact"/>
        <w:ind w:firstLine="0"/>
        <w:rPr>
          <w:lang w:eastAsia="zh-CN"/>
        </w:rPr>
      </w:pPr>
    </w:p>
    <w:p w14:paraId="3B957546">
      <w:pPr>
        <w:pStyle w:val="40"/>
        <w:numPr>
          <w:ilvl w:val="2"/>
          <w:numId w:val="28"/>
        </w:numPr>
        <w:spacing w:line="260" w:lineRule="exact"/>
        <w:ind w:left="1276" w:hanging="567"/>
        <w:rPr>
          <w:lang w:eastAsia="zh-CN"/>
        </w:rPr>
      </w:pPr>
      <w:r>
        <w:rPr>
          <w:rFonts w:hint="eastAsia"/>
          <w:lang w:eastAsia="zh-CN"/>
        </w:rPr>
        <w:t>技术规格书的响应陈述，指出任何一点不符合本技术规格书的地方。</w:t>
      </w:r>
    </w:p>
    <w:p w14:paraId="52AEB253">
      <w:pPr>
        <w:pStyle w:val="40"/>
        <w:spacing w:line="260" w:lineRule="exact"/>
        <w:ind w:firstLine="0"/>
        <w:rPr>
          <w:lang w:eastAsia="zh-CN"/>
        </w:rPr>
      </w:pPr>
    </w:p>
    <w:p w14:paraId="12FC0B13">
      <w:pPr>
        <w:pStyle w:val="40"/>
        <w:numPr>
          <w:ilvl w:val="2"/>
          <w:numId w:val="28"/>
        </w:numPr>
        <w:spacing w:line="260" w:lineRule="exact"/>
        <w:ind w:left="1276" w:hanging="567"/>
        <w:rPr>
          <w:lang w:eastAsia="zh-CN"/>
        </w:rPr>
      </w:pPr>
      <w:r>
        <w:rPr>
          <w:rFonts w:hint="eastAsia"/>
          <w:lang w:eastAsia="zh-CN"/>
        </w:rPr>
        <w:t>提出需要施工总承包人、机电承包人以及其它专业承包人来完成的相关工作。</w:t>
      </w:r>
    </w:p>
    <w:p w14:paraId="6E030BA0">
      <w:pPr>
        <w:pStyle w:val="28"/>
        <w:spacing w:line="260" w:lineRule="exact"/>
        <w:ind w:left="360" w:firstLine="360"/>
        <w:rPr>
          <w:rFonts w:eastAsia="宋体"/>
          <w:lang w:eastAsia="zh-CN"/>
        </w:rPr>
      </w:pPr>
    </w:p>
    <w:p w14:paraId="05E1EE04">
      <w:pPr>
        <w:pStyle w:val="40"/>
        <w:numPr>
          <w:ilvl w:val="2"/>
          <w:numId w:val="28"/>
        </w:numPr>
        <w:spacing w:line="260" w:lineRule="exact"/>
        <w:ind w:left="1276" w:hanging="567"/>
        <w:rPr>
          <w:lang w:eastAsia="zh-CN"/>
        </w:rPr>
      </w:pPr>
      <w:r>
        <w:rPr>
          <w:rFonts w:hint="eastAsia"/>
          <w:lang w:eastAsia="zh-CN"/>
        </w:rPr>
        <w:t>产品质保承诺书。</w:t>
      </w:r>
    </w:p>
    <w:p w14:paraId="6777DE56">
      <w:pPr>
        <w:pStyle w:val="28"/>
        <w:spacing w:line="260" w:lineRule="exact"/>
        <w:ind w:firstLine="360"/>
        <w:rPr>
          <w:lang w:eastAsia="zh-CN"/>
        </w:rPr>
      </w:pPr>
    </w:p>
    <w:p w14:paraId="7C996B9F">
      <w:pPr>
        <w:pStyle w:val="40"/>
        <w:numPr>
          <w:ilvl w:val="2"/>
          <w:numId w:val="28"/>
        </w:numPr>
        <w:spacing w:line="260" w:lineRule="exact"/>
        <w:ind w:left="1276" w:hanging="567"/>
        <w:rPr>
          <w:lang w:eastAsia="zh-CN"/>
        </w:rPr>
      </w:pPr>
      <w:r>
        <w:rPr>
          <w:rFonts w:hint="eastAsia"/>
          <w:lang w:eastAsia="zh-CN"/>
        </w:rPr>
        <w:t>本照明工程设计、生产、运输、安装和调试的进度计划。</w:t>
      </w:r>
    </w:p>
    <w:p w14:paraId="597000E5">
      <w:pPr>
        <w:pStyle w:val="28"/>
        <w:spacing w:line="260" w:lineRule="exact"/>
        <w:ind w:firstLine="360"/>
        <w:rPr>
          <w:rFonts w:eastAsiaTheme="minorEastAsia"/>
          <w:lang w:eastAsia="zh-CN"/>
        </w:rPr>
      </w:pPr>
    </w:p>
    <w:p w14:paraId="38DF4A20">
      <w:pPr>
        <w:pStyle w:val="40"/>
        <w:numPr>
          <w:ilvl w:val="2"/>
          <w:numId w:val="28"/>
        </w:numPr>
        <w:spacing w:line="260" w:lineRule="exact"/>
        <w:ind w:left="1276" w:hanging="567"/>
        <w:rPr>
          <w:lang w:eastAsia="zh-CN"/>
        </w:rPr>
      </w:pPr>
      <w:r>
        <w:rPr>
          <w:rFonts w:hint="eastAsia"/>
          <w:lang w:eastAsia="zh-CN"/>
        </w:rPr>
        <w:t>满足本项目正常运营</w:t>
      </w:r>
      <w:r>
        <w:rPr>
          <w:lang w:eastAsia="zh-CN"/>
        </w:rPr>
        <w:t>2</w:t>
      </w:r>
      <w:r>
        <w:rPr>
          <w:rFonts w:hint="eastAsia"/>
          <w:lang w:eastAsia="zh-CN"/>
        </w:rPr>
        <w:t>年的备品备件清单及报价。</w:t>
      </w:r>
    </w:p>
    <w:p w14:paraId="46EFE6C8">
      <w:pPr>
        <w:pStyle w:val="28"/>
        <w:spacing w:line="260" w:lineRule="exact"/>
        <w:ind w:firstLine="360"/>
        <w:rPr>
          <w:lang w:eastAsia="zh-CN"/>
        </w:rPr>
      </w:pPr>
    </w:p>
    <w:p w14:paraId="7C7556E7">
      <w:pPr>
        <w:pStyle w:val="40"/>
        <w:numPr>
          <w:ilvl w:val="2"/>
          <w:numId w:val="28"/>
        </w:numPr>
        <w:spacing w:line="260" w:lineRule="exact"/>
        <w:ind w:left="1276" w:hanging="567"/>
        <w:rPr>
          <w:lang w:eastAsia="zh-CN"/>
        </w:rPr>
      </w:pPr>
      <w:r>
        <w:rPr>
          <w:rFonts w:hint="eastAsia"/>
          <w:lang w:eastAsia="zh-CN"/>
        </w:rPr>
        <w:t>施工所用电气设施的数量、位置、规格及形式。</w:t>
      </w:r>
    </w:p>
    <w:p w14:paraId="0CC721BD">
      <w:pPr>
        <w:pStyle w:val="28"/>
        <w:spacing w:line="260" w:lineRule="exact"/>
        <w:ind w:firstLine="360"/>
        <w:rPr>
          <w:lang w:eastAsia="zh-CN"/>
        </w:rPr>
      </w:pPr>
    </w:p>
    <w:p w14:paraId="4E65FBDE">
      <w:pPr>
        <w:pStyle w:val="40"/>
        <w:numPr>
          <w:ilvl w:val="2"/>
          <w:numId w:val="28"/>
        </w:numPr>
        <w:spacing w:line="260" w:lineRule="exact"/>
        <w:ind w:left="1276" w:hanging="567"/>
        <w:rPr>
          <w:lang w:eastAsia="zh-CN"/>
        </w:rPr>
      </w:pPr>
      <w:r>
        <w:rPr>
          <w:rFonts w:hint="eastAsia"/>
          <w:lang w:eastAsia="zh-CN"/>
        </w:rPr>
        <w:t>施工过程中对停电、火灾等突发事件的应急预案。</w:t>
      </w:r>
    </w:p>
    <w:p w14:paraId="71ACBAF5">
      <w:pPr>
        <w:pStyle w:val="41"/>
        <w:spacing w:line="260" w:lineRule="exact"/>
        <w:ind w:left="0" w:firstLine="0"/>
        <w:rPr>
          <w:lang w:eastAsia="zh-CN"/>
        </w:rPr>
      </w:pPr>
    </w:p>
    <w:p w14:paraId="0A8D3F9E">
      <w:pPr>
        <w:pStyle w:val="40"/>
        <w:numPr>
          <w:ilvl w:val="1"/>
          <w:numId w:val="28"/>
        </w:numPr>
        <w:spacing w:line="260" w:lineRule="exact"/>
        <w:rPr>
          <w:lang w:eastAsia="zh-CN"/>
        </w:rPr>
      </w:pPr>
      <w:r>
        <w:rPr>
          <w:rFonts w:hint="eastAsia"/>
          <w:lang w:eastAsia="zh-CN"/>
        </w:rPr>
        <w:t>投标样品</w:t>
      </w:r>
    </w:p>
    <w:p w14:paraId="7228165A">
      <w:pPr>
        <w:pStyle w:val="40"/>
        <w:spacing w:line="260" w:lineRule="exact"/>
        <w:ind w:firstLine="0"/>
        <w:rPr>
          <w:lang w:eastAsia="zh-CN"/>
        </w:rPr>
      </w:pPr>
    </w:p>
    <w:p w14:paraId="06EE6193">
      <w:pPr>
        <w:pStyle w:val="40"/>
        <w:numPr>
          <w:ilvl w:val="2"/>
          <w:numId w:val="28"/>
        </w:numPr>
        <w:spacing w:line="260" w:lineRule="exact"/>
        <w:ind w:left="1276" w:hanging="567"/>
        <w:rPr>
          <w:lang w:eastAsia="zh-CN"/>
        </w:rPr>
      </w:pPr>
      <w:r>
        <w:rPr>
          <w:rFonts w:hint="eastAsia"/>
          <w:caps w:val="0"/>
          <w:lang w:eastAsia="zh-CN"/>
        </w:rPr>
        <w:t>按发包人/设计人要求提交投标样品，所有样品的运输费用应由承包人承担。</w:t>
      </w:r>
    </w:p>
    <w:p w14:paraId="6E73EA49">
      <w:pPr>
        <w:pStyle w:val="40"/>
        <w:spacing w:line="260" w:lineRule="exact"/>
        <w:ind w:left="0" w:firstLine="0"/>
        <w:rPr>
          <w:lang w:eastAsia="zh-CN"/>
        </w:rPr>
      </w:pPr>
    </w:p>
    <w:p w14:paraId="6FEFD773">
      <w:pPr>
        <w:pStyle w:val="40"/>
        <w:numPr>
          <w:ilvl w:val="2"/>
          <w:numId w:val="28"/>
        </w:numPr>
        <w:spacing w:line="260" w:lineRule="exact"/>
        <w:ind w:left="1276" w:hanging="567"/>
        <w:rPr>
          <w:lang w:eastAsia="zh-CN"/>
        </w:rPr>
      </w:pPr>
      <w:r>
        <w:rPr>
          <w:rFonts w:hint="eastAsia"/>
          <w:lang w:eastAsia="zh-CN"/>
        </w:rPr>
        <w:t>投标样品不能替代送审样品。</w:t>
      </w:r>
    </w:p>
    <w:p w14:paraId="4BC79D4C">
      <w:pPr>
        <w:pStyle w:val="40"/>
        <w:spacing w:line="260" w:lineRule="exact"/>
        <w:ind w:firstLine="0"/>
        <w:rPr>
          <w:lang w:eastAsia="zh-CN"/>
        </w:rPr>
      </w:pPr>
    </w:p>
    <w:p w14:paraId="43EA53B6">
      <w:pPr>
        <w:pStyle w:val="40"/>
        <w:numPr>
          <w:ilvl w:val="1"/>
          <w:numId w:val="28"/>
        </w:numPr>
        <w:spacing w:line="260" w:lineRule="exact"/>
        <w:rPr>
          <w:lang w:eastAsia="zh-CN"/>
        </w:rPr>
      </w:pPr>
      <w:r>
        <w:rPr>
          <w:rFonts w:hint="eastAsia"/>
          <w:lang w:eastAsia="zh-CN"/>
        </w:rPr>
        <w:t>送审文件</w:t>
      </w:r>
    </w:p>
    <w:p w14:paraId="2C44FAD1">
      <w:pPr>
        <w:pStyle w:val="41"/>
        <w:spacing w:line="260" w:lineRule="exact"/>
        <w:ind w:left="720" w:firstLine="0"/>
        <w:rPr>
          <w:lang w:eastAsia="zh-CN"/>
        </w:rPr>
      </w:pPr>
    </w:p>
    <w:p w14:paraId="3A04FFE6">
      <w:pPr>
        <w:pStyle w:val="41"/>
        <w:spacing w:line="260" w:lineRule="exact"/>
        <w:ind w:left="720" w:firstLine="0"/>
        <w:rPr>
          <w:lang w:eastAsia="zh-CN"/>
        </w:rPr>
      </w:pPr>
      <w:r>
        <w:rPr>
          <w:rFonts w:hint="eastAsia"/>
          <w:lang w:eastAsia="zh-CN"/>
        </w:rPr>
        <w:t>在接到中标通知书后，材料采购和生产开始前，本照明工程承包人应向发包人提交以下送审文件，并抄送设计总负责人、灯光顾问、监理公司、施工总承包人、机电总承包人及建设单位。文件资料应以中文提交。</w:t>
      </w:r>
    </w:p>
    <w:p w14:paraId="6CD9E3E8">
      <w:pPr>
        <w:pStyle w:val="41"/>
        <w:spacing w:line="260" w:lineRule="exact"/>
        <w:ind w:left="0" w:firstLine="0"/>
        <w:rPr>
          <w:lang w:eastAsia="zh-CN"/>
        </w:rPr>
      </w:pPr>
    </w:p>
    <w:p w14:paraId="7E0934D0">
      <w:pPr>
        <w:pStyle w:val="40"/>
        <w:numPr>
          <w:ilvl w:val="2"/>
          <w:numId w:val="28"/>
        </w:numPr>
        <w:spacing w:line="260" w:lineRule="exact"/>
        <w:ind w:left="1276" w:hanging="567"/>
        <w:rPr>
          <w:lang w:eastAsia="zh-CN"/>
        </w:rPr>
      </w:pPr>
      <w:r>
        <w:rPr>
          <w:rFonts w:hint="eastAsia"/>
          <w:lang w:eastAsia="zh-CN"/>
        </w:rPr>
        <w:t>送审文件内容应符合招标技术要求，任何一点不符都应正式地提出。</w:t>
      </w:r>
    </w:p>
    <w:p w14:paraId="130DBCC9">
      <w:pPr>
        <w:pStyle w:val="41"/>
        <w:spacing w:line="260" w:lineRule="exact"/>
        <w:ind w:left="0" w:firstLine="0"/>
        <w:rPr>
          <w:lang w:eastAsia="zh-CN"/>
        </w:rPr>
      </w:pPr>
    </w:p>
    <w:p w14:paraId="111016A2">
      <w:pPr>
        <w:pStyle w:val="40"/>
        <w:numPr>
          <w:ilvl w:val="2"/>
          <w:numId w:val="28"/>
        </w:numPr>
        <w:spacing w:line="260" w:lineRule="exact"/>
        <w:ind w:left="1276" w:hanging="567"/>
        <w:rPr>
          <w:lang w:eastAsia="zh-CN"/>
        </w:rPr>
      </w:pPr>
      <w:r>
        <w:rPr>
          <w:rFonts w:hint="eastAsia"/>
          <w:lang w:eastAsia="zh-CN"/>
        </w:rPr>
        <w:t>送审文件应至少包括以下内容：</w:t>
      </w:r>
    </w:p>
    <w:p w14:paraId="22DFD312">
      <w:pPr>
        <w:pStyle w:val="41"/>
        <w:spacing w:line="260" w:lineRule="exact"/>
        <w:ind w:left="720" w:firstLine="0"/>
        <w:rPr>
          <w:lang w:eastAsia="zh-CN"/>
        </w:rPr>
      </w:pPr>
    </w:p>
    <w:p w14:paraId="580DEEE7">
      <w:pPr>
        <w:pStyle w:val="41"/>
        <w:numPr>
          <w:ilvl w:val="0"/>
          <w:numId w:val="39"/>
        </w:numPr>
        <w:spacing w:line="260" w:lineRule="exact"/>
        <w:ind w:left="1276"/>
        <w:rPr>
          <w:lang w:eastAsia="zh-CN"/>
        </w:rPr>
      </w:pPr>
      <w:r>
        <w:rPr>
          <w:rFonts w:hint="eastAsia"/>
          <w:lang w:eastAsia="zh-CN"/>
        </w:rPr>
        <w:t>施工进度计划</w:t>
      </w:r>
    </w:p>
    <w:p w14:paraId="29930489">
      <w:pPr>
        <w:pStyle w:val="41"/>
        <w:numPr>
          <w:ilvl w:val="0"/>
          <w:numId w:val="39"/>
        </w:numPr>
        <w:spacing w:line="260" w:lineRule="exact"/>
        <w:ind w:left="1276"/>
        <w:rPr>
          <w:lang w:eastAsia="zh-CN"/>
        </w:rPr>
      </w:pPr>
      <w:r>
        <w:rPr>
          <w:rFonts w:hint="eastAsia"/>
          <w:lang w:eastAsia="zh-CN"/>
        </w:rPr>
        <w:t>物料采购计划</w:t>
      </w:r>
    </w:p>
    <w:p w14:paraId="0821D5D6">
      <w:pPr>
        <w:pStyle w:val="41"/>
        <w:numPr>
          <w:ilvl w:val="0"/>
          <w:numId w:val="39"/>
        </w:numPr>
        <w:spacing w:line="260" w:lineRule="exact"/>
        <w:ind w:left="1276"/>
        <w:rPr>
          <w:lang w:eastAsia="zh-CN"/>
        </w:rPr>
      </w:pPr>
      <w:r>
        <w:rPr>
          <w:rFonts w:hint="eastAsia"/>
          <w:lang w:eastAsia="zh-CN"/>
        </w:rPr>
        <w:t>施工深化及加工图纸</w:t>
      </w:r>
    </w:p>
    <w:p w14:paraId="151532F5">
      <w:pPr>
        <w:pStyle w:val="41"/>
        <w:numPr>
          <w:ilvl w:val="0"/>
          <w:numId w:val="39"/>
        </w:numPr>
        <w:spacing w:line="260" w:lineRule="exact"/>
        <w:ind w:left="1276"/>
        <w:rPr>
          <w:lang w:eastAsia="zh-CN"/>
        </w:rPr>
      </w:pPr>
      <w:r>
        <w:rPr>
          <w:rFonts w:hint="eastAsia"/>
          <w:lang w:eastAsia="zh-CN"/>
        </w:rPr>
        <w:t>施工组织计划</w:t>
      </w:r>
    </w:p>
    <w:p w14:paraId="6950AE07">
      <w:pPr>
        <w:pStyle w:val="41"/>
        <w:numPr>
          <w:ilvl w:val="0"/>
          <w:numId w:val="39"/>
        </w:numPr>
        <w:spacing w:line="260" w:lineRule="exact"/>
        <w:ind w:left="1276"/>
        <w:rPr>
          <w:lang w:eastAsia="zh-CN"/>
        </w:rPr>
      </w:pPr>
      <w:r>
        <w:rPr>
          <w:rFonts w:hint="eastAsia"/>
          <w:lang w:eastAsia="zh-CN"/>
        </w:rPr>
        <w:t>所有物料的详细技术文件和质量检验报告。</w:t>
      </w:r>
    </w:p>
    <w:p w14:paraId="57313841">
      <w:pPr>
        <w:pStyle w:val="41"/>
        <w:spacing w:line="260" w:lineRule="exact"/>
        <w:ind w:left="1276" w:firstLine="0"/>
        <w:rPr>
          <w:lang w:eastAsia="zh-CN"/>
        </w:rPr>
      </w:pPr>
      <w:r>
        <w:rPr>
          <w:rFonts w:hint="eastAsia"/>
          <w:lang w:eastAsia="zh-CN"/>
        </w:rPr>
        <w:t>灯具的技术文件中至少应列明以下参数：灯体主要材质及表面处理方式，主要尺寸，灯具品牌及光源品牌，功率，光源类型、光束角度、配光曲线、色温或相关色温、显色指数、防护等级、灯具整体光通量。</w:t>
      </w:r>
    </w:p>
    <w:p w14:paraId="1647FD2B">
      <w:pPr>
        <w:pStyle w:val="41"/>
        <w:numPr>
          <w:ilvl w:val="0"/>
          <w:numId w:val="39"/>
        </w:numPr>
        <w:spacing w:line="260" w:lineRule="exact"/>
        <w:ind w:left="1276"/>
        <w:rPr>
          <w:lang w:eastAsia="zh-CN"/>
        </w:rPr>
      </w:pPr>
      <w:r>
        <w:rPr>
          <w:rFonts w:hint="eastAsia"/>
          <w:lang w:eastAsia="zh-CN"/>
        </w:rPr>
        <w:t>物料出厂证明</w:t>
      </w:r>
    </w:p>
    <w:p w14:paraId="62C80F25">
      <w:pPr>
        <w:pStyle w:val="41"/>
        <w:spacing w:line="260" w:lineRule="exact"/>
        <w:ind w:left="0" w:firstLine="0"/>
        <w:rPr>
          <w:lang w:eastAsia="zh-CN"/>
        </w:rPr>
      </w:pPr>
    </w:p>
    <w:p w14:paraId="2FF9E4F2">
      <w:pPr>
        <w:pStyle w:val="40"/>
        <w:numPr>
          <w:ilvl w:val="1"/>
          <w:numId w:val="28"/>
        </w:numPr>
        <w:spacing w:line="240" w:lineRule="auto"/>
        <w:rPr>
          <w:lang w:eastAsia="zh-CN"/>
        </w:rPr>
      </w:pPr>
      <w:r>
        <w:rPr>
          <w:rFonts w:hint="eastAsia"/>
          <w:lang w:eastAsia="zh-CN"/>
        </w:rPr>
        <w:t>样品审批</w:t>
      </w:r>
    </w:p>
    <w:p w14:paraId="07E06CEE">
      <w:pPr>
        <w:pStyle w:val="40"/>
        <w:spacing w:line="240" w:lineRule="auto"/>
        <w:ind w:firstLine="0"/>
        <w:rPr>
          <w:lang w:eastAsia="zh-CN"/>
        </w:rPr>
      </w:pPr>
    </w:p>
    <w:p w14:paraId="47BFA746">
      <w:pPr>
        <w:pStyle w:val="40"/>
        <w:numPr>
          <w:ilvl w:val="2"/>
          <w:numId w:val="28"/>
        </w:numPr>
        <w:spacing w:line="260" w:lineRule="exact"/>
        <w:ind w:left="1276" w:hanging="567"/>
        <w:rPr>
          <w:lang w:eastAsia="zh-CN"/>
        </w:rPr>
      </w:pPr>
      <w:r>
        <w:rPr>
          <w:rFonts w:hint="eastAsia"/>
          <w:lang w:eastAsia="zh-CN"/>
        </w:rPr>
        <w:t>承包人须在接到中标通知书后的规定时间内，提交一份具体的样品清单给发包人</w:t>
      </w:r>
      <w:r>
        <w:rPr>
          <w:lang w:eastAsia="zh-CN"/>
        </w:rPr>
        <w:t>/</w:t>
      </w:r>
      <w:r>
        <w:rPr>
          <w:rFonts w:hint="eastAsia"/>
          <w:lang w:eastAsia="zh-CN"/>
        </w:rPr>
        <w:t>设计人审批。清单内应包括设备及材料的名称、制造商名称、产地、型号、预计提交的日期等。承包人应清楚了解，此清单获批准接受后，如设计人认为有必要时，可要求承包人继续补充清单以外的样品。</w:t>
      </w:r>
    </w:p>
    <w:p w14:paraId="56F03AD9">
      <w:pPr>
        <w:pStyle w:val="40"/>
        <w:spacing w:line="260" w:lineRule="exact"/>
        <w:ind w:left="1276" w:firstLine="0"/>
        <w:rPr>
          <w:lang w:eastAsia="zh-CN"/>
        </w:rPr>
      </w:pPr>
    </w:p>
    <w:p w14:paraId="590E8161">
      <w:pPr>
        <w:pStyle w:val="40"/>
        <w:numPr>
          <w:ilvl w:val="2"/>
          <w:numId w:val="28"/>
        </w:numPr>
        <w:spacing w:line="260" w:lineRule="exact"/>
        <w:ind w:left="1276" w:hanging="567"/>
        <w:rPr>
          <w:lang w:eastAsia="zh-CN"/>
        </w:rPr>
      </w:pPr>
      <w:r>
        <w:rPr>
          <w:rFonts w:hint="eastAsia"/>
          <w:lang w:eastAsia="zh-CN"/>
        </w:rPr>
        <w:t>协调灯具供应商提供样品。除非特别说明，需要为灯具表中列出的每种灯具提供样品。灯具样品必须是可以正常工作在</w:t>
      </w:r>
      <w:r>
        <w:rPr>
          <w:lang w:eastAsia="zh-CN"/>
        </w:rPr>
        <w:t>220V</w:t>
      </w:r>
      <w:r>
        <w:rPr>
          <w:rFonts w:hint="eastAsia"/>
          <w:lang w:eastAsia="zh-CN"/>
        </w:rPr>
        <w:t>电压下，并带有插头的灯具。否则，需根据特别要求提供灯具组件。所有的样品应该按照要求送至发包人/设计人办公室供审批，运输费用由承包人承担。</w:t>
      </w:r>
    </w:p>
    <w:p w14:paraId="67043D89">
      <w:pPr>
        <w:pStyle w:val="40"/>
        <w:spacing w:line="260" w:lineRule="exact"/>
        <w:ind w:left="1276" w:firstLine="0"/>
        <w:rPr>
          <w:lang w:eastAsia="zh-CN"/>
        </w:rPr>
      </w:pPr>
    </w:p>
    <w:p w14:paraId="28B9AC2E">
      <w:pPr>
        <w:pStyle w:val="40"/>
        <w:numPr>
          <w:ilvl w:val="2"/>
          <w:numId w:val="28"/>
        </w:numPr>
        <w:spacing w:line="260" w:lineRule="exact"/>
        <w:ind w:left="1276" w:hanging="567"/>
        <w:rPr>
          <w:lang w:eastAsia="zh-CN"/>
        </w:rPr>
      </w:pPr>
      <w:r>
        <w:rPr>
          <w:rFonts w:hint="eastAsia"/>
          <w:lang w:eastAsia="zh-CN"/>
        </w:rPr>
        <w:t>在安装施工详图、参数和设计师所提的其它要求都被核准之后，请向设计师提交每一种定制的或设计师要求的表面喷涂处理的样品。</w:t>
      </w:r>
    </w:p>
    <w:p w14:paraId="3C74DC60">
      <w:pPr>
        <w:pStyle w:val="40"/>
        <w:spacing w:line="260" w:lineRule="exact"/>
        <w:ind w:left="1276" w:firstLine="0"/>
        <w:rPr>
          <w:lang w:eastAsia="zh-CN"/>
        </w:rPr>
      </w:pPr>
    </w:p>
    <w:p w14:paraId="6A372B8F">
      <w:pPr>
        <w:pStyle w:val="40"/>
        <w:numPr>
          <w:ilvl w:val="2"/>
          <w:numId w:val="28"/>
        </w:numPr>
        <w:spacing w:line="260" w:lineRule="exact"/>
        <w:ind w:left="1276" w:hanging="567"/>
        <w:rPr>
          <w:lang w:eastAsia="zh-CN"/>
        </w:rPr>
      </w:pPr>
      <w:r>
        <w:rPr>
          <w:rFonts w:hint="eastAsia"/>
          <w:lang w:eastAsia="zh-CN"/>
        </w:rPr>
        <w:t>在提交的组件样品被认可之前，不要对涉及该组件的灯具进行装配。按照技术规格书的要求，提供样品，直到样品被核准通过。</w:t>
      </w:r>
    </w:p>
    <w:p w14:paraId="462F5767">
      <w:pPr>
        <w:pStyle w:val="40"/>
        <w:spacing w:line="260" w:lineRule="exact"/>
        <w:ind w:left="0" w:firstLine="0"/>
        <w:rPr>
          <w:lang w:eastAsia="zh-CN"/>
        </w:rPr>
      </w:pPr>
    </w:p>
    <w:p w14:paraId="2138E6E2">
      <w:pPr>
        <w:pStyle w:val="40"/>
        <w:numPr>
          <w:ilvl w:val="2"/>
          <w:numId w:val="28"/>
        </w:numPr>
        <w:spacing w:line="260" w:lineRule="exact"/>
        <w:ind w:left="1276" w:hanging="567"/>
        <w:rPr>
          <w:lang w:eastAsia="zh-CN"/>
        </w:rPr>
      </w:pPr>
      <w:r>
        <w:rPr>
          <w:rFonts w:hint="eastAsia"/>
          <w:lang w:eastAsia="zh-CN"/>
        </w:rPr>
        <w:t>送审的样品需采用木板挂列提交。样品板应包括：</w:t>
      </w:r>
    </w:p>
    <w:p w14:paraId="1EFE2520">
      <w:pPr>
        <w:pStyle w:val="40"/>
        <w:spacing w:line="260" w:lineRule="exact"/>
        <w:ind w:left="1276" w:firstLine="0"/>
        <w:rPr>
          <w:lang w:eastAsia="zh-CN"/>
        </w:rPr>
      </w:pPr>
    </w:p>
    <w:p w14:paraId="182FE922">
      <w:pPr>
        <w:pStyle w:val="40"/>
        <w:numPr>
          <w:ilvl w:val="0"/>
          <w:numId w:val="40"/>
        </w:numPr>
        <w:spacing w:line="260" w:lineRule="exact"/>
        <w:ind w:left="1913" w:leftChars="709" w:hanging="424" w:hangingChars="212"/>
        <w:rPr>
          <w:lang w:eastAsia="zh-CN"/>
        </w:rPr>
      </w:pPr>
      <w:r>
        <w:rPr>
          <w:rFonts w:hint="eastAsia"/>
          <w:lang w:eastAsia="zh-CN"/>
        </w:rPr>
        <w:t>完整的灯具</w:t>
      </w:r>
    </w:p>
    <w:p w14:paraId="010F6CDC">
      <w:pPr>
        <w:pStyle w:val="40"/>
        <w:numPr>
          <w:ilvl w:val="0"/>
          <w:numId w:val="40"/>
        </w:numPr>
        <w:spacing w:line="260" w:lineRule="exact"/>
        <w:ind w:left="1913" w:leftChars="709" w:hanging="424" w:hangingChars="212"/>
        <w:rPr>
          <w:lang w:eastAsia="zh-CN"/>
        </w:rPr>
      </w:pPr>
      <w:r>
        <w:rPr>
          <w:rFonts w:hint="eastAsia"/>
          <w:lang w:eastAsia="zh-CN"/>
        </w:rPr>
        <w:t>应用在本工程上所有材料和附件</w:t>
      </w:r>
    </w:p>
    <w:p w14:paraId="47CFED8B">
      <w:pPr>
        <w:pStyle w:val="40"/>
        <w:numPr>
          <w:ilvl w:val="0"/>
          <w:numId w:val="40"/>
        </w:numPr>
        <w:spacing w:line="260" w:lineRule="exact"/>
        <w:ind w:left="1913" w:leftChars="709" w:hanging="424" w:hangingChars="212"/>
        <w:rPr>
          <w:lang w:eastAsia="zh-CN"/>
        </w:rPr>
      </w:pPr>
      <w:r>
        <w:rPr>
          <w:rFonts w:hint="eastAsia"/>
          <w:lang w:eastAsia="zh-CN"/>
        </w:rPr>
        <w:t>所有有关的安装工艺样品</w:t>
      </w:r>
    </w:p>
    <w:p w14:paraId="0ED8BB20">
      <w:pPr>
        <w:pStyle w:val="40"/>
        <w:spacing w:line="260" w:lineRule="exact"/>
        <w:ind w:left="1276" w:firstLine="0"/>
        <w:rPr>
          <w:lang w:eastAsia="zh-CN"/>
        </w:rPr>
      </w:pPr>
    </w:p>
    <w:p w14:paraId="3B3FED6F">
      <w:pPr>
        <w:pStyle w:val="40"/>
        <w:spacing w:line="260" w:lineRule="exact"/>
        <w:ind w:left="1276" w:firstLine="0"/>
        <w:rPr>
          <w:lang w:eastAsia="zh-CN"/>
        </w:rPr>
      </w:pPr>
      <w:r>
        <w:rPr>
          <w:rFonts w:hint="eastAsia"/>
          <w:lang w:eastAsia="zh-CN"/>
        </w:rPr>
        <w:t>有关材料及工艺的样品须先获得发包人</w:t>
      </w:r>
      <w:r>
        <w:rPr>
          <w:lang w:eastAsia="zh-CN"/>
        </w:rPr>
        <w:t>/</w:t>
      </w:r>
      <w:r>
        <w:rPr>
          <w:rFonts w:hint="eastAsia"/>
          <w:lang w:eastAsia="zh-CN"/>
        </w:rPr>
        <w:t>设计人的书面批准才可施工。</w:t>
      </w:r>
    </w:p>
    <w:p w14:paraId="1E848881">
      <w:pPr>
        <w:pStyle w:val="40"/>
        <w:spacing w:line="260" w:lineRule="exact"/>
        <w:ind w:left="1276" w:firstLine="0"/>
        <w:rPr>
          <w:lang w:eastAsia="zh-CN"/>
        </w:rPr>
      </w:pPr>
    </w:p>
    <w:p w14:paraId="5D7573C9">
      <w:pPr>
        <w:pStyle w:val="40"/>
        <w:numPr>
          <w:ilvl w:val="2"/>
          <w:numId w:val="28"/>
        </w:numPr>
        <w:spacing w:line="260" w:lineRule="exact"/>
        <w:ind w:left="1276" w:hanging="567"/>
        <w:rPr>
          <w:lang w:eastAsia="zh-CN"/>
        </w:rPr>
      </w:pPr>
      <w:r>
        <w:rPr>
          <w:rFonts w:hint="eastAsia"/>
          <w:lang w:eastAsia="zh-CN"/>
        </w:rPr>
        <w:t>承包人须将获批准的样品板运送至业主指定地点，作为日后对所用材料和工艺的核对和验收标准。所有不符合上述样品的材料或工艺要求将被拒绝接受，承包人需将其更换，并且不能因此增加合约价格和作为拖期的理由。所涉及的样品运输费用由承包人承担。</w:t>
      </w:r>
    </w:p>
    <w:p w14:paraId="3F8A0327">
      <w:pPr>
        <w:pStyle w:val="40"/>
        <w:spacing w:line="260" w:lineRule="exact"/>
        <w:ind w:left="1276" w:firstLine="0"/>
        <w:rPr>
          <w:lang w:eastAsia="zh-CN"/>
        </w:rPr>
      </w:pPr>
    </w:p>
    <w:p w14:paraId="2CA7CEB4">
      <w:pPr>
        <w:pStyle w:val="40"/>
        <w:numPr>
          <w:ilvl w:val="2"/>
          <w:numId w:val="28"/>
        </w:numPr>
        <w:spacing w:line="260" w:lineRule="exact"/>
        <w:ind w:left="1276" w:hanging="567"/>
        <w:rPr>
          <w:lang w:eastAsia="zh-CN"/>
        </w:rPr>
      </w:pPr>
      <w:r>
        <w:rPr>
          <w:rFonts w:hint="eastAsia"/>
          <w:lang w:eastAsia="zh-CN"/>
        </w:rPr>
        <w:t>在每一个样品上应附有中文说明的标签，清楚标注有关承包人名称、合约名称、制造商名称、使用位置及主要技术参数等资料。</w:t>
      </w:r>
    </w:p>
    <w:p w14:paraId="045D4923">
      <w:pPr>
        <w:pStyle w:val="40"/>
        <w:spacing w:line="260" w:lineRule="exact"/>
        <w:ind w:left="1276" w:firstLine="0"/>
        <w:rPr>
          <w:lang w:eastAsia="zh-CN"/>
        </w:rPr>
      </w:pPr>
    </w:p>
    <w:p w14:paraId="09CB880E">
      <w:pPr>
        <w:pStyle w:val="40"/>
        <w:numPr>
          <w:ilvl w:val="2"/>
          <w:numId w:val="28"/>
        </w:numPr>
        <w:spacing w:line="260" w:lineRule="exact"/>
        <w:ind w:left="1276" w:hanging="567"/>
        <w:rPr>
          <w:lang w:eastAsia="zh-CN"/>
        </w:rPr>
      </w:pPr>
      <w:r>
        <w:rPr>
          <w:rFonts w:hint="eastAsia"/>
          <w:lang w:eastAsia="zh-CN"/>
        </w:rPr>
        <w:t>在样品审批期间，发包人/设计师有权利要求承包人对提交的样品进行修改，直至完全满足要求。为配合幕墙的节点尺寸对灯具外形尺寸、安装附件进行的少量修改，不影响产品价格及施工费用。</w:t>
      </w:r>
    </w:p>
    <w:p w14:paraId="0C0660C0">
      <w:pPr>
        <w:pStyle w:val="40"/>
        <w:spacing w:line="260" w:lineRule="exact"/>
        <w:ind w:left="1276" w:firstLine="0"/>
        <w:rPr>
          <w:lang w:eastAsia="zh-CN"/>
        </w:rPr>
      </w:pPr>
    </w:p>
    <w:p w14:paraId="6BBA552D">
      <w:pPr>
        <w:pStyle w:val="40"/>
        <w:numPr>
          <w:ilvl w:val="2"/>
          <w:numId w:val="28"/>
        </w:numPr>
        <w:spacing w:line="260" w:lineRule="exact"/>
        <w:ind w:left="1276" w:hanging="567"/>
        <w:rPr>
          <w:lang w:eastAsia="zh-CN"/>
        </w:rPr>
      </w:pPr>
      <w:r>
        <w:rPr>
          <w:rFonts w:hint="eastAsia"/>
          <w:lang w:eastAsia="zh-CN"/>
        </w:rPr>
        <w:t>按本技术规格书的要求，承包人须提供足够的材料样品作试验之用。若有需要时将进行破坏性的样品试验。而此等样品和试验所需的有关费用应包括在本规格书价格内。</w:t>
      </w:r>
    </w:p>
    <w:p w14:paraId="50614F30">
      <w:pPr>
        <w:pStyle w:val="40"/>
        <w:spacing w:line="260" w:lineRule="exact"/>
        <w:ind w:left="1276" w:firstLine="0"/>
        <w:rPr>
          <w:lang w:eastAsia="zh-CN"/>
        </w:rPr>
      </w:pPr>
    </w:p>
    <w:p w14:paraId="70701750">
      <w:pPr>
        <w:pStyle w:val="40"/>
        <w:numPr>
          <w:ilvl w:val="2"/>
          <w:numId w:val="28"/>
        </w:numPr>
        <w:spacing w:line="260" w:lineRule="exact"/>
        <w:ind w:left="1276" w:hanging="567"/>
        <w:rPr>
          <w:caps w:val="0"/>
          <w:lang w:eastAsia="zh-CN"/>
        </w:rPr>
      </w:pPr>
      <w:bookmarkStart w:id="82" w:name="_Hlk171340192"/>
      <w:r>
        <w:rPr>
          <w:rFonts w:hint="eastAsia"/>
          <w:lang w:eastAsia="zh-CN"/>
        </w:rPr>
        <w:t>如有需要，本照明工程承包人须提供检测报告，包括但不限于灯具的安全性检测（GB</w:t>
      </w:r>
      <w:r>
        <w:rPr>
          <w:lang w:eastAsia="zh-CN"/>
        </w:rPr>
        <w:t xml:space="preserve"> </w:t>
      </w:r>
      <w:r>
        <w:rPr>
          <w:rFonts w:hint="eastAsia"/>
          <w:lang w:eastAsia="zh-CN"/>
        </w:rPr>
        <w:t>7000）、光度学和色度学性能（GB/T</w:t>
      </w:r>
      <w:r>
        <w:rPr>
          <w:lang w:eastAsia="zh-CN"/>
        </w:rPr>
        <w:t xml:space="preserve"> </w:t>
      </w:r>
      <w:r>
        <w:rPr>
          <w:rFonts w:hint="eastAsia"/>
          <w:lang w:eastAsia="zh-CN"/>
        </w:rPr>
        <w:t>9468和GB/T</w:t>
      </w:r>
      <w:r>
        <w:rPr>
          <w:lang w:eastAsia="zh-CN"/>
        </w:rPr>
        <w:t xml:space="preserve"> </w:t>
      </w:r>
      <w:r>
        <w:rPr>
          <w:rFonts w:hint="eastAsia"/>
          <w:lang w:eastAsia="zh-CN"/>
        </w:rPr>
        <w:t>7922）、寿命检测（GB/T</w:t>
      </w:r>
      <w:r>
        <w:rPr>
          <w:lang w:eastAsia="zh-CN"/>
        </w:rPr>
        <w:t xml:space="preserve"> </w:t>
      </w:r>
      <w:r>
        <w:rPr>
          <w:rFonts w:hint="eastAsia"/>
          <w:lang w:eastAsia="zh-CN"/>
        </w:rPr>
        <w:t>33721）等。发包人有权决定这些检测报告的取样方式，本照明工程承包人送检或由监理单位对送到现场的产品进行抽样送检。这些检测报告应由具有CMA认证的第三方测试实验室测试，有关费用应包括在本规格书价格内。</w:t>
      </w:r>
      <w:bookmarkEnd w:id="82"/>
    </w:p>
    <w:p w14:paraId="79EFF232">
      <w:pPr>
        <w:pStyle w:val="28"/>
        <w:ind w:firstLine="360"/>
        <w:rPr>
          <w:caps/>
          <w:lang w:eastAsia="zh-CN"/>
        </w:rPr>
      </w:pPr>
    </w:p>
    <w:p w14:paraId="4C1C6F8B">
      <w:pPr>
        <w:pStyle w:val="40"/>
        <w:spacing w:line="260" w:lineRule="exact"/>
        <w:ind w:left="1276" w:firstLine="0"/>
        <w:rPr>
          <w:caps w:val="0"/>
          <w:lang w:eastAsia="zh-CN"/>
        </w:rPr>
      </w:pPr>
    </w:p>
    <w:p w14:paraId="173B5EC9">
      <w:pPr>
        <w:pStyle w:val="40"/>
        <w:numPr>
          <w:ilvl w:val="1"/>
          <w:numId w:val="28"/>
        </w:numPr>
        <w:spacing w:line="260" w:lineRule="exact"/>
        <w:rPr>
          <w:lang w:eastAsia="zh-CN"/>
        </w:rPr>
      </w:pPr>
      <w:r>
        <w:rPr>
          <w:rFonts w:hint="eastAsia"/>
          <w:lang w:eastAsia="zh-CN"/>
        </w:rPr>
        <w:t>与其他承包人的协调及交接与管理</w:t>
      </w:r>
    </w:p>
    <w:p w14:paraId="0C46CA7F">
      <w:pPr>
        <w:pStyle w:val="41"/>
        <w:spacing w:line="260" w:lineRule="exact"/>
        <w:ind w:left="0" w:firstLine="0"/>
        <w:rPr>
          <w:lang w:eastAsia="zh-CN"/>
        </w:rPr>
      </w:pPr>
    </w:p>
    <w:p w14:paraId="12D32A5A">
      <w:pPr>
        <w:pStyle w:val="40"/>
        <w:numPr>
          <w:ilvl w:val="2"/>
          <w:numId w:val="28"/>
        </w:numPr>
        <w:spacing w:line="260" w:lineRule="exact"/>
        <w:ind w:left="1276" w:hanging="567"/>
        <w:rPr>
          <w:lang w:eastAsia="zh-CN"/>
        </w:rPr>
      </w:pPr>
      <w:r>
        <w:rPr>
          <w:rFonts w:hint="eastAsia"/>
          <w:lang w:eastAsia="zh-CN"/>
        </w:rPr>
        <w:t>施工总承包人负责的工作</w:t>
      </w:r>
    </w:p>
    <w:p w14:paraId="5E59078E">
      <w:pPr>
        <w:pStyle w:val="41"/>
        <w:spacing w:line="260" w:lineRule="exact"/>
        <w:ind w:left="720" w:firstLine="0"/>
        <w:rPr>
          <w:lang w:eastAsia="zh-CN"/>
        </w:rPr>
      </w:pPr>
    </w:p>
    <w:p w14:paraId="1883BA24">
      <w:pPr>
        <w:pStyle w:val="41"/>
        <w:numPr>
          <w:ilvl w:val="0"/>
          <w:numId w:val="41"/>
        </w:numPr>
        <w:spacing w:line="260" w:lineRule="exact"/>
        <w:ind w:left="1560" w:hanging="284"/>
        <w:rPr>
          <w:lang w:eastAsia="zh-CN"/>
        </w:rPr>
      </w:pPr>
      <w:r>
        <w:rPr>
          <w:rFonts w:hint="eastAsia"/>
          <w:lang w:eastAsia="zh-CN"/>
        </w:rPr>
        <w:t>施工总承包人负责项目统筹、场地管理、安全管理等。</w:t>
      </w:r>
    </w:p>
    <w:p w14:paraId="662C1972">
      <w:pPr>
        <w:pStyle w:val="41"/>
        <w:spacing w:line="260" w:lineRule="exact"/>
        <w:ind w:firstLine="0"/>
        <w:rPr>
          <w:lang w:eastAsia="zh-CN"/>
        </w:rPr>
      </w:pPr>
    </w:p>
    <w:p w14:paraId="44D916D6">
      <w:pPr>
        <w:pStyle w:val="41"/>
        <w:numPr>
          <w:ilvl w:val="0"/>
          <w:numId w:val="41"/>
        </w:numPr>
        <w:spacing w:line="260" w:lineRule="exact"/>
        <w:ind w:left="1560" w:hanging="284"/>
        <w:rPr>
          <w:lang w:eastAsia="zh-CN"/>
        </w:rPr>
      </w:pPr>
      <w:r>
        <w:rPr>
          <w:rFonts w:hint="eastAsia"/>
          <w:lang w:eastAsia="zh-CN"/>
        </w:rPr>
        <w:t>由施工总承包人负责协调照明工程承包人与其他相关专业承包人的相关工作，保证项目进度。</w:t>
      </w:r>
    </w:p>
    <w:p w14:paraId="621275CB">
      <w:pPr>
        <w:pStyle w:val="41"/>
        <w:spacing w:line="260" w:lineRule="exact"/>
        <w:ind w:left="720" w:firstLine="0"/>
        <w:rPr>
          <w:lang w:eastAsia="zh-CN"/>
        </w:rPr>
      </w:pPr>
    </w:p>
    <w:p w14:paraId="793DCB27">
      <w:pPr>
        <w:pStyle w:val="40"/>
        <w:numPr>
          <w:ilvl w:val="2"/>
          <w:numId w:val="28"/>
        </w:numPr>
        <w:spacing w:line="260" w:lineRule="exact"/>
        <w:ind w:left="1276" w:hanging="567"/>
        <w:rPr>
          <w:lang w:eastAsia="zh-CN"/>
        </w:rPr>
      </w:pPr>
      <w:r>
        <w:rPr>
          <w:rFonts w:hint="eastAsia"/>
          <w:lang w:eastAsia="zh-CN"/>
        </w:rPr>
        <w:t>机电承包人负责的工作</w:t>
      </w:r>
    </w:p>
    <w:p w14:paraId="01A3720F">
      <w:pPr>
        <w:pStyle w:val="41"/>
        <w:spacing w:line="260" w:lineRule="exact"/>
        <w:ind w:left="720" w:firstLine="0"/>
        <w:rPr>
          <w:lang w:eastAsia="zh-CN"/>
        </w:rPr>
      </w:pPr>
    </w:p>
    <w:p w14:paraId="765B48C4">
      <w:pPr>
        <w:pStyle w:val="41"/>
        <w:numPr>
          <w:ilvl w:val="0"/>
          <w:numId w:val="42"/>
        </w:numPr>
        <w:spacing w:line="260" w:lineRule="exact"/>
        <w:ind w:left="1560" w:hanging="284"/>
        <w:rPr>
          <w:lang w:eastAsia="zh-CN"/>
        </w:rPr>
      </w:pPr>
      <w:r>
        <w:rPr>
          <w:rFonts w:hint="eastAsia"/>
          <w:lang w:eastAsia="zh-CN"/>
        </w:rPr>
        <w:t>下表划分了本照明工程承包人机电承包人的施工界面</w:t>
      </w:r>
    </w:p>
    <w:p w14:paraId="27038490">
      <w:pPr>
        <w:pStyle w:val="41"/>
        <w:spacing w:line="260" w:lineRule="exact"/>
        <w:ind w:left="1560" w:firstLine="0"/>
        <w:rPr>
          <w:lang w:eastAsia="zh-CN"/>
        </w:rPr>
      </w:pPr>
    </w:p>
    <w:tbl>
      <w:tblPr>
        <w:tblStyle w:val="13"/>
        <w:tblW w:w="7484" w:type="dxa"/>
        <w:tblInd w:w="166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422"/>
        <w:gridCol w:w="1843"/>
        <w:gridCol w:w="1219"/>
      </w:tblGrid>
      <w:tr w14:paraId="4A054A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4D0142FB">
            <w:pPr>
              <w:pStyle w:val="41"/>
              <w:spacing w:line="260" w:lineRule="exact"/>
              <w:ind w:left="0" w:firstLine="0"/>
              <w:rPr>
                <w:lang w:eastAsia="zh-CN"/>
              </w:rPr>
            </w:pPr>
          </w:p>
        </w:tc>
        <w:tc>
          <w:tcPr>
            <w:tcW w:w="1843" w:type="dxa"/>
          </w:tcPr>
          <w:p w14:paraId="447379A4">
            <w:pPr>
              <w:pStyle w:val="41"/>
              <w:spacing w:line="260" w:lineRule="exact"/>
              <w:ind w:left="0" w:firstLine="0"/>
              <w:jc w:val="center"/>
              <w:rPr>
                <w:lang w:eastAsia="zh-CN"/>
              </w:rPr>
            </w:pPr>
            <w:r>
              <w:rPr>
                <w:rFonts w:hint="eastAsia"/>
                <w:lang w:eastAsia="zh-CN"/>
              </w:rPr>
              <w:t>本照明工程承包人</w:t>
            </w:r>
          </w:p>
        </w:tc>
        <w:tc>
          <w:tcPr>
            <w:tcW w:w="1219" w:type="dxa"/>
          </w:tcPr>
          <w:p w14:paraId="1D0E55FB">
            <w:pPr>
              <w:pStyle w:val="41"/>
              <w:spacing w:line="260" w:lineRule="exact"/>
              <w:ind w:left="0" w:firstLine="0"/>
              <w:jc w:val="center"/>
              <w:rPr>
                <w:lang w:eastAsia="zh-CN"/>
              </w:rPr>
            </w:pPr>
            <w:r>
              <w:rPr>
                <w:rFonts w:hint="eastAsia"/>
                <w:lang w:eastAsia="zh-CN"/>
              </w:rPr>
              <w:t>机电承包人</w:t>
            </w:r>
          </w:p>
        </w:tc>
      </w:tr>
      <w:tr w14:paraId="715E43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47F52809">
            <w:pPr>
              <w:pStyle w:val="41"/>
              <w:spacing w:line="260" w:lineRule="exact"/>
              <w:ind w:left="0" w:firstLine="0"/>
              <w:rPr>
                <w:lang w:eastAsia="zh-CN"/>
              </w:rPr>
            </w:pPr>
            <w:r>
              <w:rPr>
                <w:rFonts w:hint="eastAsia"/>
                <w:lang w:eastAsia="zh-CN"/>
              </w:rPr>
              <w:t>照明配电箱引入线</w:t>
            </w:r>
          </w:p>
        </w:tc>
        <w:tc>
          <w:tcPr>
            <w:tcW w:w="1843" w:type="dxa"/>
          </w:tcPr>
          <w:p w14:paraId="230DBE08">
            <w:pPr>
              <w:pStyle w:val="41"/>
              <w:spacing w:line="260" w:lineRule="exact"/>
              <w:ind w:left="0" w:firstLine="0"/>
              <w:jc w:val="center"/>
              <w:rPr>
                <w:lang w:eastAsia="zh-CN"/>
              </w:rPr>
            </w:pPr>
            <w:r>
              <w:rPr>
                <w:rFonts w:hint="eastAsia"/>
                <w:lang w:eastAsia="zh-CN"/>
              </w:rPr>
              <w:t>√</w:t>
            </w:r>
          </w:p>
        </w:tc>
        <w:tc>
          <w:tcPr>
            <w:tcW w:w="1219" w:type="dxa"/>
          </w:tcPr>
          <w:p w14:paraId="61400DCC">
            <w:pPr>
              <w:pStyle w:val="41"/>
              <w:spacing w:line="260" w:lineRule="exact"/>
              <w:ind w:left="0" w:firstLine="0"/>
              <w:jc w:val="center"/>
              <w:rPr>
                <w:lang w:eastAsia="zh-CN"/>
              </w:rPr>
            </w:pPr>
          </w:p>
        </w:tc>
      </w:tr>
      <w:tr w14:paraId="742CBD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4853FB0E">
            <w:pPr>
              <w:pStyle w:val="41"/>
              <w:spacing w:line="260" w:lineRule="exact"/>
              <w:ind w:left="0" w:firstLine="0"/>
              <w:rPr>
                <w:lang w:eastAsia="zh-CN"/>
              </w:rPr>
            </w:pPr>
            <w:r>
              <w:rPr>
                <w:rFonts w:hint="eastAsia"/>
                <w:lang w:eastAsia="zh-CN"/>
              </w:rPr>
              <w:t>引入线与照明配电箱之间的隔离开关或T接箱</w:t>
            </w:r>
          </w:p>
        </w:tc>
        <w:tc>
          <w:tcPr>
            <w:tcW w:w="1843" w:type="dxa"/>
          </w:tcPr>
          <w:p w14:paraId="58D32406">
            <w:pPr>
              <w:pStyle w:val="41"/>
              <w:spacing w:line="260" w:lineRule="exact"/>
              <w:ind w:left="0" w:firstLine="0"/>
              <w:jc w:val="center"/>
              <w:rPr>
                <w:lang w:eastAsia="zh-CN"/>
              </w:rPr>
            </w:pPr>
            <w:r>
              <w:rPr>
                <w:rFonts w:hint="eastAsia"/>
                <w:lang w:eastAsia="zh-CN"/>
              </w:rPr>
              <w:t>√</w:t>
            </w:r>
          </w:p>
        </w:tc>
        <w:tc>
          <w:tcPr>
            <w:tcW w:w="1219" w:type="dxa"/>
          </w:tcPr>
          <w:p w14:paraId="3719CF26">
            <w:pPr>
              <w:pStyle w:val="41"/>
              <w:spacing w:line="260" w:lineRule="exact"/>
              <w:ind w:left="0" w:firstLine="0"/>
              <w:jc w:val="center"/>
              <w:rPr>
                <w:lang w:eastAsia="zh-CN"/>
              </w:rPr>
            </w:pPr>
          </w:p>
        </w:tc>
      </w:tr>
      <w:tr w14:paraId="566ACC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737DD2E7">
            <w:pPr>
              <w:pStyle w:val="41"/>
              <w:spacing w:line="260" w:lineRule="exact"/>
              <w:ind w:left="0" w:firstLine="0"/>
              <w:rPr>
                <w:lang w:eastAsia="zh-CN"/>
              </w:rPr>
            </w:pPr>
            <w:r>
              <w:rPr>
                <w:rFonts w:hint="eastAsia"/>
                <w:lang w:eastAsia="zh-CN"/>
              </w:rPr>
              <w:t>照明配电箱及其中的设备</w:t>
            </w:r>
          </w:p>
        </w:tc>
        <w:tc>
          <w:tcPr>
            <w:tcW w:w="1843" w:type="dxa"/>
          </w:tcPr>
          <w:p w14:paraId="3D10EA85">
            <w:pPr>
              <w:pStyle w:val="41"/>
              <w:spacing w:line="260" w:lineRule="exact"/>
              <w:ind w:left="0" w:firstLine="0"/>
              <w:jc w:val="center"/>
              <w:rPr>
                <w:lang w:eastAsia="zh-CN"/>
              </w:rPr>
            </w:pPr>
            <w:r>
              <w:rPr>
                <w:rFonts w:hint="eastAsia"/>
                <w:lang w:eastAsia="zh-CN"/>
              </w:rPr>
              <w:t>√</w:t>
            </w:r>
          </w:p>
        </w:tc>
        <w:tc>
          <w:tcPr>
            <w:tcW w:w="1219" w:type="dxa"/>
          </w:tcPr>
          <w:p w14:paraId="4D01BADF">
            <w:pPr>
              <w:pStyle w:val="41"/>
              <w:spacing w:line="260" w:lineRule="exact"/>
              <w:ind w:left="0" w:firstLine="0"/>
              <w:jc w:val="center"/>
              <w:rPr>
                <w:lang w:eastAsia="zh-CN"/>
              </w:rPr>
            </w:pPr>
          </w:p>
        </w:tc>
      </w:tr>
      <w:tr w14:paraId="562C2B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5A376C95">
            <w:pPr>
              <w:pStyle w:val="41"/>
              <w:spacing w:line="260" w:lineRule="exact"/>
              <w:ind w:left="0" w:firstLine="0"/>
              <w:rPr>
                <w:lang w:eastAsia="zh-CN"/>
              </w:rPr>
            </w:pPr>
            <w:r>
              <w:rPr>
                <w:rFonts w:hint="eastAsia"/>
                <w:lang w:eastAsia="zh-CN"/>
              </w:rPr>
              <w:t>弱电控制箱及其中的设备</w:t>
            </w:r>
          </w:p>
        </w:tc>
        <w:tc>
          <w:tcPr>
            <w:tcW w:w="1843" w:type="dxa"/>
          </w:tcPr>
          <w:p w14:paraId="1B4D8505">
            <w:pPr>
              <w:pStyle w:val="41"/>
              <w:spacing w:line="260" w:lineRule="exact"/>
              <w:ind w:left="0" w:firstLine="0"/>
              <w:jc w:val="center"/>
              <w:rPr>
                <w:lang w:eastAsia="zh-CN"/>
              </w:rPr>
            </w:pPr>
            <w:r>
              <w:rPr>
                <w:rFonts w:hint="eastAsia"/>
                <w:lang w:eastAsia="zh-CN"/>
              </w:rPr>
              <w:t>√</w:t>
            </w:r>
          </w:p>
        </w:tc>
        <w:tc>
          <w:tcPr>
            <w:tcW w:w="1219" w:type="dxa"/>
          </w:tcPr>
          <w:p w14:paraId="07F4D215">
            <w:pPr>
              <w:pStyle w:val="41"/>
              <w:spacing w:line="260" w:lineRule="exact"/>
              <w:ind w:left="0" w:firstLine="0"/>
              <w:jc w:val="center"/>
              <w:rPr>
                <w:lang w:eastAsia="zh-CN"/>
              </w:rPr>
            </w:pPr>
          </w:p>
        </w:tc>
      </w:tr>
      <w:tr w14:paraId="7A96D9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777F26A4">
            <w:pPr>
              <w:pStyle w:val="41"/>
              <w:spacing w:line="260" w:lineRule="exact"/>
              <w:ind w:left="0" w:firstLine="0"/>
              <w:rPr>
                <w:lang w:eastAsia="zh-CN"/>
              </w:rPr>
            </w:pPr>
            <w:r>
              <w:rPr>
                <w:rFonts w:hint="eastAsia"/>
                <w:lang w:eastAsia="zh-CN"/>
              </w:rPr>
              <w:t>弱电控制箱与照明配电箱之间的管线、桥架</w:t>
            </w:r>
          </w:p>
        </w:tc>
        <w:tc>
          <w:tcPr>
            <w:tcW w:w="1843" w:type="dxa"/>
          </w:tcPr>
          <w:p w14:paraId="63FA4E5F">
            <w:pPr>
              <w:pStyle w:val="41"/>
              <w:spacing w:line="260" w:lineRule="exact"/>
              <w:ind w:left="0" w:firstLine="0"/>
              <w:jc w:val="center"/>
              <w:rPr>
                <w:lang w:eastAsia="zh-CN"/>
              </w:rPr>
            </w:pPr>
            <w:r>
              <w:rPr>
                <w:rFonts w:hint="eastAsia"/>
                <w:lang w:eastAsia="zh-CN"/>
              </w:rPr>
              <w:t>√</w:t>
            </w:r>
          </w:p>
        </w:tc>
        <w:tc>
          <w:tcPr>
            <w:tcW w:w="1219" w:type="dxa"/>
          </w:tcPr>
          <w:p w14:paraId="149D88D4">
            <w:pPr>
              <w:pStyle w:val="41"/>
              <w:spacing w:line="260" w:lineRule="exact"/>
              <w:ind w:left="0" w:firstLine="0"/>
              <w:jc w:val="center"/>
              <w:rPr>
                <w:lang w:eastAsia="zh-CN"/>
              </w:rPr>
            </w:pPr>
          </w:p>
        </w:tc>
      </w:tr>
      <w:tr w14:paraId="73E916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08183FFE">
            <w:pPr>
              <w:pStyle w:val="41"/>
              <w:spacing w:line="260" w:lineRule="exact"/>
              <w:ind w:left="0" w:firstLine="0"/>
              <w:rPr>
                <w:lang w:eastAsia="zh-CN"/>
              </w:rPr>
            </w:pPr>
            <w:r>
              <w:rPr>
                <w:rFonts w:hint="eastAsia"/>
                <w:lang w:eastAsia="zh-CN"/>
              </w:rPr>
              <w:t>照明配电箱与变压器之间的管线、桥架</w:t>
            </w:r>
          </w:p>
        </w:tc>
        <w:tc>
          <w:tcPr>
            <w:tcW w:w="1843" w:type="dxa"/>
          </w:tcPr>
          <w:p w14:paraId="255BB67C">
            <w:pPr>
              <w:pStyle w:val="41"/>
              <w:spacing w:line="260" w:lineRule="exact"/>
              <w:ind w:left="0" w:firstLine="0"/>
              <w:jc w:val="center"/>
              <w:rPr>
                <w:lang w:eastAsia="zh-CN"/>
              </w:rPr>
            </w:pPr>
            <w:r>
              <w:rPr>
                <w:rFonts w:hint="eastAsia"/>
                <w:lang w:eastAsia="zh-CN"/>
              </w:rPr>
              <w:t>√</w:t>
            </w:r>
          </w:p>
        </w:tc>
        <w:tc>
          <w:tcPr>
            <w:tcW w:w="1219" w:type="dxa"/>
          </w:tcPr>
          <w:p w14:paraId="4A748A43">
            <w:pPr>
              <w:pStyle w:val="41"/>
              <w:spacing w:line="260" w:lineRule="exact"/>
              <w:ind w:left="0" w:firstLine="0"/>
              <w:jc w:val="center"/>
              <w:rPr>
                <w:lang w:eastAsia="zh-CN"/>
              </w:rPr>
            </w:pPr>
          </w:p>
        </w:tc>
      </w:tr>
      <w:tr w14:paraId="3E94C5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501747EE">
            <w:pPr>
              <w:pStyle w:val="41"/>
              <w:spacing w:line="260" w:lineRule="exact"/>
              <w:ind w:left="0" w:firstLine="0"/>
              <w:rPr>
                <w:lang w:eastAsia="zh-CN"/>
              </w:rPr>
            </w:pPr>
            <w:r>
              <w:rPr>
                <w:rFonts w:hint="eastAsia"/>
                <w:lang w:eastAsia="zh-CN"/>
              </w:rPr>
              <w:t>弱电控制箱与灯具间的管线、桥架</w:t>
            </w:r>
          </w:p>
        </w:tc>
        <w:tc>
          <w:tcPr>
            <w:tcW w:w="1843" w:type="dxa"/>
          </w:tcPr>
          <w:p w14:paraId="282F5D17">
            <w:pPr>
              <w:pStyle w:val="41"/>
              <w:spacing w:line="260" w:lineRule="exact"/>
              <w:ind w:left="0" w:firstLine="0"/>
              <w:jc w:val="center"/>
              <w:rPr>
                <w:lang w:eastAsia="zh-CN"/>
              </w:rPr>
            </w:pPr>
            <w:r>
              <w:rPr>
                <w:rFonts w:hint="eastAsia"/>
                <w:lang w:eastAsia="zh-CN"/>
              </w:rPr>
              <w:t>√</w:t>
            </w:r>
          </w:p>
        </w:tc>
        <w:tc>
          <w:tcPr>
            <w:tcW w:w="1219" w:type="dxa"/>
          </w:tcPr>
          <w:p w14:paraId="3C12F6D9">
            <w:pPr>
              <w:pStyle w:val="41"/>
              <w:spacing w:line="260" w:lineRule="exact"/>
              <w:ind w:left="0" w:firstLine="0"/>
              <w:jc w:val="center"/>
              <w:rPr>
                <w:lang w:eastAsia="zh-CN"/>
              </w:rPr>
            </w:pPr>
          </w:p>
        </w:tc>
      </w:tr>
      <w:tr w14:paraId="0ECE53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6C5E9569">
            <w:pPr>
              <w:pStyle w:val="41"/>
              <w:spacing w:line="260" w:lineRule="exact"/>
              <w:ind w:left="0" w:firstLine="0"/>
              <w:rPr>
                <w:lang w:eastAsia="zh-CN"/>
              </w:rPr>
            </w:pPr>
            <w:r>
              <w:rPr>
                <w:rFonts w:hint="eastAsia"/>
                <w:lang w:eastAsia="zh-CN"/>
              </w:rPr>
              <w:t>各类灯具电源附件</w:t>
            </w:r>
          </w:p>
        </w:tc>
        <w:tc>
          <w:tcPr>
            <w:tcW w:w="1843" w:type="dxa"/>
          </w:tcPr>
          <w:p w14:paraId="0396D376">
            <w:pPr>
              <w:pStyle w:val="41"/>
              <w:spacing w:line="260" w:lineRule="exact"/>
              <w:ind w:left="0" w:firstLine="0"/>
              <w:jc w:val="center"/>
              <w:rPr>
                <w:lang w:eastAsia="zh-CN"/>
              </w:rPr>
            </w:pPr>
            <w:r>
              <w:rPr>
                <w:rFonts w:hint="eastAsia"/>
                <w:lang w:eastAsia="zh-CN"/>
              </w:rPr>
              <w:t>√</w:t>
            </w:r>
          </w:p>
        </w:tc>
        <w:tc>
          <w:tcPr>
            <w:tcW w:w="1219" w:type="dxa"/>
          </w:tcPr>
          <w:p w14:paraId="4C3B0226">
            <w:pPr>
              <w:pStyle w:val="41"/>
              <w:spacing w:line="260" w:lineRule="exact"/>
              <w:ind w:left="0" w:firstLine="0"/>
              <w:jc w:val="center"/>
              <w:rPr>
                <w:lang w:eastAsia="zh-CN"/>
              </w:rPr>
            </w:pPr>
          </w:p>
        </w:tc>
      </w:tr>
      <w:tr w14:paraId="56572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1C552577">
            <w:pPr>
              <w:pStyle w:val="41"/>
              <w:spacing w:line="260" w:lineRule="exact"/>
              <w:ind w:left="0" w:firstLine="0"/>
              <w:rPr>
                <w:lang w:eastAsia="zh-CN"/>
              </w:rPr>
            </w:pPr>
            <w:r>
              <w:rPr>
                <w:rFonts w:hint="eastAsia"/>
                <w:lang w:eastAsia="zh-CN"/>
              </w:rPr>
              <w:t>灯具与变压器或数据电源之间的管线、桥架</w:t>
            </w:r>
          </w:p>
        </w:tc>
        <w:tc>
          <w:tcPr>
            <w:tcW w:w="1843" w:type="dxa"/>
          </w:tcPr>
          <w:p w14:paraId="098B16DB">
            <w:pPr>
              <w:pStyle w:val="41"/>
              <w:spacing w:line="260" w:lineRule="exact"/>
              <w:ind w:left="0" w:firstLine="0"/>
              <w:jc w:val="center"/>
              <w:rPr>
                <w:lang w:eastAsia="zh-CN"/>
              </w:rPr>
            </w:pPr>
            <w:r>
              <w:rPr>
                <w:rFonts w:hint="eastAsia"/>
                <w:lang w:eastAsia="zh-CN"/>
              </w:rPr>
              <w:t>√</w:t>
            </w:r>
          </w:p>
        </w:tc>
        <w:tc>
          <w:tcPr>
            <w:tcW w:w="1219" w:type="dxa"/>
          </w:tcPr>
          <w:p w14:paraId="37F8941E">
            <w:pPr>
              <w:pStyle w:val="41"/>
              <w:spacing w:line="260" w:lineRule="exact"/>
              <w:ind w:left="0" w:firstLine="0"/>
              <w:jc w:val="center"/>
              <w:rPr>
                <w:lang w:eastAsia="zh-CN"/>
              </w:rPr>
            </w:pPr>
          </w:p>
        </w:tc>
      </w:tr>
      <w:tr w14:paraId="02D977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681E6302">
            <w:pPr>
              <w:pStyle w:val="41"/>
              <w:spacing w:line="260" w:lineRule="exact"/>
              <w:ind w:left="0" w:firstLine="0"/>
              <w:rPr>
                <w:lang w:eastAsia="zh-CN"/>
              </w:rPr>
            </w:pPr>
            <w:r>
              <w:rPr>
                <w:rFonts w:hint="eastAsia"/>
                <w:lang w:eastAsia="zh-CN"/>
              </w:rPr>
              <w:t>灯具</w:t>
            </w:r>
          </w:p>
        </w:tc>
        <w:tc>
          <w:tcPr>
            <w:tcW w:w="1843" w:type="dxa"/>
          </w:tcPr>
          <w:p w14:paraId="70C94101">
            <w:pPr>
              <w:pStyle w:val="41"/>
              <w:spacing w:line="260" w:lineRule="exact"/>
              <w:ind w:left="0" w:firstLine="0"/>
              <w:jc w:val="center"/>
              <w:rPr>
                <w:lang w:eastAsia="zh-CN"/>
              </w:rPr>
            </w:pPr>
            <w:r>
              <w:rPr>
                <w:rFonts w:hint="eastAsia"/>
                <w:lang w:eastAsia="zh-CN"/>
              </w:rPr>
              <w:t>√</w:t>
            </w:r>
          </w:p>
        </w:tc>
        <w:tc>
          <w:tcPr>
            <w:tcW w:w="1219" w:type="dxa"/>
          </w:tcPr>
          <w:p w14:paraId="73CFB82C">
            <w:pPr>
              <w:pStyle w:val="41"/>
              <w:spacing w:line="260" w:lineRule="exact"/>
              <w:ind w:left="0" w:firstLine="0"/>
              <w:jc w:val="center"/>
              <w:rPr>
                <w:lang w:eastAsia="zh-CN"/>
              </w:rPr>
            </w:pPr>
          </w:p>
        </w:tc>
      </w:tr>
      <w:tr w14:paraId="768B44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6BBA2749">
            <w:pPr>
              <w:pStyle w:val="41"/>
              <w:spacing w:line="260" w:lineRule="exact"/>
              <w:ind w:left="0" w:firstLine="0"/>
              <w:rPr>
                <w:lang w:eastAsia="zh-CN"/>
              </w:rPr>
            </w:pPr>
            <w:r>
              <w:rPr>
                <w:rFonts w:hint="eastAsia"/>
                <w:lang w:eastAsia="zh-CN"/>
              </w:rPr>
              <w:t>弱电控制箱与智能照明控制系统间的管线与桥架</w:t>
            </w:r>
          </w:p>
        </w:tc>
        <w:tc>
          <w:tcPr>
            <w:tcW w:w="1843" w:type="dxa"/>
          </w:tcPr>
          <w:p w14:paraId="5F820060">
            <w:pPr>
              <w:pStyle w:val="41"/>
              <w:spacing w:line="260" w:lineRule="exact"/>
              <w:ind w:left="0" w:firstLine="0"/>
              <w:jc w:val="center"/>
              <w:rPr>
                <w:lang w:eastAsia="zh-CN"/>
              </w:rPr>
            </w:pPr>
            <w:r>
              <w:rPr>
                <w:rFonts w:hint="eastAsia"/>
                <w:lang w:eastAsia="zh-CN"/>
              </w:rPr>
              <w:t>√</w:t>
            </w:r>
          </w:p>
        </w:tc>
        <w:tc>
          <w:tcPr>
            <w:tcW w:w="1219" w:type="dxa"/>
          </w:tcPr>
          <w:p w14:paraId="1955402A">
            <w:pPr>
              <w:pStyle w:val="41"/>
              <w:spacing w:line="260" w:lineRule="exact"/>
              <w:ind w:left="0" w:firstLine="0"/>
              <w:jc w:val="center"/>
              <w:rPr>
                <w:lang w:eastAsia="zh-CN"/>
              </w:rPr>
            </w:pPr>
          </w:p>
        </w:tc>
      </w:tr>
      <w:tr w14:paraId="15E3FE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22" w:type="dxa"/>
          </w:tcPr>
          <w:p w14:paraId="57C45A87">
            <w:pPr>
              <w:pStyle w:val="41"/>
              <w:spacing w:line="260" w:lineRule="exact"/>
              <w:ind w:left="0" w:firstLine="0"/>
              <w:rPr>
                <w:lang w:eastAsia="zh-CN"/>
              </w:rPr>
            </w:pPr>
            <w:r>
              <w:rPr>
                <w:rFonts w:hint="eastAsia"/>
                <w:lang w:eastAsia="zh-CN"/>
              </w:rPr>
              <w:t>智能照明控制系统的软件与硬件</w:t>
            </w:r>
          </w:p>
        </w:tc>
        <w:tc>
          <w:tcPr>
            <w:tcW w:w="1843" w:type="dxa"/>
          </w:tcPr>
          <w:p w14:paraId="22D1CC94">
            <w:pPr>
              <w:pStyle w:val="41"/>
              <w:spacing w:line="260" w:lineRule="exact"/>
              <w:ind w:left="0" w:firstLine="0"/>
              <w:jc w:val="center"/>
              <w:rPr>
                <w:lang w:eastAsia="zh-CN"/>
              </w:rPr>
            </w:pPr>
            <w:r>
              <w:rPr>
                <w:rFonts w:hint="eastAsia"/>
                <w:lang w:eastAsia="zh-CN"/>
              </w:rPr>
              <w:t>√</w:t>
            </w:r>
          </w:p>
        </w:tc>
        <w:tc>
          <w:tcPr>
            <w:tcW w:w="1219" w:type="dxa"/>
          </w:tcPr>
          <w:p w14:paraId="65A213F1">
            <w:pPr>
              <w:pStyle w:val="41"/>
              <w:spacing w:line="260" w:lineRule="exact"/>
              <w:ind w:left="0" w:firstLine="0"/>
              <w:jc w:val="center"/>
              <w:rPr>
                <w:lang w:eastAsia="zh-CN"/>
              </w:rPr>
            </w:pPr>
          </w:p>
        </w:tc>
      </w:tr>
    </w:tbl>
    <w:p w14:paraId="66947D6C">
      <w:pPr>
        <w:spacing w:line="260" w:lineRule="exact"/>
        <w:rPr>
          <w:rFonts w:eastAsiaTheme="minorEastAsia"/>
          <w:lang w:eastAsia="zh-CN"/>
        </w:rPr>
      </w:pPr>
    </w:p>
    <w:p w14:paraId="699C8B3F">
      <w:pPr>
        <w:pStyle w:val="41"/>
        <w:numPr>
          <w:ilvl w:val="0"/>
          <w:numId w:val="42"/>
        </w:numPr>
        <w:spacing w:line="260" w:lineRule="exact"/>
        <w:ind w:left="1560" w:hanging="284"/>
        <w:rPr>
          <w:color w:val="FF0000"/>
          <w:lang w:eastAsia="zh-CN"/>
        </w:rPr>
      </w:pPr>
      <w:r>
        <w:rPr>
          <w:rFonts w:hint="eastAsia"/>
          <w:lang w:eastAsia="zh-CN"/>
        </w:rPr>
        <w:t>本照明工程承包人须与机电承包人协调以进行所需的工作，并就双方的交接驳口议定准确的位置及双方的工作界面。</w:t>
      </w:r>
    </w:p>
    <w:p w14:paraId="797A200D">
      <w:pPr>
        <w:pStyle w:val="41"/>
        <w:spacing w:line="260" w:lineRule="exact"/>
        <w:ind w:left="0" w:firstLine="0"/>
        <w:rPr>
          <w:lang w:eastAsia="zh-CN"/>
        </w:rPr>
      </w:pPr>
    </w:p>
    <w:p w14:paraId="5D2C9219">
      <w:pPr>
        <w:pStyle w:val="40"/>
        <w:numPr>
          <w:ilvl w:val="2"/>
          <w:numId w:val="28"/>
        </w:numPr>
        <w:spacing w:line="260" w:lineRule="exact"/>
        <w:ind w:left="1276" w:hanging="567"/>
        <w:rPr>
          <w:lang w:eastAsia="zh-CN"/>
        </w:rPr>
      </w:pPr>
      <w:r>
        <w:rPr>
          <w:rFonts w:hint="eastAsia"/>
          <w:lang w:eastAsia="zh-CN"/>
        </w:rPr>
        <w:t>与幕墙承包人的协调工作</w:t>
      </w:r>
    </w:p>
    <w:p w14:paraId="69195528">
      <w:pPr>
        <w:pStyle w:val="41"/>
        <w:spacing w:line="260" w:lineRule="exact"/>
        <w:ind w:left="720" w:firstLine="0"/>
        <w:rPr>
          <w:lang w:eastAsia="zh-CN"/>
        </w:rPr>
      </w:pPr>
    </w:p>
    <w:p w14:paraId="0BE4D001">
      <w:pPr>
        <w:pStyle w:val="41"/>
        <w:numPr>
          <w:ilvl w:val="0"/>
          <w:numId w:val="43"/>
        </w:numPr>
        <w:spacing w:line="260" w:lineRule="exact"/>
        <w:ind w:left="1560" w:hanging="284"/>
        <w:rPr>
          <w:lang w:eastAsia="zh-CN"/>
        </w:rPr>
      </w:pPr>
      <w:r>
        <w:rPr>
          <w:rFonts w:hint="eastAsia"/>
          <w:lang w:eastAsia="zh-CN"/>
        </w:rPr>
        <w:t>本照明工程承包人应与幕墙承包人协调幕墙开孔、线缆敷设事宜。</w:t>
      </w:r>
      <w:bookmarkStart w:id="83" w:name="OLE_LINK1"/>
      <w:r>
        <w:rPr>
          <w:rFonts w:hint="eastAsia"/>
          <w:lang w:eastAsia="zh-CN"/>
        </w:rPr>
        <w:t>幕墙开孔及密闭由幕墙承包人负责，但本照明工程承包人必须遵从幕墙顾问和幕墙承包人的要求，协同工作。</w:t>
      </w:r>
      <w:bookmarkEnd w:id="83"/>
    </w:p>
    <w:p w14:paraId="49372672">
      <w:pPr>
        <w:pStyle w:val="41"/>
        <w:spacing w:line="260" w:lineRule="exact"/>
        <w:ind w:firstLine="0"/>
        <w:rPr>
          <w:lang w:eastAsia="zh-CN"/>
        </w:rPr>
      </w:pPr>
    </w:p>
    <w:p w14:paraId="63CAAFB0">
      <w:pPr>
        <w:pStyle w:val="41"/>
        <w:numPr>
          <w:ilvl w:val="0"/>
          <w:numId w:val="43"/>
        </w:numPr>
        <w:spacing w:line="260" w:lineRule="exact"/>
        <w:ind w:left="1560" w:hanging="284"/>
        <w:rPr>
          <w:lang w:eastAsia="zh-CN"/>
        </w:rPr>
      </w:pPr>
      <w:r>
        <w:rPr>
          <w:rFonts w:hint="eastAsia"/>
          <w:lang w:eastAsia="zh-CN"/>
        </w:rPr>
        <w:t>如果需要，灯具线缆由本照明工程承包人在幕墙工厂预制安装，由幕墙承包人负责封堵，减少现场开孔穿线工作。</w:t>
      </w:r>
    </w:p>
    <w:p w14:paraId="565FB4D9">
      <w:pPr>
        <w:pStyle w:val="41"/>
        <w:spacing w:line="260" w:lineRule="exact"/>
        <w:ind w:left="0" w:firstLine="0"/>
        <w:rPr>
          <w:lang w:eastAsia="zh-CN"/>
        </w:rPr>
      </w:pPr>
    </w:p>
    <w:p w14:paraId="5840B3C6">
      <w:pPr>
        <w:pStyle w:val="40"/>
        <w:numPr>
          <w:ilvl w:val="2"/>
          <w:numId w:val="28"/>
        </w:numPr>
        <w:spacing w:line="260" w:lineRule="exact"/>
        <w:ind w:left="1276" w:hanging="567"/>
        <w:rPr>
          <w:caps w:val="0"/>
          <w:lang w:eastAsia="zh-CN"/>
        </w:rPr>
      </w:pPr>
      <w:bookmarkStart w:id="84" w:name="_Hlk155355763"/>
      <w:r>
        <w:rPr>
          <w:rFonts w:hint="eastAsia"/>
          <w:caps w:val="0"/>
          <w:lang w:eastAsia="zh-CN"/>
        </w:rPr>
        <w:t>与景观承包人的协调工作</w:t>
      </w:r>
    </w:p>
    <w:p w14:paraId="36760DB2">
      <w:pPr>
        <w:pStyle w:val="40"/>
        <w:spacing w:line="260" w:lineRule="exact"/>
        <w:ind w:left="1276" w:firstLine="0"/>
        <w:rPr>
          <w:caps w:val="0"/>
          <w:lang w:eastAsia="zh-CN"/>
        </w:rPr>
      </w:pPr>
    </w:p>
    <w:p w14:paraId="558EC500">
      <w:pPr>
        <w:pStyle w:val="41"/>
        <w:numPr>
          <w:ilvl w:val="0"/>
          <w:numId w:val="44"/>
        </w:numPr>
        <w:spacing w:line="260" w:lineRule="exact"/>
        <w:rPr>
          <w:lang w:eastAsia="zh-CN"/>
        </w:rPr>
      </w:pPr>
      <w:r>
        <w:rPr>
          <w:rFonts w:hint="eastAsia"/>
          <w:lang w:eastAsia="zh-CN"/>
        </w:rPr>
        <w:t>本照明工程承包人负责地埋灯预埋筒、地埋灯下方的砾石、沙土等排水层、以及管线的预埋工作。</w:t>
      </w:r>
    </w:p>
    <w:p w14:paraId="443210CA">
      <w:pPr>
        <w:pStyle w:val="41"/>
        <w:spacing w:line="260" w:lineRule="exact"/>
        <w:ind w:left="1620" w:firstLine="0"/>
        <w:rPr>
          <w:lang w:eastAsia="zh-CN"/>
        </w:rPr>
      </w:pPr>
    </w:p>
    <w:p w14:paraId="6BB361DC">
      <w:pPr>
        <w:pStyle w:val="41"/>
        <w:numPr>
          <w:ilvl w:val="0"/>
          <w:numId w:val="44"/>
        </w:numPr>
        <w:spacing w:line="260" w:lineRule="exact"/>
        <w:rPr>
          <w:lang w:eastAsia="zh-CN"/>
        </w:rPr>
      </w:pPr>
      <w:r>
        <w:rPr>
          <w:rFonts w:hint="eastAsia"/>
          <w:lang w:eastAsia="zh-CN"/>
        </w:rPr>
        <w:t>铺装上的开孔，本照明工程承包人应提供尺寸与开孔所需的相关模具，由景观承包人负责开孔。</w:t>
      </w:r>
    </w:p>
    <w:p w14:paraId="0059805B">
      <w:pPr>
        <w:pStyle w:val="41"/>
        <w:spacing w:line="260" w:lineRule="exact"/>
        <w:ind w:left="1620" w:firstLine="0"/>
        <w:rPr>
          <w:lang w:eastAsia="zh-CN"/>
        </w:rPr>
      </w:pPr>
    </w:p>
    <w:p w14:paraId="427EB73E">
      <w:pPr>
        <w:pStyle w:val="41"/>
        <w:numPr>
          <w:ilvl w:val="0"/>
          <w:numId w:val="44"/>
        </w:numPr>
        <w:spacing w:line="260" w:lineRule="exact"/>
        <w:rPr>
          <w:lang w:eastAsia="zh-CN"/>
        </w:rPr>
      </w:pPr>
      <w:r>
        <w:rPr>
          <w:rFonts w:hint="eastAsia"/>
          <w:lang w:eastAsia="zh-CN"/>
        </w:rPr>
        <w:t>本照明工程承包人应将灯杆基础的需求提资给景观承包人，包括尺寸大小和管线信息，由景观承包人负责基础的施工。本照明工程承包人负责灯杆及灯具的安装。</w:t>
      </w:r>
    </w:p>
    <w:p w14:paraId="33145BC9">
      <w:pPr>
        <w:pStyle w:val="41"/>
        <w:spacing w:line="260" w:lineRule="exact"/>
        <w:ind w:left="1620" w:firstLine="0"/>
        <w:rPr>
          <w:lang w:eastAsia="zh-CN"/>
        </w:rPr>
      </w:pPr>
    </w:p>
    <w:p w14:paraId="6422699C">
      <w:pPr>
        <w:pStyle w:val="41"/>
        <w:numPr>
          <w:ilvl w:val="0"/>
          <w:numId w:val="44"/>
        </w:numPr>
        <w:spacing w:line="260" w:lineRule="exact"/>
        <w:rPr>
          <w:lang w:eastAsia="zh-CN"/>
        </w:rPr>
      </w:pPr>
      <w:r>
        <w:rPr>
          <w:rFonts w:hint="eastAsia"/>
          <w:lang w:eastAsia="zh-CN"/>
        </w:rPr>
        <w:t>合杆的管线，如监控、音响、</w:t>
      </w:r>
      <w:r>
        <w:rPr>
          <w:lang w:eastAsia="zh-CN"/>
        </w:rPr>
        <w:t>WIFI</w:t>
      </w:r>
      <w:r>
        <w:rPr>
          <w:rFonts w:hint="eastAsia"/>
          <w:lang w:eastAsia="zh-CN"/>
        </w:rPr>
        <w:t>的管线，由其他相关承包人提资景观承包人一并预埋，而本照明工程承包人应在灯杆上预留相应的接驳点，供这些设备的安装。</w:t>
      </w:r>
    </w:p>
    <w:bookmarkEnd w:id="84"/>
    <w:p w14:paraId="5E7243B3">
      <w:pPr>
        <w:pStyle w:val="41"/>
        <w:spacing w:line="260" w:lineRule="exact"/>
        <w:ind w:left="0" w:firstLine="0"/>
        <w:rPr>
          <w:lang w:eastAsia="zh-CN"/>
        </w:rPr>
      </w:pPr>
    </w:p>
    <w:p w14:paraId="609C012B">
      <w:pPr>
        <w:pStyle w:val="40"/>
        <w:numPr>
          <w:ilvl w:val="1"/>
          <w:numId w:val="28"/>
        </w:numPr>
        <w:spacing w:line="260" w:lineRule="exact"/>
        <w:rPr>
          <w:lang w:eastAsia="zh-CN"/>
        </w:rPr>
      </w:pPr>
      <w:r>
        <w:rPr>
          <w:rFonts w:hint="eastAsia"/>
          <w:lang w:eastAsia="zh-CN"/>
        </w:rPr>
        <w:t>缺陷保修期</w:t>
      </w:r>
    </w:p>
    <w:p w14:paraId="15E9981E">
      <w:pPr>
        <w:pStyle w:val="41"/>
        <w:spacing w:line="260" w:lineRule="exact"/>
        <w:ind w:left="720" w:firstLine="0"/>
        <w:rPr>
          <w:lang w:eastAsia="zh-CN"/>
        </w:rPr>
      </w:pPr>
    </w:p>
    <w:p w14:paraId="3D7D77A3">
      <w:pPr>
        <w:pStyle w:val="40"/>
        <w:numPr>
          <w:ilvl w:val="2"/>
          <w:numId w:val="28"/>
        </w:numPr>
        <w:spacing w:line="260" w:lineRule="exact"/>
        <w:ind w:left="1276" w:hanging="567"/>
        <w:rPr>
          <w:caps w:val="0"/>
          <w:lang w:eastAsia="zh-CN"/>
        </w:rPr>
      </w:pPr>
      <w:r>
        <w:rPr>
          <w:rFonts w:hint="eastAsia"/>
          <w:lang w:eastAsia="zh-CN"/>
        </w:rPr>
        <w:t>本照明工程的缺陷保修期为项目整体获得初步接收证书后</w:t>
      </w:r>
      <w:r>
        <w:rPr>
          <w:color w:val="FF0000"/>
          <w:lang w:eastAsia="zh-CN"/>
        </w:rPr>
        <w:t>24</w:t>
      </w:r>
      <w:r>
        <w:rPr>
          <w:rFonts w:hint="eastAsia"/>
          <w:color w:val="FF0000"/>
          <w:lang w:eastAsia="zh-CN"/>
        </w:rPr>
        <w:t>个月</w:t>
      </w:r>
      <w:r>
        <w:rPr>
          <w:rFonts w:hint="eastAsia"/>
          <w:lang w:eastAsia="zh-CN"/>
        </w:rPr>
        <w:t>，应包括由于正常耗损所需的所有零部件和人力。在此期间，应至少每</w:t>
      </w:r>
      <w:r>
        <w:rPr>
          <w:lang w:eastAsia="zh-CN"/>
        </w:rPr>
        <w:t>3</w:t>
      </w:r>
      <w:r>
        <w:rPr>
          <w:rFonts w:hint="eastAsia"/>
          <w:lang w:eastAsia="zh-CN"/>
        </w:rPr>
        <w:t>个月检修一次，在重要节日前应保证运行完好，并在期满时做最后一次检修。</w:t>
      </w:r>
    </w:p>
    <w:p w14:paraId="312528E6">
      <w:pPr>
        <w:pStyle w:val="41"/>
        <w:spacing w:line="260" w:lineRule="exact"/>
        <w:ind w:left="720" w:firstLine="0"/>
        <w:rPr>
          <w:lang w:eastAsia="zh-CN"/>
        </w:rPr>
      </w:pPr>
    </w:p>
    <w:p w14:paraId="799EC35D">
      <w:pPr>
        <w:pStyle w:val="40"/>
        <w:numPr>
          <w:ilvl w:val="2"/>
          <w:numId w:val="28"/>
        </w:numPr>
        <w:spacing w:line="260" w:lineRule="exact"/>
        <w:ind w:left="1276" w:hanging="567"/>
        <w:rPr>
          <w:caps w:val="0"/>
          <w:lang w:eastAsia="zh-CN"/>
        </w:rPr>
      </w:pPr>
      <w:r>
        <w:rPr>
          <w:rFonts w:hint="eastAsia"/>
          <w:lang w:eastAsia="zh-CN"/>
        </w:rPr>
        <w:t>发包人收到本照明工程承包人的最终接收申请报告后，将提交建设单位，并由建设单位组织机电总承包人、施工总承包人、设计人、监理人和相关人员对本项目共同进行最终验收。经过检验后认定合格的，建设单位将向承包人发出</w:t>
      </w:r>
      <w:r>
        <w:rPr>
          <w:lang w:eastAsia="zh-CN"/>
        </w:rPr>
        <w:t>“</w:t>
      </w:r>
      <w:r>
        <w:rPr>
          <w:rFonts w:hint="eastAsia"/>
          <w:lang w:eastAsia="zh-CN"/>
        </w:rPr>
        <w:t>最终接收证书</w:t>
      </w:r>
      <w:r>
        <w:rPr>
          <w:lang w:eastAsia="zh-CN"/>
        </w:rPr>
        <w:t>”</w:t>
      </w:r>
      <w:r>
        <w:rPr>
          <w:rFonts w:hint="eastAsia"/>
          <w:lang w:eastAsia="zh-CN"/>
        </w:rPr>
        <w:t>。建设单位检验后认定不合格的，监理人应当按照建设单位的检验意见发出指示，要求本照明工程承包人对缺陷工程进行修复至合格后重新提请建设单位组织检验，检验合格后，建设单位将向承包人发出</w:t>
      </w:r>
      <w:r>
        <w:rPr>
          <w:lang w:eastAsia="zh-CN"/>
        </w:rPr>
        <w:t>“</w:t>
      </w:r>
      <w:r>
        <w:rPr>
          <w:rFonts w:hint="eastAsia"/>
          <w:lang w:eastAsia="zh-CN"/>
        </w:rPr>
        <w:t>最终接收证书</w:t>
      </w:r>
      <w:r>
        <w:rPr>
          <w:lang w:eastAsia="zh-CN"/>
        </w:rPr>
        <w:t>”</w:t>
      </w:r>
      <w:r>
        <w:rPr>
          <w:rFonts w:hint="eastAsia"/>
          <w:lang w:eastAsia="zh-CN"/>
        </w:rPr>
        <w:t>。</w:t>
      </w:r>
    </w:p>
    <w:p w14:paraId="208A3252">
      <w:pPr>
        <w:pStyle w:val="41"/>
        <w:spacing w:line="260" w:lineRule="exact"/>
        <w:ind w:left="0" w:firstLine="0"/>
        <w:rPr>
          <w:lang w:eastAsia="zh-CN"/>
        </w:rPr>
      </w:pPr>
    </w:p>
    <w:p w14:paraId="70B946F5">
      <w:pPr>
        <w:pStyle w:val="40"/>
        <w:numPr>
          <w:ilvl w:val="1"/>
          <w:numId w:val="28"/>
        </w:numPr>
        <w:spacing w:line="260" w:lineRule="exact"/>
        <w:rPr>
          <w:lang w:eastAsia="zh-CN"/>
        </w:rPr>
      </w:pPr>
      <w:r>
        <w:rPr>
          <w:rFonts w:hint="eastAsia"/>
          <w:lang w:eastAsia="zh-CN"/>
        </w:rPr>
        <w:t>产品质保和备品备件</w:t>
      </w:r>
    </w:p>
    <w:p w14:paraId="5F468D17">
      <w:pPr>
        <w:pStyle w:val="41"/>
        <w:spacing w:line="260" w:lineRule="exact"/>
        <w:ind w:left="720" w:firstLine="0"/>
        <w:rPr>
          <w:lang w:eastAsia="zh-CN"/>
        </w:rPr>
      </w:pPr>
    </w:p>
    <w:p w14:paraId="309F8592">
      <w:pPr>
        <w:pStyle w:val="40"/>
        <w:numPr>
          <w:ilvl w:val="2"/>
          <w:numId w:val="28"/>
        </w:numPr>
        <w:spacing w:line="260" w:lineRule="exact"/>
        <w:ind w:left="1276" w:hanging="567"/>
        <w:rPr>
          <w:caps w:val="0"/>
          <w:lang w:eastAsia="zh-CN"/>
        </w:rPr>
      </w:pPr>
      <w:r>
        <w:rPr>
          <w:rFonts w:hint="eastAsia"/>
          <w:lang w:eastAsia="zh-CN"/>
        </w:rPr>
        <w:t>本项目照明设备应保证自整体初步接收证书发布之日起的缺陷保修期内正常运行，如在缺陷保修期期限内出现问题，由本工程承包人负责及时解决。</w:t>
      </w:r>
    </w:p>
    <w:p w14:paraId="4A181C96">
      <w:pPr>
        <w:pStyle w:val="41"/>
        <w:spacing w:line="260" w:lineRule="exact"/>
        <w:ind w:left="708" w:hanging="708" w:hangingChars="354"/>
        <w:rPr>
          <w:lang w:eastAsia="zh-CN"/>
        </w:rPr>
      </w:pPr>
      <w:r>
        <w:rPr>
          <w:rFonts w:hint="eastAsia"/>
          <w:lang w:eastAsia="zh-CN"/>
        </w:rPr>
        <w:tab/>
      </w:r>
    </w:p>
    <w:p w14:paraId="1A0D76BE">
      <w:pPr>
        <w:pStyle w:val="40"/>
        <w:numPr>
          <w:ilvl w:val="2"/>
          <w:numId w:val="28"/>
        </w:numPr>
        <w:spacing w:line="260" w:lineRule="exact"/>
        <w:ind w:left="1276" w:hanging="567"/>
        <w:rPr>
          <w:caps w:val="0"/>
          <w:lang w:eastAsia="zh-CN"/>
        </w:rPr>
      </w:pPr>
      <w:r>
        <w:rPr>
          <w:rFonts w:hint="eastAsia"/>
          <w:lang w:eastAsia="zh-CN"/>
        </w:rPr>
        <w:t>按发包人要求的数量提供备品备件。相关费用应包括在签约合同价中。</w:t>
      </w:r>
    </w:p>
    <w:p w14:paraId="07631E9C">
      <w:pPr>
        <w:pStyle w:val="41"/>
        <w:spacing w:line="260" w:lineRule="exact"/>
        <w:ind w:left="0" w:firstLine="0"/>
        <w:rPr>
          <w:lang w:eastAsia="zh-CN"/>
        </w:rPr>
      </w:pPr>
    </w:p>
    <w:p w14:paraId="009A0B4F">
      <w:pPr>
        <w:pStyle w:val="40"/>
        <w:numPr>
          <w:ilvl w:val="1"/>
          <w:numId w:val="28"/>
        </w:numPr>
        <w:spacing w:line="260" w:lineRule="exact"/>
        <w:rPr>
          <w:lang w:eastAsia="zh-CN"/>
        </w:rPr>
      </w:pPr>
      <w:r>
        <w:rPr>
          <w:rFonts w:hint="eastAsia"/>
          <w:lang w:eastAsia="zh-CN"/>
        </w:rPr>
        <w:t>维护和售后支持</w:t>
      </w:r>
    </w:p>
    <w:p w14:paraId="01BEBBAD">
      <w:pPr>
        <w:pStyle w:val="41"/>
        <w:spacing w:line="260" w:lineRule="exact"/>
        <w:ind w:left="720" w:firstLine="0"/>
        <w:rPr>
          <w:lang w:eastAsia="zh-CN"/>
        </w:rPr>
      </w:pPr>
    </w:p>
    <w:p w14:paraId="0D329848">
      <w:pPr>
        <w:pStyle w:val="40"/>
        <w:numPr>
          <w:ilvl w:val="2"/>
          <w:numId w:val="28"/>
        </w:numPr>
        <w:spacing w:line="260" w:lineRule="exact"/>
        <w:ind w:left="1276" w:hanging="567"/>
        <w:rPr>
          <w:caps w:val="0"/>
          <w:lang w:eastAsia="zh-CN"/>
        </w:rPr>
      </w:pPr>
      <w:r>
        <w:rPr>
          <w:rFonts w:hint="eastAsia"/>
          <w:lang w:eastAsia="zh-CN"/>
        </w:rPr>
        <w:t>本照明工程的售后支持期为</w:t>
      </w:r>
      <w:r>
        <w:rPr>
          <w:lang w:eastAsia="zh-CN"/>
        </w:rPr>
        <w:t>10</w:t>
      </w:r>
      <w:r>
        <w:rPr>
          <w:rFonts w:hint="eastAsia"/>
          <w:lang w:eastAsia="zh-CN"/>
        </w:rPr>
        <w:t>年，在此期间的维保应包括设备故障时上门维修和系统调试。对于照明系统故障，本照明工程承包人应在报修</w:t>
      </w:r>
      <w:r>
        <w:rPr>
          <w:lang w:eastAsia="zh-CN"/>
        </w:rPr>
        <w:t>24</w:t>
      </w:r>
      <w:r>
        <w:rPr>
          <w:rFonts w:hint="eastAsia"/>
          <w:lang w:eastAsia="zh-CN"/>
        </w:rPr>
        <w:t>小时之内派人到达现场查看。</w:t>
      </w:r>
    </w:p>
    <w:p w14:paraId="0E22E0F9">
      <w:pPr>
        <w:pStyle w:val="41"/>
        <w:spacing w:line="260" w:lineRule="exact"/>
        <w:ind w:left="720" w:firstLine="0"/>
        <w:rPr>
          <w:lang w:eastAsia="zh-CN"/>
        </w:rPr>
      </w:pPr>
    </w:p>
    <w:p w14:paraId="6B1D6CC6">
      <w:pPr>
        <w:pStyle w:val="40"/>
        <w:numPr>
          <w:ilvl w:val="2"/>
          <w:numId w:val="28"/>
        </w:numPr>
        <w:spacing w:line="260" w:lineRule="exact"/>
        <w:ind w:left="1276" w:hanging="567"/>
        <w:rPr>
          <w:caps w:val="0"/>
          <w:lang w:eastAsia="zh-CN"/>
        </w:rPr>
      </w:pPr>
      <w:r>
        <w:rPr>
          <w:lang w:eastAsia="zh-CN"/>
        </w:rPr>
        <w:t>LED</w:t>
      </w:r>
      <w:r>
        <w:rPr>
          <w:rFonts w:hint="eastAsia"/>
          <w:lang w:eastAsia="zh-CN"/>
        </w:rPr>
        <w:t>灯具控制系统软件升级应终身免费提供。</w:t>
      </w:r>
    </w:p>
    <w:p w14:paraId="317545A0">
      <w:pPr>
        <w:pStyle w:val="41"/>
        <w:spacing w:line="260" w:lineRule="exact"/>
        <w:ind w:left="720" w:firstLine="0"/>
        <w:rPr>
          <w:lang w:eastAsia="zh-CN"/>
        </w:rPr>
      </w:pPr>
    </w:p>
    <w:p w14:paraId="7AFCDF31">
      <w:pPr>
        <w:pStyle w:val="40"/>
        <w:numPr>
          <w:ilvl w:val="2"/>
          <w:numId w:val="28"/>
        </w:numPr>
        <w:spacing w:line="260" w:lineRule="exact"/>
        <w:ind w:left="1276" w:hanging="567"/>
        <w:rPr>
          <w:caps w:val="0"/>
          <w:lang w:eastAsia="zh-CN"/>
        </w:rPr>
      </w:pPr>
      <w:r>
        <w:rPr>
          <w:rFonts w:hint="eastAsia"/>
          <w:lang w:eastAsia="zh-CN"/>
        </w:rPr>
        <w:t>承包人应提供缺陷保修期结束之后的</w:t>
      </w:r>
      <w:r>
        <w:rPr>
          <w:lang w:eastAsia="zh-CN"/>
        </w:rPr>
        <w:t>2</w:t>
      </w:r>
      <w:r>
        <w:rPr>
          <w:rFonts w:hint="eastAsia"/>
          <w:lang w:eastAsia="zh-CN"/>
        </w:rPr>
        <w:t>年内、</w:t>
      </w:r>
      <w:r>
        <w:rPr>
          <w:lang w:eastAsia="zh-CN"/>
        </w:rPr>
        <w:t>2-5</w:t>
      </w:r>
      <w:r>
        <w:rPr>
          <w:rFonts w:hint="eastAsia"/>
          <w:lang w:eastAsia="zh-CN"/>
        </w:rPr>
        <w:t>年期、</w:t>
      </w:r>
      <w:r>
        <w:rPr>
          <w:lang w:eastAsia="zh-CN"/>
        </w:rPr>
        <w:t>5-10</w:t>
      </w:r>
      <w:r>
        <w:rPr>
          <w:rFonts w:hint="eastAsia"/>
          <w:lang w:eastAsia="zh-CN"/>
        </w:rPr>
        <w:t>年期的售后支持方案的报价，包括设备价格，以及维护所需物料、人工费。</w:t>
      </w:r>
    </w:p>
    <w:p w14:paraId="520B535C">
      <w:pPr>
        <w:pStyle w:val="40"/>
        <w:spacing w:line="260" w:lineRule="exact"/>
        <w:ind w:left="1276" w:firstLine="0"/>
        <w:rPr>
          <w:lang w:eastAsia="zh-CN"/>
        </w:rPr>
      </w:pPr>
    </w:p>
    <w:p w14:paraId="1789D44E">
      <w:pPr>
        <w:pStyle w:val="40"/>
        <w:spacing w:line="260" w:lineRule="exact"/>
        <w:ind w:left="1276" w:firstLine="0"/>
        <w:rPr>
          <w:lang w:eastAsia="zh-CN"/>
        </w:rPr>
      </w:pPr>
    </w:p>
    <w:p w14:paraId="1DA26CAF">
      <w:pPr>
        <w:pStyle w:val="40"/>
        <w:spacing w:line="260" w:lineRule="exact"/>
        <w:ind w:left="1276" w:firstLine="0"/>
        <w:rPr>
          <w:lang w:eastAsia="zh-CN"/>
        </w:rPr>
      </w:pPr>
      <w:r>
        <w:rPr>
          <w:lang w:eastAsia="zh-CN"/>
        </w:rPr>
        <w:br w:type="page"/>
      </w:r>
    </w:p>
    <w:p w14:paraId="0095C3E8">
      <w:pPr>
        <w:pStyle w:val="40"/>
        <w:spacing w:line="260" w:lineRule="exact"/>
        <w:ind w:hangingChars="360"/>
        <w:rPr>
          <w:b/>
          <w:bCs/>
          <w:u w:val="single"/>
        </w:rPr>
      </w:pPr>
      <w:r>
        <w:rPr>
          <w:b/>
          <w:bCs/>
          <w:u w:val="single"/>
          <w:lang w:eastAsia="zh-CN"/>
        </w:rPr>
        <w:t>2</w:t>
      </w:r>
      <w:r>
        <w:rPr>
          <w:rFonts w:hint="eastAsia"/>
          <w:b/>
          <w:bCs/>
          <w:u w:val="single"/>
          <w:lang w:eastAsia="zh-CN"/>
        </w:rPr>
        <w:t>. 安装</w:t>
      </w:r>
    </w:p>
    <w:p w14:paraId="39B42B39">
      <w:pPr>
        <w:pStyle w:val="40"/>
        <w:spacing w:line="260" w:lineRule="exact"/>
        <w:rPr>
          <w:lang w:eastAsia="zh-CN"/>
        </w:rPr>
      </w:pPr>
    </w:p>
    <w:p w14:paraId="37F3C63E">
      <w:pPr>
        <w:pStyle w:val="28"/>
        <w:widowControl/>
        <w:numPr>
          <w:ilvl w:val="0"/>
          <w:numId w:val="45"/>
        </w:numPr>
        <w:spacing w:line="260" w:lineRule="exact"/>
        <w:ind w:firstLineChars="0"/>
        <w:rPr>
          <w:rFonts w:ascii="Arial" w:hAnsi="Arial" w:eastAsia="宋体"/>
          <w:caps/>
          <w:vanish/>
          <w:kern w:val="0"/>
          <w:sz w:val="20"/>
          <w:lang w:eastAsia="zh-CN"/>
        </w:rPr>
      </w:pPr>
    </w:p>
    <w:p w14:paraId="5CFE2C5C">
      <w:pPr>
        <w:pStyle w:val="28"/>
        <w:widowControl/>
        <w:numPr>
          <w:ilvl w:val="0"/>
          <w:numId w:val="45"/>
        </w:numPr>
        <w:spacing w:line="260" w:lineRule="exact"/>
        <w:ind w:firstLineChars="0"/>
        <w:rPr>
          <w:rFonts w:ascii="Arial" w:hAnsi="Arial" w:eastAsia="宋体"/>
          <w:caps/>
          <w:vanish/>
          <w:kern w:val="0"/>
          <w:sz w:val="20"/>
          <w:lang w:eastAsia="zh-CN"/>
        </w:rPr>
      </w:pPr>
    </w:p>
    <w:p w14:paraId="4FEAED71">
      <w:pPr>
        <w:pStyle w:val="40"/>
        <w:numPr>
          <w:ilvl w:val="1"/>
          <w:numId w:val="45"/>
        </w:numPr>
        <w:spacing w:line="260" w:lineRule="exact"/>
        <w:ind w:left="720"/>
        <w:rPr>
          <w:lang w:eastAsia="zh-CN"/>
        </w:rPr>
      </w:pPr>
      <w:r>
        <w:rPr>
          <w:rFonts w:hint="eastAsia"/>
          <w:lang w:eastAsia="zh-CN"/>
        </w:rPr>
        <w:t>概述</w:t>
      </w:r>
      <w:bookmarkStart w:id="92" w:name="_GoBack"/>
      <w:bookmarkEnd w:id="92"/>
    </w:p>
    <w:p w14:paraId="6548AC0C">
      <w:pPr>
        <w:pStyle w:val="40"/>
        <w:spacing w:line="260" w:lineRule="exact"/>
        <w:rPr>
          <w:lang w:eastAsia="zh-CN"/>
        </w:rPr>
      </w:pPr>
    </w:p>
    <w:p w14:paraId="2FFD4186">
      <w:pPr>
        <w:pStyle w:val="40"/>
        <w:numPr>
          <w:ilvl w:val="0"/>
          <w:numId w:val="46"/>
        </w:numPr>
        <w:spacing w:line="260" w:lineRule="exact"/>
        <w:rPr>
          <w:caps w:val="0"/>
          <w:lang w:eastAsia="zh-CN"/>
        </w:rPr>
      </w:pPr>
      <w:r>
        <w:rPr>
          <w:rFonts w:hint="eastAsia"/>
          <w:lang w:eastAsia="zh-CN"/>
        </w:rPr>
        <w:t>安装的灯具必须具备配套光源和其它必要附件，如五金部件、电气附件、悬索、支撑构件、电缆、电缆管、安装支架等，以达到安全、完整，保证灯具正常工作。</w:t>
      </w:r>
    </w:p>
    <w:p w14:paraId="7B4C6C82">
      <w:pPr>
        <w:pStyle w:val="40"/>
        <w:spacing w:line="260" w:lineRule="exact"/>
        <w:ind w:left="0" w:firstLine="0"/>
        <w:rPr>
          <w:lang w:eastAsia="zh-CN"/>
        </w:rPr>
      </w:pPr>
    </w:p>
    <w:p w14:paraId="3DEBAFC9">
      <w:pPr>
        <w:pStyle w:val="40"/>
        <w:numPr>
          <w:ilvl w:val="0"/>
          <w:numId w:val="46"/>
        </w:numPr>
        <w:spacing w:line="260" w:lineRule="exact"/>
        <w:rPr>
          <w:caps w:val="0"/>
          <w:lang w:eastAsia="zh-CN"/>
        </w:rPr>
      </w:pPr>
      <w:r>
        <w:rPr>
          <w:caps w:val="0"/>
          <w:lang w:eastAsia="zh-CN"/>
        </w:rPr>
        <w:t>DMX512</w:t>
      </w:r>
      <w:r>
        <w:rPr>
          <w:rFonts w:hint="eastAsia"/>
          <w:caps w:val="0"/>
          <w:lang w:eastAsia="zh-CN"/>
        </w:rPr>
        <w:t>调光回路需配置信号线，由承包商负责。</w:t>
      </w:r>
    </w:p>
    <w:p w14:paraId="0B5A7745">
      <w:pPr>
        <w:pStyle w:val="40"/>
        <w:spacing w:line="260" w:lineRule="exact"/>
        <w:ind w:left="1080" w:firstLine="0"/>
        <w:rPr>
          <w:caps w:val="0"/>
          <w:lang w:eastAsia="zh-CN"/>
        </w:rPr>
      </w:pPr>
    </w:p>
    <w:p w14:paraId="289E35F5">
      <w:pPr>
        <w:pStyle w:val="40"/>
        <w:numPr>
          <w:ilvl w:val="0"/>
          <w:numId w:val="46"/>
        </w:numPr>
        <w:spacing w:line="260" w:lineRule="exact"/>
        <w:rPr>
          <w:caps w:val="0"/>
          <w:lang w:eastAsia="zh-CN"/>
        </w:rPr>
      </w:pPr>
      <w:r>
        <w:rPr>
          <w:rFonts w:hint="eastAsia"/>
          <w:lang w:eastAsia="zh-CN"/>
        </w:rPr>
        <w:t>不接受并且不得安装有瑕疵的、或未经发包人/设计人认可的灯具。如果已经安装，也必须按照发包人/设计人的要求进行更换。</w:t>
      </w:r>
    </w:p>
    <w:p w14:paraId="13EFBCC1">
      <w:pPr>
        <w:pStyle w:val="28"/>
        <w:spacing w:line="260" w:lineRule="exact"/>
        <w:ind w:firstLine="360"/>
        <w:rPr>
          <w:lang w:eastAsia="zh-CN"/>
        </w:rPr>
      </w:pPr>
    </w:p>
    <w:p w14:paraId="6F290523">
      <w:pPr>
        <w:pStyle w:val="40"/>
        <w:numPr>
          <w:ilvl w:val="0"/>
          <w:numId w:val="46"/>
        </w:numPr>
        <w:spacing w:line="260" w:lineRule="exact"/>
        <w:rPr>
          <w:caps w:val="0"/>
          <w:lang w:eastAsia="zh-CN"/>
        </w:rPr>
      </w:pPr>
      <w:r>
        <w:rPr>
          <w:rFonts w:hint="eastAsia"/>
          <w:lang w:eastAsia="zh-CN"/>
        </w:rPr>
        <w:t>使用正确的安装方式，防止出现光线溢出、灯具变形、凹陷或其他缺陷。在安装位置及灯具拼接位置，都不允许有光线溢出。</w:t>
      </w:r>
    </w:p>
    <w:p w14:paraId="6F580E39">
      <w:pPr>
        <w:pStyle w:val="28"/>
        <w:spacing w:line="260" w:lineRule="exact"/>
        <w:ind w:firstLine="360"/>
        <w:rPr>
          <w:lang w:eastAsia="zh-CN"/>
        </w:rPr>
      </w:pPr>
    </w:p>
    <w:p w14:paraId="20268291">
      <w:pPr>
        <w:pStyle w:val="40"/>
        <w:numPr>
          <w:ilvl w:val="0"/>
          <w:numId w:val="46"/>
        </w:numPr>
        <w:spacing w:line="260" w:lineRule="exact"/>
        <w:rPr>
          <w:caps w:val="0"/>
          <w:lang w:eastAsia="zh-CN"/>
        </w:rPr>
      </w:pPr>
      <w:r>
        <w:rPr>
          <w:rFonts w:hint="eastAsia"/>
          <w:lang w:eastAsia="zh-CN"/>
        </w:rPr>
        <w:t>根据图纸标注或发包人/设计人要求的位置及高度安装灯具。若图纸没有标注，承包人应向发包人/设计人询问。</w:t>
      </w:r>
    </w:p>
    <w:p w14:paraId="3E6C22D7">
      <w:pPr>
        <w:pStyle w:val="28"/>
        <w:spacing w:line="260" w:lineRule="exact"/>
        <w:ind w:firstLine="360"/>
        <w:rPr>
          <w:lang w:eastAsia="zh-CN"/>
        </w:rPr>
      </w:pPr>
    </w:p>
    <w:p w14:paraId="558159D0">
      <w:pPr>
        <w:pStyle w:val="40"/>
        <w:numPr>
          <w:ilvl w:val="0"/>
          <w:numId w:val="46"/>
        </w:numPr>
        <w:spacing w:line="260" w:lineRule="exact"/>
        <w:rPr>
          <w:caps w:val="0"/>
          <w:lang w:eastAsia="zh-CN"/>
        </w:rPr>
      </w:pPr>
      <w:r>
        <w:rPr>
          <w:rFonts w:hint="eastAsia"/>
          <w:lang w:eastAsia="zh-CN"/>
        </w:rPr>
        <w:t>导线接头、接线盒、设备安装孔、电器、开关、控制面板以及其他任何需要维修和维护的设备，应该放置、安装在维修人员容易接近的位置。</w:t>
      </w:r>
    </w:p>
    <w:p w14:paraId="0BD9AA8F">
      <w:pPr>
        <w:pStyle w:val="40"/>
        <w:spacing w:line="260" w:lineRule="exact"/>
        <w:rPr>
          <w:lang w:eastAsia="zh-CN"/>
        </w:rPr>
      </w:pPr>
    </w:p>
    <w:p w14:paraId="3870DF88">
      <w:pPr>
        <w:pStyle w:val="40"/>
        <w:numPr>
          <w:ilvl w:val="1"/>
          <w:numId w:val="45"/>
        </w:numPr>
        <w:spacing w:line="260" w:lineRule="exact"/>
        <w:ind w:left="709" w:hanging="709"/>
        <w:rPr>
          <w:lang w:eastAsia="zh-CN"/>
        </w:rPr>
      </w:pPr>
      <w:r>
        <w:rPr>
          <w:rFonts w:hint="eastAsia"/>
          <w:lang w:eastAsia="zh-CN"/>
        </w:rPr>
        <w:t>支撑结构</w:t>
      </w:r>
    </w:p>
    <w:p w14:paraId="67641424">
      <w:pPr>
        <w:pStyle w:val="40"/>
        <w:spacing w:line="260" w:lineRule="exact"/>
        <w:ind w:left="0" w:firstLine="0"/>
        <w:rPr>
          <w:lang w:eastAsia="zh-CN"/>
        </w:rPr>
      </w:pPr>
    </w:p>
    <w:p w14:paraId="05658A30">
      <w:pPr>
        <w:pStyle w:val="40"/>
        <w:numPr>
          <w:ilvl w:val="0"/>
          <w:numId w:val="47"/>
        </w:numPr>
        <w:spacing w:line="260" w:lineRule="exact"/>
        <w:rPr>
          <w:lang w:eastAsia="zh-CN"/>
        </w:rPr>
      </w:pPr>
      <w:r>
        <w:rPr>
          <w:rFonts w:hint="eastAsia"/>
          <w:lang w:eastAsia="zh-CN"/>
        </w:rPr>
        <w:t>为灯具及其附件提供必需的支撑结构或配件。</w:t>
      </w:r>
    </w:p>
    <w:p w14:paraId="1132F5C8">
      <w:pPr>
        <w:pStyle w:val="40"/>
        <w:spacing w:line="260" w:lineRule="exact"/>
        <w:ind w:left="1069" w:firstLine="0"/>
        <w:rPr>
          <w:lang w:eastAsia="zh-CN"/>
        </w:rPr>
      </w:pPr>
    </w:p>
    <w:p w14:paraId="6B0BC5DB">
      <w:pPr>
        <w:pStyle w:val="40"/>
        <w:numPr>
          <w:ilvl w:val="0"/>
          <w:numId w:val="47"/>
        </w:numPr>
        <w:spacing w:line="260" w:lineRule="exact"/>
        <w:rPr>
          <w:caps w:val="0"/>
          <w:lang w:eastAsia="zh-CN"/>
        </w:rPr>
      </w:pPr>
      <w:r>
        <w:rPr>
          <w:rFonts w:hint="eastAsia"/>
          <w:lang w:eastAsia="zh-CN"/>
        </w:rPr>
        <w:t>提供的支撑结构应能满足支撑灯具及其附件的自身重量，保证灯具正常工作。</w:t>
      </w:r>
    </w:p>
    <w:p w14:paraId="7DF4167C">
      <w:pPr>
        <w:pStyle w:val="28"/>
        <w:spacing w:line="260" w:lineRule="exact"/>
        <w:ind w:firstLine="360"/>
        <w:rPr>
          <w:lang w:eastAsia="zh-CN"/>
        </w:rPr>
      </w:pPr>
    </w:p>
    <w:p w14:paraId="180F902E">
      <w:pPr>
        <w:pStyle w:val="40"/>
        <w:numPr>
          <w:ilvl w:val="0"/>
          <w:numId w:val="47"/>
        </w:numPr>
        <w:spacing w:line="260" w:lineRule="exact"/>
        <w:rPr>
          <w:caps w:val="0"/>
          <w:lang w:eastAsia="zh-CN"/>
        </w:rPr>
      </w:pPr>
      <w:r>
        <w:rPr>
          <w:rFonts w:hint="eastAsia"/>
          <w:lang w:eastAsia="zh-CN"/>
        </w:rPr>
        <w:t>提供的支撑结构必须经过表面钝化及防腐处理，可见的部分应进行和灯具表面一致的表面喷涂处理。</w:t>
      </w:r>
    </w:p>
    <w:p w14:paraId="2D443459">
      <w:pPr>
        <w:pStyle w:val="28"/>
        <w:spacing w:line="260" w:lineRule="exact"/>
        <w:ind w:firstLine="360"/>
        <w:rPr>
          <w:rFonts w:eastAsiaTheme="minorEastAsia"/>
          <w:lang w:eastAsia="zh-CN"/>
        </w:rPr>
      </w:pPr>
    </w:p>
    <w:p w14:paraId="2C991752">
      <w:pPr>
        <w:pStyle w:val="41"/>
        <w:numPr>
          <w:ilvl w:val="0"/>
          <w:numId w:val="47"/>
        </w:numPr>
        <w:spacing w:line="260" w:lineRule="exact"/>
        <w:rPr>
          <w:lang w:eastAsia="zh-CN"/>
        </w:rPr>
      </w:pPr>
      <w:r>
        <w:rPr>
          <w:rFonts w:hint="eastAsia"/>
          <w:lang w:eastAsia="zh-CN"/>
        </w:rPr>
        <w:t>在必须满足主管部门提出的防火安全问题时，承包人应为灯具提供满足相应防火等级要求的防护设施。</w:t>
      </w:r>
    </w:p>
    <w:p w14:paraId="5E4B3ED4">
      <w:pPr>
        <w:pStyle w:val="28"/>
        <w:spacing w:line="260" w:lineRule="exact"/>
        <w:ind w:firstLine="360"/>
        <w:rPr>
          <w:lang w:eastAsia="zh-CN"/>
        </w:rPr>
      </w:pPr>
    </w:p>
    <w:p w14:paraId="07B628FB">
      <w:pPr>
        <w:pStyle w:val="40"/>
        <w:numPr>
          <w:ilvl w:val="0"/>
          <w:numId w:val="47"/>
        </w:numPr>
        <w:spacing w:line="260" w:lineRule="exact"/>
        <w:rPr>
          <w:lang w:eastAsia="zh-CN"/>
        </w:rPr>
      </w:pPr>
      <w:r>
        <w:rPr>
          <w:rFonts w:hint="eastAsia"/>
          <w:lang w:eastAsia="zh-CN"/>
        </w:rPr>
        <w:t>所有的悬吊、悬挂件应保持垂直。</w:t>
      </w:r>
    </w:p>
    <w:p w14:paraId="5492EBCF">
      <w:pPr>
        <w:pStyle w:val="40"/>
        <w:spacing w:line="260" w:lineRule="exact"/>
        <w:rPr>
          <w:lang w:eastAsia="zh-CN"/>
        </w:rPr>
      </w:pPr>
    </w:p>
    <w:p w14:paraId="236D4708">
      <w:pPr>
        <w:pStyle w:val="40"/>
        <w:numPr>
          <w:ilvl w:val="1"/>
          <w:numId w:val="45"/>
        </w:numPr>
        <w:spacing w:line="260" w:lineRule="exact"/>
        <w:ind w:left="709" w:hanging="709"/>
        <w:rPr>
          <w:lang w:eastAsia="zh-CN"/>
        </w:rPr>
      </w:pPr>
      <w:r>
        <w:rPr>
          <w:rFonts w:hint="eastAsia"/>
          <w:lang w:eastAsia="zh-CN"/>
        </w:rPr>
        <w:t>工地准备</w:t>
      </w:r>
    </w:p>
    <w:p w14:paraId="79DF479A">
      <w:pPr>
        <w:pStyle w:val="40"/>
        <w:spacing w:line="260" w:lineRule="exact"/>
        <w:rPr>
          <w:lang w:eastAsia="zh-CN"/>
        </w:rPr>
      </w:pPr>
    </w:p>
    <w:p w14:paraId="05CADA22">
      <w:pPr>
        <w:pStyle w:val="40"/>
        <w:numPr>
          <w:ilvl w:val="0"/>
          <w:numId w:val="48"/>
        </w:numPr>
        <w:spacing w:line="260" w:lineRule="exact"/>
        <w:rPr>
          <w:lang w:eastAsia="zh-CN"/>
        </w:rPr>
      </w:pPr>
      <w:r>
        <w:rPr>
          <w:rFonts w:hint="eastAsia"/>
          <w:lang w:eastAsia="zh-CN"/>
        </w:rPr>
        <w:t>本照明工程承包人应在灯具安装前检查所有相关的配合节点及施工界面。</w:t>
      </w:r>
    </w:p>
    <w:p w14:paraId="07C9190A">
      <w:pPr>
        <w:pStyle w:val="40"/>
        <w:spacing w:line="260" w:lineRule="exact"/>
        <w:ind w:left="1069" w:firstLine="0"/>
        <w:rPr>
          <w:lang w:eastAsia="zh-CN"/>
        </w:rPr>
      </w:pPr>
    </w:p>
    <w:p w14:paraId="48D249C2">
      <w:pPr>
        <w:pStyle w:val="40"/>
        <w:numPr>
          <w:ilvl w:val="0"/>
          <w:numId w:val="48"/>
        </w:numPr>
        <w:spacing w:line="260" w:lineRule="exact"/>
        <w:rPr>
          <w:lang w:eastAsia="zh-CN"/>
        </w:rPr>
      </w:pPr>
      <w:r>
        <w:rPr>
          <w:rFonts w:hint="eastAsia"/>
          <w:lang w:eastAsia="zh-CN"/>
        </w:rPr>
        <w:t>预安装的灯具及线缆应分别在幕墙工厂、现场幕墙装配前及幕墙安装完成后分别进行至少三次检测。</w:t>
      </w:r>
    </w:p>
    <w:p w14:paraId="151CF075">
      <w:pPr>
        <w:pStyle w:val="40"/>
        <w:spacing w:line="260" w:lineRule="exact"/>
        <w:rPr>
          <w:lang w:eastAsia="zh-CN"/>
        </w:rPr>
      </w:pPr>
    </w:p>
    <w:p w14:paraId="1241689C">
      <w:pPr>
        <w:pStyle w:val="40"/>
        <w:numPr>
          <w:ilvl w:val="1"/>
          <w:numId w:val="45"/>
        </w:numPr>
        <w:spacing w:line="260" w:lineRule="exact"/>
        <w:ind w:left="709" w:hanging="709"/>
        <w:rPr>
          <w:lang w:eastAsia="zh-CN"/>
        </w:rPr>
      </w:pPr>
      <w:bookmarkStart w:id="85" w:name="_Toc437437805"/>
      <w:r>
        <w:rPr>
          <w:rFonts w:hint="eastAsia"/>
          <w:lang w:eastAsia="zh-CN"/>
        </w:rPr>
        <w:t>灯具及配线安装施工要求</w:t>
      </w:r>
    </w:p>
    <w:bookmarkEnd w:id="85"/>
    <w:p w14:paraId="0CCF06DF">
      <w:pPr>
        <w:pStyle w:val="40"/>
        <w:spacing w:line="260" w:lineRule="exact"/>
        <w:rPr>
          <w:lang w:eastAsia="zh-CN"/>
        </w:rPr>
      </w:pPr>
    </w:p>
    <w:p w14:paraId="7D475660">
      <w:pPr>
        <w:pStyle w:val="40"/>
        <w:numPr>
          <w:ilvl w:val="0"/>
          <w:numId w:val="49"/>
        </w:numPr>
        <w:spacing w:line="260" w:lineRule="exact"/>
        <w:rPr>
          <w:lang w:eastAsia="zh-CN"/>
        </w:rPr>
      </w:pPr>
      <w:r>
        <w:rPr>
          <w:rFonts w:hint="eastAsia"/>
          <w:lang w:eastAsia="zh-CN"/>
        </w:rPr>
        <w:t>施工前需明确灯具及强弱电线缆的重量限值。</w:t>
      </w:r>
    </w:p>
    <w:p w14:paraId="34D97DBD">
      <w:pPr>
        <w:pStyle w:val="40"/>
        <w:spacing w:line="260" w:lineRule="exact"/>
        <w:ind w:left="1069" w:firstLine="0"/>
        <w:rPr>
          <w:lang w:eastAsia="zh-CN"/>
        </w:rPr>
      </w:pPr>
    </w:p>
    <w:p w14:paraId="16B97C8D">
      <w:pPr>
        <w:pStyle w:val="40"/>
        <w:numPr>
          <w:ilvl w:val="0"/>
          <w:numId w:val="49"/>
        </w:numPr>
        <w:spacing w:line="260" w:lineRule="exact"/>
        <w:rPr>
          <w:lang w:eastAsia="zh-CN"/>
        </w:rPr>
      </w:pPr>
      <w:r>
        <w:rPr>
          <w:rFonts w:hint="eastAsia"/>
          <w:lang w:eastAsia="zh-CN"/>
        </w:rPr>
        <w:t>灯具、线缆安装时避免将可拆卸部分型材与不可拆卸转接件固定在一起。</w:t>
      </w:r>
    </w:p>
    <w:p w14:paraId="49D2B0C8">
      <w:pPr>
        <w:pStyle w:val="28"/>
        <w:spacing w:line="260" w:lineRule="exact"/>
        <w:ind w:firstLine="360"/>
        <w:rPr>
          <w:rFonts w:eastAsiaTheme="minorEastAsia"/>
          <w:lang w:eastAsia="zh-CN"/>
        </w:rPr>
      </w:pPr>
    </w:p>
    <w:p w14:paraId="32D4D394">
      <w:pPr>
        <w:pStyle w:val="40"/>
        <w:numPr>
          <w:ilvl w:val="0"/>
          <w:numId w:val="49"/>
        </w:numPr>
        <w:spacing w:line="260" w:lineRule="exact"/>
        <w:rPr>
          <w:lang w:eastAsia="zh-CN"/>
        </w:rPr>
      </w:pPr>
      <w:r>
        <w:rPr>
          <w:rFonts w:hint="eastAsia"/>
          <w:lang w:eastAsia="zh-CN"/>
        </w:rPr>
        <w:t>需穿透幕墙时应充分考虑对幕墙性能损伤的补救措施，所有措施需得到幕墙承包人书面认可。</w:t>
      </w:r>
    </w:p>
    <w:p w14:paraId="20F054A9">
      <w:pPr>
        <w:pStyle w:val="28"/>
        <w:spacing w:line="260" w:lineRule="exact"/>
        <w:ind w:firstLine="360"/>
        <w:rPr>
          <w:lang w:eastAsia="zh-CN"/>
        </w:rPr>
      </w:pPr>
    </w:p>
    <w:p w14:paraId="3EECAE50">
      <w:pPr>
        <w:pStyle w:val="40"/>
        <w:numPr>
          <w:ilvl w:val="0"/>
          <w:numId w:val="49"/>
        </w:numPr>
        <w:spacing w:line="260" w:lineRule="exact"/>
        <w:rPr>
          <w:lang w:eastAsia="zh-CN"/>
        </w:rPr>
      </w:pPr>
      <w:r>
        <w:rPr>
          <w:rFonts w:hint="eastAsia"/>
          <w:lang w:eastAsia="zh-CN"/>
        </w:rPr>
        <w:t>所涉及的敷设线槽路由需由照明工程承包人根据最终招标灯具技术条件深化。</w:t>
      </w:r>
    </w:p>
    <w:p w14:paraId="178EDF40">
      <w:pPr>
        <w:pStyle w:val="40"/>
        <w:spacing w:line="260" w:lineRule="exact"/>
        <w:rPr>
          <w:lang w:eastAsia="zh-CN"/>
        </w:rPr>
      </w:pPr>
    </w:p>
    <w:p w14:paraId="5F1759DD">
      <w:pPr>
        <w:pStyle w:val="40"/>
        <w:numPr>
          <w:ilvl w:val="1"/>
          <w:numId w:val="45"/>
        </w:numPr>
        <w:spacing w:line="260" w:lineRule="exact"/>
        <w:ind w:left="709" w:hanging="709"/>
        <w:rPr>
          <w:lang w:eastAsia="zh-CN"/>
        </w:rPr>
      </w:pPr>
      <w:bookmarkStart w:id="86" w:name="_Toc437437806"/>
      <w:r>
        <w:rPr>
          <w:rFonts w:hint="eastAsia"/>
          <w:lang w:eastAsia="zh-CN"/>
        </w:rPr>
        <w:t>现场测试和调试</w:t>
      </w:r>
    </w:p>
    <w:bookmarkEnd w:id="86"/>
    <w:p w14:paraId="1BD7E834">
      <w:pPr>
        <w:pStyle w:val="40"/>
        <w:spacing w:line="260" w:lineRule="exact"/>
        <w:rPr>
          <w:lang w:eastAsia="zh-CN"/>
        </w:rPr>
      </w:pPr>
    </w:p>
    <w:p w14:paraId="44F3D115">
      <w:pPr>
        <w:pStyle w:val="40"/>
        <w:numPr>
          <w:ilvl w:val="2"/>
          <w:numId w:val="45"/>
        </w:numPr>
        <w:spacing w:line="260" w:lineRule="exact"/>
        <w:ind w:left="1276" w:hanging="567"/>
        <w:rPr>
          <w:lang w:eastAsia="zh-CN"/>
        </w:rPr>
      </w:pPr>
      <w:r>
        <w:rPr>
          <w:rFonts w:hint="eastAsia"/>
          <w:lang w:eastAsia="zh-CN"/>
        </w:rPr>
        <w:t>stage power test</w:t>
      </w:r>
    </w:p>
    <w:p w14:paraId="58A8E353">
      <w:pPr>
        <w:pStyle w:val="40"/>
        <w:spacing w:line="260" w:lineRule="exact"/>
        <w:ind w:left="1276" w:firstLine="0"/>
        <w:rPr>
          <w:lang w:eastAsia="zh-CN"/>
        </w:rPr>
      </w:pPr>
      <w:r>
        <w:rPr>
          <w:rFonts w:hint="eastAsia"/>
          <w:lang w:eastAsia="zh-CN"/>
        </w:rPr>
        <w:t>阶段性通电测试</w:t>
      </w:r>
    </w:p>
    <w:p w14:paraId="6225D90B">
      <w:pPr>
        <w:pStyle w:val="40"/>
        <w:spacing w:line="260" w:lineRule="exact"/>
        <w:ind w:left="709" w:firstLine="0"/>
        <w:rPr>
          <w:lang w:eastAsia="zh-CN"/>
        </w:rPr>
      </w:pPr>
    </w:p>
    <w:p w14:paraId="6104586E">
      <w:pPr>
        <w:pStyle w:val="40"/>
        <w:numPr>
          <w:ilvl w:val="0"/>
          <w:numId w:val="50"/>
        </w:numPr>
        <w:spacing w:line="260" w:lineRule="exact"/>
        <w:ind w:left="1560" w:hanging="284"/>
        <w:rPr>
          <w:lang w:eastAsia="zh-CN"/>
        </w:rPr>
      </w:pPr>
      <w:r>
        <w:rPr>
          <w:rFonts w:hint="eastAsia"/>
          <w:lang w:eastAsia="zh-CN"/>
        </w:rPr>
        <w:t>在正式调试前，承包人应对灯具投射角度进行预调。</w:t>
      </w:r>
    </w:p>
    <w:p w14:paraId="5BBB01A6">
      <w:pPr>
        <w:pStyle w:val="40"/>
        <w:spacing w:line="260" w:lineRule="exact"/>
        <w:ind w:left="1069" w:firstLine="0"/>
        <w:rPr>
          <w:lang w:eastAsia="zh-CN"/>
        </w:rPr>
      </w:pPr>
    </w:p>
    <w:p w14:paraId="303B1D97">
      <w:pPr>
        <w:pStyle w:val="40"/>
        <w:numPr>
          <w:ilvl w:val="0"/>
          <w:numId w:val="50"/>
        </w:numPr>
        <w:spacing w:line="260" w:lineRule="exact"/>
        <w:ind w:left="1560" w:hanging="284"/>
        <w:rPr>
          <w:caps w:val="0"/>
          <w:lang w:eastAsia="zh-CN"/>
        </w:rPr>
      </w:pPr>
      <w:r>
        <w:rPr>
          <w:rFonts w:hint="eastAsia"/>
          <w:lang w:eastAsia="zh-CN"/>
        </w:rPr>
        <w:t>应根据发包人/设计人的要求，调试</w:t>
      </w:r>
      <w:r>
        <w:rPr>
          <w:lang w:eastAsia="zh-CN"/>
        </w:rPr>
        <w:t>LED</w:t>
      </w:r>
      <w:r>
        <w:rPr>
          <w:rFonts w:hint="eastAsia"/>
          <w:lang w:eastAsia="zh-CN"/>
        </w:rPr>
        <w:t>灯具的所有变化模式。</w:t>
      </w:r>
    </w:p>
    <w:p w14:paraId="5D929C85">
      <w:pPr>
        <w:pStyle w:val="40"/>
        <w:spacing w:line="260" w:lineRule="exact"/>
        <w:ind w:left="0" w:firstLine="0"/>
        <w:rPr>
          <w:lang w:eastAsia="zh-CN"/>
        </w:rPr>
      </w:pPr>
    </w:p>
    <w:p w14:paraId="5C8B88C2">
      <w:pPr>
        <w:pStyle w:val="40"/>
        <w:numPr>
          <w:ilvl w:val="2"/>
          <w:numId w:val="45"/>
        </w:numPr>
        <w:spacing w:line="260" w:lineRule="exact"/>
        <w:ind w:left="1276" w:hanging="567"/>
        <w:rPr>
          <w:lang w:eastAsia="zh-CN"/>
        </w:rPr>
      </w:pPr>
      <w:r>
        <w:rPr>
          <w:rFonts w:hint="eastAsia"/>
          <w:lang w:eastAsia="zh-CN"/>
        </w:rPr>
        <w:t>最终调试</w:t>
      </w:r>
    </w:p>
    <w:p w14:paraId="5B900836">
      <w:pPr>
        <w:pStyle w:val="40"/>
        <w:spacing w:line="260" w:lineRule="exact"/>
        <w:ind w:left="0" w:firstLine="0"/>
        <w:rPr>
          <w:lang w:eastAsia="zh-CN"/>
        </w:rPr>
      </w:pPr>
    </w:p>
    <w:p w14:paraId="3F97E824">
      <w:pPr>
        <w:pStyle w:val="40"/>
        <w:numPr>
          <w:ilvl w:val="0"/>
          <w:numId w:val="51"/>
        </w:numPr>
        <w:spacing w:line="260" w:lineRule="exact"/>
        <w:ind w:left="1560" w:hanging="284"/>
        <w:rPr>
          <w:lang w:eastAsia="zh-CN"/>
        </w:rPr>
      </w:pPr>
      <w:r>
        <w:rPr>
          <w:rFonts w:hint="eastAsia"/>
          <w:lang w:eastAsia="zh-CN"/>
        </w:rPr>
        <w:t>在正式调试前，承包人应对灯具投射角度进行预调。</w:t>
      </w:r>
    </w:p>
    <w:p w14:paraId="54CDBD4E">
      <w:pPr>
        <w:pStyle w:val="40"/>
        <w:spacing w:line="260" w:lineRule="exact"/>
        <w:ind w:left="1069" w:firstLine="0"/>
        <w:rPr>
          <w:lang w:eastAsia="zh-CN"/>
        </w:rPr>
      </w:pPr>
    </w:p>
    <w:p w14:paraId="73E44AA0">
      <w:pPr>
        <w:pStyle w:val="40"/>
        <w:numPr>
          <w:ilvl w:val="0"/>
          <w:numId w:val="51"/>
        </w:numPr>
        <w:spacing w:line="260" w:lineRule="exact"/>
        <w:ind w:left="1560" w:hanging="284"/>
        <w:rPr>
          <w:caps w:val="0"/>
          <w:lang w:eastAsia="zh-CN"/>
        </w:rPr>
      </w:pPr>
      <w:r>
        <w:rPr>
          <w:rFonts w:hint="eastAsia"/>
          <w:lang w:eastAsia="zh-CN"/>
        </w:rPr>
        <w:t>应根据发包人/设计人要求，提供、设置并调试所有常规模式、重大节日模式、多媒体动画演示等场景。</w:t>
      </w:r>
    </w:p>
    <w:p w14:paraId="31736C0F">
      <w:pPr>
        <w:pStyle w:val="28"/>
        <w:spacing w:line="260" w:lineRule="exact"/>
        <w:ind w:firstLine="360"/>
        <w:rPr>
          <w:lang w:eastAsia="zh-CN"/>
        </w:rPr>
      </w:pPr>
    </w:p>
    <w:p w14:paraId="340552D1">
      <w:pPr>
        <w:pStyle w:val="40"/>
        <w:numPr>
          <w:ilvl w:val="0"/>
          <w:numId w:val="51"/>
        </w:numPr>
        <w:spacing w:line="260" w:lineRule="exact"/>
        <w:ind w:left="1560" w:hanging="284"/>
        <w:rPr>
          <w:caps w:val="0"/>
          <w:lang w:eastAsia="zh-CN"/>
        </w:rPr>
      </w:pPr>
      <w:r>
        <w:rPr>
          <w:rFonts w:hint="eastAsia"/>
          <w:lang w:eastAsia="zh-CN"/>
        </w:rPr>
        <w:t>各场景能耗测量。</w:t>
      </w:r>
    </w:p>
    <w:p w14:paraId="7B1E7F95">
      <w:pPr>
        <w:pStyle w:val="28"/>
        <w:spacing w:line="260" w:lineRule="exact"/>
        <w:ind w:firstLine="360"/>
        <w:rPr>
          <w:lang w:eastAsia="zh-CN"/>
        </w:rPr>
      </w:pPr>
    </w:p>
    <w:p w14:paraId="5C115F5A">
      <w:pPr>
        <w:pStyle w:val="40"/>
        <w:numPr>
          <w:ilvl w:val="0"/>
          <w:numId w:val="51"/>
        </w:numPr>
        <w:spacing w:line="260" w:lineRule="exact"/>
        <w:ind w:left="1560" w:hanging="284"/>
        <w:rPr>
          <w:caps w:val="0"/>
          <w:lang w:eastAsia="zh-CN"/>
        </w:rPr>
      </w:pPr>
      <w:r>
        <w:rPr>
          <w:rFonts w:hint="eastAsia"/>
          <w:lang w:eastAsia="zh-CN"/>
        </w:rPr>
        <w:t>灯光场景的调试应持续整个晚上。</w:t>
      </w:r>
    </w:p>
    <w:p w14:paraId="5E0E8278">
      <w:pPr>
        <w:pStyle w:val="28"/>
        <w:spacing w:line="260" w:lineRule="exact"/>
        <w:ind w:firstLine="360"/>
        <w:rPr>
          <w:lang w:eastAsia="zh-CN"/>
        </w:rPr>
      </w:pPr>
    </w:p>
    <w:p w14:paraId="6DB02143">
      <w:pPr>
        <w:pStyle w:val="40"/>
        <w:numPr>
          <w:ilvl w:val="0"/>
          <w:numId w:val="51"/>
        </w:numPr>
        <w:spacing w:line="260" w:lineRule="exact"/>
        <w:ind w:left="1560" w:hanging="284"/>
        <w:rPr>
          <w:caps w:val="0"/>
          <w:lang w:eastAsia="zh-CN"/>
        </w:rPr>
      </w:pPr>
      <w:bookmarkStart w:id="87" w:name="OLE_LINK29"/>
      <w:bookmarkStart w:id="88" w:name="OLE_LINK28"/>
      <w:r>
        <w:rPr>
          <w:rFonts w:hint="eastAsia"/>
          <w:lang w:eastAsia="zh-CN"/>
        </w:rPr>
        <w:t>应调试照明系统与各类感应器的联动工作性能。</w:t>
      </w:r>
      <w:bookmarkEnd w:id="87"/>
      <w:bookmarkEnd w:id="88"/>
    </w:p>
    <w:p w14:paraId="18F90838">
      <w:pPr>
        <w:pStyle w:val="40"/>
        <w:spacing w:line="260" w:lineRule="exact"/>
        <w:ind w:left="1819" w:leftChars="866" w:firstLine="0"/>
        <w:rPr>
          <w:lang w:eastAsia="zh-CN"/>
        </w:rPr>
      </w:pPr>
    </w:p>
    <w:p w14:paraId="041BD108">
      <w:pPr>
        <w:pStyle w:val="40"/>
        <w:numPr>
          <w:ilvl w:val="0"/>
          <w:numId w:val="51"/>
        </w:numPr>
        <w:spacing w:line="260" w:lineRule="exact"/>
        <w:ind w:left="1560" w:hanging="284"/>
        <w:rPr>
          <w:caps w:val="0"/>
          <w:lang w:eastAsia="zh-CN"/>
        </w:rPr>
      </w:pPr>
      <w:r>
        <w:rPr>
          <w:rFonts w:hint="eastAsia"/>
          <w:lang w:eastAsia="zh-CN"/>
        </w:rPr>
        <w:t>记录和提交调试报告。</w:t>
      </w:r>
    </w:p>
    <w:p w14:paraId="3033F680">
      <w:pPr>
        <w:pStyle w:val="40"/>
        <w:spacing w:line="260" w:lineRule="exact"/>
        <w:ind w:left="1819" w:leftChars="866" w:firstLine="0"/>
        <w:rPr>
          <w:lang w:eastAsia="zh-CN"/>
        </w:rPr>
      </w:pPr>
    </w:p>
    <w:p w14:paraId="54845ED8">
      <w:pPr>
        <w:pStyle w:val="40"/>
        <w:numPr>
          <w:ilvl w:val="1"/>
          <w:numId w:val="45"/>
        </w:numPr>
        <w:spacing w:line="260" w:lineRule="exact"/>
        <w:ind w:left="709" w:hanging="709"/>
        <w:rPr>
          <w:lang w:eastAsia="zh-CN"/>
        </w:rPr>
      </w:pPr>
      <w:r>
        <w:rPr>
          <w:rFonts w:hint="eastAsia"/>
          <w:lang w:eastAsia="zh-CN"/>
        </w:rPr>
        <w:t>清洁</w:t>
      </w:r>
    </w:p>
    <w:p w14:paraId="6BBEC51D">
      <w:pPr>
        <w:pStyle w:val="40"/>
        <w:spacing w:line="260" w:lineRule="exact"/>
        <w:ind w:left="709" w:firstLine="0"/>
        <w:rPr>
          <w:caps w:val="0"/>
          <w:lang w:eastAsia="zh-CN"/>
        </w:rPr>
      </w:pPr>
    </w:p>
    <w:p w14:paraId="6D279BC5">
      <w:pPr>
        <w:pStyle w:val="40"/>
        <w:spacing w:line="260" w:lineRule="exact"/>
        <w:ind w:left="709" w:firstLine="0"/>
        <w:rPr>
          <w:lang w:eastAsia="zh-CN"/>
        </w:rPr>
      </w:pPr>
      <w:r>
        <w:rPr>
          <w:rFonts w:hint="eastAsia"/>
          <w:lang w:eastAsia="zh-CN"/>
        </w:rPr>
        <w:t>在验收之前，应清洁反射器、灯具外壳、透镜、百叶及其他灯具组件，保证没有任何商标、灰尘、污渍和其他缺陷。替换所有破损和有缺陷的灯具及附件。</w:t>
      </w:r>
    </w:p>
    <w:p w14:paraId="238FBEAB">
      <w:pPr>
        <w:pStyle w:val="40"/>
        <w:spacing w:line="260" w:lineRule="exact"/>
        <w:rPr>
          <w:lang w:eastAsia="zh-CN"/>
        </w:rPr>
      </w:pPr>
    </w:p>
    <w:p w14:paraId="5C926163">
      <w:pPr>
        <w:pStyle w:val="40"/>
        <w:numPr>
          <w:ilvl w:val="1"/>
          <w:numId w:val="45"/>
        </w:numPr>
        <w:spacing w:line="260" w:lineRule="exact"/>
        <w:ind w:left="709" w:hanging="709"/>
        <w:rPr>
          <w:lang w:eastAsia="zh-CN"/>
        </w:rPr>
      </w:pPr>
      <w:bookmarkStart w:id="89" w:name="_Toc437437807"/>
      <w:r>
        <w:rPr>
          <w:rFonts w:hint="eastAsia"/>
          <w:lang w:eastAsia="zh-CN"/>
        </w:rPr>
        <w:t>操作和维修手册</w:t>
      </w:r>
    </w:p>
    <w:bookmarkEnd w:id="89"/>
    <w:p w14:paraId="33A4DFA2">
      <w:pPr>
        <w:pStyle w:val="40"/>
        <w:spacing w:line="260" w:lineRule="exact"/>
        <w:rPr>
          <w:lang w:eastAsia="zh-CN"/>
        </w:rPr>
      </w:pPr>
    </w:p>
    <w:p w14:paraId="572418C0">
      <w:pPr>
        <w:pStyle w:val="40"/>
        <w:numPr>
          <w:ilvl w:val="0"/>
          <w:numId w:val="52"/>
        </w:numPr>
        <w:spacing w:line="260" w:lineRule="exact"/>
        <w:rPr>
          <w:lang w:eastAsia="zh-CN"/>
        </w:rPr>
      </w:pPr>
      <w:r>
        <w:rPr>
          <w:rFonts w:hint="eastAsia"/>
          <w:lang w:eastAsia="zh-CN"/>
        </w:rPr>
        <w:t>提供</w:t>
      </w:r>
      <w:r>
        <w:rPr>
          <w:lang w:eastAsia="zh-CN"/>
        </w:rPr>
        <w:t>3</w:t>
      </w:r>
      <w:r>
        <w:rPr>
          <w:rFonts w:hint="eastAsia"/>
          <w:lang w:eastAsia="zh-CN"/>
        </w:rPr>
        <w:t>套操作和维修手册，用</w:t>
      </w:r>
      <w:r>
        <w:rPr>
          <w:lang w:eastAsia="zh-CN"/>
        </w:rPr>
        <w:t>A4</w:t>
      </w:r>
      <w:r>
        <w:rPr>
          <w:rFonts w:hint="eastAsia"/>
          <w:lang w:eastAsia="zh-CN"/>
        </w:rPr>
        <w:t>的</w:t>
      </w:r>
      <w:r>
        <w:rPr>
          <w:lang w:eastAsia="zh-CN"/>
        </w:rPr>
        <w:t>4</w:t>
      </w:r>
      <w:r>
        <w:rPr>
          <w:rFonts w:hint="eastAsia"/>
          <w:lang w:eastAsia="zh-CN"/>
        </w:rPr>
        <w:t>孔白色活页夹装订，另外提供一份电子版操作维修手册。</w:t>
      </w:r>
    </w:p>
    <w:p w14:paraId="2174DBD0">
      <w:pPr>
        <w:pStyle w:val="40"/>
        <w:spacing w:line="260" w:lineRule="exact"/>
        <w:ind w:left="1069" w:firstLine="0"/>
        <w:rPr>
          <w:lang w:eastAsia="zh-CN"/>
        </w:rPr>
      </w:pPr>
    </w:p>
    <w:p w14:paraId="1B217875">
      <w:pPr>
        <w:pStyle w:val="40"/>
        <w:numPr>
          <w:ilvl w:val="0"/>
          <w:numId w:val="52"/>
        </w:numPr>
        <w:spacing w:line="260" w:lineRule="exact"/>
        <w:rPr>
          <w:lang w:eastAsia="zh-CN"/>
        </w:rPr>
      </w:pPr>
      <w:r>
        <w:rPr>
          <w:rFonts w:hint="eastAsia"/>
          <w:lang w:eastAsia="zh-CN"/>
        </w:rPr>
        <w:t>操作部分应至少包括以下相关章节：</w:t>
      </w:r>
    </w:p>
    <w:p w14:paraId="36B8E8A2">
      <w:pPr>
        <w:pStyle w:val="28"/>
        <w:spacing w:line="260" w:lineRule="exact"/>
        <w:ind w:firstLine="360"/>
        <w:rPr>
          <w:rFonts w:eastAsia="宋体"/>
          <w:lang w:eastAsia="zh-CN"/>
        </w:rPr>
      </w:pPr>
    </w:p>
    <w:p w14:paraId="6EC1562E">
      <w:pPr>
        <w:pStyle w:val="40"/>
        <w:spacing w:line="260" w:lineRule="exact"/>
        <w:ind w:left="1069" w:firstLine="0"/>
        <w:rPr>
          <w:lang w:eastAsia="zh-CN"/>
        </w:rPr>
      </w:pPr>
      <w:r>
        <w:rPr>
          <w:rFonts w:hint="eastAsia"/>
          <w:lang w:eastAsia="zh-CN"/>
        </w:rPr>
        <w:t>-</w:t>
      </w:r>
      <w:r>
        <w:rPr>
          <w:rFonts w:hint="eastAsia"/>
          <w:lang w:eastAsia="zh-CN"/>
        </w:rPr>
        <w:tab/>
      </w:r>
      <w:r>
        <w:rPr>
          <w:rFonts w:hint="eastAsia"/>
          <w:lang w:eastAsia="zh-CN"/>
        </w:rPr>
        <w:t>操作员就职记录</w:t>
      </w:r>
    </w:p>
    <w:p w14:paraId="0A141FEB">
      <w:pPr>
        <w:pStyle w:val="40"/>
        <w:spacing w:line="260" w:lineRule="exact"/>
        <w:ind w:left="1069" w:firstLine="0"/>
        <w:rPr>
          <w:lang w:eastAsia="zh-CN"/>
        </w:rPr>
      </w:pPr>
      <w:r>
        <w:rPr>
          <w:rFonts w:hint="eastAsia"/>
          <w:lang w:eastAsia="zh-CN"/>
        </w:rPr>
        <w:t>-</w:t>
      </w:r>
      <w:r>
        <w:rPr>
          <w:rFonts w:hint="eastAsia"/>
          <w:lang w:eastAsia="zh-CN"/>
        </w:rPr>
        <w:tab/>
      </w:r>
      <w:r>
        <w:rPr>
          <w:rFonts w:hint="eastAsia"/>
          <w:lang w:eastAsia="zh-CN"/>
        </w:rPr>
        <w:t>钥匙记录</w:t>
      </w:r>
    </w:p>
    <w:p w14:paraId="411941EE">
      <w:pPr>
        <w:pStyle w:val="40"/>
        <w:spacing w:line="260" w:lineRule="exact"/>
        <w:ind w:left="1069" w:firstLine="0"/>
        <w:rPr>
          <w:lang w:eastAsia="zh-CN"/>
        </w:rPr>
      </w:pPr>
      <w:r>
        <w:rPr>
          <w:rFonts w:hint="eastAsia"/>
          <w:lang w:eastAsia="zh-CN"/>
        </w:rPr>
        <w:t>-</w:t>
      </w:r>
      <w:r>
        <w:rPr>
          <w:rFonts w:hint="eastAsia"/>
          <w:lang w:eastAsia="zh-CN"/>
        </w:rPr>
        <w:tab/>
      </w:r>
      <w:r>
        <w:rPr>
          <w:rFonts w:hint="eastAsia"/>
          <w:lang w:eastAsia="zh-CN"/>
        </w:rPr>
        <w:t>日常启动前检查</w:t>
      </w:r>
    </w:p>
    <w:p w14:paraId="01030CD9">
      <w:pPr>
        <w:pStyle w:val="40"/>
        <w:spacing w:line="260" w:lineRule="exact"/>
        <w:ind w:left="1069" w:firstLine="0"/>
        <w:rPr>
          <w:lang w:eastAsia="zh-CN"/>
        </w:rPr>
      </w:pPr>
      <w:r>
        <w:rPr>
          <w:rFonts w:hint="eastAsia"/>
          <w:lang w:eastAsia="zh-CN"/>
        </w:rPr>
        <w:t>-</w:t>
      </w:r>
      <w:r>
        <w:rPr>
          <w:rFonts w:hint="eastAsia"/>
          <w:lang w:eastAsia="zh-CN"/>
        </w:rPr>
        <w:tab/>
      </w:r>
      <w:r>
        <w:rPr>
          <w:rFonts w:hint="eastAsia"/>
          <w:lang w:eastAsia="zh-CN"/>
        </w:rPr>
        <w:t>照明系统各方面的操作步骤</w:t>
      </w:r>
    </w:p>
    <w:p w14:paraId="6D109BF3">
      <w:pPr>
        <w:pStyle w:val="40"/>
        <w:spacing w:line="260" w:lineRule="exact"/>
        <w:ind w:left="1069" w:firstLine="0"/>
        <w:rPr>
          <w:lang w:eastAsia="zh-CN"/>
        </w:rPr>
      </w:pPr>
    </w:p>
    <w:p w14:paraId="313B9F2F">
      <w:pPr>
        <w:pStyle w:val="40"/>
        <w:numPr>
          <w:ilvl w:val="0"/>
          <w:numId w:val="52"/>
        </w:numPr>
        <w:spacing w:line="260" w:lineRule="exact"/>
        <w:rPr>
          <w:lang w:eastAsia="zh-CN"/>
        </w:rPr>
      </w:pPr>
      <w:r>
        <w:rPr>
          <w:rFonts w:hint="eastAsia"/>
          <w:lang w:eastAsia="zh-CN"/>
        </w:rPr>
        <w:t>维修部分应至少包括以下相关章节：</w:t>
      </w:r>
    </w:p>
    <w:p w14:paraId="2376CFBC">
      <w:pPr>
        <w:pStyle w:val="40"/>
        <w:spacing w:line="260" w:lineRule="exact"/>
        <w:ind w:left="1069" w:firstLine="0"/>
        <w:rPr>
          <w:lang w:eastAsia="zh-CN"/>
        </w:rPr>
      </w:pPr>
    </w:p>
    <w:p w14:paraId="200C1758">
      <w:pPr>
        <w:pStyle w:val="40"/>
        <w:spacing w:line="260" w:lineRule="exact"/>
        <w:ind w:left="1069" w:firstLine="0"/>
        <w:rPr>
          <w:lang w:eastAsia="zh-CN"/>
        </w:rPr>
      </w:pPr>
      <w:r>
        <w:rPr>
          <w:rFonts w:hint="eastAsia"/>
          <w:lang w:eastAsia="zh-CN"/>
        </w:rPr>
        <w:t>- 与照明系统安全使用相关的风险评估和风险管理</w:t>
      </w:r>
    </w:p>
    <w:p w14:paraId="0AE85FB7">
      <w:pPr>
        <w:pStyle w:val="40"/>
        <w:spacing w:line="260" w:lineRule="exact"/>
        <w:ind w:left="1069" w:firstLine="0"/>
        <w:rPr>
          <w:lang w:eastAsia="zh-CN"/>
        </w:rPr>
      </w:pPr>
      <w:r>
        <w:rPr>
          <w:rFonts w:hint="eastAsia"/>
          <w:lang w:eastAsia="zh-CN"/>
        </w:rPr>
        <w:t>- 维修记录</w:t>
      </w:r>
    </w:p>
    <w:p w14:paraId="0FACB3AB">
      <w:pPr>
        <w:pStyle w:val="40"/>
        <w:spacing w:line="260" w:lineRule="exact"/>
        <w:ind w:left="1069" w:firstLine="0"/>
        <w:rPr>
          <w:lang w:eastAsia="zh-CN"/>
        </w:rPr>
      </w:pPr>
      <w:r>
        <w:rPr>
          <w:rFonts w:hint="eastAsia"/>
          <w:lang w:eastAsia="zh-CN"/>
        </w:rPr>
        <w:t>- 检修计划及方式</w:t>
      </w:r>
    </w:p>
    <w:p w14:paraId="6F7565D5">
      <w:pPr>
        <w:pStyle w:val="40"/>
        <w:spacing w:line="260" w:lineRule="exact"/>
        <w:ind w:left="1069" w:firstLine="0"/>
        <w:rPr>
          <w:lang w:eastAsia="zh-CN"/>
        </w:rPr>
      </w:pPr>
      <w:r>
        <w:rPr>
          <w:rFonts w:hint="eastAsia"/>
          <w:lang w:eastAsia="zh-CN"/>
        </w:rPr>
        <w:t>- 日常检修的测试步骤</w:t>
      </w:r>
    </w:p>
    <w:p w14:paraId="05D09DDC">
      <w:pPr>
        <w:pStyle w:val="40"/>
        <w:spacing w:line="260" w:lineRule="exact"/>
        <w:ind w:left="1069" w:firstLine="0"/>
        <w:rPr>
          <w:lang w:eastAsia="zh-CN"/>
        </w:rPr>
      </w:pPr>
      <w:r>
        <w:rPr>
          <w:rFonts w:hint="eastAsia"/>
          <w:lang w:eastAsia="zh-CN"/>
        </w:rPr>
        <w:t>- 主要部件的布置图纸</w:t>
      </w:r>
    </w:p>
    <w:p w14:paraId="2F44AF9B">
      <w:pPr>
        <w:pStyle w:val="40"/>
        <w:spacing w:line="260" w:lineRule="exact"/>
        <w:ind w:left="1069" w:firstLine="0"/>
        <w:rPr>
          <w:lang w:eastAsia="zh-CN"/>
        </w:rPr>
      </w:pPr>
      <w:r>
        <w:rPr>
          <w:rFonts w:hint="eastAsia"/>
          <w:lang w:eastAsia="zh-CN"/>
        </w:rPr>
        <w:t>- 各设备的拆卸及安装方式</w:t>
      </w:r>
    </w:p>
    <w:p w14:paraId="79118700">
      <w:pPr>
        <w:pStyle w:val="40"/>
        <w:spacing w:line="260" w:lineRule="exact"/>
        <w:rPr>
          <w:lang w:eastAsia="zh-CN"/>
        </w:rPr>
      </w:pPr>
    </w:p>
    <w:p w14:paraId="307505F5">
      <w:pPr>
        <w:pStyle w:val="40"/>
        <w:numPr>
          <w:ilvl w:val="1"/>
          <w:numId w:val="45"/>
        </w:numPr>
        <w:spacing w:line="260" w:lineRule="exact"/>
        <w:ind w:left="709" w:hanging="709"/>
        <w:rPr>
          <w:lang w:eastAsia="zh-CN"/>
        </w:rPr>
      </w:pPr>
      <w:bookmarkStart w:id="90" w:name="_Toc437437808"/>
      <w:r>
        <w:rPr>
          <w:rFonts w:hint="eastAsia"/>
          <w:lang w:eastAsia="zh-CN"/>
        </w:rPr>
        <w:t>操作人员培训</w:t>
      </w:r>
    </w:p>
    <w:bookmarkEnd w:id="90"/>
    <w:p w14:paraId="038DA83B">
      <w:pPr>
        <w:pStyle w:val="40"/>
        <w:spacing w:line="260" w:lineRule="exact"/>
        <w:ind w:left="1429"/>
        <w:rPr>
          <w:lang w:eastAsia="zh-CN"/>
        </w:rPr>
      </w:pPr>
    </w:p>
    <w:p w14:paraId="5B35CC86">
      <w:pPr>
        <w:pStyle w:val="40"/>
        <w:spacing w:line="260" w:lineRule="exact"/>
        <w:ind w:left="1429"/>
        <w:rPr>
          <w:lang w:eastAsia="zh-CN"/>
        </w:rPr>
      </w:pPr>
      <w:r>
        <w:rPr>
          <w:rFonts w:hint="eastAsia"/>
          <w:lang w:eastAsia="zh-CN"/>
        </w:rPr>
        <w:t>本照明工程承包人应提供</w:t>
      </w:r>
      <w:r>
        <w:rPr>
          <w:lang w:eastAsia="zh-CN"/>
        </w:rPr>
        <w:t>2</w:t>
      </w:r>
      <w:r>
        <w:rPr>
          <w:rFonts w:hint="eastAsia"/>
          <w:lang w:eastAsia="zh-CN"/>
        </w:rPr>
        <w:t>次培训，每次培训时长不少于</w:t>
      </w:r>
      <w:r>
        <w:rPr>
          <w:lang w:eastAsia="zh-CN"/>
        </w:rPr>
        <w:t>4</w:t>
      </w:r>
      <w:r>
        <w:rPr>
          <w:rFonts w:hint="eastAsia"/>
          <w:lang w:eastAsia="zh-CN"/>
        </w:rPr>
        <w:t>个小时。</w:t>
      </w:r>
    </w:p>
    <w:p w14:paraId="39F41037">
      <w:pPr>
        <w:pStyle w:val="40"/>
        <w:spacing w:line="260" w:lineRule="exact"/>
        <w:ind w:left="1429"/>
        <w:rPr>
          <w:lang w:eastAsia="zh-CN"/>
        </w:rPr>
      </w:pPr>
    </w:p>
    <w:p w14:paraId="631ED828">
      <w:pPr>
        <w:pStyle w:val="40"/>
        <w:numPr>
          <w:ilvl w:val="1"/>
          <w:numId w:val="45"/>
        </w:numPr>
        <w:spacing w:line="260" w:lineRule="exact"/>
        <w:ind w:left="709" w:hanging="709"/>
        <w:rPr>
          <w:lang w:eastAsia="zh-CN"/>
        </w:rPr>
      </w:pPr>
      <w:bookmarkStart w:id="91" w:name="_Toc437437809"/>
      <w:r>
        <w:rPr>
          <w:rFonts w:hint="eastAsia"/>
          <w:lang w:eastAsia="zh-CN"/>
        </w:rPr>
        <w:t>竣工图纸</w:t>
      </w:r>
    </w:p>
    <w:bookmarkEnd w:id="91"/>
    <w:p w14:paraId="31576FFE">
      <w:pPr>
        <w:pStyle w:val="40"/>
        <w:spacing w:line="260" w:lineRule="exact"/>
        <w:ind w:left="709" w:firstLine="0"/>
        <w:rPr>
          <w:lang w:eastAsia="zh-CN"/>
        </w:rPr>
      </w:pPr>
    </w:p>
    <w:p w14:paraId="25C53B07">
      <w:pPr>
        <w:pStyle w:val="40"/>
        <w:spacing w:line="260" w:lineRule="exact"/>
        <w:ind w:left="1429"/>
        <w:rPr>
          <w:lang w:eastAsia="zh-CN"/>
        </w:rPr>
      </w:pPr>
      <w:r>
        <w:rPr>
          <w:rFonts w:hint="eastAsia"/>
          <w:lang w:eastAsia="zh-CN"/>
        </w:rPr>
        <w:t>本照明工程承包人应提供完整的照明系统的竣工图纸。</w:t>
      </w:r>
    </w:p>
    <w:p w14:paraId="68BDF468">
      <w:pPr>
        <w:ind w:left="424" w:leftChars="202" w:firstLine="441" w:firstLineChars="184"/>
        <w:rPr>
          <w:color w:val="auto"/>
          <w:sz w:val="24"/>
          <w:szCs w:val="24"/>
          <w:highlight w:val="none"/>
        </w:rPr>
      </w:pPr>
    </w:p>
    <w:sectPr>
      <w:footerReference r:id="rId5" w:type="default"/>
      <w:pgSz w:w="11906" w:h="16838"/>
      <w:pgMar w:top="1440" w:right="1418" w:bottom="1440" w:left="1418" w:header="851" w:footer="624"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超研澤中圓">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70EB4">
    <w:pPr>
      <w:pStyle w:val="8"/>
      <w:jc w:val="center"/>
    </w:pPr>
    <w:r>
      <w:fldChar w:fldCharType="begin"/>
    </w:r>
    <w:r>
      <w:instrText xml:space="preserve">PAGE</w:instrText>
    </w:r>
    <w:r>
      <w:fldChar w:fldCharType="separate"/>
    </w:r>
    <w:r>
      <w:t>3</w:t>
    </w:r>
    <w:r>
      <w:fldChar w:fldCharType="end"/>
    </w:r>
    <w:r>
      <w:rPr>
        <w:lang w:val="zh-CN"/>
      </w:rPr>
      <w:t xml:space="preserve"> / </w:t>
    </w:r>
    <w:r>
      <w:fldChar w:fldCharType="begin"/>
    </w:r>
    <w:r>
      <w:instrText xml:space="preserve">NUMPAGES</w:instrText>
    </w:r>
    <w:r>
      <w:fldChar w:fldCharType="separate"/>
    </w:r>
    <w:r>
      <w:t>40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6B561"/>
    <w:multiLevelType w:val="singleLevel"/>
    <w:tmpl w:val="92F6B561"/>
    <w:lvl w:ilvl="0" w:tentative="0">
      <w:start w:val="1"/>
      <w:numFmt w:val="decimal"/>
      <w:suff w:val="space"/>
      <w:lvlText w:val="%1)"/>
      <w:lvlJc w:val="left"/>
    </w:lvl>
  </w:abstractNum>
  <w:abstractNum w:abstractNumId="1">
    <w:nsid w:val="CF88D376"/>
    <w:multiLevelType w:val="singleLevel"/>
    <w:tmpl w:val="CF88D376"/>
    <w:lvl w:ilvl="0" w:tentative="0">
      <w:start w:val="1"/>
      <w:numFmt w:val="decimal"/>
      <w:suff w:val="space"/>
      <w:lvlText w:val="%1)"/>
      <w:lvlJc w:val="left"/>
    </w:lvl>
  </w:abstractNum>
  <w:abstractNum w:abstractNumId="2">
    <w:nsid w:val="E12AD087"/>
    <w:multiLevelType w:val="singleLevel"/>
    <w:tmpl w:val="E12AD087"/>
    <w:lvl w:ilvl="0" w:tentative="0">
      <w:start w:val="1"/>
      <w:numFmt w:val="decimal"/>
      <w:suff w:val="space"/>
      <w:lvlText w:val="%1)"/>
      <w:lvlJc w:val="left"/>
    </w:lvl>
  </w:abstractNum>
  <w:abstractNum w:abstractNumId="3">
    <w:nsid w:val="F364AB05"/>
    <w:multiLevelType w:val="singleLevel"/>
    <w:tmpl w:val="F364AB05"/>
    <w:lvl w:ilvl="0" w:tentative="0">
      <w:start w:val="1"/>
      <w:numFmt w:val="decimal"/>
      <w:suff w:val="space"/>
      <w:lvlText w:val="%1)"/>
      <w:lvlJc w:val="left"/>
    </w:lvl>
  </w:abstractNum>
  <w:abstractNum w:abstractNumId="4">
    <w:nsid w:val="030EA34C"/>
    <w:multiLevelType w:val="singleLevel"/>
    <w:tmpl w:val="030EA34C"/>
    <w:lvl w:ilvl="0" w:tentative="0">
      <w:start w:val="1"/>
      <w:numFmt w:val="decimal"/>
      <w:suff w:val="nothing"/>
      <w:lvlText w:val="%1、"/>
      <w:lvlJc w:val="left"/>
    </w:lvl>
  </w:abstractNum>
  <w:abstractNum w:abstractNumId="5">
    <w:nsid w:val="03A73A40"/>
    <w:multiLevelType w:val="multilevel"/>
    <w:tmpl w:val="03A73A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A07515A"/>
    <w:multiLevelType w:val="multilevel"/>
    <w:tmpl w:val="0A07515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AD702F3"/>
    <w:multiLevelType w:val="multilevel"/>
    <w:tmpl w:val="0AD702F3"/>
    <w:lvl w:ilvl="0" w:tentative="0">
      <w:start w:val="1"/>
      <w:numFmt w:val="decimal"/>
      <w:lvlText w:val="%1."/>
      <w:lvlJc w:val="left"/>
      <w:pPr>
        <w:ind w:left="1080" w:hanging="360"/>
      </w:pPr>
      <w:rPr>
        <w:rFonts w:hint="default"/>
      </w:rPr>
    </w:lvl>
    <w:lvl w:ilvl="1" w:tentative="0">
      <w:start w:val="1"/>
      <w:numFmt w:val="decimal"/>
      <w:isLgl/>
      <w:lvlText w:val="%1.%2"/>
      <w:lvlJc w:val="left"/>
      <w:pPr>
        <w:ind w:left="1440" w:hanging="720"/>
      </w:pPr>
      <w:rPr>
        <w:rFonts w:hint="default"/>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8">
    <w:nsid w:val="0CDD39C2"/>
    <w:multiLevelType w:val="multilevel"/>
    <w:tmpl w:val="0CDD39C2"/>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9">
    <w:nsid w:val="0DE6731C"/>
    <w:multiLevelType w:val="multilevel"/>
    <w:tmpl w:val="0DE6731C"/>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133805C9"/>
    <w:multiLevelType w:val="multilevel"/>
    <w:tmpl w:val="133805C9"/>
    <w:lvl w:ilvl="0" w:tentative="0">
      <w:start w:val="1"/>
      <w:numFmt w:val="decimal"/>
      <w:lvlText w:val="%1)"/>
      <w:lvlJc w:val="left"/>
      <w:pPr>
        <w:ind w:left="899" w:hanging="420"/>
      </w:pPr>
    </w:lvl>
    <w:lvl w:ilvl="1" w:tentative="0">
      <w:start w:val="1"/>
      <w:numFmt w:val="lowerLetter"/>
      <w:lvlText w:val="%2)"/>
      <w:lvlJc w:val="left"/>
      <w:pPr>
        <w:ind w:left="1319" w:hanging="420"/>
      </w:pPr>
    </w:lvl>
    <w:lvl w:ilvl="2" w:tentative="0">
      <w:start w:val="1"/>
      <w:numFmt w:val="lowerRoman"/>
      <w:lvlText w:val="%3."/>
      <w:lvlJc w:val="right"/>
      <w:pPr>
        <w:ind w:left="1739" w:hanging="420"/>
      </w:pPr>
    </w:lvl>
    <w:lvl w:ilvl="3" w:tentative="0">
      <w:start w:val="1"/>
      <w:numFmt w:val="decimal"/>
      <w:lvlText w:val="%4."/>
      <w:lvlJc w:val="left"/>
      <w:pPr>
        <w:ind w:left="2159" w:hanging="420"/>
      </w:pPr>
    </w:lvl>
    <w:lvl w:ilvl="4" w:tentative="0">
      <w:start w:val="1"/>
      <w:numFmt w:val="lowerLetter"/>
      <w:lvlText w:val="%5)"/>
      <w:lvlJc w:val="left"/>
      <w:pPr>
        <w:ind w:left="2579" w:hanging="420"/>
      </w:pPr>
    </w:lvl>
    <w:lvl w:ilvl="5" w:tentative="0">
      <w:start w:val="1"/>
      <w:numFmt w:val="lowerRoman"/>
      <w:lvlText w:val="%6."/>
      <w:lvlJc w:val="right"/>
      <w:pPr>
        <w:ind w:left="2999" w:hanging="420"/>
      </w:pPr>
    </w:lvl>
    <w:lvl w:ilvl="6" w:tentative="0">
      <w:start w:val="1"/>
      <w:numFmt w:val="decimal"/>
      <w:lvlText w:val="%7."/>
      <w:lvlJc w:val="left"/>
      <w:pPr>
        <w:ind w:left="3419" w:hanging="420"/>
      </w:pPr>
    </w:lvl>
    <w:lvl w:ilvl="7" w:tentative="0">
      <w:start w:val="1"/>
      <w:numFmt w:val="lowerLetter"/>
      <w:lvlText w:val="%8)"/>
      <w:lvlJc w:val="left"/>
      <w:pPr>
        <w:ind w:left="3839" w:hanging="420"/>
      </w:pPr>
    </w:lvl>
    <w:lvl w:ilvl="8" w:tentative="0">
      <w:start w:val="1"/>
      <w:numFmt w:val="lowerRoman"/>
      <w:lvlText w:val="%9."/>
      <w:lvlJc w:val="right"/>
      <w:pPr>
        <w:ind w:left="4259" w:hanging="420"/>
      </w:pPr>
    </w:lvl>
  </w:abstractNum>
  <w:abstractNum w:abstractNumId="11">
    <w:nsid w:val="14665257"/>
    <w:multiLevelType w:val="multilevel"/>
    <w:tmpl w:val="14665257"/>
    <w:lvl w:ilvl="0" w:tentative="0">
      <w:start w:val="1"/>
      <w:numFmt w:val="upperLetter"/>
      <w:lvlText w:val="%1."/>
      <w:lvlJc w:val="left"/>
      <w:pPr>
        <w:ind w:left="2345" w:hanging="360"/>
      </w:pPr>
      <w:rPr>
        <w:rFonts w:hint="default"/>
      </w:r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12">
    <w:nsid w:val="1760050C"/>
    <w:multiLevelType w:val="multilevel"/>
    <w:tmpl w:val="1760050C"/>
    <w:lvl w:ilvl="0" w:tentative="0">
      <w:start w:val="1"/>
      <w:numFmt w:val="decimal"/>
      <w:lvlText w:val="%1)"/>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13">
    <w:nsid w:val="24464D2A"/>
    <w:multiLevelType w:val="multilevel"/>
    <w:tmpl w:val="24464D2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7B74C58"/>
    <w:multiLevelType w:val="multilevel"/>
    <w:tmpl w:val="27B74C58"/>
    <w:lvl w:ilvl="0" w:tentative="0">
      <w:start w:val="1"/>
      <w:numFmt w:val="decimal"/>
      <w:lvlText w:val="%1."/>
      <w:lvlJc w:val="left"/>
      <w:pPr>
        <w:ind w:left="1080" w:hanging="360"/>
      </w:pPr>
      <w:rPr>
        <w:rFonts w:hint="default"/>
        <w:color w:val="auto"/>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5">
    <w:nsid w:val="288D55C2"/>
    <w:multiLevelType w:val="multilevel"/>
    <w:tmpl w:val="288D55C2"/>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6">
    <w:nsid w:val="2ACE6051"/>
    <w:multiLevelType w:val="multilevel"/>
    <w:tmpl w:val="2ACE6051"/>
    <w:lvl w:ilvl="0" w:tentative="0">
      <w:start w:val="1"/>
      <w:numFmt w:val="upperLetter"/>
      <w:lvlText w:val="%1．"/>
      <w:lvlJc w:val="left"/>
      <w:pPr>
        <w:ind w:left="1440" w:hanging="360"/>
      </w:pPr>
      <w:rPr>
        <w:rFonts w:hint="default" w:ascii="Arial" w:hAnsi="Arial" w:eastAsia="宋体"/>
        <w:sz w:val="20"/>
      </w:rPr>
    </w:lvl>
    <w:lvl w:ilvl="1" w:tentative="0">
      <w:start w:val="1"/>
      <w:numFmt w:val="lowerLetter"/>
      <w:lvlText w:val="%2)"/>
      <w:lvlJc w:val="left"/>
      <w:pPr>
        <w:ind w:left="1920" w:hanging="420"/>
      </w:pPr>
    </w:lvl>
    <w:lvl w:ilvl="2" w:tentative="0">
      <w:start w:val="1"/>
      <w:numFmt w:val="lowerRoman"/>
      <w:lvlText w:val="%3."/>
      <w:lvlJc w:val="right"/>
      <w:pPr>
        <w:ind w:left="2340" w:hanging="420"/>
      </w:pPr>
    </w:lvl>
    <w:lvl w:ilvl="3" w:tentative="0">
      <w:start w:val="1"/>
      <w:numFmt w:val="decimal"/>
      <w:lvlText w:val="%4."/>
      <w:lvlJc w:val="left"/>
      <w:pPr>
        <w:ind w:left="2760" w:hanging="420"/>
      </w:pPr>
    </w:lvl>
    <w:lvl w:ilvl="4" w:tentative="0">
      <w:start w:val="1"/>
      <w:numFmt w:val="lowerLetter"/>
      <w:lvlText w:val="%5)"/>
      <w:lvlJc w:val="left"/>
      <w:pPr>
        <w:ind w:left="3180" w:hanging="420"/>
      </w:pPr>
    </w:lvl>
    <w:lvl w:ilvl="5" w:tentative="0">
      <w:start w:val="1"/>
      <w:numFmt w:val="lowerRoman"/>
      <w:lvlText w:val="%6."/>
      <w:lvlJc w:val="right"/>
      <w:pPr>
        <w:ind w:left="3600" w:hanging="420"/>
      </w:pPr>
    </w:lvl>
    <w:lvl w:ilvl="6" w:tentative="0">
      <w:start w:val="1"/>
      <w:numFmt w:val="decimal"/>
      <w:lvlText w:val="%7."/>
      <w:lvlJc w:val="left"/>
      <w:pPr>
        <w:ind w:left="4020" w:hanging="420"/>
      </w:pPr>
    </w:lvl>
    <w:lvl w:ilvl="7" w:tentative="0">
      <w:start w:val="1"/>
      <w:numFmt w:val="lowerLetter"/>
      <w:lvlText w:val="%8)"/>
      <w:lvlJc w:val="left"/>
      <w:pPr>
        <w:ind w:left="4440" w:hanging="420"/>
      </w:pPr>
    </w:lvl>
    <w:lvl w:ilvl="8" w:tentative="0">
      <w:start w:val="1"/>
      <w:numFmt w:val="lowerRoman"/>
      <w:lvlText w:val="%9."/>
      <w:lvlJc w:val="right"/>
      <w:pPr>
        <w:ind w:left="4860" w:hanging="420"/>
      </w:pPr>
    </w:lvl>
  </w:abstractNum>
  <w:abstractNum w:abstractNumId="17">
    <w:nsid w:val="30C07291"/>
    <w:multiLevelType w:val="multilevel"/>
    <w:tmpl w:val="30C0729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8751EA5"/>
    <w:multiLevelType w:val="multilevel"/>
    <w:tmpl w:val="38751EA5"/>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9">
    <w:nsid w:val="38B64FD0"/>
    <w:multiLevelType w:val="multilevel"/>
    <w:tmpl w:val="38B64F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8D6350C"/>
    <w:multiLevelType w:val="multilevel"/>
    <w:tmpl w:val="38D6350C"/>
    <w:lvl w:ilvl="0" w:tentative="0">
      <w:start w:val="1"/>
      <w:numFmt w:val="decimal"/>
      <w:lvlText w:val="%1)"/>
      <w:lvlJc w:val="left"/>
      <w:pPr>
        <w:ind w:left="114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3ABA34F1"/>
    <w:multiLevelType w:val="multilevel"/>
    <w:tmpl w:val="3ABA34F1"/>
    <w:lvl w:ilvl="0" w:tentative="0">
      <w:start w:val="1"/>
      <w:numFmt w:val="decimal"/>
      <w:lvlText w:val="%1."/>
      <w:lvlJc w:val="left"/>
      <w:pPr>
        <w:ind w:left="1080" w:hanging="360"/>
      </w:pPr>
      <w:rPr>
        <w:rFonts w:hint="default" w:ascii="Arial" w:hAnsi="Arial" w:eastAsia="超研澤中圓" w:cs="Arial"/>
        <w:sz w:val="20"/>
        <w:szCs w:val="20"/>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2">
    <w:nsid w:val="3C721E0B"/>
    <w:multiLevelType w:val="multilevel"/>
    <w:tmpl w:val="3C721E0B"/>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3">
    <w:nsid w:val="3DC612BF"/>
    <w:multiLevelType w:val="multilevel"/>
    <w:tmpl w:val="3DC612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DDA1E38"/>
    <w:multiLevelType w:val="multilevel"/>
    <w:tmpl w:val="3DDA1E38"/>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5">
    <w:nsid w:val="41C14088"/>
    <w:multiLevelType w:val="multilevel"/>
    <w:tmpl w:val="41C14088"/>
    <w:lvl w:ilvl="0" w:tentative="0">
      <w:start w:val="1"/>
      <w:numFmt w:val="japaneseCounting"/>
      <w:lvlText w:val="%1、"/>
      <w:lvlJc w:val="left"/>
      <w:pPr>
        <w:ind w:left="570" w:hanging="5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2613868"/>
    <w:multiLevelType w:val="multilevel"/>
    <w:tmpl w:val="42613868"/>
    <w:lvl w:ilvl="0" w:tentative="0">
      <w:start w:val="1"/>
      <w:numFmt w:val="decimal"/>
      <w:lvlText w:val="%1."/>
      <w:lvlJc w:val="left"/>
      <w:pPr>
        <w:ind w:left="1620" w:hanging="360"/>
      </w:pPr>
      <w:rPr>
        <w:rFonts w:hint="default"/>
      </w:rPr>
    </w:lvl>
    <w:lvl w:ilvl="1" w:tentative="0">
      <w:start w:val="1"/>
      <w:numFmt w:val="decimal"/>
      <w:isLgl/>
      <w:lvlText w:val="%1.%2"/>
      <w:lvlJc w:val="left"/>
      <w:pPr>
        <w:ind w:left="1980" w:hanging="720"/>
      </w:pPr>
      <w:rPr>
        <w:rFonts w:hint="default"/>
      </w:rPr>
    </w:lvl>
    <w:lvl w:ilvl="2" w:tentative="0">
      <w:start w:val="1"/>
      <w:numFmt w:val="decimal"/>
      <w:isLgl/>
      <w:lvlText w:val="%1.%2.%3"/>
      <w:lvlJc w:val="left"/>
      <w:pPr>
        <w:ind w:left="1980" w:hanging="720"/>
      </w:pPr>
      <w:rPr>
        <w:rFonts w:hint="default"/>
      </w:rPr>
    </w:lvl>
    <w:lvl w:ilvl="3" w:tentative="0">
      <w:start w:val="1"/>
      <w:numFmt w:val="decimal"/>
      <w:isLgl/>
      <w:lvlText w:val="%1.%2.%3.%4"/>
      <w:lvlJc w:val="left"/>
      <w:pPr>
        <w:ind w:left="1980" w:hanging="720"/>
      </w:pPr>
      <w:rPr>
        <w:rFonts w:hint="default"/>
      </w:rPr>
    </w:lvl>
    <w:lvl w:ilvl="4" w:tentative="0">
      <w:start w:val="1"/>
      <w:numFmt w:val="decimal"/>
      <w:isLgl/>
      <w:lvlText w:val="%1.%2.%3.%4.%5"/>
      <w:lvlJc w:val="left"/>
      <w:pPr>
        <w:ind w:left="2340" w:hanging="1080"/>
      </w:pPr>
      <w:rPr>
        <w:rFonts w:hint="default"/>
      </w:rPr>
    </w:lvl>
    <w:lvl w:ilvl="5" w:tentative="0">
      <w:start w:val="1"/>
      <w:numFmt w:val="decimal"/>
      <w:isLgl/>
      <w:lvlText w:val="%1.%2.%3.%4.%5.%6"/>
      <w:lvlJc w:val="left"/>
      <w:pPr>
        <w:ind w:left="2340" w:hanging="1080"/>
      </w:pPr>
      <w:rPr>
        <w:rFonts w:hint="default"/>
      </w:rPr>
    </w:lvl>
    <w:lvl w:ilvl="6" w:tentative="0">
      <w:start w:val="1"/>
      <w:numFmt w:val="decimal"/>
      <w:isLgl/>
      <w:lvlText w:val="%1.%2.%3.%4.%5.%6.%7"/>
      <w:lvlJc w:val="left"/>
      <w:pPr>
        <w:ind w:left="2700" w:hanging="1440"/>
      </w:pPr>
      <w:rPr>
        <w:rFonts w:hint="default"/>
      </w:rPr>
    </w:lvl>
    <w:lvl w:ilvl="7" w:tentative="0">
      <w:start w:val="1"/>
      <w:numFmt w:val="decimal"/>
      <w:isLgl/>
      <w:lvlText w:val="%1.%2.%3.%4.%5.%6.%7.%8"/>
      <w:lvlJc w:val="left"/>
      <w:pPr>
        <w:ind w:left="2700" w:hanging="1440"/>
      </w:pPr>
      <w:rPr>
        <w:rFonts w:hint="default"/>
      </w:rPr>
    </w:lvl>
    <w:lvl w:ilvl="8" w:tentative="0">
      <w:start w:val="1"/>
      <w:numFmt w:val="decimal"/>
      <w:isLgl/>
      <w:lvlText w:val="%1.%2.%3.%4.%5.%6.%7.%8.%9"/>
      <w:lvlJc w:val="left"/>
      <w:pPr>
        <w:ind w:left="3060" w:hanging="1800"/>
      </w:pPr>
      <w:rPr>
        <w:rFonts w:hint="default"/>
      </w:rPr>
    </w:lvl>
  </w:abstractNum>
  <w:abstractNum w:abstractNumId="27">
    <w:nsid w:val="455B7D55"/>
    <w:multiLevelType w:val="multilevel"/>
    <w:tmpl w:val="455B7D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6A60595"/>
    <w:multiLevelType w:val="multilevel"/>
    <w:tmpl w:val="46A60595"/>
    <w:lvl w:ilvl="0" w:tentative="0">
      <w:start w:val="1"/>
      <w:numFmt w:val="decimal"/>
      <w:lvlText w:val="%1)"/>
      <w:lvlJc w:val="left"/>
      <w:pPr>
        <w:ind w:left="910" w:hanging="420"/>
      </w:pPr>
    </w:lvl>
    <w:lvl w:ilvl="1" w:tentative="0">
      <w:start w:val="1"/>
      <w:numFmt w:val="lowerLetter"/>
      <w:lvlText w:val="%2)"/>
      <w:lvlJc w:val="left"/>
      <w:pPr>
        <w:ind w:left="1330" w:hanging="420"/>
      </w:pPr>
    </w:lvl>
    <w:lvl w:ilvl="2" w:tentative="0">
      <w:start w:val="1"/>
      <w:numFmt w:val="lowerRoman"/>
      <w:lvlText w:val="%3."/>
      <w:lvlJc w:val="right"/>
      <w:pPr>
        <w:ind w:left="1750" w:hanging="420"/>
      </w:pPr>
    </w:lvl>
    <w:lvl w:ilvl="3" w:tentative="0">
      <w:start w:val="1"/>
      <w:numFmt w:val="decimal"/>
      <w:lvlText w:val="%4."/>
      <w:lvlJc w:val="left"/>
      <w:pPr>
        <w:ind w:left="2170" w:hanging="420"/>
      </w:pPr>
    </w:lvl>
    <w:lvl w:ilvl="4" w:tentative="0">
      <w:start w:val="1"/>
      <w:numFmt w:val="lowerLetter"/>
      <w:lvlText w:val="%5)"/>
      <w:lvlJc w:val="left"/>
      <w:pPr>
        <w:ind w:left="2590" w:hanging="420"/>
      </w:pPr>
    </w:lvl>
    <w:lvl w:ilvl="5" w:tentative="0">
      <w:start w:val="1"/>
      <w:numFmt w:val="lowerRoman"/>
      <w:lvlText w:val="%6."/>
      <w:lvlJc w:val="right"/>
      <w:pPr>
        <w:ind w:left="3010" w:hanging="420"/>
      </w:pPr>
    </w:lvl>
    <w:lvl w:ilvl="6" w:tentative="0">
      <w:start w:val="1"/>
      <w:numFmt w:val="decimal"/>
      <w:lvlText w:val="%7."/>
      <w:lvlJc w:val="left"/>
      <w:pPr>
        <w:ind w:left="3430" w:hanging="420"/>
      </w:pPr>
    </w:lvl>
    <w:lvl w:ilvl="7" w:tentative="0">
      <w:start w:val="1"/>
      <w:numFmt w:val="lowerLetter"/>
      <w:lvlText w:val="%8)"/>
      <w:lvlJc w:val="left"/>
      <w:pPr>
        <w:ind w:left="3850" w:hanging="420"/>
      </w:pPr>
    </w:lvl>
    <w:lvl w:ilvl="8" w:tentative="0">
      <w:start w:val="1"/>
      <w:numFmt w:val="lowerRoman"/>
      <w:lvlText w:val="%9."/>
      <w:lvlJc w:val="right"/>
      <w:pPr>
        <w:ind w:left="4270" w:hanging="420"/>
      </w:pPr>
    </w:lvl>
  </w:abstractNum>
  <w:abstractNum w:abstractNumId="29">
    <w:nsid w:val="4C1740A5"/>
    <w:multiLevelType w:val="multilevel"/>
    <w:tmpl w:val="4C1740A5"/>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30">
    <w:nsid w:val="50E23C40"/>
    <w:multiLevelType w:val="multilevel"/>
    <w:tmpl w:val="50E23C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4AB790F"/>
    <w:multiLevelType w:val="multilevel"/>
    <w:tmpl w:val="54AB790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4BE524E"/>
    <w:multiLevelType w:val="multilevel"/>
    <w:tmpl w:val="54BE524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33">
    <w:nsid w:val="55043CCA"/>
    <w:multiLevelType w:val="multilevel"/>
    <w:tmpl w:val="55043CCA"/>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34">
    <w:nsid w:val="5BEA6DF3"/>
    <w:multiLevelType w:val="multilevel"/>
    <w:tmpl w:val="5BEA6DF3"/>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35">
    <w:nsid w:val="5CB96121"/>
    <w:multiLevelType w:val="multilevel"/>
    <w:tmpl w:val="5CB96121"/>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36">
    <w:nsid w:val="5F4225E5"/>
    <w:multiLevelType w:val="singleLevel"/>
    <w:tmpl w:val="5F4225E5"/>
    <w:lvl w:ilvl="0" w:tentative="0">
      <w:start w:val="1"/>
      <w:numFmt w:val="decimal"/>
      <w:lvlText w:val="%1)"/>
      <w:lvlJc w:val="left"/>
      <w:pPr>
        <w:tabs>
          <w:tab w:val="left" w:pos="960"/>
        </w:tabs>
        <w:ind w:left="960" w:hanging="420"/>
      </w:pPr>
      <w:rPr>
        <w:rFonts w:hint="eastAsia"/>
      </w:rPr>
    </w:lvl>
  </w:abstractNum>
  <w:abstractNum w:abstractNumId="37">
    <w:nsid w:val="65E248FE"/>
    <w:multiLevelType w:val="multilevel"/>
    <w:tmpl w:val="65E248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8F246B3"/>
    <w:multiLevelType w:val="multilevel"/>
    <w:tmpl w:val="68F246B3"/>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39">
    <w:nsid w:val="68FC66E4"/>
    <w:multiLevelType w:val="multilevel"/>
    <w:tmpl w:val="68FC66E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AF75967"/>
    <w:multiLevelType w:val="multilevel"/>
    <w:tmpl w:val="6AF75967"/>
    <w:lvl w:ilvl="0" w:tentative="0">
      <w:start w:val="1"/>
      <w:numFmt w:val="decimal"/>
      <w:lvlText w:val="%1）"/>
      <w:lvlJc w:val="left"/>
      <w:pPr>
        <w:tabs>
          <w:tab w:val="left" w:pos="840"/>
        </w:tabs>
        <w:ind w:left="840" w:hanging="360"/>
      </w:pPr>
      <w:rPr>
        <w:rFonts w:hint="default"/>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41">
    <w:nsid w:val="6D8567DF"/>
    <w:multiLevelType w:val="multilevel"/>
    <w:tmpl w:val="6D8567DF"/>
    <w:lvl w:ilvl="0" w:tentative="0">
      <w:start w:val="1"/>
      <w:numFmt w:val="bullet"/>
      <w:lvlText w:val="-"/>
      <w:lvlJc w:val="left"/>
      <w:pPr>
        <w:ind w:left="1069" w:hanging="360"/>
      </w:pPr>
      <w:rPr>
        <w:rFonts w:hint="default" w:ascii="Arial" w:hAnsi="Arial" w:eastAsia="宋体" w:cs="Arial"/>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Arial" w:hAnsi="Arial" w:eastAsia="宋体" w:cs="Arial"/>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abstractNum w:abstractNumId="42">
    <w:nsid w:val="6D9700B3"/>
    <w:multiLevelType w:val="multilevel"/>
    <w:tmpl w:val="6D9700B3"/>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43">
    <w:nsid w:val="6FC5159A"/>
    <w:multiLevelType w:val="multilevel"/>
    <w:tmpl w:val="6FC5159A"/>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44">
    <w:nsid w:val="6FF71AB2"/>
    <w:multiLevelType w:val="multilevel"/>
    <w:tmpl w:val="6FF71AB2"/>
    <w:lvl w:ilvl="0" w:tentative="0">
      <w:start w:val="1"/>
      <w:numFmt w:val="decimal"/>
      <w:lvlText w:val="%1."/>
      <w:lvlJc w:val="left"/>
      <w:pPr>
        <w:ind w:left="1069" w:hanging="360"/>
      </w:pPr>
      <w:rPr>
        <w:rFonts w:hint="default"/>
      </w:rPr>
    </w:lvl>
    <w:lvl w:ilvl="1" w:tentative="0">
      <w:start w:val="1"/>
      <w:numFmt w:val="decimal"/>
      <w:isLgl/>
      <w:lvlText w:val="%1.%2"/>
      <w:lvlJc w:val="left"/>
      <w:pPr>
        <w:ind w:left="1429" w:hanging="720"/>
      </w:pPr>
      <w:rPr>
        <w:rFonts w:hint="default"/>
      </w:rPr>
    </w:lvl>
    <w:lvl w:ilvl="2" w:tentative="0">
      <w:start w:val="1"/>
      <w:numFmt w:val="decimal"/>
      <w:isLgl/>
      <w:lvlText w:val="%1.%2.%3"/>
      <w:lvlJc w:val="left"/>
      <w:pPr>
        <w:ind w:left="1429" w:hanging="720"/>
      </w:pPr>
      <w:rPr>
        <w:rFonts w:hint="default"/>
      </w:rPr>
    </w:lvl>
    <w:lvl w:ilvl="3" w:tentative="0">
      <w:start w:val="1"/>
      <w:numFmt w:val="decimal"/>
      <w:isLgl/>
      <w:lvlText w:val="%1.%2.%3.%4"/>
      <w:lvlJc w:val="left"/>
      <w:pPr>
        <w:ind w:left="1429" w:hanging="720"/>
      </w:pPr>
      <w:rPr>
        <w:rFonts w:hint="default"/>
      </w:rPr>
    </w:lvl>
    <w:lvl w:ilvl="4" w:tentative="0">
      <w:start w:val="1"/>
      <w:numFmt w:val="decimal"/>
      <w:isLgl/>
      <w:lvlText w:val="%1.%2.%3.%4.%5"/>
      <w:lvlJc w:val="left"/>
      <w:pPr>
        <w:ind w:left="1789" w:hanging="1080"/>
      </w:pPr>
      <w:rPr>
        <w:rFonts w:hint="default"/>
      </w:rPr>
    </w:lvl>
    <w:lvl w:ilvl="5" w:tentative="0">
      <w:start w:val="1"/>
      <w:numFmt w:val="decimal"/>
      <w:isLgl/>
      <w:lvlText w:val="%1.%2.%3.%4.%5.%6"/>
      <w:lvlJc w:val="left"/>
      <w:pPr>
        <w:ind w:left="1789" w:hanging="1080"/>
      </w:pPr>
      <w:rPr>
        <w:rFonts w:hint="default"/>
      </w:rPr>
    </w:lvl>
    <w:lvl w:ilvl="6" w:tentative="0">
      <w:start w:val="1"/>
      <w:numFmt w:val="decimal"/>
      <w:isLgl/>
      <w:lvlText w:val="%1.%2.%3.%4.%5.%6.%7"/>
      <w:lvlJc w:val="left"/>
      <w:pPr>
        <w:ind w:left="2149" w:hanging="1440"/>
      </w:pPr>
      <w:rPr>
        <w:rFonts w:hint="default"/>
      </w:rPr>
    </w:lvl>
    <w:lvl w:ilvl="7" w:tentative="0">
      <w:start w:val="1"/>
      <w:numFmt w:val="decimal"/>
      <w:isLgl/>
      <w:lvlText w:val="%1.%2.%3.%4.%5.%6.%7.%8"/>
      <w:lvlJc w:val="left"/>
      <w:pPr>
        <w:ind w:left="2149" w:hanging="1440"/>
      </w:pPr>
      <w:rPr>
        <w:rFonts w:hint="default"/>
      </w:rPr>
    </w:lvl>
    <w:lvl w:ilvl="8" w:tentative="0">
      <w:start w:val="1"/>
      <w:numFmt w:val="decimal"/>
      <w:isLgl/>
      <w:lvlText w:val="%1.%2.%3.%4.%5.%6.%7.%8.%9"/>
      <w:lvlJc w:val="left"/>
      <w:pPr>
        <w:ind w:left="2509" w:hanging="1800"/>
      </w:pPr>
      <w:rPr>
        <w:rFonts w:hint="default"/>
      </w:rPr>
    </w:lvl>
  </w:abstractNum>
  <w:abstractNum w:abstractNumId="45">
    <w:nsid w:val="74663DF4"/>
    <w:multiLevelType w:val="multilevel"/>
    <w:tmpl w:val="74663DF4"/>
    <w:lvl w:ilvl="0" w:tentative="0">
      <w:start w:val="1"/>
      <w:numFmt w:val="lowerLetter"/>
      <w:lvlText w:val="%1."/>
      <w:lvlJc w:val="left"/>
      <w:pPr>
        <w:ind w:left="2627" w:hanging="360"/>
      </w:pPr>
      <w:rPr>
        <w:rFonts w:hint="default" w:ascii="Arial" w:hAnsi="Arial" w:cs="Arial"/>
      </w:rPr>
    </w:lvl>
    <w:lvl w:ilvl="1" w:tentative="0">
      <w:start w:val="1"/>
      <w:numFmt w:val="lowerLetter"/>
      <w:lvlText w:val="%2)"/>
      <w:lvlJc w:val="left"/>
      <w:pPr>
        <w:ind w:left="3107" w:hanging="420"/>
      </w:pPr>
    </w:lvl>
    <w:lvl w:ilvl="2" w:tentative="0">
      <w:start w:val="1"/>
      <w:numFmt w:val="lowerRoman"/>
      <w:lvlText w:val="%3."/>
      <w:lvlJc w:val="right"/>
      <w:pPr>
        <w:ind w:left="3527" w:hanging="420"/>
      </w:pPr>
    </w:lvl>
    <w:lvl w:ilvl="3" w:tentative="0">
      <w:start w:val="1"/>
      <w:numFmt w:val="decimal"/>
      <w:lvlText w:val="%4."/>
      <w:lvlJc w:val="left"/>
      <w:pPr>
        <w:ind w:left="3947" w:hanging="420"/>
      </w:pPr>
    </w:lvl>
    <w:lvl w:ilvl="4" w:tentative="0">
      <w:start w:val="1"/>
      <w:numFmt w:val="lowerLetter"/>
      <w:lvlText w:val="%5)"/>
      <w:lvlJc w:val="left"/>
      <w:pPr>
        <w:ind w:left="4367" w:hanging="420"/>
      </w:pPr>
    </w:lvl>
    <w:lvl w:ilvl="5" w:tentative="0">
      <w:start w:val="1"/>
      <w:numFmt w:val="lowerRoman"/>
      <w:lvlText w:val="%6."/>
      <w:lvlJc w:val="right"/>
      <w:pPr>
        <w:ind w:left="4787" w:hanging="420"/>
      </w:pPr>
    </w:lvl>
    <w:lvl w:ilvl="6" w:tentative="0">
      <w:start w:val="1"/>
      <w:numFmt w:val="decimal"/>
      <w:lvlText w:val="%7."/>
      <w:lvlJc w:val="left"/>
      <w:pPr>
        <w:ind w:left="5207" w:hanging="420"/>
      </w:pPr>
    </w:lvl>
    <w:lvl w:ilvl="7" w:tentative="0">
      <w:start w:val="1"/>
      <w:numFmt w:val="lowerLetter"/>
      <w:lvlText w:val="%8)"/>
      <w:lvlJc w:val="left"/>
      <w:pPr>
        <w:ind w:left="5627" w:hanging="420"/>
      </w:pPr>
    </w:lvl>
    <w:lvl w:ilvl="8" w:tentative="0">
      <w:start w:val="1"/>
      <w:numFmt w:val="lowerRoman"/>
      <w:lvlText w:val="%9."/>
      <w:lvlJc w:val="right"/>
      <w:pPr>
        <w:ind w:left="6047" w:hanging="420"/>
      </w:pPr>
    </w:lvl>
  </w:abstractNum>
  <w:abstractNum w:abstractNumId="46">
    <w:nsid w:val="768F205E"/>
    <w:multiLevelType w:val="multilevel"/>
    <w:tmpl w:val="768F20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7C16E5A"/>
    <w:multiLevelType w:val="multilevel"/>
    <w:tmpl w:val="77C16E5A"/>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48">
    <w:nsid w:val="77D3309C"/>
    <w:multiLevelType w:val="multilevel"/>
    <w:tmpl w:val="77D3309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78FF1263"/>
    <w:multiLevelType w:val="multilevel"/>
    <w:tmpl w:val="78FF1263"/>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50">
    <w:nsid w:val="7E76486E"/>
    <w:multiLevelType w:val="multilevel"/>
    <w:tmpl w:val="7E76486E"/>
    <w:lvl w:ilvl="0" w:tentative="0">
      <w:start w:val="1"/>
      <w:numFmt w:val="decimal"/>
      <w:lvlText w:val="%1)"/>
      <w:lvlJc w:val="left"/>
      <w:pPr>
        <w:ind w:left="910" w:hanging="420"/>
      </w:pPr>
    </w:lvl>
    <w:lvl w:ilvl="1" w:tentative="0">
      <w:start w:val="1"/>
      <w:numFmt w:val="lowerLetter"/>
      <w:lvlText w:val="%2)"/>
      <w:lvlJc w:val="left"/>
      <w:pPr>
        <w:ind w:left="1330" w:hanging="420"/>
      </w:pPr>
    </w:lvl>
    <w:lvl w:ilvl="2" w:tentative="0">
      <w:start w:val="1"/>
      <w:numFmt w:val="lowerRoman"/>
      <w:lvlText w:val="%3."/>
      <w:lvlJc w:val="right"/>
      <w:pPr>
        <w:ind w:left="1750" w:hanging="420"/>
      </w:pPr>
    </w:lvl>
    <w:lvl w:ilvl="3" w:tentative="0">
      <w:start w:val="1"/>
      <w:numFmt w:val="decimal"/>
      <w:lvlText w:val="%4."/>
      <w:lvlJc w:val="left"/>
      <w:pPr>
        <w:ind w:left="2170" w:hanging="420"/>
      </w:pPr>
    </w:lvl>
    <w:lvl w:ilvl="4" w:tentative="0">
      <w:start w:val="1"/>
      <w:numFmt w:val="lowerLetter"/>
      <w:lvlText w:val="%5)"/>
      <w:lvlJc w:val="left"/>
      <w:pPr>
        <w:ind w:left="2590" w:hanging="420"/>
      </w:pPr>
    </w:lvl>
    <w:lvl w:ilvl="5" w:tentative="0">
      <w:start w:val="1"/>
      <w:numFmt w:val="lowerRoman"/>
      <w:lvlText w:val="%6."/>
      <w:lvlJc w:val="right"/>
      <w:pPr>
        <w:ind w:left="3010" w:hanging="420"/>
      </w:pPr>
    </w:lvl>
    <w:lvl w:ilvl="6" w:tentative="0">
      <w:start w:val="1"/>
      <w:numFmt w:val="decimal"/>
      <w:lvlText w:val="%7."/>
      <w:lvlJc w:val="left"/>
      <w:pPr>
        <w:ind w:left="3430" w:hanging="420"/>
      </w:pPr>
    </w:lvl>
    <w:lvl w:ilvl="7" w:tentative="0">
      <w:start w:val="1"/>
      <w:numFmt w:val="lowerLetter"/>
      <w:lvlText w:val="%8)"/>
      <w:lvlJc w:val="left"/>
      <w:pPr>
        <w:ind w:left="3850" w:hanging="420"/>
      </w:pPr>
    </w:lvl>
    <w:lvl w:ilvl="8" w:tentative="0">
      <w:start w:val="1"/>
      <w:numFmt w:val="lowerRoman"/>
      <w:lvlText w:val="%9."/>
      <w:lvlJc w:val="right"/>
      <w:pPr>
        <w:ind w:left="4270" w:hanging="420"/>
      </w:pPr>
    </w:lvl>
  </w:abstractNum>
  <w:abstractNum w:abstractNumId="51">
    <w:nsid w:val="7FDA26AF"/>
    <w:multiLevelType w:val="multilevel"/>
    <w:tmpl w:val="7FDA26A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3"/>
  </w:num>
  <w:num w:numId="5">
    <w:abstractNumId w:val="0"/>
  </w:num>
  <w:num w:numId="6">
    <w:abstractNumId w:val="36"/>
  </w:num>
  <w:num w:numId="7">
    <w:abstractNumId w:val="31"/>
  </w:num>
  <w:num w:numId="8">
    <w:abstractNumId w:val="28"/>
  </w:num>
  <w:num w:numId="9">
    <w:abstractNumId w:val="50"/>
  </w:num>
  <w:num w:numId="10">
    <w:abstractNumId w:val="48"/>
  </w:num>
  <w:num w:numId="11">
    <w:abstractNumId w:val="17"/>
  </w:num>
  <w:num w:numId="12">
    <w:abstractNumId w:val="10"/>
  </w:num>
  <w:num w:numId="13">
    <w:abstractNumId w:val="40"/>
  </w:num>
  <w:num w:numId="14">
    <w:abstractNumId w:val="13"/>
  </w:num>
  <w:num w:numId="15">
    <w:abstractNumId w:val="25"/>
  </w:num>
  <w:num w:numId="16">
    <w:abstractNumId w:val="37"/>
  </w:num>
  <w:num w:numId="17">
    <w:abstractNumId w:val="46"/>
  </w:num>
  <w:num w:numId="18">
    <w:abstractNumId w:val="23"/>
  </w:num>
  <w:num w:numId="19">
    <w:abstractNumId w:val="27"/>
  </w:num>
  <w:num w:numId="20">
    <w:abstractNumId w:val="30"/>
  </w:num>
  <w:num w:numId="21">
    <w:abstractNumId w:val="19"/>
  </w:num>
  <w:num w:numId="22">
    <w:abstractNumId w:val="51"/>
  </w:num>
  <w:num w:numId="23">
    <w:abstractNumId w:val="5"/>
  </w:num>
  <w:num w:numId="24">
    <w:abstractNumId w:val="6"/>
  </w:num>
  <w:num w:numId="25">
    <w:abstractNumId w:val="39"/>
  </w:num>
  <w:num w:numId="26">
    <w:abstractNumId w:val="12"/>
  </w:num>
  <w:num w:numId="27">
    <w:abstractNumId w:val="20"/>
  </w:num>
  <w:num w:numId="28">
    <w:abstractNumId w:val="8"/>
  </w:num>
  <w:num w:numId="29">
    <w:abstractNumId w:val="45"/>
  </w:num>
  <w:num w:numId="30">
    <w:abstractNumId w:val="21"/>
  </w:num>
  <w:num w:numId="31">
    <w:abstractNumId w:val="16"/>
  </w:num>
  <w:num w:numId="32">
    <w:abstractNumId w:val="32"/>
  </w:num>
  <w:num w:numId="33">
    <w:abstractNumId w:val="29"/>
  </w:num>
  <w:num w:numId="34">
    <w:abstractNumId w:val="15"/>
  </w:num>
  <w:num w:numId="35">
    <w:abstractNumId w:val="9"/>
  </w:num>
  <w:num w:numId="36">
    <w:abstractNumId w:val="18"/>
  </w:num>
  <w:num w:numId="37">
    <w:abstractNumId w:val="35"/>
  </w:num>
  <w:num w:numId="38">
    <w:abstractNumId w:val="49"/>
  </w:num>
  <w:num w:numId="39">
    <w:abstractNumId w:val="41"/>
  </w:num>
  <w:num w:numId="40">
    <w:abstractNumId w:val="11"/>
  </w:num>
  <w:num w:numId="41">
    <w:abstractNumId w:val="43"/>
  </w:num>
  <w:num w:numId="42">
    <w:abstractNumId w:val="14"/>
  </w:num>
  <w:num w:numId="43">
    <w:abstractNumId w:val="7"/>
  </w:num>
  <w:num w:numId="44">
    <w:abstractNumId w:val="26"/>
  </w:num>
  <w:num w:numId="45">
    <w:abstractNumId w:val="44"/>
  </w:num>
  <w:num w:numId="46">
    <w:abstractNumId w:val="42"/>
  </w:num>
  <w:num w:numId="47">
    <w:abstractNumId w:val="47"/>
  </w:num>
  <w:num w:numId="48">
    <w:abstractNumId w:val="24"/>
  </w:num>
  <w:num w:numId="49">
    <w:abstractNumId w:val="33"/>
  </w:num>
  <w:num w:numId="50">
    <w:abstractNumId w:val="22"/>
  </w:num>
  <w:num w:numId="51">
    <w:abstractNumId w:val="38"/>
  </w:num>
  <w:num w:numId="5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39"/>
    <w:rsid w:val="000026DE"/>
    <w:rsid w:val="000034FF"/>
    <w:rsid w:val="00005755"/>
    <w:rsid w:val="00007707"/>
    <w:rsid w:val="00007741"/>
    <w:rsid w:val="000108DD"/>
    <w:rsid w:val="00010CAD"/>
    <w:rsid w:val="00011298"/>
    <w:rsid w:val="0001252F"/>
    <w:rsid w:val="00013E26"/>
    <w:rsid w:val="000172AE"/>
    <w:rsid w:val="00020876"/>
    <w:rsid w:val="00023C87"/>
    <w:rsid w:val="000242C3"/>
    <w:rsid w:val="00031175"/>
    <w:rsid w:val="00031BE5"/>
    <w:rsid w:val="00033CFA"/>
    <w:rsid w:val="00034B22"/>
    <w:rsid w:val="000356F6"/>
    <w:rsid w:val="00035D31"/>
    <w:rsid w:val="00037372"/>
    <w:rsid w:val="00040FAB"/>
    <w:rsid w:val="0004111F"/>
    <w:rsid w:val="000415FF"/>
    <w:rsid w:val="00042F85"/>
    <w:rsid w:val="0004467D"/>
    <w:rsid w:val="0004729C"/>
    <w:rsid w:val="00051714"/>
    <w:rsid w:val="00052BC2"/>
    <w:rsid w:val="000531BC"/>
    <w:rsid w:val="00054AB4"/>
    <w:rsid w:val="0005532B"/>
    <w:rsid w:val="00056520"/>
    <w:rsid w:val="00056BCF"/>
    <w:rsid w:val="000572D4"/>
    <w:rsid w:val="000574EA"/>
    <w:rsid w:val="00061D61"/>
    <w:rsid w:val="00063A64"/>
    <w:rsid w:val="00063AE6"/>
    <w:rsid w:val="000665F3"/>
    <w:rsid w:val="00071161"/>
    <w:rsid w:val="0007370D"/>
    <w:rsid w:val="00075083"/>
    <w:rsid w:val="00081A56"/>
    <w:rsid w:val="000822C0"/>
    <w:rsid w:val="000846E1"/>
    <w:rsid w:val="0008570D"/>
    <w:rsid w:val="00085DC3"/>
    <w:rsid w:val="00087EE7"/>
    <w:rsid w:val="00090F7D"/>
    <w:rsid w:val="000927C5"/>
    <w:rsid w:val="00094E9C"/>
    <w:rsid w:val="00095577"/>
    <w:rsid w:val="00097375"/>
    <w:rsid w:val="0009772A"/>
    <w:rsid w:val="000A3D0B"/>
    <w:rsid w:val="000A4088"/>
    <w:rsid w:val="000A419F"/>
    <w:rsid w:val="000A4AC4"/>
    <w:rsid w:val="000A69E3"/>
    <w:rsid w:val="000A7662"/>
    <w:rsid w:val="000B01A8"/>
    <w:rsid w:val="000B0B99"/>
    <w:rsid w:val="000B1369"/>
    <w:rsid w:val="000B24CA"/>
    <w:rsid w:val="000B31D1"/>
    <w:rsid w:val="000B462B"/>
    <w:rsid w:val="000B4F36"/>
    <w:rsid w:val="000B5285"/>
    <w:rsid w:val="000B5C57"/>
    <w:rsid w:val="000C0819"/>
    <w:rsid w:val="000C40E7"/>
    <w:rsid w:val="000C43A4"/>
    <w:rsid w:val="000C4873"/>
    <w:rsid w:val="000C5722"/>
    <w:rsid w:val="000C5B13"/>
    <w:rsid w:val="000C61BA"/>
    <w:rsid w:val="000C6DEB"/>
    <w:rsid w:val="000C729A"/>
    <w:rsid w:val="000C7AE9"/>
    <w:rsid w:val="000D212E"/>
    <w:rsid w:val="000D2E13"/>
    <w:rsid w:val="000D4A1C"/>
    <w:rsid w:val="000D4A50"/>
    <w:rsid w:val="000D5256"/>
    <w:rsid w:val="000D5C72"/>
    <w:rsid w:val="000D6BAF"/>
    <w:rsid w:val="000E2B79"/>
    <w:rsid w:val="000E55C2"/>
    <w:rsid w:val="000E6A76"/>
    <w:rsid w:val="000E781A"/>
    <w:rsid w:val="000E784A"/>
    <w:rsid w:val="000E7BA8"/>
    <w:rsid w:val="000F0067"/>
    <w:rsid w:val="000F0B30"/>
    <w:rsid w:val="000F1409"/>
    <w:rsid w:val="000F2954"/>
    <w:rsid w:val="000F36DA"/>
    <w:rsid w:val="000F6704"/>
    <w:rsid w:val="000F72AC"/>
    <w:rsid w:val="0010169D"/>
    <w:rsid w:val="00101BE5"/>
    <w:rsid w:val="0010291F"/>
    <w:rsid w:val="00102B3D"/>
    <w:rsid w:val="00102FED"/>
    <w:rsid w:val="00103B16"/>
    <w:rsid w:val="00107217"/>
    <w:rsid w:val="00110AEB"/>
    <w:rsid w:val="001122A7"/>
    <w:rsid w:val="00112C55"/>
    <w:rsid w:val="00116711"/>
    <w:rsid w:val="001173D0"/>
    <w:rsid w:val="00121CF7"/>
    <w:rsid w:val="00121E3D"/>
    <w:rsid w:val="00123D1B"/>
    <w:rsid w:val="00123F2B"/>
    <w:rsid w:val="0012499C"/>
    <w:rsid w:val="0012597C"/>
    <w:rsid w:val="00126E64"/>
    <w:rsid w:val="001273AB"/>
    <w:rsid w:val="001273AF"/>
    <w:rsid w:val="00127BBD"/>
    <w:rsid w:val="0013037C"/>
    <w:rsid w:val="001327D9"/>
    <w:rsid w:val="00134C9F"/>
    <w:rsid w:val="00136DE6"/>
    <w:rsid w:val="00137AA1"/>
    <w:rsid w:val="00141CE8"/>
    <w:rsid w:val="00147C7A"/>
    <w:rsid w:val="0015039D"/>
    <w:rsid w:val="00150D12"/>
    <w:rsid w:val="00155FF6"/>
    <w:rsid w:val="0015601B"/>
    <w:rsid w:val="001566CD"/>
    <w:rsid w:val="00156EBC"/>
    <w:rsid w:val="00157C40"/>
    <w:rsid w:val="001600CF"/>
    <w:rsid w:val="00160690"/>
    <w:rsid w:val="00162F09"/>
    <w:rsid w:val="00163F47"/>
    <w:rsid w:val="00164193"/>
    <w:rsid w:val="001646C7"/>
    <w:rsid w:val="00164AA8"/>
    <w:rsid w:val="00164D34"/>
    <w:rsid w:val="0017055D"/>
    <w:rsid w:val="00170E6A"/>
    <w:rsid w:val="00171349"/>
    <w:rsid w:val="0017370F"/>
    <w:rsid w:val="00176906"/>
    <w:rsid w:val="00176F09"/>
    <w:rsid w:val="00181095"/>
    <w:rsid w:val="00181539"/>
    <w:rsid w:val="00182C0D"/>
    <w:rsid w:val="00182EE8"/>
    <w:rsid w:val="001866F7"/>
    <w:rsid w:val="00186A09"/>
    <w:rsid w:val="00187445"/>
    <w:rsid w:val="00191824"/>
    <w:rsid w:val="0019236B"/>
    <w:rsid w:val="0019301E"/>
    <w:rsid w:val="00195173"/>
    <w:rsid w:val="00195DBB"/>
    <w:rsid w:val="001970EC"/>
    <w:rsid w:val="001A0356"/>
    <w:rsid w:val="001A1E45"/>
    <w:rsid w:val="001A3A8D"/>
    <w:rsid w:val="001A3EE2"/>
    <w:rsid w:val="001A5313"/>
    <w:rsid w:val="001A5447"/>
    <w:rsid w:val="001A54F9"/>
    <w:rsid w:val="001B1F69"/>
    <w:rsid w:val="001B3C31"/>
    <w:rsid w:val="001B4260"/>
    <w:rsid w:val="001B4276"/>
    <w:rsid w:val="001B5CD1"/>
    <w:rsid w:val="001B6985"/>
    <w:rsid w:val="001C3564"/>
    <w:rsid w:val="001C3940"/>
    <w:rsid w:val="001D01F3"/>
    <w:rsid w:val="001D072D"/>
    <w:rsid w:val="001D2711"/>
    <w:rsid w:val="001D31FE"/>
    <w:rsid w:val="001D429A"/>
    <w:rsid w:val="001D51DC"/>
    <w:rsid w:val="001D589B"/>
    <w:rsid w:val="001D5F23"/>
    <w:rsid w:val="001D613A"/>
    <w:rsid w:val="001D6224"/>
    <w:rsid w:val="001E0A1E"/>
    <w:rsid w:val="001E7D5A"/>
    <w:rsid w:val="001F0405"/>
    <w:rsid w:val="001F089F"/>
    <w:rsid w:val="001F3290"/>
    <w:rsid w:val="001F4CB9"/>
    <w:rsid w:val="001F6330"/>
    <w:rsid w:val="001F65FD"/>
    <w:rsid w:val="001F7DBB"/>
    <w:rsid w:val="002005FE"/>
    <w:rsid w:val="002007CB"/>
    <w:rsid w:val="00200A42"/>
    <w:rsid w:val="00201EA9"/>
    <w:rsid w:val="00204729"/>
    <w:rsid w:val="00206967"/>
    <w:rsid w:val="00210A77"/>
    <w:rsid w:val="00210CCC"/>
    <w:rsid w:val="00211791"/>
    <w:rsid w:val="00211EBD"/>
    <w:rsid w:val="002128C8"/>
    <w:rsid w:val="00213AF3"/>
    <w:rsid w:val="00213FC8"/>
    <w:rsid w:val="002146BC"/>
    <w:rsid w:val="002149C3"/>
    <w:rsid w:val="00214C7F"/>
    <w:rsid w:val="00214DC1"/>
    <w:rsid w:val="0021550C"/>
    <w:rsid w:val="00217C7F"/>
    <w:rsid w:val="00220262"/>
    <w:rsid w:val="0022108A"/>
    <w:rsid w:val="002210D4"/>
    <w:rsid w:val="002223E0"/>
    <w:rsid w:val="002225B0"/>
    <w:rsid w:val="002227A0"/>
    <w:rsid w:val="002263D1"/>
    <w:rsid w:val="00227303"/>
    <w:rsid w:val="002274DB"/>
    <w:rsid w:val="002302BB"/>
    <w:rsid w:val="00231428"/>
    <w:rsid w:val="0023276B"/>
    <w:rsid w:val="002327F7"/>
    <w:rsid w:val="002332FE"/>
    <w:rsid w:val="00234416"/>
    <w:rsid w:val="00235966"/>
    <w:rsid w:val="00235BA7"/>
    <w:rsid w:val="002405AB"/>
    <w:rsid w:val="00240B1E"/>
    <w:rsid w:val="00241D4F"/>
    <w:rsid w:val="00243EE6"/>
    <w:rsid w:val="00244404"/>
    <w:rsid w:val="00244A6D"/>
    <w:rsid w:val="00244FC0"/>
    <w:rsid w:val="00245854"/>
    <w:rsid w:val="00247136"/>
    <w:rsid w:val="002472BF"/>
    <w:rsid w:val="002516A2"/>
    <w:rsid w:val="002549DB"/>
    <w:rsid w:val="002556CB"/>
    <w:rsid w:val="0025584B"/>
    <w:rsid w:val="002568C8"/>
    <w:rsid w:val="002573AA"/>
    <w:rsid w:val="0026159A"/>
    <w:rsid w:val="002616E8"/>
    <w:rsid w:val="0026352B"/>
    <w:rsid w:val="0026419C"/>
    <w:rsid w:val="00266E33"/>
    <w:rsid w:val="00266E57"/>
    <w:rsid w:val="00266F32"/>
    <w:rsid w:val="0027369A"/>
    <w:rsid w:val="0027587B"/>
    <w:rsid w:val="002766FD"/>
    <w:rsid w:val="00277EDE"/>
    <w:rsid w:val="00282694"/>
    <w:rsid w:val="002826B4"/>
    <w:rsid w:val="002829F5"/>
    <w:rsid w:val="00282DDE"/>
    <w:rsid w:val="00283DE5"/>
    <w:rsid w:val="002845D8"/>
    <w:rsid w:val="00285647"/>
    <w:rsid w:val="00287B99"/>
    <w:rsid w:val="00290F5F"/>
    <w:rsid w:val="00294B71"/>
    <w:rsid w:val="00295DC2"/>
    <w:rsid w:val="00297A2D"/>
    <w:rsid w:val="002A1D67"/>
    <w:rsid w:val="002A1D69"/>
    <w:rsid w:val="002A2434"/>
    <w:rsid w:val="002A28B9"/>
    <w:rsid w:val="002A2EF2"/>
    <w:rsid w:val="002A3646"/>
    <w:rsid w:val="002A402F"/>
    <w:rsid w:val="002A5688"/>
    <w:rsid w:val="002A5804"/>
    <w:rsid w:val="002A61FE"/>
    <w:rsid w:val="002A76B5"/>
    <w:rsid w:val="002A7C40"/>
    <w:rsid w:val="002B2174"/>
    <w:rsid w:val="002B3551"/>
    <w:rsid w:val="002B3BB9"/>
    <w:rsid w:val="002B4210"/>
    <w:rsid w:val="002B4416"/>
    <w:rsid w:val="002B566A"/>
    <w:rsid w:val="002B69CC"/>
    <w:rsid w:val="002B7157"/>
    <w:rsid w:val="002C09DF"/>
    <w:rsid w:val="002C1B41"/>
    <w:rsid w:val="002C2440"/>
    <w:rsid w:val="002C2A70"/>
    <w:rsid w:val="002C3458"/>
    <w:rsid w:val="002C3651"/>
    <w:rsid w:val="002C5320"/>
    <w:rsid w:val="002C579F"/>
    <w:rsid w:val="002C617F"/>
    <w:rsid w:val="002C6EA7"/>
    <w:rsid w:val="002C7116"/>
    <w:rsid w:val="002C779C"/>
    <w:rsid w:val="002D0F76"/>
    <w:rsid w:val="002D3075"/>
    <w:rsid w:val="002D339B"/>
    <w:rsid w:val="002D5244"/>
    <w:rsid w:val="002D55AC"/>
    <w:rsid w:val="002D5AE3"/>
    <w:rsid w:val="002D695B"/>
    <w:rsid w:val="002E017F"/>
    <w:rsid w:val="002E103C"/>
    <w:rsid w:val="002E12DE"/>
    <w:rsid w:val="002E1377"/>
    <w:rsid w:val="002E269D"/>
    <w:rsid w:val="002E26C7"/>
    <w:rsid w:val="002E2861"/>
    <w:rsid w:val="002E2C05"/>
    <w:rsid w:val="002E322A"/>
    <w:rsid w:val="002E445A"/>
    <w:rsid w:val="002E48DF"/>
    <w:rsid w:val="002E5CF8"/>
    <w:rsid w:val="002F133D"/>
    <w:rsid w:val="002F21A9"/>
    <w:rsid w:val="002F374A"/>
    <w:rsid w:val="002F3EE6"/>
    <w:rsid w:val="002F54CB"/>
    <w:rsid w:val="002F56E7"/>
    <w:rsid w:val="002F5FFB"/>
    <w:rsid w:val="002F777F"/>
    <w:rsid w:val="002F77CF"/>
    <w:rsid w:val="0030091F"/>
    <w:rsid w:val="003010ED"/>
    <w:rsid w:val="003019A8"/>
    <w:rsid w:val="00301BF6"/>
    <w:rsid w:val="00301FF3"/>
    <w:rsid w:val="0030245D"/>
    <w:rsid w:val="0030403C"/>
    <w:rsid w:val="0031004C"/>
    <w:rsid w:val="00310C70"/>
    <w:rsid w:val="0031108E"/>
    <w:rsid w:val="0031155D"/>
    <w:rsid w:val="00314035"/>
    <w:rsid w:val="00315134"/>
    <w:rsid w:val="00315928"/>
    <w:rsid w:val="00316F24"/>
    <w:rsid w:val="003173E2"/>
    <w:rsid w:val="00320F76"/>
    <w:rsid w:val="0032114A"/>
    <w:rsid w:val="00321820"/>
    <w:rsid w:val="00321DDA"/>
    <w:rsid w:val="003236E1"/>
    <w:rsid w:val="00323CA4"/>
    <w:rsid w:val="00323E38"/>
    <w:rsid w:val="00325EAE"/>
    <w:rsid w:val="00326200"/>
    <w:rsid w:val="00326665"/>
    <w:rsid w:val="00331073"/>
    <w:rsid w:val="0033285F"/>
    <w:rsid w:val="00332C74"/>
    <w:rsid w:val="0033399A"/>
    <w:rsid w:val="00334999"/>
    <w:rsid w:val="00334E30"/>
    <w:rsid w:val="00334F4F"/>
    <w:rsid w:val="00335B19"/>
    <w:rsid w:val="003365C3"/>
    <w:rsid w:val="003377D6"/>
    <w:rsid w:val="00337D1A"/>
    <w:rsid w:val="00337D95"/>
    <w:rsid w:val="00340471"/>
    <w:rsid w:val="00341A88"/>
    <w:rsid w:val="003421D6"/>
    <w:rsid w:val="003422DF"/>
    <w:rsid w:val="00344288"/>
    <w:rsid w:val="00345695"/>
    <w:rsid w:val="00351281"/>
    <w:rsid w:val="003516F2"/>
    <w:rsid w:val="0035222C"/>
    <w:rsid w:val="00355E8E"/>
    <w:rsid w:val="003563E2"/>
    <w:rsid w:val="00356CF2"/>
    <w:rsid w:val="00357F90"/>
    <w:rsid w:val="0036216F"/>
    <w:rsid w:val="00363C79"/>
    <w:rsid w:val="003645A5"/>
    <w:rsid w:val="003647EE"/>
    <w:rsid w:val="0036553D"/>
    <w:rsid w:val="00365DB6"/>
    <w:rsid w:val="00370418"/>
    <w:rsid w:val="00371C0A"/>
    <w:rsid w:val="003733C3"/>
    <w:rsid w:val="00373407"/>
    <w:rsid w:val="00373440"/>
    <w:rsid w:val="0037362C"/>
    <w:rsid w:val="003745C8"/>
    <w:rsid w:val="003752AC"/>
    <w:rsid w:val="00376475"/>
    <w:rsid w:val="00377014"/>
    <w:rsid w:val="00380168"/>
    <w:rsid w:val="00380221"/>
    <w:rsid w:val="00381160"/>
    <w:rsid w:val="0038142C"/>
    <w:rsid w:val="00381C36"/>
    <w:rsid w:val="00383E94"/>
    <w:rsid w:val="00384144"/>
    <w:rsid w:val="0038597F"/>
    <w:rsid w:val="00385B78"/>
    <w:rsid w:val="003867A7"/>
    <w:rsid w:val="003909F8"/>
    <w:rsid w:val="00392716"/>
    <w:rsid w:val="00393429"/>
    <w:rsid w:val="00393566"/>
    <w:rsid w:val="003938A6"/>
    <w:rsid w:val="00393E65"/>
    <w:rsid w:val="00396638"/>
    <w:rsid w:val="00396B48"/>
    <w:rsid w:val="003A1872"/>
    <w:rsid w:val="003A20AE"/>
    <w:rsid w:val="003A279C"/>
    <w:rsid w:val="003A48D7"/>
    <w:rsid w:val="003A49D4"/>
    <w:rsid w:val="003A4AEA"/>
    <w:rsid w:val="003A4CD0"/>
    <w:rsid w:val="003A4E56"/>
    <w:rsid w:val="003A5404"/>
    <w:rsid w:val="003A62FC"/>
    <w:rsid w:val="003A6E2F"/>
    <w:rsid w:val="003A6FC2"/>
    <w:rsid w:val="003B0BF6"/>
    <w:rsid w:val="003B2327"/>
    <w:rsid w:val="003B2CE8"/>
    <w:rsid w:val="003B3006"/>
    <w:rsid w:val="003B40E2"/>
    <w:rsid w:val="003B477E"/>
    <w:rsid w:val="003B7581"/>
    <w:rsid w:val="003B7B26"/>
    <w:rsid w:val="003B7C08"/>
    <w:rsid w:val="003C1756"/>
    <w:rsid w:val="003C2325"/>
    <w:rsid w:val="003C26DB"/>
    <w:rsid w:val="003C2744"/>
    <w:rsid w:val="003C4089"/>
    <w:rsid w:val="003D0180"/>
    <w:rsid w:val="003D0B2E"/>
    <w:rsid w:val="003D2209"/>
    <w:rsid w:val="003D28A9"/>
    <w:rsid w:val="003D4BFB"/>
    <w:rsid w:val="003D5DBA"/>
    <w:rsid w:val="003D6F63"/>
    <w:rsid w:val="003D73C6"/>
    <w:rsid w:val="003D75E8"/>
    <w:rsid w:val="003D7ED7"/>
    <w:rsid w:val="003E0DFB"/>
    <w:rsid w:val="003E1F56"/>
    <w:rsid w:val="003E32E3"/>
    <w:rsid w:val="003E3921"/>
    <w:rsid w:val="003E3DB8"/>
    <w:rsid w:val="003E42E5"/>
    <w:rsid w:val="003F01C1"/>
    <w:rsid w:val="003F0307"/>
    <w:rsid w:val="003F3059"/>
    <w:rsid w:val="003F45A9"/>
    <w:rsid w:val="003F4E9E"/>
    <w:rsid w:val="003F6EF4"/>
    <w:rsid w:val="003F7703"/>
    <w:rsid w:val="0040078F"/>
    <w:rsid w:val="00401072"/>
    <w:rsid w:val="00401ECB"/>
    <w:rsid w:val="00404204"/>
    <w:rsid w:val="00406C84"/>
    <w:rsid w:val="00412F39"/>
    <w:rsid w:val="00414D00"/>
    <w:rsid w:val="004160B6"/>
    <w:rsid w:val="004216DF"/>
    <w:rsid w:val="00421FDD"/>
    <w:rsid w:val="00423431"/>
    <w:rsid w:val="004236B4"/>
    <w:rsid w:val="00424568"/>
    <w:rsid w:val="00424987"/>
    <w:rsid w:val="00427F77"/>
    <w:rsid w:val="004313B3"/>
    <w:rsid w:val="00432579"/>
    <w:rsid w:val="00432D55"/>
    <w:rsid w:val="004342A4"/>
    <w:rsid w:val="00434787"/>
    <w:rsid w:val="00434A75"/>
    <w:rsid w:val="00435D98"/>
    <w:rsid w:val="00437902"/>
    <w:rsid w:val="00437E5A"/>
    <w:rsid w:val="00442023"/>
    <w:rsid w:val="00442A97"/>
    <w:rsid w:val="00442D82"/>
    <w:rsid w:val="0044320A"/>
    <w:rsid w:val="00445497"/>
    <w:rsid w:val="004458A1"/>
    <w:rsid w:val="004459C7"/>
    <w:rsid w:val="004464F0"/>
    <w:rsid w:val="00446587"/>
    <w:rsid w:val="0044797C"/>
    <w:rsid w:val="0045056E"/>
    <w:rsid w:val="00451885"/>
    <w:rsid w:val="00451AB4"/>
    <w:rsid w:val="004549E5"/>
    <w:rsid w:val="004551A9"/>
    <w:rsid w:val="004610F2"/>
    <w:rsid w:val="0046195E"/>
    <w:rsid w:val="00462C9B"/>
    <w:rsid w:val="00465CC4"/>
    <w:rsid w:val="00466EFE"/>
    <w:rsid w:val="0046737B"/>
    <w:rsid w:val="00467814"/>
    <w:rsid w:val="00467AA0"/>
    <w:rsid w:val="00470367"/>
    <w:rsid w:val="00472E6F"/>
    <w:rsid w:val="004732AB"/>
    <w:rsid w:val="004737F7"/>
    <w:rsid w:val="00475346"/>
    <w:rsid w:val="00475E3E"/>
    <w:rsid w:val="004767CE"/>
    <w:rsid w:val="00476E28"/>
    <w:rsid w:val="00476FDE"/>
    <w:rsid w:val="00477B6B"/>
    <w:rsid w:val="00477DA4"/>
    <w:rsid w:val="00480AF5"/>
    <w:rsid w:val="00482D19"/>
    <w:rsid w:val="00483EC1"/>
    <w:rsid w:val="0048425E"/>
    <w:rsid w:val="00491914"/>
    <w:rsid w:val="00492775"/>
    <w:rsid w:val="00493ED4"/>
    <w:rsid w:val="004943D5"/>
    <w:rsid w:val="00494A4D"/>
    <w:rsid w:val="00495883"/>
    <w:rsid w:val="00496A1F"/>
    <w:rsid w:val="004A0538"/>
    <w:rsid w:val="004A1C6E"/>
    <w:rsid w:val="004A1D62"/>
    <w:rsid w:val="004A216D"/>
    <w:rsid w:val="004A2892"/>
    <w:rsid w:val="004A2C0C"/>
    <w:rsid w:val="004A5DEF"/>
    <w:rsid w:val="004A6ABA"/>
    <w:rsid w:val="004A6CC7"/>
    <w:rsid w:val="004A6FB9"/>
    <w:rsid w:val="004B17C6"/>
    <w:rsid w:val="004B4C85"/>
    <w:rsid w:val="004B5525"/>
    <w:rsid w:val="004B7D9C"/>
    <w:rsid w:val="004C0C18"/>
    <w:rsid w:val="004C0E6D"/>
    <w:rsid w:val="004C175E"/>
    <w:rsid w:val="004C29FC"/>
    <w:rsid w:val="004C45FD"/>
    <w:rsid w:val="004C515A"/>
    <w:rsid w:val="004C59EC"/>
    <w:rsid w:val="004C65C2"/>
    <w:rsid w:val="004C6900"/>
    <w:rsid w:val="004C6CDE"/>
    <w:rsid w:val="004C796E"/>
    <w:rsid w:val="004D0F27"/>
    <w:rsid w:val="004D14D9"/>
    <w:rsid w:val="004D1F89"/>
    <w:rsid w:val="004D4D0E"/>
    <w:rsid w:val="004D4D13"/>
    <w:rsid w:val="004D64B9"/>
    <w:rsid w:val="004D74DF"/>
    <w:rsid w:val="004D758D"/>
    <w:rsid w:val="004E0202"/>
    <w:rsid w:val="004E52BD"/>
    <w:rsid w:val="004E57DC"/>
    <w:rsid w:val="004F007B"/>
    <w:rsid w:val="004F04C4"/>
    <w:rsid w:val="004F2452"/>
    <w:rsid w:val="004F27D5"/>
    <w:rsid w:val="004F2E6B"/>
    <w:rsid w:val="004F3B8B"/>
    <w:rsid w:val="004F4053"/>
    <w:rsid w:val="004F40F3"/>
    <w:rsid w:val="004F5086"/>
    <w:rsid w:val="004F5873"/>
    <w:rsid w:val="004F7F99"/>
    <w:rsid w:val="00500C33"/>
    <w:rsid w:val="0050249B"/>
    <w:rsid w:val="0050265F"/>
    <w:rsid w:val="00503214"/>
    <w:rsid w:val="00503E6F"/>
    <w:rsid w:val="00504401"/>
    <w:rsid w:val="00504D7C"/>
    <w:rsid w:val="00507225"/>
    <w:rsid w:val="005136E4"/>
    <w:rsid w:val="005166DE"/>
    <w:rsid w:val="005202FA"/>
    <w:rsid w:val="00520668"/>
    <w:rsid w:val="00522D1E"/>
    <w:rsid w:val="00522FC0"/>
    <w:rsid w:val="00524995"/>
    <w:rsid w:val="00524F98"/>
    <w:rsid w:val="00525CB9"/>
    <w:rsid w:val="00526B36"/>
    <w:rsid w:val="00526E8B"/>
    <w:rsid w:val="00527C3B"/>
    <w:rsid w:val="0053016C"/>
    <w:rsid w:val="0053079D"/>
    <w:rsid w:val="0053168C"/>
    <w:rsid w:val="00532BFC"/>
    <w:rsid w:val="005335D8"/>
    <w:rsid w:val="00534C8B"/>
    <w:rsid w:val="00535C04"/>
    <w:rsid w:val="005414E3"/>
    <w:rsid w:val="00541F16"/>
    <w:rsid w:val="00546FBE"/>
    <w:rsid w:val="005504F3"/>
    <w:rsid w:val="00550624"/>
    <w:rsid w:val="005509EA"/>
    <w:rsid w:val="00550BC1"/>
    <w:rsid w:val="00551137"/>
    <w:rsid w:val="00553489"/>
    <w:rsid w:val="00553696"/>
    <w:rsid w:val="00554A26"/>
    <w:rsid w:val="005560A5"/>
    <w:rsid w:val="0055617F"/>
    <w:rsid w:val="005571F9"/>
    <w:rsid w:val="00557EB1"/>
    <w:rsid w:val="00560B83"/>
    <w:rsid w:val="005616D2"/>
    <w:rsid w:val="00561947"/>
    <w:rsid w:val="005628A3"/>
    <w:rsid w:val="00562F45"/>
    <w:rsid w:val="00563A50"/>
    <w:rsid w:val="00563B41"/>
    <w:rsid w:val="005645B3"/>
    <w:rsid w:val="00565871"/>
    <w:rsid w:val="005714CF"/>
    <w:rsid w:val="00571679"/>
    <w:rsid w:val="005738BD"/>
    <w:rsid w:val="005754CC"/>
    <w:rsid w:val="005824FB"/>
    <w:rsid w:val="005828C2"/>
    <w:rsid w:val="00583B9E"/>
    <w:rsid w:val="00583FCF"/>
    <w:rsid w:val="0058772D"/>
    <w:rsid w:val="00590C2D"/>
    <w:rsid w:val="0059224B"/>
    <w:rsid w:val="00592DC5"/>
    <w:rsid w:val="00594EA7"/>
    <w:rsid w:val="00595842"/>
    <w:rsid w:val="00596E4B"/>
    <w:rsid w:val="0059773D"/>
    <w:rsid w:val="00597C53"/>
    <w:rsid w:val="00597C55"/>
    <w:rsid w:val="005A09BB"/>
    <w:rsid w:val="005A0DBB"/>
    <w:rsid w:val="005A169B"/>
    <w:rsid w:val="005A181C"/>
    <w:rsid w:val="005A269F"/>
    <w:rsid w:val="005A3023"/>
    <w:rsid w:val="005A3936"/>
    <w:rsid w:val="005A3E3F"/>
    <w:rsid w:val="005A4101"/>
    <w:rsid w:val="005A4614"/>
    <w:rsid w:val="005A568B"/>
    <w:rsid w:val="005A57F1"/>
    <w:rsid w:val="005A6A36"/>
    <w:rsid w:val="005A6DB1"/>
    <w:rsid w:val="005B084A"/>
    <w:rsid w:val="005B10D3"/>
    <w:rsid w:val="005B43AB"/>
    <w:rsid w:val="005B50FB"/>
    <w:rsid w:val="005B54C7"/>
    <w:rsid w:val="005B55D3"/>
    <w:rsid w:val="005B5E71"/>
    <w:rsid w:val="005B6205"/>
    <w:rsid w:val="005B6B00"/>
    <w:rsid w:val="005C090E"/>
    <w:rsid w:val="005C20CD"/>
    <w:rsid w:val="005C21A6"/>
    <w:rsid w:val="005C296F"/>
    <w:rsid w:val="005C48BE"/>
    <w:rsid w:val="005C6593"/>
    <w:rsid w:val="005D168B"/>
    <w:rsid w:val="005D2089"/>
    <w:rsid w:val="005D2999"/>
    <w:rsid w:val="005D3483"/>
    <w:rsid w:val="005D3AC6"/>
    <w:rsid w:val="005D3F3E"/>
    <w:rsid w:val="005D449F"/>
    <w:rsid w:val="005D530E"/>
    <w:rsid w:val="005D5A4C"/>
    <w:rsid w:val="005D744B"/>
    <w:rsid w:val="005E1947"/>
    <w:rsid w:val="005E23E1"/>
    <w:rsid w:val="005E3547"/>
    <w:rsid w:val="005E38DA"/>
    <w:rsid w:val="005E3F4D"/>
    <w:rsid w:val="005E4466"/>
    <w:rsid w:val="005E4E7C"/>
    <w:rsid w:val="005F1293"/>
    <w:rsid w:val="005F1FD2"/>
    <w:rsid w:val="005F24E5"/>
    <w:rsid w:val="005F3D64"/>
    <w:rsid w:val="005F4425"/>
    <w:rsid w:val="005F49F4"/>
    <w:rsid w:val="005F59FE"/>
    <w:rsid w:val="005F6471"/>
    <w:rsid w:val="00600A72"/>
    <w:rsid w:val="00601470"/>
    <w:rsid w:val="00601472"/>
    <w:rsid w:val="00603195"/>
    <w:rsid w:val="006039EF"/>
    <w:rsid w:val="00604C60"/>
    <w:rsid w:val="0060588C"/>
    <w:rsid w:val="00606009"/>
    <w:rsid w:val="006069F1"/>
    <w:rsid w:val="0060709E"/>
    <w:rsid w:val="006123F6"/>
    <w:rsid w:val="0061339D"/>
    <w:rsid w:val="006139F1"/>
    <w:rsid w:val="0061451C"/>
    <w:rsid w:val="00615769"/>
    <w:rsid w:val="00615D90"/>
    <w:rsid w:val="00616DD0"/>
    <w:rsid w:val="00622CAA"/>
    <w:rsid w:val="00624D1C"/>
    <w:rsid w:val="00624FA3"/>
    <w:rsid w:val="00625596"/>
    <w:rsid w:val="00630BE5"/>
    <w:rsid w:val="0063175A"/>
    <w:rsid w:val="00631ED4"/>
    <w:rsid w:val="00632933"/>
    <w:rsid w:val="006332A0"/>
    <w:rsid w:val="00635F84"/>
    <w:rsid w:val="00637256"/>
    <w:rsid w:val="00640FD0"/>
    <w:rsid w:val="006411A8"/>
    <w:rsid w:val="00641AA4"/>
    <w:rsid w:val="00641D04"/>
    <w:rsid w:val="00643AD7"/>
    <w:rsid w:val="00646F8C"/>
    <w:rsid w:val="00651093"/>
    <w:rsid w:val="00654E9D"/>
    <w:rsid w:val="0065548A"/>
    <w:rsid w:val="006560A8"/>
    <w:rsid w:val="00657461"/>
    <w:rsid w:val="00660B2D"/>
    <w:rsid w:val="0066353F"/>
    <w:rsid w:val="00663BAC"/>
    <w:rsid w:val="00664D0A"/>
    <w:rsid w:val="00666E16"/>
    <w:rsid w:val="0067010D"/>
    <w:rsid w:val="00670563"/>
    <w:rsid w:val="00670F5F"/>
    <w:rsid w:val="00671A71"/>
    <w:rsid w:val="0067350C"/>
    <w:rsid w:val="00674676"/>
    <w:rsid w:val="00674C77"/>
    <w:rsid w:val="00674F28"/>
    <w:rsid w:val="006753AC"/>
    <w:rsid w:val="0067545B"/>
    <w:rsid w:val="00675D97"/>
    <w:rsid w:val="00677050"/>
    <w:rsid w:val="0067787D"/>
    <w:rsid w:val="0068028B"/>
    <w:rsid w:val="006808C0"/>
    <w:rsid w:val="0068155C"/>
    <w:rsid w:val="006817E5"/>
    <w:rsid w:val="006819B7"/>
    <w:rsid w:val="006829B4"/>
    <w:rsid w:val="0068480F"/>
    <w:rsid w:val="0068649E"/>
    <w:rsid w:val="006869B4"/>
    <w:rsid w:val="00687899"/>
    <w:rsid w:val="00690F3F"/>
    <w:rsid w:val="006918E9"/>
    <w:rsid w:val="0069533F"/>
    <w:rsid w:val="0069674F"/>
    <w:rsid w:val="006969AB"/>
    <w:rsid w:val="006A22D3"/>
    <w:rsid w:val="006A29AB"/>
    <w:rsid w:val="006A2C0E"/>
    <w:rsid w:val="006A4924"/>
    <w:rsid w:val="006A6FE0"/>
    <w:rsid w:val="006B01AD"/>
    <w:rsid w:val="006B01BB"/>
    <w:rsid w:val="006B260C"/>
    <w:rsid w:val="006B2CB6"/>
    <w:rsid w:val="006B3E71"/>
    <w:rsid w:val="006B5759"/>
    <w:rsid w:val="006B6047"/>
    <w:rsid w:val="006B64C2"/>
    <w:rsid w:val="006C0565"/>
    <w:rsid w:val="006C1BC4"/>
    <w:rsid w:val="006C34B1"/>
    <w:rsid w:val="006C521A"/>
    <w:rsid w:val="006C7E68"/>
    <w:rsid w:val="006D05E2"/>
    <w:rsid w:val="006D1765"/>
    <w:rsid w:val="006D1F30"/>
    <w:rsid w:val="006D26EC"/>
    <w:rsid w:val="006D3D7D"/>
    <w:rsid w:val="006D4104"/>
    <w:rsid w:val="006D4120"/>
    <w:rsid w:val="006D4A1F"/>
    <w:rsid w:val="006D5A98"/>
    <w:rsid w:val="006D5EBB"/>
    <w:rsid w:val="006D6FA2"/>
    <w:rsid w:val="006E0528"/>
    <w:rsid w:val="006E2AC8"/>
    <w:rsid w:val="006E2FDA"/>
    <w:rsid w:val="006E37A0"/>
    <w:rsid w:val="006E4983"/>
    <w:rsid w:val="006E76BE"/>
    <w:rsid w:val="006E76C4"/>
    <w:rsid w:val="006F0BE9"/>
    <w:rsid w:val="006F1C6C"/>
    <w:rsid w:val="006F32D2"/>
    <w:rsid w:val="006F51B8"/>
    <w:rsid w:val="006F59A1"/>
    <w:rsid w:val="00700A8B"/>
    <w:rsid w:val="007014EA"/>
    <w:rsid w:val="00701B8D"/>
    <w:rsid w:val="00704724"/>
    <w:rsid w:val="00706255"/>
    <w:rsid w:val="00706F4B"/>
    <w:rsid w:val="00710F73"/>
    <w:rsid w:val="00713716"/>
    <w:rsid w:val="00716052"/>
    <w:rsid w:val="0071692B"/>
    <w:rsid w:val="00720B17"/>
    <w:rsid w:val="00720F17"/>
    <w:rsid w:val="00721564"/>
    <w:rsid w:val="00721B60"/>
    <w:rsid w:val="007221E1"/>
    <w:rsid w:val="007223AC"/>
    <w:rsid w:val="00723256"/>
    <w:rsid w:val="007279DD"/>
    <w:rsid w:val="00730969"/>
    <w:rsid w:val="00733581"/>
    <w:rsid w:val="007335EC"/>
    <w:rsid w:val="00734827"/>
    <w:rsid w:val="00734BD9"/>
    <w:rsid w:val="007356E3"/>
    <w:rsid w:val="0073619E"/>
    <w:rsid w:val="007369EC"/>
    <w:rsid w:val="00736CC5"/>
    <w:rsid w:val="00737BA7"/>
    <w:rsid w:val="00737EA2"/>
    <w:rsid w:val="00740CC8"/>
    <w:rsid w:val="007423CC"/>
    <w:rsid w:val="00743049"/>
    <w:rsid w:val="007457A2"/>
    <w:rsid w:val="00745EEB"/>
    <w:rsid w:val="00750331"/>
    <w:rsid w:val="007505E4"/>
    <w:rsid w:val="00750E41"/>
    <w:rsid w:val="0075269F"/>
    <w:rsid w:val="0075509D"/>
    <w:rsid w:val="00756623"/>
    <w:rsid w:val="007570B2"/>
    <w:rsid w:val="00757C15"/>
    <w:rsid w:val="007600F3"/>
    <w:rsid w:val="0076141E"/>
    <w:rsid w:val="00761A4E"/>
    <w:rsid w:val="007651B6"/>
    <w:rsid w:val="00771E8D"/>
    <w:rsid w:val="007735A6"/>
    <w:rsid w:val="00774DBA"/>
    <w:rsid w:val="00775474"/>
    <w:rsid w:val="007759C1"/>
    <w:rsid w:val="00775D24"/>
    <w:rsid w:val="00776AC0"/>
    <w:rsid w:val="00780A37"/>
    <w:rsid w:val="007820B4"/>
    <w:rsid w:val="007825FA"/>
    <w:rsid w:val="00782E01"/>
    <w:rsid w:val="0078328B"/>
    <w:rsid w:val="00783EDF"/>
    <w:rsid w:val="00785230"/>
    <w:rsid w:val="00786EA1"/>
    <w:rsid w:val="00786FB3"/>
    <w:rsid w:val="007878F6"/>
    <w:rsid w:val="00787DDA"/>
    <w:rsid w:val="00793164"/>
    <w:rsid w:val="00796986"/>
    <w:rsid w:val="00797B93"/>
    <w:rsid w:val="007A00FE"/>
    <w:rsid w:val="007A3577"/>
    <w:rsid w:val="007A42DB"/>
    <w:rsid w:val="007A4BA6"/>
    <w:rsid w:val="007A682D"/>
    <w:rsid w:val="007A6C48"/>
    <w:rsid w:val="007A6E1E"/>
    <w:rsid w:val="007A6F2D"/>
    <w:rsid w:val="007A790B"/>
    <w:rsid w:val="007A7B7B"/>
    <w:rsid w:val="007B1174"/>
    <w:rsid w:val="007B1364"/>
    <w:rsid w:val="007B1652"/>
    <w:rsid w:val="007B25B4"/>
    <w:rsid w:val="007B2F55"/>
    <w:rsid w:val="007B3831"/>
    <w:rsid w:val="007B4247"/>
    <w:rsid w:val="007B64FB"/>
    <w:rsid w:val="007B6DD1"/>
    <w:rsid w:val="007B73CF"/>
    <w:rsid w:val="007B7648"/>
    <w:rsid w:val="007B773A"/>
    <w:rsid w:val="007C0A93"/>
    <w:rsid w:val="007C18EE"/>
    <w:rsid w:val="007C29C6"/>
    <w:rsid w:val="007C3345"/>
    <w:rsid w:val="007C4740"/>
    <w:rsid w:val="007C4A38"/>
    <w:rsid w:val="007C6A25"/>
    <w:rsid w:val="007C6CF5"/>
    <w:rsid w:val="007C70DC"/>
    <w:rsid w:val="007C7D19"/>
    <w:rsid w:val="007D0DA3"/>
    <w:rsid w:val="007D1CD6"/>
    <w:rsid w:val="007D2272"/>
    <w:rsid w:val="007D5218"/>
    <w:rsid w:val="007D550F"/>
    <w:rsid w:val="007D69B6"/>
    <w:rsid w:val="007D7C15"/>
    <w:rsid w:val="007E1F0E"/>
    <w:rsid w:val="007E4277"/>
    <w:rsid w:val="007E54F5"/>
    <w:rsid w:val="007F030E"/>
    <w:rsid w:val="007F4F02"/>
    <w:rsid w:val="007F5320"/>
    <w:rsid w:val="007F5F74"/>
    <w:rsid w:val="0080028E"/>
    <w:rsid w:val="00801E4B"/>
    <w:rsid w:val="00802A1B"/>
    <w:rsid w:val="00802D95"/>
    <w:rsid w:val="00803708"/>
    <w:rsid w:val="00804ECB"/>
    <w:rsid w:val="0080558A"/>
    <w:rsid w:val="008059D6"/>
    <w:rsid w:val="0080634E"/>
    <w:rsid w:val="00806CB3"/>
    <w:rsid w:val="00806D18"/>
    <w:rsid w:val="008108DB"/>
    <w:rsid w:val="00814462"/>
    <w:rsid w:val="00814C26"/>
    <w:rsid w:val="008152D5"/>
    <w:rsid w:val="00815739"/>
    <w:rsid w:val="00817B1F"/>
    <w:rsid w:val="00820EAA"/>
    <w:rsid w:val="00821BA8"/>
    <w:rsid w:val="0082343C"/>
    <w:rsid w:val="0082514C"/>
    <w:rsid w:val="00825AC7"/>
    <w:rsid w:val="00825FF6"/>
    <w:rsid w:val="00830420"/>
    <w:rsid w:val="00831FB7"/>
    <w:rsid w:val="008329D9"/>
    <w:rsid w:val="00835E98"/>
    <w:rsid w:val="00841414"/>
    <w:rsid w:val="008427A8"/>
    <w:rsid w:val="0084336A"/>
    <w:rsid w:val="00843B7F"/>
    <w:rsid w:val="00843D9D"/>
    <w:rsid w:val="0084407B"/>
    <w:rsid w:val="00846B02"/>
    <w:rsid w:val="00847940"/>
    <w:rsid w:val="008513E6"/>
    <w:rsid w:val="00851AE2"/>
    <w:rsid w:val="00851C8D"/>
    <w:rsid w:val="00851D6D"/>
    <w:rsid w:val="0085277B"/>
    <w:rsid w:val="008538FF"/>
    <w:rsid w:val="00853B48"/>
    <w:rsid w:val="00853D0B"/>
    <w:rsid w:val="00854BCD"/>
    <w:rsid w:val="00855A1D"/>
    <w:rsid w:val="008568A8"/>
    <w:rsid w:val="008576BF"/>
    <w:rsid w:val="00861581"/>
    <w:rsid w:val="0086189E"/>
    <w:rsid w:val="00861E4D"/>
    <w:rsid w:val="008634C0"/>
    <w:rsid w:val="0086499A"/>
    <w:rsid w:val="00865522"/>
    <w:rsid w:val="008657DC"/>
    <w:rsid w:val="008665A0"/>
    <w:rsid w:val="008667FA"/>
    <w:rsid w:val="00866E18"/>
    <w:rsid w:val="00870623"/>
    <w:rsid w:val="00873165"/>
    <w:rsid w:val="00873554"/>
    <w:rsid w:val="00875AA3"/>
    <w:rsid w:val="00877541"/>
    <w:rsid w:val="008815B1"/>
    <w:rsid w:val="00882A1E"/>
    <w:rsid w:val="0088322F"/>
    <w:rsid w:val="008861E3"/>
    <w:rsid w:val="008908E3"/>
    <w:rsid w:val="0089510D"/>
    <w:rsid w:val="00896967"/>
    <w:rsid w:val="008A2765"/>
    <w:rsid w:val="008A6B5A"/>
    <w:rsid w:val="008B098A"/>
    <w:rsid w:val="008B1590"/>
    <w:rsid w:val="008B217E"/>
    <w:rsid w:val="008B3CDE"/>
    <w:rsid w:val="008B4494"/>
    <w:rsid w:val="008B4EDF"/>
    <w:rsid w:val="008B6461"/>
    <w:rsid w:val="008B64B4"/>
    <w:rsid w:val="008B6B99"/>
    <w:rsid w:val="008C12D9"/>
    <w:rsid w:val="008C15E1"/>
    <w:rsid w:val="008C3927"/>
    <w:rsid w:val="008C3C2A"/>
    <w:rsid w:val="008C5420"/>
    <w:rsid w:val="008C589D"/>
    <w:rsid w:val="008C7726"/>
    <w:rsid w:val="008D222B"/>
    <w:rsid w:val="008D2C0F"/>
    <w:rsid w:val="008D4E7E"/>
    <w:rsid w:val="008D542D"/>
    <w:rsid w:val="008E33B6"/>
    <w:rsid w:val="008E43A6"/>
    <w:rsid w:val="008E489E"/>
    <w:rsid w:val="008E516C"/>
    <w:rsid w:val="008E5B4C"/>
    <w:rsid w:val="008E6BB7"/>
    <w:rsid w:val="008F0E22"/>
    <w:rsid w:val="008F15D3"/>
    <w:rsid w:val="008F4A5C"/>
    <w:rsid w:val="008F51F3"/>
    <w:rsid w:val="008F7553"/>
    <w:rsid w:val="00900865"/>
    <w:rsid w:val="00902B8F"/>
    <w:rsid w:val="00903F02"/>
    <w:rsid w:val="009052E2"/>
    <w:rsid w:val="00906D83"/>
    <w:rsid w:val="00907F97"/>
    <w:rsid w:val="00912730"/>
    <w:rsid w:val="0091343A"/>
    <w:rsid w:val="00914EFB"/>
    <w:rsid w:val="00915DEE"/>
    <w:rsid w:val="00916214"/>
    <w:rsid w:val="0091661C"/>
    <w:rsid w:val="00916F71"/>
    <w:rsid w:val="00916FCC"/>
    <w:rsid w:val="00921704"/>
    <w:rsid w:val="009217E7"/>
    <w:rsid w:val="0092289B"/>
    <w:rsid w:val="00922ACF"/>
    <w:rsid w:val="00922D94"/>
    <w:rsid w:val="00924B41"/>
    <w:rsid w:val="00926307"/>
    <w:rsid w:val="00930FDE"/>
    <w:rsid w:val="009323A8"/>
    <w:rsid w:val="00937322"/>
    <w:rsid w:val="00941A4A"/>
    <w:rsid w:val="0094325F"/>
    <w:rsid w:val="00946966"/>
    <w:rsid w:val="00950632"/>
    <w:rsid w:val="00953CD9"/>
    <w:rsid w:val="00954F83"/>
    <w:rsid w:val="0095613B"/>
    <w:rsid w:val="009646CA"/>
    <w:rsid w:val="00964813"/>
    <w:rsid w:val="00965332"/>
    <w:rsid w:val="00967183"/>
    <w:rsid w:val="00967BE7"/>
    <w:rsid w:val="00971842"/>
    <w:rsid w:val="00972FBC"/>
    <w:rsid w:val="00973A06"/>
    <w:rsid w:val="00975DB0"/>
    <w:rsid w:val="00982EAA"/>
    <w:rsid w:val="00983260"/>
    <w:rsid w:val="009907B5"/>
    <w:rsid w:val="00990B03"/>
    <w:rsid w:val="0099153D"/>
    <w:rsid w:val="00992C3F"/>
    <w:rsid w:val="00993960"/>
    <w:rsid w:val="00994DE0"/>
    <w:rsid w:val="0099554A"/>
    <w:rsid w:val="009975A2"/>
    <w:rsid w:val="00997CAC"/>
    <w:rsid w:val="009A0DA3"/>
    <w:rsid w:val="009A23EC"/>
    <w:rsid w:val="009A2A5D"/>
    <w:rsid w:val="009A2CEA"/>
    <w:rsid w:val="009A74AF"/>
    <w:rsid w:val="009A7635"/>
    <w:rsid w:val="009B049B"/>
    <w:rsid w:val="009B1B46"/>
    <w:rsid w:val="009B2951"/>
    <w:rsid w:val="009B525E"/>
    <w:rsid w:val="009B598E"/>
    <w:rsid w:val="009C0BB7"/>
    <w:rsid w:val="009C0EA6"/>
    <w:rsid w:val="009C127D"/>
    <w:rsid w:val="009C413E"/>
    <w:rsid w:val="009C4648"/>
    <w:rsid w:val="009C5759"/>
    <w:rsid w:val="009C5EE3"/>
    <w:rsid w:val="009C611F"/>
    <w:rsid w:val="009C6F04"/>
    <w:rsid w:val="009D03C9"/>
    <w:rsid w:val="009D2E85"/>
    <w:rsid w:val="009D3847"/>
    <w:rsid w:val="009D4028"/>
    <w:rsid w:val="009D46A6"/>
    <w:rsid w:val="009D5215"/>
    <w:rsid w:val="009E27C1"/>
    <w:rsid w:val="009E3E1F"/>
    <w:rsid w:val="009E479B"/>
    <w:rsid w:val="009E5B73"/>
    <w:rsid w:val="009F55E0"/>
    <w:rsid w:val="009F58B2"/>
    <w:rsid w:val="009F6D72"/>
    <w:rsid w:val="009F7F38"/>
    <w:rsid w:val="00A01834"/>
    <w:rsid w:val="00A0284D"/>
    <w:rsid w:val="00A02B67"/>
    <w:rsid w:val="00A03087"/>
    <w:rsid w:val="00A03447"/>
    <w:rsid w:val="00A04020"/>
    <w:rsid w:val="00A10043"/>
    <w:rsid w:val="00A11AB8"/>
    <w:rsid w:val="00A128B5"/>
    <w:rsid w:val="00A13FD1"/>
    <w:rsid w:val="00A14DCA"/>
    <w:rsid w:val="00A14DF3"/>
    <w:rsid w:val="00A163BC"/>
    <w:rsid w:val="00A165D3"/>
    <w:rsid w:val="00A170A6"/>
    <w:rsid w:val="00A17565"/>
    <w:rsid w:val="00A2077F"/>
    <w:rsid w:val="00A22DA7"/>
    <w:rsid w:val="00A234A9"/>
    <w:rsid w:val="00A25B12"/>
    <w:rsid w:val="00A314C2"/>
    <w:rsid w:val="00A31703"/>
    <w:rsid w:val="00A338A1"/>
    <w:rsid w:val="00A33D6C"/>
    <w:rsid w:val="00A34882"/>
    <w:rsid w:val="00A35CA8"/>
    <w:rsid w:val="00A37BBF"/>
    <w:rsid w:val="00A37DFF"/>
    <w:rsid w:val="00A40C7F"/>
    <w:rsid w:val="00A417FE"/>
    <w:rsid w:val="00A42A24"/>
    <w:rsid w:val="00A43225"/>
    <w:rsid w:val="00A43A6B"/>
    <w:rsid w:val="00A44BE4"/>
    <w:rsid w:val="00A45600"/>
    <w:rsid w:val="00A45CA1"/>
    <w:rsid w:val="00A52EEF"/>
    <w:rsid w:val="00A52F85"/>
    <w:rsid w:val="00A574A5"/>
    <w:rsid w:val="00A60325"/>
    <w:rsid w:val="00A60D70"/>
    <w:rsid w:val="00A613B0"/>
    <w:rsid w:val="00A62550"/>
    <w:rsid w:val="00A62E70"/>
    <w:rsid w:val="00A64C9F"/>
    <w:rsid w:val="00A65C34"/>
    <w:rsid w:val="00A6633B"/>
    <w:rsid w:val="00A66D61"/>
    <w:rsid w:val="00A7024B"/>
    <w:rsid w:val="00A70847"/>
    <w:rsid w:val="00A70998"/>
    <w:rsid w:val="00A70AF2"/>
    <w:rsid w:val="00A70FAD"/>
    <w:rsid w:val="00A71B7B"/>
    <w:rsid w:val="00A72238"/>
    <w:rsid w:val="00A72250"/>
    <w:rsid w:val="00A739FE"/>
    <w:rsid w:val="00A73DE7"/>
    <w:rsid w:val="00A73F8E"/>
    <w:rsid w:val="00A74125"/>
    <w:rsid w:val="00A75884"/>
    <w:rsid w:val="00A76DE2"/>
    <w:rsid w:val="00A808B1"/>
    <w:rsid w:val="00A81123"/>
    <w:rsid w:val="00A84B52"/>
    <w:rsid w:val="00A8539E"/>
    <w:rsid w:val="00A86AAD"/>
    <w:rsid w:val="00A903F1"/>
    <w:rsid w:val="00A9216E"/>
    <w:rsid w:val="00A921A9"/>
    <w:rsid w:val="00A94216"/>
    <w:rsid w:val="00A950DD"/>
    <w:rsid w:val="00A961F5"/>
    <w:rsid w:val="00A978E8"/>
    <w:rsid w:val="00A97ACF"/>
    <w:rsid w:val="00AA0F16"/>
    <w:rsid w:val="00AA1A78"/>
    <w:rsid w:val="00AA1DE7"/>
    <w:rsid w:val="00AA5DA0"/>
    <w:rsid w:val="00AA7595"/>
    <w:rsid w:val="00AB03FC"/>
    <w:rsid w:val="00AB15E8"/>
    <w:rsid w:val="00AB185B"/>
    <w:rsid w:val="00AB32BF"/>
    <w:rsid w:val="00AB6E9B"/>
    <w:rsid w:val="00AB6F7E"/>
    <w:rsid w:val="00AB7683"/>
    <w:rsid w:val="00AC2AAE"/>
    <w:rsid w:val="00AC4CE2"/>
    <w:rsid w:val="00AC50E4"/>
    <w:rsid w:val="00AC628B"/>
    <w:rsid w:val="00AC66E4"/>
    <w:rsid w:val="00AC72FF"/>
    <w:rsid w:val="00AD1BF8"/>
    <w:rsid w:val="00AD334A"/>
    <w:rsid w:val="00AD39D4"/>
    <w:rsid w:val="00AD3A3C"/>
    <w:rsid w:val="00AD3F39"/>
    <w:rsid w:val="00AD6146"/>
    <w:rsid w:val="00AE0652"/>
    <w:rsid w:val="00AE1091"/>
    <w:rsid w:val="00AE12F0"/>
    <w:rsid w:val="00AE2CCF"/>
    <w:rsid w:val="00AE2D1D"/>
    <w:rsid w:val="00AE31FC"/>
    <w:rsid w:val="00AE45DE"/>
    <w:rsid w:val="00AE4DC5"/>
    <w:rsid w:val="00AE773A"/>
    <w:rsid w:val="00AE77FA"/>
    <w:rsid w:val="00AF1111"/>
    <w:rsid w:val="00AF19EA"/>
    <w:rsid w:val="00AF3ED8"/>
    <w:rsid w:val="00AF4B49"/>
    <w:rsid w:val="00AF7E0E"/>
    <w:rsid w:val="00B00360"/>
    <w:rsid w:val="00B079C9"/>
    <w:rsid w:val="00B10485"/>
    <w:rsid w:val="00B22E45"/>
    <w:rsid w:val="00B2379E"/>
    <w:rsid w:val="00B23D08"/>
    <w:rsid w:val="00B25250"/>
    <w:rsid w:val="00B256C5"/>
    <w:rsid w:val="00B27ED7"/>
    <w:rsid w:val="00B30E94"/>
    <w:rsid w:val="00B37EC8"/>
    <w:rsid w:val="00B4108F"/>
    <w:rsid w:val="00B4201E"/>
    <w:rsid w:val="00B420D0"/>
    <w:rsid w:val="00B4313A"/>
    <w:rsid w:val="00B43A73"/>
    <w:rsid w:val="00B43ABF"/>
    <w:rsid w:val="00B43F7B"/>
    <w:rsid w:val="00B44B78"/>
    <w:rsid w:val="00B456F8"/>
    <w:rsid w:val="00B46DA9"/>
    <w:rsid w:val="00B473F8"/>
    <w:rsid w:val="00B515D4"/>
    <w:rsid w:val="00B5247D"/>
    <w:rsid w:val="00B52977"/>
    <w:rsid w:val="00B5325B"/>
    <w:rsid w:val="00B53BFC"/>
    <w:rsid w:val="00B546AF"/>
    <w:rsid w:val="00B54F11"/>
    <w:rsid w:val="00B562DD"/>
    <w:rsid w:val="00B6028E"/>
    <w:rsid w:val="00B61AE2"/>
    <w:rsid w:val="00B620E0"/>
    <w:rsid w:val="00B62BC8"/>
    <w:rsid w:val="00B63735"/>
    <w:rsid w:val="00B64F37"/>
    <w:rsid w:val="00B6511D"/>
    <w:rsid w:val="00B666FF"/>
    <w:rsid w:val="00B70A0A"/>
    <w:rsid w:val="00B719BC"/>
    <w:rsid w:val="00B738FF"/>
    <w:rsid w:val="00B767BF"/>
    <w:rsid w:val="00B76ADF"/>
    <w:rsid w:val="00B77476"/>
    <w:rsid w:val="00B81592"/>
    <w:rsid w:val="00B8160B"/>
    <w:rsid w:val="00B82A59"/>
    <w:rsid w:val="00B848F8"/>
    <w:rsid w:val="00B9481C"/>
    <w:rsid w:val="00B94DA2"/>
    <w:rsid w:val="00B960F1"/>
    <w:rsid w:val="00BA0947"/>
    <w:rsid w:val="00BA28F4"/>
    <w:rsid w:val="00BA4F96"/>
    <w:rsid w:val="00BA5ADC"/>
    <w:rsid w:val="00BB0FFD"/>
    <w:rsid w:val="00BB2B43"/>
    <w:rsid w:val="00BB45A1"/>
    <w:rsid w:val="00BB4B04"/>
    <w:rsid w:val="00BB5FB9"/>
    <w:rsid w:val="00BB79CF"/>
    <w:rsid w:val="00BB7ADF"/>
    <w:rsid w:val="00BB7AFF"/>
    <w:rsid w:val="00BB7C02"/>
    <w:rsid w:val="00BC0C8E"/>
    <w:rsid w:val="00BC1D1D"/>
    <w:rsid w:val="00BC2D7F"/>
    <w:rsid w:val="00BC4501"/>
    <w:rsid w:val="00BD0DE4"/>
    <w:rsid w:val="00BD1D3B"/>
    <w:rsid w:val="00BD2EB1"/>
    <w:rsid w:val="00BD5169"/>
    <w:rsid w:val="00BD6233"/>
    <w:rsid w:val="00BD63A0"/>
    <w:rsid w:val="00BD6735"/>
    <w:rsid w:val="00BD6D24"/>
    <w:rsid w:val="00BD6F6D"/>
    <w:rsid w:val="00BD7520"/>
    <w:rsid w:val="00BE056C"/>
    <w:rsid w:val="00BE3609"/>
    <w:rsid w:val="00BE415E"/>
    <w:rsid w:val="00BE57BE"/>
    <w:rsid w:val="00BE6019"/>
    <w:rsid w:val="00BF092C"/>
    <w:rsid w:val="00BF13D3"/>
    <w:rsid w:val="00BF3A2D"/>
    <w:rsid w:val="00BF3E2A"/>
    <w:rsid w:val="00BF4FCA"/>
    <w:rsid w:val="00BF5421"/>
    <w:rsid w:val="00BF7EFA"/>
    <w:rsid w:val="00C03AA4"/>
    <w:rsid w:val="00C0586C"/>
    <w:rsid w:val="00C0612B"/>
    <w:rsid w:val="00C06804"/>
    <w:rsid w:val="00C06EF6"/>
    <w:rsid w:val="00C07719"/>
    <w:rsid w:val="00C10168"/>
    <w:rsid w:val="00C11125"/>
    <w:rsid w:val="00C13461"/>
    <w:rsid w:val="00C141FB"/>
    <w:rsid w:val="00C168FC"/>
    <w:rsid w:val="00C172B2"/>
    <w:rsid w:val="00C17CAE"/>
    <w:rsid w:val="00C20962"/>
    <w:rsid w:val="00C21452"/>
    <w:rsid w:val="00C246BA"/>
    <w:rsid w:val="00C24951"/>
    <w:rsid w:val="00C25DDD"/>
    <w:rsid w:val="00C27525"/>
    <w:rsid w:val="00C330D7"/>
    <w:rsid w:val="00C37897"/>
    <w:rsid w:val="00C400B4"/>
    <w:rsid w:val="00C42FB3"/>
    <w:rsid w:val="00C4374E"/>
    <w:rsid w:val="00C43F13"/>
    <w:rsid w:val="00C4476A"/>
    <w:rsid w:val="00C45A6C"/>
    <w:rsid w:val="00C45B62"/>
    <w:rsid w:val="00C46BA8"/>
    <w:rsid w:val="00C47249"/>
    <w:rsid w:val="00C503D9"/>
    <w:rsid w:val="00C511CD"/>
    <w:rsid w:val="00C537AA"/>
    <w:rsid w:val="00C555A7"/>
    <w:rsid w:val="00C61433"/>
    <w:rsid w:val="00C61BFC"/>
    <w:rsid w:val="00C64DA8"/>
    <w:rsid w:val="00C66899"/>
    <w:rsid w:val="00C679D3"/>
    <w:rsid w:val="00C71E6F"/>
    <w:rsid w:val="00C72C17"/>
    <w:rsid w:val="00C73A0E"/>
    <w:rsid w:val="00C7404F"/>
    <w:rsid w:val="00C7574E"/>
    <w:rsid w:val="00C75E17"/>
    <w:rsid w:val="00C76BE8"/>
    <w:rsid w:val="00C83F6A"/>
    <w:rsid w:val="00C84A58"/>
    <w:rsid w:val="00C84E3F"/>
    <w:rsid w:val="00C8669A"/>
    <w:rsid w:val="00C900EB"/>
    <w:rsid w:val="00C91580"/>
    <w:rsid w:val="00C92E61"/>
    <w:rsid w:val="00C94913"/>
    <w:rsid w:val="00C9505B"/>
    <w:rsid w:val="00C954FA"/>
    <w:rsid w:val="00C95C9A"/>
    <w:rsid w:val="00C971C9"/>
    <w:rsid w:val="00C976A2"/>
    <w:rsid w:val="00C97CE7"/>
    <w:rsid w:val="00CA3773"/>
    <w:rsid w:val="00CA75DF"/>
    <w:rsid w:val="00CA7BDA"/>
    <w:rsid w:val="00CB0933"/>
    <w:rsid w:val="00CB39F0"/>
    <w:rsid w:val="00CB5049"/>
    <w:rsid w:val="00CB5504"/>
    <w:rsid w:val="00CB5B38"/>
    <w:rsid w:val="00CB6D9A"/>
    <w:rsid w:val="00CB6E25"/>
    <w:rsid w:val="00CB6E66"/>
    <w:rsid w:val="00CB780D"/>
    <w:rsid w:val="00CC1433"/>
    <w:rsid w:val="00CC1BB2"/>
    <w:rsid w:val="00CC4568"/>
    <w:rsid w:val="00CC5B0D"/>
    <w:rsid w:val="00CC6E65"/>
    <w:rsid w:val="00CC7B3E"/>
    <w:rsid w:val="00CD1368"/>
    <w:rsid w:val="00CD1FEB"/>
    <w:rsid w:val="00CD3E5C"/>
    <w:rsid w:val="00CD3E95"/>
    <w:rsid w:val="00CD6220"/>
    <w:rsid w:val="00CD62D8"/>
    <w:rsid w:val="00CE3B15"/>
    <w:rsid w:val="00CE4302"/>
    <w:rsid w:val="00CE4800"/>
    <w:rsid w:val="00CE5509"/>
    <w:rsid w:val="00CE6759"/>
    <w:rsid w:val="00CF55BA"/>
    <w:rsid w:val="00CF5D60"/>
    <w:rsid w:val="00D02106"/>
    <w:rsid w:val="00D02477"/>
    <w:rsid w:val="00D036BB"/>
    <w:rsid w:val="00D03D8A"/>
    <w:rsid w:val="00D056B8"/>
    <w:rsid w:val="00D10726"/>
    <w:rsid w:val="00D12405"/>
    <w:rsid w:val="00D12702"/>
    <w:rsid w:val="00D142B2"/>
    <w:rsid w:val="00D1668A"/>
    <w:rsid w:val="00D16FF6"/>
    <w:rsid w:val="00D17375"/>
    <w:rsid w:val="00D2072F"/>
    <w:rsid w:val="00D20DDE"/>
    <w:rsid w:val="00D2137F"/>
    <w:rsid w:val="00D22F5D"/>
    <w:rsid w:val="00D2376A"/>
    <w:rsid w:val="00D23CBB"/>
    <w:rsid w:val="00D2415A"/>
    <w:rsid w:val="00D25ABD"/>
    <w:rsid w:val="00D26860"/>
    <w:rsid w:val="00D26DE0"/>
    <w:rsid w:val="00D34C9E"/>
    <w:rsid w:val="00D3670D"/>
    <w:rsid w:val="00D4030F"/>
    <w:rsid w:val="00D42678"/>
    <w:rsid w:val="00D44179"/>
    <w:rsid w:val="00D4469D"/>
    <w:rsid w:val="00D45297"/>
    <w:rsid w:val="00D456D7"/>
    <w:rsid w:val="00D507F6"/>
    <w:rsid w:val="00D50902"/>
    <w:rsid w:val="00D5267C"/>
    <w:rsid w:val="00D53366"/>
    <w:rsid w:val="00D535CB"/>
    <w:rsid w:val="00D54C3E"/>
    <w:rsid w:val="00D54FA0"/>
    <w:rsid w:val="00D55104"/>
    <w:rsid w:val="00D5622F"/>
    <w:rsid w:val="00D56504"/>
    <w:rsid w:val="00D5680C"/>
    <w:rsid w:val="00D65EB4"/>
    <w:rsid w:val="00D708AC"/>
    <w:rsid w:val="00D70F31"/>
    <w:rsid w:val="00D73E87"/>
    <w:rsid w:val="00D73F64"/>
    <w:rsid w:val="00D7481E"/>
    <w:rsid w:val="00D74E7D"/>
    <w:rsid w:val="00D750FF"/>
    <w:rsid w:val="00D75476"/>
    <w:rsid w:val="00D7619E"/>
    <w:rsid w:val="00D766E9"/>
    <w:rsid w:val="00D801B4"/>
    <w:rsid w:val="00D821BB"/>
    <w:rsid w:val="00D827B6"/>
    <w:rsid w:val="00D831E7"/>
    <w:rsid w:val="00D83F15"/>
    <w:rsid w:val="00D8447E"/>
    <w:rsid w:val="00D845F7"/>
    <w:rsid w:val="00D84B09"/>
    <w:rsid w:val="00D855A6"/>
    <w:rsid w:val="00D86974"/>
    <w:rsid w:val="00D87A0F"/>
    <w:rsid w:val="00D91A91"/>
    <w:rsid w:val="00D92B55"/>
    <w:rsid w:val="00D934E3"/>
    <w:rsid w:val="00D9435C"/>
    <w:rsid w:val="00D94953"/>
    <w:rsid w:val="00D95336"/>
    <w:rsid w:val="00D9657C"/>
    <w:rsid w:val="00DA18B0"/>
    <w:rsid w:val="00DA4632"/>
    <w:rsid w:val="00DA4678"/>
    <w:rsid w:val="00DA5385"/>
    <w:rsid w:val="00DA54B3"/>
    <w:rsid w:val="00DA657E"/>
    <w:rsid w:val="00DA787A"/>
    <w:rsid w:val="00DB00AB"/>
    <w:rsid w:val="00DB0921"/>
    <w:rsid w:val="00DB0E0A"/>
    <w:rsid w:val="00DB1637"/>
    <w:rsid w:val="00DB4C36"/>
    <w:rsid w:val="00DB6A08"/>
    <w:rsid w:val="00DB6CEB"/>
    <w:rsid w:val="00DB6F8E"/>
    <w:rsid w:val="00DC22D9"/>
    <w:rsid w:val="00DC30FF"/>
    <w:rsid w:val="00DC3240"/>
    <w:rsid w:val="00DC539B"/>
    <w:rsid w:val="00DC604F"/>
    <w:rsid w:val="00DC6928"/>
    <w:rsid w:val="00DC7312"/>
    <w:rsid w:val="00DC7B10"/>
    <w:rsid w:val="00DC7FA7"/>
    <w:rsid w:val="00DD07B4"/>
    <w:rsid w:val="00DD3219"/>
    <w:rsid w:val="00DD4012"/>
    <w:rsid w:val="00DD463A"/>
    <w:rsid w:val="00DD683D"/>
    <w:rsid w:val="00DD7FE1"/>
    <w:rsid w:val="00DE00A0"/>
    <w:rsid w:val="00DE0DD4"/>
    <w:rsid w:val="00DE21C0"/>
    <w:rsid w:val="00DE343F"/>
    <w:rsid w:val="00DE4259"/>
    <w:rsid w:val="00DE54E9"/>
    <w:rsid w:val="00DE7F8C"/>
    <w:rsid w:val="00DF0066"/>
    <w:rsid w:val="00DF03B2"/>
    <w:rsid w:val="00DF081A"/>
    <w:rsid w:val="00DF1BB8"/>
    <w:rsid w:val="00DF2A89"/>
    <w:rsid w:val="00DF4FCA"/>
    <w:rsid w:val="00DF579C"/>
    <w:rsid w:val="00DF5B19"/>
    <w:rsid w:val="00E00451"/>
    <w:rsid w:val="00E018C9"/>
    <w:rsid w:val="00E02E1F"/>
    <w:rsid w:val="00E03753"/>
    <w:rsid w:val="00E03EFE"/>
    <w:rsid w:val="00E0421B"/>
    <w:rsid w:val="00E04E44"/>
    <w:rsid w:val="00E0508D"/>
    <w:rsid w:val="00E11748"/>
    <w:rsid w:val="00E11DC0"/>
    <w:rsid w:val="00E124EE"/>
    <w:rsid w:val="00E125D1"/>
    <w:rsid w:val="00E1507A"/>
    <w:rsid w:val="00E15CC3"/>
    <w:rsid w:val="00E179A8"/>
    <w:rsid w:val="00E2057D"/>
    <w:rsid w:val="00E23F45"/>
    <w:rsid w:val="00E243CF"/>
    <w:rsid w:val="00E245C7"/>
    <w:rsid w:val="00E25EEA"/>
    <w:rsid w:val="00E26A63"/>
    <w:rsid w:val="00E2767E"/>
    <w:rsid w:val="00E27A26"/>
    <w:rsid w:val="00E30577"/>
    <w:rsid w:val="00E30E92"/>
    <w:rsid w:val="00E31654"/>
    <w:rsid w:val="00E34D6F"/>
    <w:rsid w:val="00E3635B"/>
    <w:rsid w:val="00E3669D"/>
    <w:rsid w:val="00E37352"/>
    <w:rsid w:val="00E37CA6"/>
    <w:rsid w:val="00E42319"/>
    <w:rsid w:val="00E44FB5"/>
    <w:rsid w:val="00E45620"/>
    <w:rsid w:val="00E45D2D"/>
    <w:rsid w:val="00E46EBE"/>
    <w:rsid w:val="00E51237"/>
    <w:rsid w:val="00E51604"/>
    <w:rsid w:val="00E525AE"/>
    <w:rsid w:val="00E537A6"/>
    <w:rsid w:val="00E5419A"/>
    <w:rsid w:val="00E54F9B"/>
    <w:rsid w:val="00E55B34"/>
    <w:rsid w:val="00E55F69"/>
    <w:rsid w:val="00E564C2"/>
    <w:rsid w:val="00E56B2A"/>
    <w:rsid w:val="00E577D5"/>
    <w:rsid w:val="00E57A35"/>
    <w:rsid w:val="00E57C4F"/>
    <w:rsid w:val="00E60219"/>
    <w:rsid w:val="00E63561"/>
    <w:rsid w:val="00E641EB"/>
    <w:rsid w:val="00E65281"/>
    <w:rsid w:val="00E67541"/>
    <w:rsid w:val="00E679A2"/>
    <w:rsid w:val="00E70B50"/>
    <w:rsid w:val="00E724F6"/>
    <w:rsid w:val="00E732E8"/>
    <w:rsid w:val="00E73CED"/>
    <w:rsid w:val="00E745D0"/>
    <w:rsid w:val="00E80110"/>
    <w:rsid w:val="00E8438B"/>
    <w:rsid w:val="00E84BD0"/>
    <w:rsid w:val="00E86381"/>
    <w:rsid w:val="00E86B3E"/>
    <w:rsid w:val="00E86D1B"/>
    <w:rsid w:val="00E87978"/>
    <w:rsid w:val="00E918B8"/>
    <w:rsid w:val="00E923E1"/>
    <w:rsid w:val="00E966E0"/>
    <w:rsid w:val="00E96B4E"/>
    <w:rsid w:val="00EA3278"/>
    <w:rsid w:val="00EA3E08"/>
    <w:rsid w:val="00EA6042"/>
    <w:rsid w:val="00EB05FF"/>
    <w:rsid w:val="00EB2305"/>
    <w:rsid w:val="00EB4E35"/>
    <w:rsid w:val="00EB4F7D"/>
    <w:rsid w:val="00EB55FD"/>
    <w:rsid w:val="00EB62FD"/>
    <w:rsid w:val="00EB6853"/>
    <w:rsid w:val="00EB6BB1"/>
    <w:rsid w:val="00EB7ED8"/>
    <w:rsid w:val="00EC01F3"/>
    <w:rsid w:val="00EC0827"/>
    <w:rsid w:val="00EC34AA"/>
    <w:rsid w:val="00EC40AD"/>
    <w:rsid w:val="00EC40B1"/>
    <w:rsid w:val="00EC4D6B"/>
    <w:rsid w:val="00EC5547"/>
    <w:rsid w:val="00EC7528"/>
    <w:rsid w:val="00EC76FD"/>
    <w:rsid w:val="00ED0E41"/>
    <w:rsid w:val="00ED1697"/>
    <w:rsid w:val="00ED41D6"/>
    <w:rsid w:val="00ED4465"/>
    <w:rsid w:val="00ED46FC"/>
    <w:rsid w:val="00ED71B0"/>
    <w:rsid w:val="00EE0C57"/>
    <w:rsid w:val="00EE45C9"/>
    <w:rsid w:val="00EE46CA"/>
    <w:rsid w:val="00EE794A"/>
    <w:rsid w:val="00EE7D24"/>
    <w:rsid w:val="00EF0B5E"/>
    <w:rsid w:val="00EF2139"/>
    <w:rsid w:val="00EF3EFB"/>
    <w:rsid w:val="00EF63B7"/>
    <w:rsid w:val="00EF664F"/>
    <w:rsid w:val="00EF7197"/>
    <w:rsid w:val="00EF7E08"/>
    <w:rsid w:val="00F004C0"/>
    <w:rsid w:val="00F011F2"/>
    <w:rsid w:val="00F012E7"/>
    <w:rsid w:val="00F044D9"/>
    <w:rsid w:val="00F051C0"/>
    <w:rsid w:val="00F052D2"/>
    <w:rsid w:val="00F069D9"/>
    <w:rsid w:val="00F074E2"/>
    <w:rsid w:val="00F105ED"/>
    <w:rsid w:val="00F10817"/>
    <w:rsid w:val="00F10843"/>
    <w:rsid w:val="00F10DE3"/>
    <w:rsid w:val="00F11DA4"/>
    <w:rsid w:val="00F1483B"/>
    <w:rsid w:val="00F164B8"/>
    <w:rsid w:val="00F20122"/>
    <w:rsid w:val="00F20CB5"/>
    <w:rsid w:val="00F21478"/>
    <w:rsid w:val="00F221F4"/>
    <w:rsid w:val="00F23ED4"/>
    <w:rsid w:val="00F25C6E"/>
    <w:rsid w:val="00F265D9"/>
    <w:rsid w:val="00F30781"/>
    <w:rsid w:val="00F312E0"/>
    <w:rsid w:val="00F3297E"/>
    <w:rsid w:val="00F34206"/>
    <w:rsid w:val="00F35F12"/>
    <w:rsid w:val="00F36B31"/>
    <w:rsid w:val="00F40A37"/>
    <w:rsid w:val="00F42358"/>
    <w:rsid w:val="00F447CA"/>
    <w:rsid w:val="00F44DD2"/>
    <w:rsid w:val="00F4507B"/>
    <w:rsid w:val="00F4513A"/>
    <w:rsid w:val="00F45FEE"/>
    <w:rsid w:val="00F52369"/>
    <w:rsid w:val="00F5252D"/>
    <w:rsid w:val="00F53935"/>
    <w:rsid w:val="00F54D10"/>
    <w:rsid w:val="00F55610"/>
    <w:rsid w:val="00F56053"/>
    <w:rsid w:val="00F57F59"/>
    <w:rsid w:val="00F615C3"/>
    <w:rsid w:val="00F64F0F"/>
    <w:rsid w:val="00F6583E"/>
    <w:rsid w:val="00F65E3E"/>
    <w:rsid w:val="00F66948"/>
    <w:rsid w:val="00F67C65"/>
    <w:rsid w:val="00F67D8E"/>
    <w:rsid w:val="00F7102A"/>
    <w:rsid w:val="00F73E08"/>
    <w:rsid w:val="00F77115"/>
    <w:rsid w:val="00F8081B"/>
    <w:rsid w:val="00F810CB"/>
    <w:rsid w:val="00F814A6"/>
    <w:rsid w:val="00F819E0"/>
    <w:rsid w:val="00F832A0"/>
    <w:rsid w:val="00F83B3D"/>
    <w:rsid w:val="00F84295"/>
    <w:rsid w:val="00F86D42"/>
    <w:rsid w:val="00F86F34"/>
    <w:rsid w:val="00F91A03"/>
    <w:rsid w:val="00F92044"/>
    <w:rsid w:val="00F9265E"/>
    <w:rsid w:val="00F93586"/>
    <w:rsid w:val="00F935F2"/>
    <w:rsid w:val="00F94585"/>
    <w:rsid w:val="00F95BDF"/>
    <w:rsid w:val="00F962B5"/>
    <w:rsid w:val="00FA0E01"/>
    <w:rsid w:val="00FA1C41"/>
    <w:rsid w:val="00FA4D02"/>
    <w:rsid w:val="00FA5F01"/>
    <w:rsid w:val="00FB1DE9"/>
    <w:rsid w:val="00FB29B6"/>
    <w:rsid w:val="00FB4AD3"/>
    <w:rsid w:val="00FB6E86"/>
    <w:rsid w:val="00FB763E"/>
    <w:rsid w:val="00FB764E"/>
    <w:rsid w:val="00FC0B7E"/>
    <w:rsid w:val="00FC4E15"/>
    <w:rsid w:val="00FC62EA"/>
    <w:rsid w:val="00FC76D0"/>
    <w:rsid w:val="00FD0BE6"/>
    <w:rsid w:val="00FD0DB0"/>
    <w:rsid w:val="00FD11EA"/>
    <w:rsid w:val="00FD124A"/>
    <w:rsid w:val="00FD179D"/>
    <w:rsid w:val="00FD47B1"/>
    <w:rsid w:val="00FD4E28"/>
    <w:rsid w:val="00FD6ACA"/>
    <w:rsid w:val="00FD6BC0"/>
    <w:rsid w:val="00FE27D0"/>
    <w:rsid w:val="00FE3BED"/>
    <w:rsid w:val="00FE643B"/>
    <w:rsid w:val="00FF07C5"/>
    <w:rsid w:val="00FF1EE8"/>
    <w:rsid w:val="00FF288A"/>
    <w:rsid w:val="00FF2B5E"/>
    <w:rsid w:val="00FF3B6A"/>
    <w:rsid w:val="00FF54BE"/>
    <w:rsid w:val="00FF63E1"/>
    <w:rsid w:val="00FF6A2B"/>
    <w:rsid w:val="00FF77DE"/>
    <w:rsid w:val="01423265"/>
    <w:rsid w:val="01D717C3"/>
    <w:rsid w:val="01E5483E"/>
    <w:rsid w:val="02105B04"/>
    <w:rsid w:val="024E68F9"/>
    <w:rsid w:val="028265A2"/>
    <w:rsid w:val="03725F44"/>
    <w:rsid w:val="03802989"/>
    <w:rsid w:val="03F9110D"/>
    <w:rsid w:val="04365896"/>
    <w:rsid w:val="0482288A"/>
    <w:rsid w:val="04BD5C30"/>
    <w:rsid w:val="04C80BE4"/>
    <w:rsid w:val="04E17F09"/>
    <w:rsid w:val="05145BD8"/>
    <w:rsid w:val="05343486"/>
    <w:rsid w:val="055E32F7"/>
    <w:rsid w:val="057335C1"/>
    <w:rsid w:val="05A871D3"/>
    <w:rsid w:val="05D816C5"/>
    <w:rsid w:val="06057FDD"/>
    <w:rsid w:val="062436FA"/>
    <w:rsid w:val="06336531"/>
    <w:rsid w:val="0659586C"/>
    <w:rsid w:val="070C0151"/>
    <w:rsid w:val="07252312"/>
    <w:rsid w:val="07506F71"/>
    <w:rsid w:val="0828659C"/>
    <w:rsid w:val="08410597"/>
    <w:rsid w:val="0895702F"/>
    <w:rsid w:val="08F0070A"/>
    <w:rsid w:val="09385C0D"/>
    <w:rsid w:val="09420839"/>
    <w:rsid w:val="09534647"/>
    <w:rsid w:val="099202DD"/>
    <w:rsid w:val="09B434E5"/>
    <w:rsid w:val="09D678FF"/>
    <w:rsid w:val="09E65669"/>
    <w:rsid w:val="09FC4E8C"/>
    <w:rsid w:val="0A0A27C5"/>
    <w:rsid w:val="0A112909"/>
    <w:rsid w:val="0A3B2EFB"/>
    <w:rsid w:val="0A5C3FA2"/>
    <w:rsid w:val="0A8A3BC6"/>
    <w:rsid w:val="0B1226D3"/>
    <w:rsid w:val="0B2F18A2"/>
    <w:rsid w:val="0B5E5DFE"/>
    <w:rsid w:val="0B7C0033"/>
    <w:rsid w:val="0B882E7B"/>
    <w:rsid w:val="0BD25EA5"/>
    <w:rsid w:val="0BEC239B"/>
    <w:rsid w:val="0C00788D"/>
    <w:rsid w:val="0C0B718E"/>
    <w:rsid w:val="0C72724E"/>
    <w:rsid w:val="0C7C6B36"/>
    <w:rsid w:val="0C8B0141"/>
    <w:rsid w:val="0CAC2BD6"/>
    <w:rsid w:val="0CF92E4D"/>
    <w:rsid w:val="0D077DD0"/>
    <w:rsid w:val="0D14070E"/>
    <w:rsid w:val="0D2D6EF4"/>
    <w:rsid w:val="0D4C1C87"/>
    <w:rsid w:val="0D7548BC"/>
    <w:rsid w:val="0DB429E1"/>
    <w:rsid w:val="0DC442AF"/>
    <w:rsid w:val="0DCB0518"/>
    <w:rsid w:val="0DF83342"/>
    <w:rsid w:val="0DF90060"/>
    <w:rsid w:val="0DF91E0E"/>
    <w:rsid w:val="0E2901B1"/>
    <w:rsid w:val="0E5A03D3"/>
    <w:rsid w:val="0E780F3B"/>
    <w:rsid w:val="0ECF2B6F"/>
    <w:rsid w:val="0ED9579C"/>
    <w:rsid w:val="0EE1298D"/>
    <w:rsid w:val="0EEA1757"/>
    <w:rsid w:val="0EF93526"/>
    <w:rsid w:val="0F152C78"/>
    <w:rsid w:val="0F492360"/>
    <w:rsid w:val="0F4C0664"/>
    <w:rsid w:val="0F783EDC"/>
    <w:rsid w:val="0FAB7138"/>
    <w:rsid w:val="0FC87CEA"/>
    <w:rsid w:val="108D31BF"/>
    <w:rsid w:val="10A2678D"/>
    <w:rsid w:val="10DA2EAC"/>
    <w:rsid w:val="10EA0134"/>
    <w:rsid w:val="112A0CFB"/>
    <w:rsid w:val="119836EC"/>
    <w:rsid w:val="11B46463"/>
    <w:rsid w:val="11FD79F3"/>
    <w:rsid w:val="126930A6"/>
    <w:rsid w:val="12D149BF"/>
    <w:rsid w:val="1315738E"/>
    <w:rsid w:val="132539E4"/>
    <w:rsid w:val="137A7AF7"/>
    <w:rsid w:val="137A7C32"/>
    <w:rsid w:val="13DA2702"/>
    <w:rsid w:val="14AA7CEA"/>
    <w:rsid w:val="14E07884"/>
    <w:rsid w:val="15012C00"/>
    <w:rsid w:val="15113EE2"/>
    <w:rsid w:val="15171DCD"/>
    <w:rsid w:val="151C63E2"/>
    <w:rsid w:val="151E65FF"/>
    <w:rsid w:val="1557566D"/>
    <w:rsid w:val="159A5004"/>
    <w:rsid w:val="15F52C35"/>
    <w:rsid w:val="169B0C6A"/>
    <w:rsid w:val="1747273F"/>
    <w:rsid w:val="178F5592"/>
    <w:rsid w:val="17D164AF"/>
    <w:rsid w:val="17F43647"/>
    <w:rsid w:val="18300F55"/>
    <w:rsid w:val="184E0269"/>
    <w:rsid w:val="187846B3"/>
    <w:rsid w:val="188E75F7"/>
    <w:rsid w:val="18934C0E"/>
    <w:rsid w:val="189B3AC2"/>
    <w:rsid w:val="18C3565C"/>
    <w:rsid w:val="18F610F0"/>
    <w:rsid w:val="190351FF"/>
    <w:rsid w:val="190653E0"/>
    <w:rsid w:val="19566367"/>
    <w:rsid w:val="1A126FAF"/>
    <w:rsid w:val="1A2D01B8"/>
    <w:rsid w:val="1A7C0142"/>
    <w:rsid w:val="1A8E38DF"/>
    <w:rsid w:val="1ACD2659"/>
    <w:rsid w:val="1AFA263B"/>
    <w:rsid w:val="1B0079D2"/>
    <w:rsid w:val="1B154000"/>
    <w:rsid w:val="1BA50EE0"/>
    <w:rsid w:val="1BCA00BC"/>
    <w:rsid w:val="1BEA0201"/>
    <w:rsid w:val="1C1F0578"/>
    <w:rsid w:val="1C655834"/>
    <w:rsid w:val="1C66737B"/>
    <w:rsid w:val="1CBE524F"/>
    <w:rsid w:val="1CF627D1"/>
    <w:rsid w:val="1D0F5954"/>
    <w:rsid w:val="1D755AF3"/>
    <w:rsid w:val="1DAC1947"/>
    <w:rsid w:val="1DB25B36"/>
    <w:rsid w:val="1DBC69B5"/>
    <w:rsid w:val="1DD45D87"/>
    <w:rsid w:val="1DFF2482"/>
    <w:rsid w:val="1E537319"/>
    <w:rsid w:val="1E8E65A3"/>
    <w:rsid w:val="1E9F40B0"/>
    <w:rsid w:val="1EAF2075"/>
    <w:rsid w:val="1EE91A2B"/>
    <w:rsid w:val="1EF87EC0"/>
    <w:rsid w:val="1F1541C9"/>
    <w:rsid w:val="1F340938"/>
    <w:rsid w:val="1F505606"/>
    <w:rsid w:val="1F6971FF"/>
    <w:rsid w:val="202F7912"/>
    <w:rsid w:val="20552B6B"/>
    <w:rsid w:val="205D3640"/>
    <w:rsid w:val="20A067C8"/>
    <w:rsid w:val="20D9697D"/>
    <w:rsid w:val="21463165"/>
    <w:rsid w:val="21647640"/>
    <w:rsid w:val="219E4D4F"/>
    <w:rsid w:val="21C66054"/>
    <w:rsid w:val="22083BEF"/>
    <w:rsid w:val="22160D89"/>
    <w:rsid w:val="221D30A5"/>
    <w:rsid w:val="22200A78"/>
    <w:rsid w:val="222F62DB"/>
    <w:rsid w:val="22865359"/>
    <w:rsid w:val="22AF4D3A"/>
    <w:rsid w:val="230537A5"/>
    <w:rsid w:val="236643F7"/>
    <w:rsid w:val="23681488"/>
    <w:rsid w:val="23796DC0"/>
    <w:rsid w:val="238968C7"/>
    <w:rsid w:val="238D5B9A"/>
    <w:rsid w:val="23DA1943"/>
    <w:rsid w:val="23E6791D"/>
    <w:rsid w:val="23EA5736"/>
    <w:rsid w:val="240949A9"/>
    <w:rsid w:val="24704055"/>
    <w:rsid w:val="24A217AC"/>
    <w:rsid w:val="24DA5582"/>
    <w:rsid w:val="24EB027F"/>
    <w:rsid w:val="252A7D7C"/>
    <w:rsid w:val="253024AD"/>
    <w:rsid w:val="25321B48"/>
    <w:rsid w:val="25B00611"/>
    <w:rsid w:val="25E44BD9"/>
    <w:rsid w:val="26052FFB"/>
    <w:rsid w:val="26400147"/>
    <w:rsid w:val="26632477"/>
    <w:rsid w:val="268451D6"/>
    <w:rsid w:val="269C6FCF"/>
    <w:rsid w:val="26AA1AA0"/>
    <w:rsid w:val="26E06270"/>
    <w:rsid w:val="26FE3B9A"/>
    <w:rsid w:val="27634BCD"/>
    <w:rsid w:val="27662D25"/>
    <w:rsid w:val="276B7649"/>
    <w:rsid w:val="279574BA"/>
    <w:rsid w:val="27D85841"/>
    <w:rsid w:val="283755B5"/>
    <w:rsid w:val="2842145A"/>
    <w:rsid w:val="28447CD2"/>
    <w:rsid w:val="286745BE"/>
    <w:rsid w:val="289133F2"/>
    <w:rsid w:val="28A23C59"/>
    <w:rsid w:val="28BE7A85"/>
    <w:rsid w:val="2926366B"/>
    <w:rsid w:val="295B475C"/>
    <w:rsid w:val="295F65D8"/>
    <w:rsid w:val="29AA0009"/>
    <w:rsid w:val="29B90ED0"/>
    <w:rsid w:val="2A047719"/>
    <w:rsid w:val="2A225DF1"/>
    <w:rsid w:val="2A306760"/>
    <w:rsid w:val="2A821863"/>
    <w:rsid w:val="2B6F150A"/>
    <w:rsid w:val="2B8060FA"/>
    <w:rsid w:val="2B9A5BE6"/>
    <w:rsid w:val="2BA55911"/>
    <w:rsid w:val="2BAD5B8F"/>
    <w:rsid w:val="2BBE44FF"/>
    <w:rsid w:val="2BF86955"/>
    <w:rsid w:val="2C536E15"/>
    <w:rsid w:val="2C864D5D"/>
    <w:rsid w:val="2C944F3E"/>
    <w:rsid w:val="2C9A7565"/>
    <w:rsid w:val="2CB860B8"/>
    <w:rsid w:val="2D0F7399"/>
    <w:rsid w:val="2D2A37CC"/>
    <w:rsid w:val="2DCE459E"/>
    <w:rsid w:val="2DD351D1"/>
    <w:rsid w:val="2E033B70"/>
    <w:rsid w:val="2E8308CC"/>
    <w:rsid w:val="2F36339F"/>
    <w:rsid w:val="2F4A02C4"/>
    <w:rsid w:val="2F6579C6"/>
    <w:rsid w:val="2F7F1A61"/>
    <w:rsid w:val="2F8512FC"/>
    <w:rsid w:val="2FB7522E"/>
    <w:rsid w:val="2FBA4A3B"/>
    <w:rsid w:val="301A035F"/>
    <w:rsid w:val="301E687C"/>
    <w:rsid w:val="303D6A9E"/>
    <w:rsid w:val="3058256D"/>
    <w:rsid w:val="305A7DAB"/>
    <w:rsid w:val="30843362"/>
    <w:rsid w:val="30B35B66"/>
    <w:rsid w:val="30D26739"/>
    <w:rsid w:val="31002496"/>
    <w:rsid w:val="318555E4"/>
    <w:rsid w:val="318729DF"/>
    <w:rsid w:val="31BA7342"/>
    <w:rsid w:val="31BE5A57"/>
    <w:rsid w:val="32041C71"/>
    <w:rsid w:val="321F2C5E"/>
    <w:rsid w:val="3220355E"/>
    <w:rsid w:val="327127D7"/>
    <w:rsid w:val="32A523EF"/>
    <w:rsid w:val="330D738F"/>
    <w:rsid w:val="33336223"/>
    <w:rsid w:val="33835B53"/>
    <w:rsid w:val="34056568"/>
    <w:rsid w:val="35496928"/>
    <w:rsid w:val="356E4937"/>
    <w:rsid w:val="358B2693"/>
    <w:rsid w:val="359B7CFB"/>
    <w:rsid w:val="35E84393"/>
    <w:rsid w:val="368F2A60"/>
    <w:rsid w:val="36A32E16"/>
    <w:rsid w:val="36B10233"/>
    <w:rsid w:val="37184804"/>
    <w:rsid w:val="376D0DD9"/>
    <w:rsid w:val="37E5150A"/>
    <w:rsid w:val="37F64B8A"/>
    <w:rsid w:val="380073B5"/>
    <w:rsid w:val="381C0324"/>
    <w:rsid w:val="386046B4"/>
    <w:rsid w:val="386A0303"/>
    <w:rsid w:val="387A0FD3"/>
    <w:rsid w:val="38AA5930"/>
    <w:rsid w:val="38DD4789"/>
    <w:rsid w:val="39475874"/>
    <w:rsid w:val="39666809"/>
    <w:rsid w:val="398A1DA4"/>
    <w:rsid w:val="39A64349"/>
    <w:rsid w:val="3A1E0FB4"/>
    <w:rsid w:val="3A3E4582"/>
    <w:rsid w:val="3A4D533E"/>
    <w:rsid w:val="3A5639FF"/>
    <w:rsid w:val="3AC52140"/>
    <w:rsid w:val="3AE3337B"/>
    <w:rsid w:val="3B196D9D"/>
    <w:rsid w:val="3B6E4DCC"/>
    <w:rsid w:val="3B7B5B27"/>
    <w:rsid w:val="3B8C30C5"/>
    <w:rsid w:val="3BD31641"/>
    <w:rsid w:val="3BE50D48"/>
    <w:rsid w:val="3C007309"/>
    <w:rsid w:val="3C5320DC"/>
    <w:rsid w:val="3C6B5F09"/>
    <w:rsid w:val="3CF47AC1"/>
    <w:rsid w:val="3CFD5A3B"/>
    <w:rsid w:val="3D207CCF"/>
    <w:rsid w:val="3D887F38"/>
    <w:rsid w:val="3D9D0A54"/>
    <w:rsid w:val="3DAF0663"/>
    <w:rsid w:val="3DD0408A"/>
    <w:rsid w:val="3DEF762A"/>
    <w:rsid w:val="3E120DBF"/>
    <w:rsid w:val="3E204FBE"/>
    <w:rsid w:val="3E5B755C"/>
    <w:rsid w:val="3ED343E6"/>
    <w:rsid w:val="3F25213F"/>
    <w:rsid w:val="3F9C44E8"/>
    <w:rsid w:val="3FE71217"/>
    <w:rsid w:val="408E5B37"/>
    <w:rsid w:val="409D51BF"/>
    <w:rsid w:val="40D15D45"/>
    <w:rsid w:val="40DB5220"/>
    <w:rsid w:val="41500D13"/>
    <w:rsid w:val="415D390F"/>
    <w:rsid w:val="41B94E35"/>
    <w:rsid w:val="41BD2B78"/>
    <w:rsid w:val="41C21F3C"/>
    <w:rsid w:val="41E26D36"/>
    <w:rsid w:val="426A4A0D"/>
    <w:rsid w:val="42CB7E13"/>
    <w:rsid w:val="43160791"/>
    <w:rsid w:val="43A14429"/>
    <w:rsid w:val="43A21421"/>
    <w:rsid w:val="43C27FD1"/>
    <w:rsid w:val="441D3BC1"/>
    <w:rsid w:val="441E49C0"/>
    <w:rsid w:val="447760B5"/>
    <w:rsid w:val="44A45929"/>
    <w:rsid w:val="44C61D43"/>
    <w:rsid w:val="44F76914"/>
    <w:rsid w:val="458B0897"/>
    <w:rsid w:val="45D37BAF"/>
    <w:rsid w:val="45D97854"/>
    <w:rsid w:val="45DB35CC"/>
    <w:rsid w:val="45F12DF0"/>
    <w:rsid w:val="460A251E"/>
    <w:rsid w:val="46275962"/>
    <w:rsid w:val="472E3BD0"/>
    <w:rsid w:val="473B3092"/>
    <w:rsid w:val="474C34F7"/>
    <w:rsid w:val="47A977DD"/>
    <w:rsid w:val="47E87E5B"/>
    <w:rsid w:val="48561F5C"/>
    <w:rsid w:val="48652B06"/>
    <w:rsid w:val="48C14140"/>
    <w:rsid w:val="48DA2AB1"/>
    <w:rsid w:val="48F52BF7"/>
    <w:rsid w:val="494052FB"/>
    <w:rsid w:val="49703451"/>
    <w:rsid w:val="497A088A"/>
    <w:rsid w:val="49847D27"/>
    <w:rsid w:val="49877CCD"/>
    <w:rsid w:val="49916B56"/>
    <w:rsid w:val="499A2777"/>
    <w:rsid w:val="49B75708"/>
    <w:rsid w:val="4A2A68D0"/>
    <w:rsid w:val="4A9E5FD3"/>
    <w:rsid w:val="4ABA6CC2"/>
    <w:rsid w:val="4AC04E64"/>
    <w:rsid w:val="4AC26B09"/>
    <w:rsid w:val="4B38326F"/>
    <w:rsid w:val="4B553E21"/>
    <w:rsid w:val="4B742708"/>
    <w:rsid w:val="4B965D56"/>
    <w:rsid w:val="4B9E7576"/>
    <w:rsid w:val="4BF165EF"/>
    <w:rsid w:val="4C1A0D6B"/>
    <w:rsid w:val="4C831D18"/>
    <w:rsid w:val="4CBB5434"/>
    <w:rsid w:val="4CDD7C2A"/>
    <w:rsid w:val="4D185106"/>
    <w:rsid w:val="4D6473B4"/>
    <w:rsid w:val="4D9E2719"/>
    <w:rsid w:val="4DBB401D"/>
    <w:rsid w:val="4DBC1F35"/>
    <w:rsid w:val="4E481A1B"/>
    <w:rsid w:val="4E825093"/>
    <w:rsid w:val="4F290761"/>
    <w:rsid w:val="4F3376A8"/>
    <w:rsid w:val="4F3952B6"/>
    <w:rsid w:val="4F440434"/>
    <w:rsid w:val="4F7936D8"/>
    <w:rsid w:val="4FFC486B"/>
    <w:rsid w:val="4FFD2B3C"/>
    <w:rsid w:val="50695835"/>
    <w:rsid w:val="50C06F67"/>
    <w:rsid w:val="50DB0924"/>
    <w:rsid w:val="50F34B8D"/>
    <w:rsid w:val="50F87728"/>
    <w:rsid w:val="51344797"/>
    <w:rsid w:val="5144296E"/>
    <w:rsid w:val="514613F1"/>
    <w:rsid w:val="51461546"/>
    <w:rsid w:val="51753242"/>
    <w:rsid w:val="51AE428B"/>
    <w:rsid w:val="51C92E73"/>
    <w:rsid w:val="51DB66D7"/>
    <w:rsid w:val="51F10E27"/>
    <w:rsid w:val="52923265"/>
    <w:rsid w:val="52BE04FE"/>
    <w:rsid w:val="52C378C2"/>
    <w:rsid w:val="52D51455"/>
    <w:rsid w:val="53187BE9"/>
    <w:rsid w:val="531E0F9C"/>
    <w:rsid w:val="535F3025"/>
    <w:rsid w:val="538250CA"/>
    <w:rsid w:val="538928BA"/>
    <w:rsid w:val="549E4143"/>
    <w:rsid w:val="54A2356C"/>
    <w:rsid w:val="54B51E36"/>
    <w:rsid w:val="54EE6EEB"/>
    <w:rsid w:val="550A31C4"/>
    <w:rsid w:val="55180399"/>
    <w:rsid w:val="55913CA7"/>
    <w:rsid w:val="559D4153"/>
    <w:rsid w:val="55DA0B67"/>
    <w:rsid w:val="55ED2D24"/>
    <w:rsid w:val="55EE2EA8"/>
    <w:rsid w:val="56080D11"/>
    <w:rsid w:val="561A3C9D"/>
    <w:rsid w:val="565E627F"/>
    <w:rsid w:val="56955A19"/>
    <w:rsid w:val="56AE5351"/>
    <w:rsid w:val="57254B64"/>
    <w:rsid w:val="57526D53"/>
    <w:rsid w:val="576740F0"/>
    <w:rsid w:val="57854C29"/>
    <w:rsid w:val="57A00F97"/>
    <w:rsid w:val="58056981"/>
    <w:rsid w:val="585F1E3B"/>
    <w:rsid w:val="58721E3C"/>
    <w:rsid w:val="58E10AA2"/>
    <w:rsid w:val="58EC3954"/>
    <w:rsid w:val="591D5C2C"/>
    <w:rsid w:val="592A2449"/>
    <w:rsid w:val="59AF3B15"/>
    <w:rsid w:val="59B6770B"/>
    <w:rsid w:val="59BE484C"/>
    <w:rsid w:val="59D40607"/>
    <w:rsid w:val="5A1C366E"/>
    <w:rsid w:val="5A4237C2"/>
    <w:rsid w:val="5B2A612B"/>
    <w:rsid w:val="5B600357"/>
    <w:rsid w:val="5B944B52"/>
    <w:rsid w:val="5C4C26D6"/>
    <w:rsid w:val="5C5F68AD"/>
    <w:rsid w:val="5D3F66DF"/>
    <w:rsid w:val="5D5757D7"/>
    <w:rsid w:val="5D59496B"/>
    <w:rsid w:val="5D9D3BE1"/>
    <w:rsid w:val="5DFB359E"/>
    <w:rsid w:val="5E2E233D"/>
    <w:rsid w:val="5E5B413C"/>
    <w:rsid w:val="5E7A1ED9"/>
    <w:rsid w:val="5F202807"/>
    <w:rsid w:val="5F3960AE"/>
    <w:rsid w:val="5F784221"/>
    <w:rsid w:val="5F7D11CA"/>
    <w:rsid w:val="5FB50D68"/>
    <w:rsid w:val="5FB70E8A"/>
    <w:rsid w:val="5FE1582B"/>
    <w:rsid w:val="602E6D25"/>
    <w:rsid w:val="60493CF0"/>
    <w:rsid w:val="606049A2"/>
    <w:rsid w:val="607808E6"/>
    <w:rsid w:val="60A24FBB"/>
    <w:rsid w:val="60B06019"/>
    <w:rsid w:val="60CD7990"/>
    <w:rsid w:val="60E3568C"/>
    <w:rsid w:val="60E5341A"/>
    <w:rsid w:val="60FF41BB"/>
    <w:rsid w:val="613D23D3"/>
    <w:rsid w:val="615B464F"/>
    <w:rsid w:val="62096F18"/>
    <w:rsid w:val="620E7C5F"/>
    <w:rsid w:val="622B1B96"/>
    <w:rsid w:val="622B79AF"/>
    <w:rsid w:val="62432EF2"/>
    <w:rsid w:val="630D3EC6"/>
    <w:rsid w:val="633A772C"/>
    <w:rsid w:val="63442335"/>
    <w:rsid w:val="63560537"/>
    <w:rsid w:val="63892AC9"/>
    <w:rsid w:val="63A420E4"/>
    <w:rsid w:val="646709F5"/>
    <w:rsid w:val="647749B0"/>
    <w:rsid w:val="64846B9B"/>
    <w:rsid w:val="64D67929"/>
    <w:rsid w:val="64EE6A20"/>
    <w:rsid w:val="651E2E89"/>
    <w:rsid w:val="653B3C30"/>
    <w:rsid w:val="65DA0D53"/>
    <w:rsid w:val="66320B8F"/>
    <w:rsid w:val="66CB7F78"/>
    <w:rsid w:val="66DC085E"/>
    <w:rsid w:val="671B7875"/>
    <w:rsid w:val="67346B89"/>
    <w:rsid w:val="679363F9"/>
    <w:rsid w:val="68394457"/>
    <w:rsid w:val="68491E14"/>
    <w:rsid w:val="685674DD"/>
    <w:rsid w:val="68E15B8E"/>
    <w:rsid w:val="69143488"/>
    <w:rsid w:val="699658D9"/>
    <w:rsid w:val="69DC3E42"/>
    <w:rsid w:val="6A0D32C7"/>
    <w:rsid w:val="6A386015"/>
    <w:rsid w:val="6A4D2583"/>
    <w:rsid w:val="6A8E529F"/>
    <w:rsid w:val="6AC36D45"/>
    <w:rsid w:val="6AFF300A"/>
    <w:rsid w:val="6B54398A"/>
    <w:rsid w:val="6B5F554F"/>
    <w:rsid w:val="6B772E78"/>
    <w:rsid w:val="6B980FF3"/>
    <w:rsid w:val="6BE26BB3"/>
    <w:rsid w:val="6C066D46"/>
    <w:rsid w:val="6C360CAD"/>
    <w:rsid w:val="6C7F08A6"/>
    <w:rsid w:val="6CA3043B"/>
    <w:rsid w:val="6CB95B66"/>
    <w:rsid w:val="6CD972CB"/>
    <w:rsid w:val="6D2D3E5E"/>
    <w:rsid w:val="6D936D70"/>
    <w:rsid w:val="6D9E7E0B"/>
    <w:rsid w:val="6DF11666"/>
    <w:rsid w:val="6E160D96"/>
    <w:rsid w:val="6E5A5297"/>
    <w:rsid w:val="6E881C94"/>
    <w:rsid w:val="6E8C6205"/>
    <w:rsid w:val="6E8F26DB"/>
    <w:rsid w:val="6E96227F"/>
    <w:rsid w:val="6EAB61CE"/>
    <w:rsid w:val="6EB36088"/>
    <w:rsid w:val="6EB94A45"/>
    <w:rsid w:val="6EC219F7"/>
    <w:rsid w:val="6F2319DA"/>
    <w:rsid w:val="6F2F699C"/>
    <w:rsid w:val="6F9D22B8"/>
    <w:rsid w:val="6FBA7E6A"/>
    <w:rsid w:val="708A15C7"/>
    <w:rsid w:val="70BB6F1C"/>
    <w:rsid w:val="71164CBC"/>
    <w:rsid w:val="712D0961"/>
    <w:rsid w:val="7149365D"/>
    <w:rsid w:val="71573041"/>
    <w:rsid w:val="71864485"/>
    <w:rsid w:val="7187082B"/>
    <w:rsid w:val="71B44B4E"/>
    <w:rsid w:val="71C57FD5"/>
    <w:rsid w:val="71DF23EB"/>
    <w:rsid w:val="71EC6B51"/>
    <w:rsid w:val="71FB09CF"/>
    <w:rsid w:val="72C76B03"/>
    <w:rsid w:val="730613D9"/>
    <w:rsid w:val="733E4587"/>
    <w:rsid w:val="74934EEE"/>
    <w:rsid w:val="74B91010"/>
    <w:rsid w:val="74BE5F2D"/>
    <w:rsid w:val="74E76064"/>
    <w:rsid w:val="74F35C7B"/>
    <w:rsid w:val="750F5DEA"/>
    <w:rsid w:val="753411BE"/>
    <w:rsid w:val="753A35BC"/>
    <w:rsid w:val="75706FDE"/>
    <w:rsid w:val="757F36C5"/>
    <w:rsid w:val="75992579"/>
    <w:rsid w:val="75A07E04"/>
    <w:rsid w:val="75B45DFA"/>
    <w:rsid w:val="75CD4430"/>
    <w:rsid w:val="75E31EA6"/>
    <w:rsid w:val="75FE45EA"/>
    <w:rsid w:val="760F4A49"/>
    <w:rsid w:val="77A17C45"/>
    <w:rsid w:val="77D54C72"/>
    <w:rsid w:val="77EB6DF0"/>
    <w:rsid w:val="78320EC2"/>
    <w:rsid w:val="78446BBD"/>
    <w:rsid w:val="787B63C5"/>
    <w:rsid w:val="788334CC"/>
    <w:rsid w:val="788A1E24"/>
    <w:rsid w:val="791660EE"/>
    <w:rsid w:val="792423C1"/>
    <w:rsid w:val="79420C91"/>
    <w:rsid w:val="79D342B7"/>
    <w:rsid w:val="79F345EB"/>
    <w:rsid w:val="7A4078C7"/>
    <w:rsid w:val="7A533A04"/>
    <w:rsid w:val="7AD14365"/>
    <w:rsid w:val="7AF9027C"/>
    <w:rsid w:val="7B6770D5"/>
    <w:rsid w:val="7BC6204D"/>
    <w:rsid w:val="7BE8698F"/>
    <w:rsid w:val="7C06353E"/>
    <w:rsid w:val="7C376AA7"/>
    <w:rsid w:val="7C5514A3"/>
    <w:rsid w:val="7D0E5F15"/>
    <w:rsid w:val="7D33726F"/>
    <w:rsid w:val="7D752C5B"/>
    <w:rsid w:val="7D8C697F"/>
    <w:rsid w:val="7DB835CB"/>
    <w:rsid w:val="7DDD542C"/>
    <w:rsid w:val="7DF257A0"/>
    <w:rsid w:val="7DF67EC8"/>
    <w:rsid w:val="7E505BFE"/>
    <w:rsid w:val="7E92785A"/>
    <w:rsid w:val="7EA0293B"/>
    <w:rsid w:val="7EFF6F9C"/>
    <w:rsid w:val="7FE370AA"/>
    <w:rsid w:val="7FEF30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1157" w:hanging="420"/>
      <w:jc w:val="both"/>
    </w:pPr>
    <w:rPr>
      <w:rFonts w:ascii="Times New Roman" w:hAnsi="Times New Roman" w:eastAsia="宋体" w:cs="Times New Roman"/>
      <w:kern w:val="2"/>
      <w:sz w:val="21"/>
      <w:lang w:val="en-US" w:eastAsia="zh-CN" w:bidi="ar-SA"/>
    </w:rPr>
  </w:style>
  <w:style w:type="paragraph" w:styleId="2">
    <w:name w:val="heading 1"/>
    <w:basedOn w:val="1"/>
    <w:next w:val="1"/>
    <w:link w:val="25"/>
    <w:qFormat/>
    <w:uiPriority w:val="0"/>
    <w:pPr>
      <w:keepNext/>
      <w:keepLines/>
      <w:spacing w:before="340" w:after="330"/>
      <w:ind w:left="0" w:firstLine="200" w:firstLineChars="200"/>
      <w:jc w:val="left"/>
      <w:outlineLvl w:val="0"/>
    </w:pPr>
    <w:rPr>
      <w:b/>
      <w:bCs/>
      <w:kern w:val="44"/>
      <w:sz w:val="30"/>
      <w:szCs w:val="44"/>
    </w:rPr>
  </w:style>
  <w:style w:type="paragraph" w:styleId="3">
    <w:name w:val="heading 2"/>
    <w:basedOn w:val="1"/>
    <w:next w:val="1"/>
    <w:link w:val="23"/>
    <w:qFormat/>
    <w:uiPriority w:val="0"/>
    <w:pPr>
      <w:keepNext/>
      <w:keepLines/>
      <w:ind w:left="0" w:firstLine="200" w:firstLineChars="200"/>
      <w:jc w:val="left"/>
      <w:outlineLvl w:val="1"/>
    </w:pPr>
    <w:rPr>
      <w:sz w:val="28"/>
      <w:szCs w:val="32"/>
    </w:rPr>
  </w:style>
  <w:style w:type="paragraph" w:styleId="4">
    <w:name w:val="heading 3"/>
    <w:basedOn w:val="1"/>
    <w:next w:val="1"/>
    <w:link w:val="21"/>
    <w:qFormat/>
    <w:uiPriority w:val="0"/>
    <w:pPr>
      <w:keepNext/>
      <w:keepLines/>
      <w:spacing w:before="260" w:after="260" w:line="416" w:lineRule="auto"/>
      <w:ind w:left="0" w:firstLine="0"/>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24"/>
    <w:semiHidden/>
    <w:qFormat/>
    <w:uiPriority w:val="0"/>
    <w:pPr>
      <w:ind w:left="180" w:firstLine="360"/>
      <w:jc w:val="left"/>
    </w:pPr>
    <w:rPr>
      <w:kern w:val="0"/>
      <w:sz w:val="24"/>
    </w:rPr>
  </w:style>
  <w:style w:type="paragraph" w:styleId="6">
    <w:name w:val="Date"/>
    <w:basedOn w:val="1"/>
    <w:next w:val="1"/>
    <w:link w:val="22"/>
    <w:unhideWhenUsed/>
    <w:qFormat/>
    <w:uiPriority w:val="99"/>
    <w:pPr>
      <w:ind w:left="100" w:leftChars="2500"/>
    </w:pPr>
  </w:style>
  <w:style w:type="paragraph" w:styleId="7">
    <w:name w:val="Balloon Text"/>
    <w:basedOn w:val="1"/>
    <w:link w:val="26"/>
    <w:unhideWhenUsed/>
    <w:qFormat/>
    <w:uiPriority w:val="99"/>
    <w:pPr>
      <w:spacing w:line="240" w:lineRule="auto"/>
    </w:pPr>
    <w:rPr>
      <w:kern w:val="0"/>
      <w:sz w:val="18"/>
      <w:szCs w:val="18"/>
    </w:rPr>
  </w:style>
  <w:style w:type="paragraph" w:styleId="8">
    <w:name w:val="footer"/>
    <w:basedOn w:val="1"/>
    <w:link w:val="18"/>
    <w:unhideWhenUsed/>
    <w:qFormat/>
    <w:uiPriority w:val="99"/>
    <w:pPr>
      <w:tabs>
        <w:tab w:val="center" w:pos="4153"/>
        <w:tab w:val="right" w:pos="8306"/>
      </w:tabs>
      <w:snapToGrid w:val="0"/>
      <w:jc w:val="left"/>
    </w:pPr>
    <w:rPr>
      <w:kern w:val="0"/>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toc 1"/>
    <w:basedOn w:val="1"/>
    <w:next w:val="1"/>
    <w:semiHidden/>
    <w:unhideWhenUsed/>
    <w:qFormat/>
    <w:uiPriority w:val="39"/>
  </w:style>
  <w:style w:type="paragraph" w:styleId="11">
    <w:name w:val="toc 2"/>
    <w:basedOn w:val="1"/>
    <w:next w:val="1"/>
    <w:semiHidden/>
    <w:unhideWhenUsed/>
    <w:qFormat/>
    <w:uiPriority w:val="39"/>
    <w:pPr>
      <w:ind w:left="420" w:leftChars="200"/>
    </w:p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styleId="16">
    <w:name w:val="Emphasis"/>
    <w:qFormat/>
    <w:uiPriority w:val="0"/>
    <w:rPr>
      <w:color w:val="CC0000"/>
    </w:rPr>
  </w:style>
  <w:style w:type="character" w:styleId="17">
    <w:name w:val="Hyperlink"/>
    <w:basedOn w:val="14"/>
    <w:unhideWhenUsed/>
    <w:qFormat/>
    <w:uiPriority w:val="99"/>
    <w:rPr>
      <w:color w:val="0000FF" w:themeColor="hyperlink"/>
      <w:u w:val="single"/>
      <w14:textFill>
        <w14:solidFill>
          <w14:schemeClr w14:val="hlink"/>
        </w14:solidFill>
      </w14:textFill>
    </w:rPr>
  </w:style>
  <w:style w:type="character" w:customStyle="1" w:styleId="18">
    <w:name w:val="页脚 Char"/>
    <w:link w:val="8"/>
    <w:qFormat/>
    <w:uiPriority w:val="99"/>
    <w:rPr>
      <w:sz w:val="18"/>
      <w:szCs w:val="18"/>
    </w:rPr>
  </w:style>
  <w:style w:type="character" w:customStyle="1" w:styleId="19">
    <w:name w:val="填空格"/>
    <w:qFormat/>
    <w:uiPriority w:val="0"/>
    <w:rPr>
      <w:rFonts w:eastAsia="宋体" w:cs="Times New Roman"/>
      <w:sz w:val="28"/>
      <w:u w:val="single"/>
    </w:rPr>
  </w:style>
  <w:style w:type="character" w:customStyle="1" w:styleId="20">
    <w:name w:val="页眉 Char"/>
    <w:link w:val="9"/>
    <w:qFormat/>
    <w:uiPriority w:val="99"/>
    <w:rPr>
      <w:sz w:val="18"/>
      <w:szCs w:val="18"/>
    </w:rPr>
  </w:style>
  <w:style w:type="character" w:customStyle="1" w:styleId="21">
    <w:name w:val="标题 3 Char"/>
    <w:link w:val="4"/>
    <w:qFormat/>
    <w:uiPriority w:val="0"/>
    <w:rPr>
      <w:rFonts w:ascii="Times New Roman" w:hAnsi="Times New Roman"/>
      <w:b/>
      <w:bCs/>
      <w:kern w:val="2"/>
      <w:sz w:val="32"/>
      <w:szCs w:val="32"/>
    </w:rPr>
  </w:style>
  <w:style w:type="character" w:customStyle="1" w:styleId="22">
    <w:name w:val="日期 Char"/>
    <w:link w:val="6"/>
    <w:semiHidden/>
    <w:qFormat/>
    <w:uiPriority w:val="99"/>
    <w:rPr>
      <w:rFonts w:ascii="Times New Roman" w:hAnsi="Times New Roman"/>
      <w:kern w:val="2"/>
      <w:sz w:val="21"/>
    </w:rPr>
  </w:style>
  <w:style w:type="character" w:customStyle="1" w:styleId="23">
    <w:name w:val="标题 2 Char"/>
    <w:link w:val="3"/>
    <w:qFormat/>
    <w:uiPriority w:val="0"/>
    <w:rPr>
      <w:rFonts w:ascii="Times New Roman" w:hAnsi="Times New Roman"/>
      <w:b/>
      <w:bCs/>
      <w:kern w:val="2"/>
      <w:sz w:val="28"/>
      <w:szCs w:val="32"/>
    </w:rPr>
  </w:style>
  <w:style w:type="character" w:customStyle="1" w:styleId="24">
    <w:name w:val="正文文本缩进 Char"/>
    <w:link w:val="5"/>
    <w:semiHidden/>
    <w:qFormat/>
    <w:uiPriority w:val="0"/>
    <w:rPr>
      <w:rFonts w:ascii="Times New Roman" w:hAnsi="Times New Roman" w:eastAsia="宋体" w:cs="Times New Roman"/>
      <w:sz w:val="24"/>
      <w:szCs w:val="20"/>
    </w:rPr>
  </w:style>
  <w:style w:type="character" w:customStyle="1" w:styleId="25">
    <w:name w:val="标题 1 Char"/>
    <w:link w:val="2"/>
    <w:qFormat/>
    <w:uiPriority w:val="0"/>
    <w:rPr>
      <w:rFonts w:ascii="Times New Roman" w:hAnsi="Times New Roman"/>
      <w:b/>
      <w:bCs/>
      <w:kern w:val="44"/>
      <w:sz w:val="30"/>
      <w:szCs w:val="44"/>
    </w:rPr>
  </w:style>
  <w:style w:type="character" w:customStyle="1" w:styleId="26">
    <w:name w:val="批注框文本 Char"/>
    <w:link w:val="7"/>
    <w:semiHidden/>
    <w:qFormat/>
    <w:uiPriority w:val="99"/>
    <w:rPr>
      <w:rFonts w:ascii="Times New Roman" w:hAnsi="Times New Roman" w:eastAsia="宋体" w:cs="Times New Roman"/>
      <w:sz w:val="18"/>
      <w:szCs w:val="18"/>
    </w:rPr>
  </w:style>
  <w:style w:type="paragraph" w:customStyle="1" w:styleId="27">
    <w:name w:val="CM104"/>
    <w:basedOn w:val="1"/>
    <w:next w:val="1"/>
    <w:qFormat/>
    <w:uiPriority w:val="99"/>
    <w:pPr>
      <w:autoSpaceDE w:val="0"/>
      <w:autoSpaceDN w:val="0"/>
      <w:adjustRightInd w:val="0"/>
      <w:spacing w:after="385" w:line="240" w:lineRule="auto"/>
      <w:ind w:left="0" w:firstLine="0"/>
      <w:jc w:val="left"/>
    </w:pPr>
    <w:rPr>
      <w:rFonts w:ascii="宋体" w:hAnsi="Calibri"/>
      <w:kern w:val="0"/>
      <w:sz w:val="24"/>
      <w:szCs w:val="24"/>
    </w:rPr>
  </w:style>
  <w:style w:type="paragraph" w:styleId="28">
    <w:name w:val="List Paragraph"/>
    <w:basedOn w:val="1"/>
    <w:qFormat/>
    <w:uiPriority w:val="34"/>
    <w:pPr>
      <w:ind w:firstLine="420" w:firstLineChars="200"/>
    </w:pPr>
  </w:style>
  <w:style w:type="paragraph" w:customStyle="1" w:styleId="29">
    <w:name w:val="列出段落1"/>
    <w:basedOn w:val="1"/>
    <w:qFormat/>
    <w:uiPriority w:val="0"/>
    <w:pPr>
      <w:ind w:left="0" w:firstLine="420" w:firstLineChars="200"/>
      <w:jc w:val="left"/>
    </w:pPr>
    <w:rPr>
      <w:sz w:val="28"/>
      <w:szCs w:val="24"/>
    </w:rPr>
  </w:style>
  <w:style w:type="paragraph" w:customStyle="1" w:styleId="30">
    <w:name w:val="CM103"/>
    <w:basedOn w:val="1"/>
    <w:next w:val="1"/>
    <w:qFormat/>
    <w:uiPriority w:val="99"/>
    <w:pPr>
      <w:autoSpaceDE w:val="0"/>
      <w:autoSpaceDN w:val="0"/>
      <w:adjustRightInd w:val="0"/>
      <w:spacing w:after="308" w:line="240" w:lineRule="auto"/>
      <w:ind w:left="0" w:firstLine="0"/>
      <w:jc w:val="left"/>
    </w:pPr>
    <w:rPr>
      <w:rFonts w:ascii="宋体" w:hAnsi="Calibri"/>
      <w:kern w:val="0"/>
      <w:sz w:val="24"/>
      <w:szCs w:val="24"/>
    </w:rPr>
  </w:style>
  <w:style w:type="paragraph" w:customStyle="1" w:styleId="3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列出段落11"/>
    <w:basedOn w:val="1"/>
    <w:qFormat/>
    <w:uiPriority w:val="0"/>
    <w:pPr>
      <w:ind w:left="0" w:firstLine="420" w:firstLineChars="200"/>
      <w:jc w:val="left"/>
    </w:pPr>
    <w:rPr>
      <w:sz w:val="28"/>
      <w:szCs w:val="24"/>
    </w:rPr>
  </w:style>
  <w:style w:type="paragraph" w:customStyle="1" w:styleId="33">
    <w:name w:val="CM116"/>
    <w:basedOn w:val="1"/>
    <w:next w:val="1"/>
    <w:qFormat/>
    <w:uiPriority w:val="99"/>
    <w:pPr>
      <w:autoSpaceDE w:val="0"/>
      <w:autoSpaceDN w:val="0"/>
      <w:adjustRightInd w:val="0"/>
      <w:spacing w:after="302" w:line="240" w:lineRule="auto"/>
      <w:ind w:left="0" w:firstLine="0"/>
      <w:jc w:val="left"/>
    </w:pPr>
    <w:rPr>
      <w:rFonts w:ascii="宋体" w:hAnsi="Calibri"/>
      <w:kern w:val="0"/>
      <w:sz w:val="24"/>
      <w:szCs w:val="24"/>
    </w:rPr>
  </w:style>
  <w:style w:type="paragraph" w:customStyle="1" w:styleId="34">
    <w:name w:val="CM11"/>
    <w:basedOn w:val="1"/>
    <w:next w:val="1"/>
    <w:qFormat/>
    <w:uiPriority w:val="99"/>
    <w:pPr>
      <w:autoSpaceDE w:val="0"/>
      <w:autoSpaceDN w:val="0"/>
      <w:adjustRightInd w:val="0"/>
      <w:spacing w:line="303" w:lineRule="atLeast"/>
      <w:ind w:left="0" w:firstLine="0"/>
      <w:jc w:val="left"/>
    </w:pPr>
    <w:rPr>
      <w:rFonts w:ascii="宋体" w:hAnsi="Calibri"/>
      <w:kern w:val="0"/>
      <w:sz w:val="24"/>
      <w:szCs w:val="24"/>
    </w:rPr>
  </w:style>
  <w:style w:type="paragraph" w:customStyle="1" w:styleId="35">
    <w:name w:val="中等深浅网格 1 - 着色 21"/>
    <w:basedOn w:val="1"/>
    <w:qFormat/>
    <w:uiPriority w:val="34"/>
    <w:pPr>
      <w:ind w:firstLine="420" w:firstLineChars="200"/>
    </w:pPr>
    <w:rPr>
      <w:rFonts w:ascii="Times New Roman" w:hAnsi="Times New Roman" w:eastAsia="宋体" w:cs="Times New Roman"/>
      <w:szCs w:val="24"/>
    </w:rPr>
  </w:style>
  <w:style w:type="paragraph" w:customStyle="1" w:styleId="36">
    <w:name w:val="正文2"/>
    <w:basedOn w:val="1"/>
    <w:qFormat/>
    <w:uiPriority w:val="0"/>
    <w:pPr>
      <w:spacing w:after="120" w:line="360" w:lineRule="auto"/>
      <w:ind w:firstLine="480" w:firstLineChars="200"/>
    </w:pPr>
    <w:rPr>
      <w:rFonts w:ascii="等线" w:hAnsi="等线" w:eastAsia="宋体" w:cs="Times New Roman"/>
      <w:sz w:val="24"/>
      <w:szCs w:val="24"/>
    </w:rPr>
  </w:style>
  <w:style w:type="paragraph" w:customStyle="1" w:styleId="37">
    <w:name w:val="CM136"/>
    <w:basedOn w:val="31"/>
    <w:next w:val="31"/>
    <w:qFormat/>
    <w:uiPriority w:val="99"/>
    <w:pPr>
      <w:spacing w:after="178"/>
    </w:pPr>
    <w:rPr>
      <w:rFonts w:ascii="Times New Roman" w:cs="Times New Roman"/>
      <w:color w:val="auto"/>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customStyle="1" w:styleId="40">
    <w:name w:val="1.01 SECTION"/>
    <w:basedOn w:val="1"/>
    <w:qFormat/>
    <w:uiPriority w:val="0"/>
    <w:pPr>
      <w:widowControl/>
      <w:spacing w:line="240" w:lineRule="atLeast"/>
      <w:ind w:left="720" w:hanging="720"/>
    </w:pPr>
    <w:rPr>
      <w:rFonts w:ascii="Arial" w:hAnsi="Arial" w:eastAsia="宋体"/>
      <w:caps/>
      <w:kern w:val="0"/>
      <w:sz w:val="20"/>
      <w:lang w:eastAsia="en-US"/>
    </w:rPr>
  </w:style>
  <w:style w:type="paragraph" w:customStyle="1" w:styleId="41">
    <w:name w:val="A. SUB-SECTION"/>
    <w:basedOn w:val="1"/>
    <w:qFormat/>
    <w:uiPriority w:val="0"/>
    <w:pPr>
      <w:widowControl/>
      <w:spacing w:line="240" w:lineRule="atLeast"/>
      <w:ind w:left="1080" w:hanging="360"/>
    </w:pPr>
    <w:rPr>
      <w:rFonts w:ascii="Arial" w:hAnsi="Arial" w:eastAsia="宋体"/>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 (Beijing) Limited</Company>
  <Pages>84</Pages>
  <Words>30569</Words>
  <Characters>35180</Characters>
  <Lines>179</Lines>
  <Paragraphs>50</Paragraphs>
  <TotalTime>0</TotalTime>
  <ScaleCrop>false</ScaleCrop>
  <LinksUpToDate>false</LinksUpToDate>
  <CharactersWithSpaces>35770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2020-03-26T07:42:00Z</dcterms:created>
  <dc:creator>Lenovo User</dc:creator>
  <cp:lastModifiedBy>何祈荣</cp:lastModifiedBy>
  <cp:lastPrinted>2018-12-25T09:37:00Z</cp:lastPrinted>
  <dcterms:modified xsi:type="dcterms:W3CDTF">2025-07-05T07:08:56Z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DC7F6986ADD045278A9F929746A7DD07_13</vt:lpwstr>
  </property>
  <property fmtid="{D5CDD505-2E9C-101B-9397-08002B2CF9AE}" pid="4" name="KSOTemplateDocerSaveRecord">
    <vt:lpwstr>eyJoZGlkIjoiZDVhYWE0ZmMwMjkyMjEzZTM2NmFjNWJlZDAzZjEyMGIiLCJ1c2VySWQiOiI2OTk1MjU4MTMifQ==</vt:lpwstr>
  </property>
</Properties>
</file>