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hint="eastAsia" w:ascii="宋体" w:hAnsi="宋体" w:eastAsia="宋体" w:cs="宋体"/>
          <w:b/>
          <w:bCs/>
          <w:sz w:val="28"/>
          <w:szCs w:val="28"/>
        </w:rPr>
      </w:pPr>
      <w:bookmarkStart w:id="0" w:name="_Hlk107254987"/>
      <w:r>
        <w:rPr>
          <w:rFonts w:hint="eastAsia" w:ascii="仿宋_GB2312" w:hAnsi="仿宋_GB2312" w:cs="仿宋_GB2312"/>
          <w:b/>
          <w:bCs/>
          <w:sz w:val="28"/>
          <w:szCs w:val="28"/>
        </w:rPr>
        <w:t>项目编号</w:t>
      </w:r>
      <w:r>
        <w:rPr>
          <w:rFonts w:hint="eastAsia" w:ascii="宋体" w:hAnsi="宋体" w:eastAsia="宋体" w:cs="宋体"/>
          <w:b/>
          <w:bCs/>
          <w:sz w:val="28"/>
          <w:szCs w:val="28"/>
        </w:rPr>
        <w:t>：2025-JJDCBG-G1004</w:t>
      </w:r>
    </w:p>
    <w:p>
      <w:pPr>
        <w:jc w:val="center"/>
        <w:rPr>
          <w:rFonts w:ascii="宋体" w:hAnsi="宋体"/>
          <w:sz w:val="28"/>
          <w:szCs w:val="28"/>
          <w:u w:val="single"/>
        </w:rPr>
      </w:pPr>
    </w:p>
    <w:p>
      <w:pPr>
        <w:jc w:val="center"/>
        <w:rPr>
          <w:sz w:val="32"/>
          <w:szCs w:val="32"/>
        </w:rPr>
      </w:pPr>
    </w:p>
    <w:p>
      <w:pPr>
        <w:spacing w:line="460" w:lineRule="exact"/>
        <w:ind w:firstLine="437"/>
        <w:rPr>
          <w:rFonts w:ascii="宋体"/>
        </w:rPr>
      </w:pPr>
    </w:p>
    <w:p/>
    <w:p>
      <w:pPr>
        <w:spacing w:line="540" w:lineRule="exact"/>
        <w:rPr>
          <w:rFonts w:ascii="宋体"/>
        </w:rPr>
      </w:pPr>
      <w:bookmarkStart w:id="737" w:name="_GoBack"/>
      <w:bookmarkEnd w:id="737"/>
    </w:p>
    <w:p>
      <w:pPr>
        <w:ind w:left="420" w:hanging="420"/>
        <w:jc w:val="center"/>
        <w:rPr>
          <w:rFonts w:ascii="黑体" w:hAnsi="宋体" w:eastAsia="黑体"/>
          <w:sz w:val="72"/>
          <w:szCs w:val="72"/>
        </w:rPr>
      </w:pPr>
      <w:r>
        <w:rPr>
          <w:rFonts w:hint="eastAsia" w:ascii="黑体" w:hAnsi="宋体" w:eastAsia="黑体" w:cs="黑体"/>
          <w:sz w:val="72"/>
          <w:szCs w:val="72"/>
        </w:rPr>
        <w:t>招</w:t>
      </w:r>
      <w:r>
        <w:rPr>
          <w:rFonts w:ascii="黑体" w:hAnsi="宋体" w:eastAsia="黑体" w:cs="黑体"/>
          <w:sz w:val="72"/>
          <w:szCs w:val="72"/>
        </w:rPr>
        <w:t xml:space="preserve"> </w:t>
      </w:r>
      <w:r>
        <w:rPr>
          <w:rFonts w:hint="eastAsia" w:ascii="黑体" w:hAnsi="宋体" w:eastAsia="黑体" w:cs="黑体"/>
          <w:sz w:val="72"/>
          <w:szCs w:val="72"/>
        </w:rPr>
        <w:t>标</w:t>
      </w:r>
      <w:r>
        <w:rPr>
          <w:rFonts w:ascii="黑体" w:hAnsi="宋体" w:eastAsia="黑体" w:cs="黑体"/>
          <w:sz w:val="72"/>
          <w:szCs w:val="72"/>
        </w:rPr>
        <w:t xml:space="preserve"> </w:t>
      </w:r>
      <w:r>
        <w:rPr>
          <w:rFonts w:hint="eastAsia" w:ascii="黑体" w:hAnsi="宋体" w:eastAsia="黑体" w:cs="黑体"/>
          <w:sz w:val="72"/>
          <w:szCs w:val="72"/>
        </w:rPr>
        <w:t>文</w:t>
      </w:r>
      <w:r>
        <w:rPr>
          <w:rFonts w:ascii="黑体" w:hAnsi="宋体" w:eastAsia="黑体" w:cs="黑体"/>
          <w:sz w:val="72"/>
          <w:szCs w:val="72"/>
        </w:rPr>
        <w:t xml:space="preserve"> </w:t>
      </w:r>
      <w:r>
        <w:rPr>
          <w:rFonts w:hint="eastAsia" w:ascii="黑体" w:hAnsi="宋体" w:eastAsia="黑体" w:cs="黑体"/>
          <w:sz w:val="72"/>
          <w:szCs w:val="72"/>
        </w:rPr>
        <w:t>件</w:t>
      </w: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pacing w:line="540" w:lineRule="exact"/>
        <w:rPr>
          <w:rFonts w:ascii="宋体"/>
        </w:rPr>
      </w:pPr>
    </w:p>
    <w:p>
      <w:pPr>
        <w:spacing w:line="400" w:lineRule="exact"/>
        <w:ind w:firstLine="560" w:firstLineChars="200"/>
        <w:jc w:val="left"/>
        <w:rPr>
          <w:rFonts w:ascii="黑体" w:eastAsia="黑体"/>
          <w:sz w:val="28"/>
          <w:szCs w:val="28"/>
        </w:rPr>
      </w:pPr>
      <w:r>
        <w:rPr>
          <w:rFonts w:hint="eastAsia" w:ascii="黑体" w:eastAsia="黑体"/>
          <w:sz w:val="28"/>
          <w:szCs w:val="28"/>
        </w:rPr>
        <w:t>建设单位（招标人）：</w:t>
      </w:r>
      <w:r>
        <w:rPr>
          <w:rFonts w:hint="eastAsia" w:ascii="黑体" w:eastAsia="黑体"/>
          <w:sz w:val="28"/>
          <w:szCs w:val="28"/>
          <w:u w:val="single"/>
        </w:rPr>
        <w:t xml:space="preserve">        某单位        </w:t>
      </w:r>
      <w:r>
        <w:rPr>
          <w:rFonts w:hint="eastAsia" w:ascii="黑体" w:eastAsia="黑体"/>
          <w:sz w:val="28"/>
          <w:szCs w:val="28"/>
        </w:rPr>
        <w:t>（盖单位章）</w:t>
      </w:r>
    </w:p>
    <w:p>
      <w:pPr>
        <w:spacing w:line="400" w:lineRule="exact"/>
        <w:ind w:firstLine="1680" w:firstLineChars="600"/>
        <w:jc w:val="left"/>
        <w:rPr>
          <w:rFonts w:ascii="黑体" w:eastAsia="黑体"/>
          <w:sz w:val="28"/>
          <w:szCs w:val="28"/>
        </w:rPr>
      </w:pPr>
    </w:p>
    <w:p>
      <w:pPr>
        <w:spacing w:line="400" w:lineRule="exact"/>
        <w:jc w:val="center"/>
        <w:rPr>
          <w:rFonts w:ascii="黑体" w:eastAsia="黑体"/>
          <w:sz w:val="28"/>
          <w:szCs w:val="28"/>
        </w:rPr>
      </w:pPr>
      <w:r>
        <w:rPr>
          <w:rFonts w:hint="eastAsia" w:ascii="黑体" w:eastAsia="黑体"/>
          <w:sz w:val="28"/>
          <w:szCs w:val="28"/>
        </w:rPr>
        <w:t>招标代理单位：</w:t>
      </w:r>
      <w:r>
        <w:rPr>
          <w:rFonts w:hint="eastAsia" w:ascii="黑体" w:eastAsia="黑体"/>
          <w:sz w:val="28"/>
          <w:szCs w:val="28"/>
          <w:u w:val="single"/>
        </w:rPr>
        <w:t xml:space="preserve"> </w:t>
      </w:r>
      <w:r>
        <w:rPr>
          <w:rFonts w:hint="eastAsia" w:ascii="黑体" w:eastAsia="黑体"/>
          <w:sz w:val="28"/>
          <w:szCs w:val="28"/>
          <w:u w:val="single"/>
          <w:lang w:val="en-US" w:eastAsia="zh-CN"/>
        </w:rPr>
        <w:t>中科高盛咨询集团有限公司</w:t>
      </w:r>
      <w:r>
        <w:rPr>
          <w:rFonts w:hint="eastAsia" w:ascii="黑体" w:eastAsia="黑体"/>
          <w:sz w:val="28"/>
          <w:szCs w:val="28"/>
          <w:u w:val="single"/>
        </w:rPr>
        <w:t xml:space="preserve"> </w:t>
      </w:r>
      <w:r>
        <w:rPr>
          <w:rFonts w:hint="eastAsia" w:ascii="黑体" w:eastAsia="黑体"/>
          <w:sz w:val="28"/>
          <w:szCs w:val="28"/>
        </w:rPr>
        <w:t>（盖单位章）</w:t>
      </w:r>
    </w:p>
    <w:p>
      <w:pPr>
        <w:spacing w:line="360" w:lineRule="auto"/>
        <w:ind w:firstLine="437"/>
        <w:rPr>
          <w:rFonts w:ascii="黑体" w:hAnsi="宋体" w:eastAsia="黑体" w:cs="黑体"/>
          <w:sz w:val="28"/>
          <w:szCs w:val="28"/>
        </w:rPr>
      </w:pPr>
    </w:p>
    <w:p>
      <w:pPr>
        <w:spacing w:line="360" w:lineRule="auto"/>
        <w:ind w:firstLine="437"/>
        <w:rPr>
          <w:rFonts w:ascii="黑体" w:hAnsi="宋体" w:eastAsia="黑体" w:cs="黑体"/>
          <w:sz w:val="28"/>
          <w:szCs w:val="28"/>
        </w:rPr>
      </w:pPr>
    </w:p>
    <w:p>
      <w:pPr>
        <w:spacing w:line="540" w:lineRule="exact"/>
        <w:ind w:firstLine="372" w:firstLineChars="133"/>
        <w:jc w:val="center"/>
        <w:rPr>
          <w:rFonts w:ascii="宋体" w:hAnsi="宋体" w:cs="宋体"/>
          <w:sz w:val="28"/>
          <w:szCs w:val="28"/>
        </w:rPr>
      </w:pPr>
      <w:r>
        <w:rPr>
          <w:rFonts w:ascii="黑体" w:hAnsi="宋体" w:eastAsia="黑体" w:cs="黑体"/>
          <w:sz w:val="28"/>
          <w:szCs w:val="28"/>
          <w:u w:val="single"/>
        </w:rPr>
        <w:t>202</w:t>
      </w:r>
      <w:r>
        <w:rPr>
          <w:rFonts w:hint="eastAsia" w:ascii="黑体" w:hAnsi="宋体" w:eastAsia="黑体" w:cs="黑体"/>
          <w:sz w:val="28"/>
          <w:szCs w:val="28"/>
          <w:u w:val="single"/>
          <w:lang w:val="en-US" w:eastAsia="zh-CN"/>
        </w:rPr>
        <w:t>5</w:t>
      </w:r>
      <w:r>
        <w:rPr>
          <w:rFonts w:hint="eastAsia" w:ascii="黑体" w:hAnsi="宋体" w:eastAsia="黑体" w:cs="黑体"/>
          <w:sz w:val="28"/>
          <w:szCs w:val="28"/>
          <w:u w:val="single"/>
        </w:rPr>
        <w:t xml:space="preserve"> </w:t>
      </w:r>
      <w:r>
        <w:rPr>
          <w:rFonts w:hint="eastAsia" w:ascii="宋体" w:hAnsi="宋体" w:cs="宋体"/>
          <w:sz w:val="28"/>
          <w:szCs w:val="28"/>
        </w:rPr>
        <w:t>年</w:t>
      </w:r>
      <w:r>
        <w:rPr>
          <w:rFonts w:ascii="黑体" w:hAnsi="宋体" w:eastAsia="黑体" w:cs="黑体"/>
          <w:sz w:val="28"/>
          <w:szCs w:val="28"/>
          <w:u w:val="single"/>
        </w:rPr>
        <w:t xml:space="preserve"> </w:t>
      </w:r>
      <w:r>
        <w:rPr>
          <w:rFonts w:hint="eastAsia" w:ascii="黑体" w:hAnsi="宋体" w:eastAsia="黑体" w:cs="黑体"/>
          <w:sz w:val="28"/>
          <w:szCs w:val="28"/>
          <w:u w:val="single"/>
          <w:lang w:val="en-US" w:eastAsia="zh-CN"/>
        </w:rPr>
        <w:t>7</w:t>
      </w:r>
      <w:r>
        <w:rPr>
          <w:rFonts w:ascii="黑体" w:hAnsi="宋体" w:eastAsia="黑体" w:cs="黑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黑体" w:hAnsi="宋体" w:eastAsia="黑体" w:cs="黑体"/>
          <w:sz w:val="28"/>
          <w:szCs w:val="28"/>
          <w:u w:val="single"/>
          <w:lang w:val="en-US" w:eastAsia="zh-CN"/>
        </w:rPr>
        <w:t>4</w:t>
      </w:r>
      <w:r>
        <w:rPr>
          <w:rFonts w:hint="eastAsia" w:ascii="黑体" w:hAnsi="宋体" w:eastAsia="黑体" w:cs="黑体"/>
          <w:sz w:val="28"/>
          <w:szCs w:val="28"/>
          <w:u w:val="single"/>
        </w:rPr>
        <w:t xml:space="preserve"> </w:t>
      </w:r>
      <w:r>
        <w:rPr>
          <w:rFonts w:hint="eastAsia" w:ascii="宋体" w:hAnsi="宋体" w:cs="宋体"/>
          <w:sz w:val="28"/>
          <w:szCs w:val="28"/>
        </w:rPr>
        <w:t>日</w:t>
      </w:r>
    </w:p>
    <w:p>
      <w:pPr>
        <w:spacing w:line="540" w:lineRule="exact"/>
        <w:rPr>
          <w:rFonts w:ascii="宋体" w:hAnsi="宋体" w:cs="宋体"/>
          <w:sz w:val="28"/>
          <w:szCs w:val="28"/>
        </w:rPr>
      </w:pPr>
    </w:p>
    <w:p/>
    <w:p>
      <w:pPr>
        <w:jc w:val="center"/>
      </w:pPr>
    </w:p>
    <w:p>
      <w:pPr>
        <w:spacing w:line="540" w:lineRule="exact"/>
        <w:ind w:firstLine="425" w:firstLineChars="133"/>
        <w:jc w:val="center"/>
        <w:rPr>
          <w:rFonts w:ascii="黑体" w:eastAsia="黑体"/>
          <w:sz w:val="32"/>
          <w:szCs w:val="32"/>
        </w:rPr>
      </w:pPr>
      <w:r>
        <w:rPr>
          <w:rFonts w:hint="eastAsia" w:ascii="方正小标宋简体" w:hAnsi="黑体" w:eastAsia="方正小标宋简体"/>
          <w:sz w:val="32"/>
          <w:szCs w:val="32"/>
        </w:rPr>
        <w:t>目  录</w:t>
      </w:r>
    </w:p>
    <w:p>
      <w:pPr>
        <w:pStyle w:val="60"/>
        <w:tabs>
          <w:tab w:val="right" w:leader="dot" w:pos="8834"/>
        </w:tabs>
        <w:rPr>
          <w:rFonts w:asciiTheme="minorHAnsi" w:hAnsiTheme="minorHAnsi" w:eastAsiaTheme="minorEastAsia" w:cstheme="minorBidi"/>
          <w:b w:val="0"/>
          <w:bCs w:val="0"/>
          <w:caps w:val="0"/>
          <w:sz w:val="21"/>
          <w:szCs w:val="22"/>
        </w:rPr>
      </w:pPr>
      <w:bookmarkStart w:id="1" w:name="_Toc183141583"/>
      <w:bookmarkStart w:id="2" w:name="_Toc144002940"/>
      <w:bookmarkStart w:id="3" w:name="_Toc145647393"/>
      <w:bookmarkStart w:id="4" w:name="_Toc183141716"/>
      <w:bookmarkStart w:id="5" w:name="_Toc141067103"/>
      <w:r>
        <w:rPr>
          <w:rFonts w:ascii="宋体" w:hAnsi="宋体"/>
          <w:b w:val="0"/>
          <w:bCs w:val="0"/>
          <w:caps w:val="0"/>
          <w:sz w:val="28"/>
          <w:szCs w:val="28"/>
        </w:rPr>
        <w:fldChar w:fldCharType="begin"/>
      </w:r>
      <w:r>
        <w:rPr>
          <w:rFonts w:ascii="宋体" w:hAnsi="宋体"/>
          <w:b w:val="0"/>
          <w:bCs w:val="0"/>
          <w:caps w:val="0"/>
          <w:sz w:val="28"/>
          <w:szCs w:val="28"/>
        </w:rPr>
        <w:instrText xml:space="preserve"> TOC \o "1-3" \h \z \u </w:instrText>
      </w:r>
      <w:r>
        <w:rPr>
          <w:rFonts w:ascii="宋体" w:hAnsi="宋体"/>
          <w:b w:val="0"/>
          <w:bCs w:val="0"/>
          <w:caps w:val="0"/>
          <w:sz w:val="28"/>
          <w:szCs w:val="28"/>
        </w:rPr>
        <w:fldChar w:fldCharType="separate"/>
      </w:r>
      <w:r>
        <w:fldChar w:fldCharType="begin"/>
      </w:r>
      <w:r>
        <w:instrText xml:space="preserve"> HYPERLINK \l "_Toc184916527" </w:instrText>
      </w:r>
      <w:r>
        <w:fldChar w:fldCharType="separate"/>
      </w:r>
      <w:r>
        <w:rPr>
          <w:rStyle w:val="99"/>
        </w:rPr>
        <w:t>第一章  招标公告</w:t>
      </w:r>
      <w:r>
        <w:tab/>
      </w:r>
      <w:r>
        <w:fldChar w:fldCharType="begin"/>
      </w:r>
      <w:r>
        <w:instrText xml:space="preserve"> PAGEREF _Toc184916527 \h </w:instrText>
      </w:r>
      <w:r>
        <w:fldChar w:fldCharType="separate"/>
      </w:r>
      <w:r>
        <w:t>1</w:t>
      </w:r>
      <w:r>
        <w:fldChar w:fldCharType="end"/>
      </w:r>
      <w:r>
        <w:fldChar w:fldCharType="end"/>
      </w:r>
    </w:p>
    <w:p>
      <w:pPr>
        <w:pStyle w:val="60"/>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"_Toc184916528" </w:instrText>
      </w:r>
      <w:r>
        <w:fldChar w:fldCharType="separate"/>
      </w:r>
      <w:r>
        <w:rPr>
          <w:rStyle w:val="99"/>
        </w:rPr>
        <w:t>第二章  投标人须知</w:t>
      </w:r>
      <w:r>
        <w:tab/>
      </w:r>
      <w:r>
        <w:fldChar w:fldCharType="begin"/>
      </w:r>
      <w:r>
        <w:instrText xml:space="preserve"> PAGEREF _Toc184916528 \h </w:instrText>
      </w:r>
      <w:r>
        <w:fldChar w:fldCharType="separate"/>
      </w:r>
      <w:r>
        <w:t>6</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"_Toc184916529" </w:instrText>
      </w:r>
      <w:r>
        <w:fldChar w:fldCharType="separate"/>
      </w:r>
      <w:r>
        <w:rPr>
          <w:rStyle w:val="99"/>
        </w:rPr>
        <w:t>一、投标人须知前附表</w:t>
      </w:r>
      <w:r>
        <w:tab/>
      </w:r>
      <w:r>
        <w:fldChar w:fldCharType="begin"/>
      </w:r>
      <w:r>
        <w:instrText xml:space="preserve"> PAGEREF _Toc184916529 \h </w:instrText>
      </w:r>
      <w:r>
        <w:fldChar w:fldCharType="separate"/>
      </w:r>
      <w:r>
        <w:t>6</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"_Toc184916530" </w:instrText>
      </w:r>
      <w:r>
        <w:fldChar w:fldCharType="separate"/>
      </w:r>
      <w:r>
        <w:rPr>
          <w:rStyle w:val="99"/>
        </w:rPr>
        <w:t>二、投标人须知正文部分</w:t>
      </w:r>
      <w:r>
        <w:tab/>
      </w:r>
      <w:r>
        <w:fldChar w:fldCharType="begin"/>
      </w:r>
      <w:r>
        <w:instrText xml:space="preserve"> PAGEREF _Toc184916530 \h </w:instrText>
      </w:r>
      <w:r>
        <w:fldChar w:fldCharType="separate"/>
      </w:r>
      <w:r>
        <w:t>14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"_Toc184916531" </w:instrText>
      </w:r>
      <w:r>
        <w:fldChar w:fldCharType="separate"/>
      </w:r>
      <w:r>
        <w:rPr>
          <w:rStyle w:val="99"/>
          <w:rFonts w:cs="宋体"/>
          <w:bCs/>
        </w:rPr>
        <w:t>1. 总则</w:t>
      </w:r>
      <w:r>
        <w:tab/>
      </w:r>
      <w:r>
        <w:fldChar w:fldCharType="begin"/>
      </w:r>
      <w:r>
        <w:instrText xml:space="preserve"> PAGEREF _Toc184916531 \h </w:instrText>
      </w:r>
      <w:r>
        <w:fldChar w:fldCharType="separate"/>
      </w:r>
      <w:r>
        <w:t>14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"_Toc184916532" </w:instrText>
      </w:r>
      <w:r>
        <w:fldChar w:fldCharType="separate"/>
      </w:r>
      <w:r>
        <w:rPr>
          <w:rStyle w:val="99"/>
          <w:rFonts w:cs="宋体"/>
          <w:bCs/>
        </w:rPr>
        <w:t>1.1 项目概况</w:t>
      </w:r>
      <w:r>
        <w:tab/>
      </w:r>
      <w:r>
        <w:fldChar w:fldCharType="begin"/>
      </w:r>
      <w:r>
        <w:instrText xml:space="preserve"> PAGEREF _Toc184916532 \h </w:instrText>
      </w:r>
      <w:r>
        <w:fldChar w:fldCharType="separate"/>
      </w:r>
      <w:r>
        <w:t>14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"_Toc184916533" </w:instrText>
      </w:r>
      <w:r>
        <w:fldChar w:fldCharType="separate"/>
      </w:r>
      <w:r>
        <w:rPr>
          <w:rStyle w:val="99"/>
          <w:rFonts w:cs="宋体"/>
          <w:bCs/>
        </w:rPr>
        <w:t>1.2 资金来源和落实情况</w:t>
      </w:r>
      <w:r>
        <w:tab/>
      </w:r>
      <w:r>
        <w:fldChar w:fldCharType="begin"/>
      </w:r>
      <w:r>
        <w:instrText xml:space="preserve"> PAGEREF _Toc184916533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"_Toc184916534" </w:instrText>
      </w:r>
      <w:r>
        <w:fldChar w:fldCharType="separate"/>
      </w:r>
      <w:r>
        <w:rPr>
          <w:rStyle w:val="99"/>
          <w:rFonts w:cs="宋体"/>
          <w:bCs/>
        </w:rPr>
        <w:t>1.3 招标范围、计划工期和质量要求</w:t>
      </w:r>
      <w:r>
        <w:tab/>
      </w:r>
      <w:r>
        <w:fldChar w:fldCharType="begin"/>
      </w:r>
      <w:r>
        <w:instrText xml:space="preserve"> PAGEREF _Toc184916534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"_Toc184916535" </w:instrText>
      </w:r>
      <w:r>
        <w:fldChar w:fldCharType="separate"/>
      </w:r>
      <w:r>
        <w:rPr>
          <w:rStyle w:val="99"/>
          <w:rFonts w:cs="宋体"/>
          <w:bCs/>
        </w:rPr>
        <w:t>1.4 投标人资格要求</w:t>
      </w:r>
      <w:r>
        <w:tab/>
      </w:r>
      <w:r>
        <w:fldChar w:fldCharType="begin"/>
      </w:r>
      <w:r>
        <w:instrText xml:space="preserve"> PAGEREF _Toc184916535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"_Toc184916536" </w:instrText>
      </w:r>
      <w:r>
        <w:fldChar w:fldCharType="separate"/>
      </w:r>
      <w:r>
        <w:rPr>
          <w:rStyle w:val="99"/>
          <w:rFonts w:cs="宋体"/>
          <w:bCs/>
        </w:rPr>
        <w:t>1.5 费用承担</w:t>
      </w:r>
      <w:r>
        <w:tab/>
      </w:r>
      <w:r>
        <w:fldChar w:fldCharType="begin"/>
      </w:r>
      <w:r>
        <w:instrText xml:space="preserve"> PAGEREF _Toc184916536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"_Toc184916537" </w:instrText>
      </w:r>
      <w:r>
        <w:fldChar w:fldCharType="separate"/>
      </w:r>
      <w:r>
        <w:rPr>
          <w:rStyle w:val="99"/>
          <w:rFonts w:cs="宋体"/>
          <w:bCs/>
        </w:rPr>
        <w:t>1.6 保密</w:t>
      </w:r>
      <w:r>
        <w:tab/>
      </w:r>
      <w:r>
        <w:fldChar w:fldCharType="begin"/>
      </w:r>
      <w:r>
        <w:instrText xml:space="preserve"> PAGEREF _Toc184916537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"_Toc184916538" </w:instrText>
      </w:r>
      <w:r>
        <w:fldChar w:fldCharType="separate"/>
      </w:r>
      <w:r>
        <w:rPr>
          <w:rStyle w:val="99"/>
          <w:rFonts w:cs="宋体"/>
          <w:bCs/>
        </w:rPr>
        <w:t>1.7 语言文字</w:t>
      </w:r>
      <w:r>
        <w:tab/>
      </w:r>
      <w:r>
        <w:fldChar w:fldCharType="begin"/>
      </w:r>
      <w:r>
        <w:instrText xml:space="preserve"> PAGEREF _Toc184916538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"_Toc184916539" </w:instrText>
      </w:r>
      <w:r>
        <w:fldChar w:fldCharType="separate"/>
      </w:r>
      <w:r>
        <w:rPr>
          <w:rStyle w:val="99"/>
          <w:rFonts w:cs="宋体"/>
          <w:bCs/>
        </w:rPr>
        <w:t>1.8 计量单位</w:t>
      </w:r>
      <w:r>
        <w:tab/>
      </w:r>
      <w:r>
        <w:fldChar w:fldCharType="begin"/>
      </w:r>
      <w:r>
        <w:instrText xml:space="preserve"> PAGEREF _Toc184916539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"_Toc184916540" </w:instrText>
      </w:r>
      <w:r>
        <w:fldChar w:fldCharType="separate"/>
      </w:r>
      <w:r>
        <w:rPr>
          <w:rStyle w:val="99"/>
          <w:rFonts w:cs="宋体"/>
          <w:bCs/>
        </w:rPr>
        <w:t>1.9 踏勘现场</w:t>
      </w:r>
      <w:r>
        <w:tab/>
      </w:r>
      <w:r>
        <w:fldChar w:fldCharType="begin"/>
      </w:r>
      <w:r>
        <w:instrText xml:space="preserve"> PAGEREF _Toc184916540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"_Toc184916541" </w:instrText>
      </w:r>
      <w:r>
        <w:fldChar w:fldCharType="separate"/>
      </w:r>
      <w:r>
        <w:rPr>
          <w:rStyle w:val="99"/>
          <w:rFonts w:cs="宋体"/>
          <w:bCs/>
        </w:rPr>
        <w:t>1.10 投标预备会</w:t>
      </w:r>
      <w:r>
        <w:tab/>
      </w:r>
      <w:r>
        <w:fldChar w:fldCharType="begin"/>
      </w:r>
      <w:r>
        <w:instrText xml:space="preserve"> PAGEREF _Toc184916541 \h </w:instrText>
      </w:r>
      <w:r>
        <w:fldChar w:fldCharType="separate"/>
      </w:r>
      <w:r>
        <w:t>15</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"_Toc184916542" </w:instrText>
      </w:r>
      <w:r>
        <w:fldChar w:fldCharType="separate"/>
      </w:r>
      <w:r>
        <w:rPr>
          <w:rStyle w:val="99"/>
          <w:rFonts w:cs="宋体"/>
          <w:bCs/>
        </w:rPr>
        <w:t>1.11 分包</w:t>
      </w:r>
      <w:r>
        <w:tab/>
      </w:r>
      <w:r>
        <w:fldChar w:fldCharType="begin"/>
      </w:r>
      <w:r>
        <w:instrText xml:space="preserve"> PAGEREF _Toc184916542 \h </w:instrText>
      </w:r>
      <w:r>
        <w:fldChar w:fldCharType="separate"/>
      </w:r>
      <w:r>
        <w:t>16</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"_Toc184916543" </w:instrText>
      </w:r>
      <w:r>
        <w:fldChar w:fldCharType="separate"/>
      </w:r>
      <w:r>
        <w:rPr>
          <w:rStyle w:val="99"/>
          <w:rFonts w:cs="宋体"/>
          <w:bCs/>
        </w:rPr>
        <w:t>1.12 偏离</w:t>
      </w:r>
      <w:r>
        <w:tab/>
      </w:r>
      <w:r>
        <w:fldChar w:fldCharType="begin"/>
      </w:r>
      <w:r>
        <w:instrText xml:space="preserve"> PAGEREF _Toc184916543 \h </w:instrText>
      </w:r>
      <w:r>
        <w:fldChar w:fldCharType="separate"/>
      </w:r>
      <w:r>
        <w:t>16</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"_Toc184916544" </w:instrText>
      </w:r>
      <w:r>
        <w:fldChar w:fldCharType="separate"/>
      </w:r>
      <w:r>
        <w:rPr>
          <w:rStyle w:val="99"/>
          <w:rFonts w:cs="宋体"/>
          <w:bCs/>
        </w:rPr>
        <w:t>2. 招标文件</w:t>
      </w:r>
      <w:r>
        <w:tab/>
      </w:r>
      <w:r>
        <w:fldChar w:fldCharType="begin"/>
      </w:r>
      <w:r>
        <w:instrText xml:space="preserve"> PAGEREF _Toc184916544 \h </w:instrText>
      </w:r>
      <w:r>
        <w:fldChar w:fldCharType="separate"/>
      </w:r>
      <w:r>
        <w:t>16</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"_Toc184916545" </w:instrText>
      </w:r>
      <w:r>
        <w:fldChar w:fldCharType="separate"/>
      </w:r>
      <w:r>
        <w:rPr>
          <w:rStyle w:val="99"/>
          <w:rFonts w:cs="宋体"/>
          <w:bCs/>
        </w:rPr>
        <w:t>2.1 招标文件的组成</w:t>
      </w:r>
      <w:r>
        <w:tab/>
      </w:r>
      <w:r>
        <w:fldChar w:fldCharType="begin"/>
      </w:r>
      <w:r>
        <w:instrText xml:space="preserve"> PAGEREF _Toc184916545 \h </w:instrText>
      </w:r>
      <w:r>
        <w:fldChar w:fldCharType="separate"/>
      </w:r>
      <w:r>
        <w:t>16</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"_Toc184916546" </w:instrText>
      </w:r>
      <w:r>
        <w:fldChar w:fldCharType="separate"/>
      </w:r>
      <w:r>
        <w:rPr>
          <w:rStyle w:val="99"/>
          <w:rFonts w:cs="宋体"/>
          <w:bCs/>
        </w:rPr>
        <w:t>2.2 招标文件的澄清</w:t>
      </w:r>
      <w:r>
        <w:tab/>
      </w:r>
      <w:r>
        <w:fldChar w:fldCharType="begin"/>
      </w:r>
      <w:r>
        <w:instrText xml:space="preserve"> PAGEREF _Toc184916546 \h </w:instrText>
      </w:r>
      <w:r>
        <w:fldChar w:fldCharType="separate"/>
      </w:r>
      <w:r>
        <w:t>16</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"_Toc184916547" </w:instrText>
      </w:r>
      <w:r>
        <w:fldChar w:fldCharType="separate"/>
      </w:r>
      <w:r>
        <w:rPr>
          <w:rStyle w:val="99"/>
          <w:rFonts w:cs="宋体"/>
          <w:bCs/>
        </w:rPr>
        <w:t>2.3 招标文件的修改</w:t>
      </w:r>
      <w:r>
        <w:tab/>
      </w:r>
      <w:r>
        <w:fldChar w:fldCharType="begin"/>
      </w:r>
      <w:r>
        <w:instrText xml:space="preserve"> PAGEREF _Toc184916547 \h </w:instrText>
      </w:r>
      <w:r>
        <w:fldChar w:fldCharType="separate"/>
      </w:r>
      <w:r>
        <w:t>16</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"_Toc184916548" </w:instrText>
      </w:r>
      <w:r>
        <w:fldChar w:fldCharType="separate"/>
      </w:r>
      <w:r>
        <w:rPr>
          <w:rStyle w:val="99"/>
          <w:rFonts w:cs="宋体"/>
          <w:bCs/>
        </w:rPr>
        <w:t>3. 投标文件</w:t>
      </w:r>
      <w:r>
        <w:tab/>
      </w:r>
      <w:r>
        <w:fldChar w:fldCharType="begin"/>
      </w:r>
      <w:r>
        <w:instrText xml:space="preserve"> PAGEREF _Toc184916548 \h </w:instrText>
      </w:r>
      <w:r>
        <w:fldChar w:fldCharType="separate"/>
      </w:r>
      <w:r>
        <w:t>17</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"_Toc184916549" </w:instrText>
      </w:r>
      <w:r>
        <w:fldChar w:fldCharType="separate"/>
      </w:r>
      <w:r>
        <w:rPr>
          <w:rStyle w:val="99"/>
          <w:rFonts w:cs="宋体"/>
          <w:bCs/>
        </w:rPr>
        <w:t>3.1 投标文件的组成</w:t>
      </w:r>
      <w:r>
        <w:tab/>
      </w:r>
      <w:r>
        <w:fldChar w:fldCharType="begin"/>
      </w:r>
      <w:r>
        <w:instrText xml:space="preserve"> PAGEREF _Toc184916549 \h </w:instrText>
      </w:r>
      <w:r>
        <w:fldChar w:fldCharType="separate"/>
      </w:r>
      <w:r>
        <w:t>17</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"_Toc184916550" </w:instrText>
      </w:r>
      <w:r>
        <w:fldChar w:fldCharType="separate"/>
      </w:r>
      <w:r>
        <w:rPr>
          <w:rStyle w:val="99"/>
          <w:rFonts w:cs="宋体"/>
          <w:bCs/>
        </w:rPr>
        <w:t>3.2 投标报价</w:t>
      </w:r>
      <w:r>
        <w:tab/>
      </w:r>
      <w:r>
        <w:fldChar w:fldCharType="begin"/>
      </w:r>
      <w:r>
        <w:instrText xml:space="preserve"> PAGEREF _Toc184916550 \h </w:instrText>
      </w:r>
      <w:r>
        <w:fldChar w:fldCharType="separate"/>
      </w:r>
      <w:r>
        <w:t>17</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"_Toc184916551" </w:instrText>
      </w:r>
      <w:r>
        <w:fldChar w:fldCharType="separate"/>
      </w:r>
      <w:r>
        <w:rPr>
          <w:rStyle w:val="99"/>
          <w:rFonts w:cs="宋体"/>
          <w:bCs/>
        </w:rPr>
        <w:t>3.3 投标有效期</w:t>
      </w:r>
      <w:r>
        <w:tab/>
      </w:r>
      <w:r>
        <w:fldChar w:fldCharType="begin"/>
      </w:r>
      <w:r>
        <w:instrText xml:space="preserve"> PAGEREF _Toc184916551 \h </w:instrText>
      </w:r>
      <w:r>
        <w:fldChar w:fldCharType="separate"/>
      </w:r>
      <w:r>
        <w:t>17</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"_Toc184916552" </w:instrText>
      </w:r>
      <w:r>
        <w:fldChar w:fldCharType="separate"/>
      </w:r>
      <w:r>
        <w:rPr>
          <w:rStyle w:val="99"/>
          <w:rFonts w:cs="宋体"/>
          <w:bCs/>
        </w:rPr>
        <w:t>3.4 投标保证金</w:t>
      </w:r>
      <w:r>
        <w:tab/>
      </w:r>
      <w:r>
        <w:fldChar w:fldCharType="begin"/>
      </w:r>
      <w:r>
        <w:instrText xml:space="preserve"> PAGEREF _Toc184916552 \h </w:instrText>
      </w:r>
      <w:r>
        <w:fldChar w:fldCharType="separate"/>
      </w:r>
      <w:r>
        <w:t>18</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"_Toc184916553" </w:instrText>
      </w:r>
      <w:r>
        <w:fldChar w:fldCharType="separate"/>
      </w:r>
      <w:r>
        <w:rPr>
          <w:rStyle w:val="99"/>
          <w:rFonts w:cs="宋体"/>
          <w:bCs/>
        </w:rPr>
        <w:t>3.5 资格审查资料</w:t>
      </w:r>
      <w:r>
        <w:tab/>
      </w:r>
      <w:r>
        <w:fldChar w:fldCharType="begin"/>
      </w:r>
      <w:r>
        <w:instrText xml:space="preserve"> PAGEREF _Toc184916553 \h </w:instrText>
      </w:r>
      <w:r>
        <w:fldChar w:fldCharType="separate"/>
      </w:r>
      <w:r>
        <w:t>18</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"_Toc184916554" </w:instrText>
      </w:r>
      <w:r>
        <w:fldChar w:fldCharType="separate"/>
      </w:r>
      <w:r>
        <w:rPr>
          <w:rStyle w:val="99"/>
          <w:rFonts w:cs="宋体"/>
          <w:bCs/>
        </w:rPr>
        <w:t>3.6 备选投标方案</w:t>
      </w:r>
      <w:r>
        <w:tab/>
      </w:r>
      <w:r>
        <w:fldChar w:fldCharType="begin"/>
      </w:r>
      <w:r>
        <w:instrText xml:space="preserve"> PAGEREF _Toc184916554 \h </w:instrText>
      </w:r>
      <w:r>
        <w:fldChar w:fldCharType="separate"/>
      </w:r>
      <w:r>
        <w:t>19</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"_Toc184916555" </w:instrText>
      </w:r>
      <w:r>
        <w:fldChar w:fldCharType="separate"/>
      </w:r>
      <w:r>
        <w:rPr>
          <w:rStyle w:val="99"/>
          <w:rFonts w:cs="宋体"/>
          <w:bCs/>
        </w:rPr>
        <w:t>3.7 投标文件的编制</w:t>
      </w:r>
      <w:r>
        <w:tab/>
      </w:r>
      <w:r>
        <w:fldChar w:fldCharType="begin"/>
      </w:r>
      <w:r>
        <w:instrText xml:space="preserve"> PAGEREF _Toc184916555 \h </w:instrText>
      </w:r>
      <w:r>
        <w:fldChar w:fldCharType="separate"/>
      </w:r>
      <w:r>
        <w:t>19</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"_Toc184916556" </w:instrText>
      </w:r>
      <w:r>
        <w:fldChar w:fldCharType="separate"/>
      </w:r>
      <w:r>
        <w:rPr>
          <w:rStyle w:val="99"/>
          <w:rFonts w:cs="宋体"/>
          <w:bCs/>
        </w:rPr>
        <w:t>4. 投标</w:t>
      </w:r>
      <w:r>
        <w:tab/>
      </w:r>
      <w:r>
        <w:fldChar w:fldCharType="begin"/>
      </w:r>
      <w:r>
        <w:instrText xml:space="preserve"> PAGEREF _Toc184916556 \h </w:instrText>
      </w:r>
      <w:r>
        <w:fldChar w:fldCharType="separate"/>
      </w:r>
      <w:r>
        <w:t>19</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"_Toc184916557" </w:instrText>
      </w:r>
      <w:r>
        <w:fldChar w:fldCharType="separate"/>
      </w:r>
      <w:r>
        <w:rPr>
          <w:rStyle w:val="99"/>
          <w:rFonts w:cs="宋体"/>
          <w:bCs/>
        </w:rPr>
        <w:t>4.2 投标文件的递交</w:t>
      </w:r>
      <w:r>
        <w:tab/>
      </w:r>
      <w:r>
        <w:fldChar w:fldCharType="begin"/>
      </w:r>
      <w:r>
        <w:instrText xml:space="preserve"> PAGEREF _Toc184916557 \h </w:instrText>
      </w:r>
      <w:r>
        <w:fldChar w:fldCharType="separate"/>
      </w:r>
      <w:r>
        <w:t>20</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"_Toc184916558" </w:instrText>
      </w:r>
      <w:r>
        <w:fldChar w:fldCharType="separate"/>
      </w:r>
      <w:r>
        <w:rPr>
          <w:rStyle w:val="99"/>
          <w:rFonts w:cs="宋体"/>
          <w:bCs/>
        </w:rPr>
        <w:t>4.3 投标文件的修改与撤回</w:t>
      </w:r>
      <w:r>
        <w:tab/>
      </w:r>
      <w:r>
        <w:fldChar w:fldCharType="begin"/>
      </w:r>
      <w:r>
        <w:instrText xml:space="preserve"> PAGEREF _Toc184916558 \h </w:instrText>
      </w:r>
      <w:r>
        <w:fldChar w:fldCharType="separate"/>
      </w:r>
      <w:r>
        <w:t>20</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"_Toc184916559" </w:instrText>
      </w:r>
      <w:r>
        <w:fldChar w:fldCharType="separate"/>
      </w:r>
      <w:r>
        <w:rPr>
          <w:rStyle w:val="99"/>
          <w:rFonts w:cs="宋体"/>
          <w:bCs/>
        </w:rPr>
        <w:t>5. 开标</w:t>
      </w:r>
      <w:r>
        <w:tab/>
      </w:r>
      <w:r>
        <w:fldChar w:fldCharType="begin"/>
      </w:r>
      <w:r>
        <w:instrText xml:space="preserve"> PAGEREF _Toc184916559 \h </w:instrText>
      </w:r>
      <w:r>
        <w:fldChar w:fldCharType="separate"/>
      </w:r>
      <w:r>
        <w:t>20</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"_Toc184916560" </w:instrText>
      </w:r>
      <w:r>
        <w:fldChar w:fldCharType="separate"/>
      </w:r>
      <w:r>
        <w:rPr>
          <w:rStyle w:val="99"/>
          <w:rFonts w:cs="宋体"/>
          <w:bCs/>
        </w:rPr>
        <w:t>5.1 开标时间和地点</w:t>
      </w:r>
      <w:r>
        <w:tab/>
      </w:r>
      <w:r>
        <w:fldChar w:fldCharType="begin"/>
      </w:r>
      <w:r>
        <w:instrText xml:space="preserve"> PAGEREF _Toc184916560 \h </w:instrText>
      </w:r>
      <w:r>
        <w:fldChar w:fldCharType="separate"/>
      </w:r>
      <w:r>
        <w:t>20</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"_Toc184916561" </w:instrText>
      </w:r>
      <w:r>
        <w:fldChar w:fldCharType="separate"/>
      </w:r>
      <w:r>
        <w:rPr>
          <w:rStyle w:val="99"/>
          <w:rFonts w:cs="宋体"/>
          <w:bCs/>
        </w:rPr>
        <w:t>5.2 开标程序</w:t>
      </w:r>
      <w:r>
        <w:tab/>
      </w:r>
      <w:r>
        <w:fldChar w:fldCharType="begin"/>
      </w:r>
      <w:r>
        <w:instrText xml:space="preserve"> PAGEREF _Toc184916561 \h </w:instrText>
      </w:r>
      <w:r>
        <w:fldChar w:fldCharType="separate"/>
      </w:r>
      <w:r>
        <w:t>21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"_Toc184916562" </w:instrText>
      </w:r>
      <w:r>
        <w:fldChar w:fldCharType="separate"/>
      </w:r>
      <w:r>
        <w:rPr>
          <w:rStyle w:val="99"/>
          <w:rFonts w:cs="宋体"/>
          <w:bCs/>
        </w:rPr>
        <w:t>5.3 开标质疑</w:t>
      </w:r>
      <w:r>
        <w:tab/>
      </w:r>
      <w:r>
        <w:fldChar w:fldCharType="begin"/>
      </w:r>
      <w:r>
        <w:instrText xml:space="preserve"> PAGEREF _Toc184916562 \h </w:instrText>
      </w:r>
      <w:r>
        <w:fldChar w:fldCharType="separate"/>
      </w:r>
      <w:r>
        <w:t>21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"_Toc184916563" </w:instrText>
      </w:r>
      <w:r>
        <w:fldChar w:fldCharType="separate"/>
      </w:r>
      <w:r>
        <w:rPr>
          <w:rStyle w:val="99"/>
          <w:rFonts w:cs="宋体"/>
          <w:bCs/>
        </w:rPr>
        <w:t>6. 评标</w:t>
      </w:r>
      <w:r>
        <w:tab/>
      </w:r>
      <w:r>
        <w:fldChar w:fldCharType="begin"/>
      </w:r>
      <w:r>
        <w:instrText xml:space="preserve"> PAGEREF _Toc184916563 \h </w:instrText>
      </w:r>
      <w:r>
        <w:fldChar w:fldCharType="separate"/>
      </w:r>
      <w:r>
        <w:t>21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"_Toc184916564" </w:instrText>
      </w:r>
      <w:r>
        <w:fldChar w:fldCharType="separate"/>
      </w:r>
      <w:r>
        <w:rPr>
          <w:rStyle w:val="99"/>
          <w:rFonts w:cs="宋体"/>
          <w:bCs/>
        </w:rPr>
        <w:t>6.1评标委员会</w:t>
      </w:r>
      <w:r>
        <w:tab/>
      </w:r>
      <w:r>
        <w:fldChar w:fldCharType="begin"/>
      </w:r>
      <w:r>
        <w:instrText xml:space="preserve"> PAGEREF _Toc184916564 \h </w:instrText>
      </w:r>
      <w:r>
        <w:fldChar w:fldCharType="separate"/>
      </w:r>
      <w:r>
        <w:t>21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"_Toc184916565" </w:instrText>
      </w:r>
      <w:r>
        <w:fldChar w:fldCharType="separate"/>
      </w:r>
      <w:r>
        <w:rPr>
          <w:rStyle w:val="99"/>
          <w:rFonts w:cs="宋体"/>
          <w:bCs/>
        </w:rPr>
        <w:t>6.2 评标原则</w:t>
      </w:r>
      <w:r>
        <w:tab/>
      </w:r>
      <w:r>
        <w:fldChar w:fldCharType="begin"/>
      </w:r>
      <w:r>
        <w:instrText xml:space="preserve"> PAGEREF _Toc184916565 \h </w:instrText>
      </w:r>
      <w:r>
        <w:fldChar w:fldCharType="separate"/>
      </w:r>
      <w:r>
        <w:t>22</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"_Toc184916566" </w:instrText>
      </w:r>
      <w:r>
        <w:fldChar w:fldCharType="separate"/>
      </w:r>
      <w:r>
        <w:rPr>
          <w:rStyle w:val="99"/>
          <w:rFonts w:cs="宋体"/>
          <w:bCs/>
        </w:rPr>
        <w:t>6.3 评标</w:t>
      </w:r>
      <w:r>
        <w:tab/>
      </w:r>
      <w:r>
        <w:fldChar w:fldCharType="begin"/>
      </w:r>
      <w:r>
        <w:instrText xml:space="preserve"> PAGEREF _Toc184916566 \h </w:instrText>
      </w:r>
      <w:r>
        <w:fldChar w:fldCharType="separate"/>
      </w:r>
      <w:r>
        <w:t>22</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"_Toc184916567" </w:instrText>
      </w:r>
      <w:r>
        <w:fldChar w:fldCharType="separate"/>
      </w:r>
      <w:r>
        <w:rPr>
          <w:rStyle w:val="99"/>
          <w:rFonts w:cs="宋体"/>
          <w:bCs/>
        </w:rPr>
        <w:t>6.4 中标候选人公示</w:t>
      </w:r>
      <w:r>
        <w:tab/>
      </w:r>
      <w:r>
        <w:fldChar w:fldCharType="begin"/>
      </w:r>
      <w:r>
        <w:instrText xml:space="preserve"> PAGEREF _Toc184916567 \h </w:instrText>
      </w:r>
      <w:r>
        <w:fldChar w:fldCharType="separate"/>
      </w:r>
      <w:r>
        <w:t>22</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"_Toc184916568" </w:instrText>
      </w:r>
      <w:r>
        <w:fldChar w:fldCharType="separate"/>
      </w:r>
      <w:r>
        <w:rPr>
          <w:rStyle w:val="99"/>
          <w:rFonts w:cs="宋体"/>
          <w:bCs/>
        </w:rPr>
        <w:t>6.5 评标结果质疑</w:t>
      </w:r>
      <w:r>
        <w:tab/>
      </w:r>
      <w:r>
        <w:fldChar w:fldCharType="begin"/>
      </w:r>
      <w:r>
        <w:instrText xml:space="preserve"> PAGEREF _Toc184916568 \h </w:instrText>
      </w:r>
      <w:r>
        <w:fldChar w:fldCharType="separate"/>
      </w:r>
      <w:r>
        <w:t>22</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"_Toc184916569" </w:instrText>
      </w:r>
      <w:r>
        <w:fldChar w:fldCharType="separate"/>
      </w:r>
      <w:r>
        <w:rPr>
          <w:rStyle w:val="99"/>
          <w:rFonts w:cs="宋体"/>
          <w:bCs/>
        </w:rPr>
        <w:t>7. 中标</w:t>
      </w:r>
      <w:r>
        <w:tab/>
      </w:r>
      <w:r>
        <w:fldChar w:fldCharType="begin"/>
      </w:r>
      <w:r>
        <w:instrText xml:space="preserve"> PAGEREF _Toc184916569 \h </w:instrText>
      </w:r>
      <w:r>
        <w:fldChar w:fldCharType="separate"/>
      </w:r>
      <w:r>
        <w:t>22</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"_Toc184916570" </w:instrText>
      </w:r>
      <w:r>
        <w:fldChar w:fldCharType="separate"/>
      </w:r>
      <w:r>
        <w:rPr>
          <w:rStyle w:val="99"/>
          <w:rFonts w:cs="宋体"/>
          <w:bCs/>
        </w:rPr>
        <w:t>7.1中标结果</w:t>
      </w:r>
      <w:r>
        <w:tab/>
      </w:r>
      <w:r>
        <w:fldChar w:fldCharType="begin"/>
      </w:r>
      <w:r>
        <w:instrText xml:space="preserve"> PAGEREF _Toc184916570 \h </w:instrText>
      </w:r>
      <w:r>
        <w:fldChar w:fldCharType="separate"/>
      </w:r>
      <w:r>
        <w:t>22</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"_Toc184916571" </w:instrText>
      </w:r>
      <w:r>
        <w:fldChar w:fldCharType="separate"/>
      </w:r>
      <w:r>
        <w:rPr>
          <w:rStyle w:val="99"/>
          <w:rFonts w:cs="宋体"/>
          <w:bCs/>
        </w:rPr>
        <w:t>7.2推荐中标人</w:t>
      </w:r>
      <w:r>
        <w:tab/>
      </w:r>
      <w:r>
        <w:fldChar w:fldCharType="begin"/>
      </w:r>
      <w:r>
        <w:instrText xml:space="preserve"> PAGEREF _Toc184916571 \h </w:instrText>
      </w:r>
      <w:r>
        <w:fldChar w:fldCharType="separate"/>
      </w:r>
      <w:r>
        <w:t>22</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"_Toc184916572" </w:instrText>
      </w:r>
      <w:r>
        <w:fldChar w:fldCharType="separate"/>
      </w:r>
      <w:r>
        <w:rPr>
          <w:rStyle w:val="99"/>
          <w:rFonts w:cs="宋体"/>
          <w:bCs/>
        </w:rPr>
        <w:t>7.3 中标通知</w:t>
      </w:r>
      <w:r>
        <w:tab/>
      </w:r>
      <w:r>
        <w:fldChar w:fldCharType="begin"/>
      </w:r>
      <w:r>
        <w:instrText xml:space="preserve"> PAGEREF _Toc184916572 \h </w:instrText>
      </w:r>
      <w:r>
        <w:fldChar w:fldCharType="separate"/>
      </w:r>
      <w:r>
        <w:t>23</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"_Toc184916573" </w:instrText>
      </w:r>
      <w:r>
        <w:fldChar w:fldCharType="separate"/>
      </w:r>
      <w:r>
        <w:rPr>
          <w:rStyle w:val="99"/>
          <w:rFonts w:cs="宋体"/>
          <w:bCs/>
        </w:rPr>
        <w:t>8. 合同授予</w:t>
      </w:r>
      <w:r>
        <w:tab/>
      </w:r>
      <w:r>
        <w:fldChar w:fldCharType="begin"/>
      </w:r>
      <w:r>
        <w:instrText xml:space="preserve"> PAGEREF _Toc184916573 \h </w:instrText>
      </w:r>
      <w:r>
        <w:fldChar w:fldCharType="separate"/>
      </w:r>
      <w:r>
        <w:t>23</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"_Toc184916574" </w:instrText>
      </w:r>
      <w:r>
        <w:fldChar w:fldCharType="separate"/>
      </w:r>
      <w:r>
        <w:rPr>
          <w:rStyle w:val="99"/>
          <w:rFonts w:cs="宋体"/>
          <w:bCs/>
        </w:rPr>
        <w:t>8.1 履约担保</w:t>
      </w:r>
      <w:r>
        <w:tab/>
      </w:r>
      <w:r>
        <w:fldChar w:fldCharType="begin"/>
      </w:r>
      <w:r>
        <w:instrText xml:space="preserve"> PAGEREF _Toc184916574 \h </w:instrText>
      </w:r>
      <w:r>
        <w:fldChar w:fldCharType="separate"/>
      </w:r>
      <w:r>
        <w:t>23</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"_Toc184916575" </w:instrText>
      </w:r>
      <w:r>
        <w:fldChar w:fldCharType="separate"/>
      </w:r>
      <w:r>
        <w:rPr>
          <w:rStyle w:val="99"/>
          <w:rFonts w:cs="宋体"/>
          <w:bCs/>
        </w:rPr>
        <w:t>8.2 签订协议或合同</w:t>
      </w:r>
      <w:r>
        <w:tab/>
      </w:r>
      <w:r>
        <w:fldChar w:fldCharType="begin"/>
      </w:r>
      <w:r>
        <w:instrText xml:space="preserve"> PAGEREF _Toc184916575 \h </w:instrText>
      </w:r>
      <w:r>
        <w:fldChar w:fldCharType="separate"/>
      </w:r>
      <w:r>
        <w:t>23</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"_Toc184916576" </w:instrText>
      </w:r>
      <w:r>
        <w:fldChar w:fldCharType="separate"/>
      </w:r>
      <w:r>
        <w:rPr>
          <w:rStyle w:val="99"/>
          <w:rFonts w:cs="宋体"/>
          <w:bCs/>
        </w:rPr>
        <w:t>9. 重新招标</w:t>
      </w:r>
      <w:r>
        <w:tab/>
      </w:r>
      <w:r>
        <w:fldChar w:fldCharType="begin"/>
      </w:r>
      <w:r>
        <w:instrText xml:space="preserve"> PAGEREF _Toc184916576 \h </w:instrText>
      </w:r>
      <w:r>
        <w:fldChar w:fldCharType="separate"/>
      </w:r>
      <w:r>
        <w:t>23</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"_Toc184916577" </w:instrText>
      </w:r>
      <w:r>
        <w:fldChar w:fldCharType="separate"/>
      </w:r>
      <w:r>
        <w:rPr>
          <w:rStyle w:val="99"/>
          <w:rFonts w:cs="宋体"/>
          <w:bCs/>
        </w:rPr>
        <w:t>10.1 对招标人的纪律要求</w:t>
      </w:r>
      <w:r>
        <w:tab/>
      </w:r>
      <w:r>
        <w:fldChar w:fldCharType="begin"/>
      </w:r>
      <w:r>
        <w:instrText xml:space="preserve"> PAGEREF _Toc184916577 \h </w:instrText>
      </w:r>
      <w:r>
        <w:fldChar w:fldCharType="separate"/>
      </w:r>
      <w:r>
        <w:t>23</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"_Toc184916578" </w:instrText>
      </w:r>
      <w:r>
        <w:fldChar w:fldCharType="separate"/>
      </w:r>
      <w:r>
        <w:rPr>
          <w:rStyle w:val="99"/>
          <w:rFonts w:cs="宋体"/>
          <w:bCs/>
        </w:rPr>
        <w:t>10.2 对投标人的纪律要求</w:t>
      </w:r>
      <w:r>
        <w:tab/>
      </w:r>
      <w:r>
        <w:fldChar w:fldCharType="begin"/>
      </w:r>
      <w:r>
        <w:instrText xml:space="preserve"> PAGEREF _Toc184916578 \h </w:instrText>
      </w:r>
      <w:r>
        <w:fldChar w:fldCharType="separate"/>
      </w:r>
      <w:r>
        <w:t>24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"_Toc184916579" </w:instrText>
      </w:r>
      <w:r>
        <w:fldChar w:fldCharType="separate"/>
      </w:r>
      <w:r>
        <w:rPr>
          <w:rStyle w:val="99"/>
          <w:rFonts w:cs="宋体"/>
          <w:bCs/>
        </w:rPr>
        <w:t>10.3 对评标委员会成员的纪律要求</w:t>
      </w:r>
      <w:r>
        <w:tab/>
      </w:r>
      <w:r>
        <w:fldChar w:fldCharType="begin"/>
      </w:r>
      <w:r>
        <w:instrText xml:space="preserve"> PAGEREF _Toc184916579 \h </w:instrText>
      </w:r>
      <w:r>
        <w:fldChar w:fldCharType="separate"/>
      </w:r>
      <w:r>
        <w:t>24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"_Toc184916580" </w:instrText>
      </w:r>
      <w:r>
        <w:fldChar w:fldCharType="separate"/>
      </w:r>
      <w:r>
        <w:rPr>
          <w:rStyle w:val="99"/>
          <w:rFonts w:cs="宋体"/>
          <w:bCs/>
        </w:rPr>
        <w:t>10.4 对与评标活动有关的工作人员的纪律要求</w:t>
      </w:r>
      <w:r>
        <w:tab/>
      </w:r>
      <w:r>
        <w:fldChar w:fldCharType="begin"/>
      </w:r>
      <w:r>
        <w:instrText xml:space="preserve"> PAGEREF _Toc184916580 \h </w:instrText>
      </w:r>
      <w:r>
        <w:fldChar w:fldCharType="separate"/>
      </w:r>
      <w:r>
        <w:t>24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"_Toc184916581" </w:instrText>
      </w:r>
      <w:r>
        <w:fldChar w:fldCharType="separate"/>
      </w:r>
      <w:r>
        <w:rPr>
          <w:rStyle w:val="99"/>
          <w:rFonts w:cs="宋体"/>
          <w:bCs/>
        </w:rPr>
        <w:t>10.5 投诉</w:t>
      </w:r>
      <w:r>
        <w:tab/>
      </w:r>
      <w:r>
        <w:fldChar w:fldCharType="begin"/>
      </w:r>
      <w:r>
        <w:instrText xml:space="preserve"> PAGEREF _Toc184916581 \h </w:instrText>
      </w:r>
      <w:r>
        <w:fldChar w:fldCharType="separate"/>
      </w:r>
      <w:r>
        <w:t>24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"_Toc184916582" </w:instrText>
      </w:r>
      <w:r>
        <w:fldChar w:fldCharType="separate"/>
      </w:r>
      <w:r>
        <w:rPr>
          <w:rStyle w:val="99"/>
          <w:rFonts w:cs="宋体"/>
          <w:bCs/>
        </w:rPr>
        <w:t>11.军队工程建设项目参建企业行为负面清单</w:t>
      </w:r>
      <w:r>
        <w:tab/>
      </w:r>
      <w:r>
        <w:fldChar w:fldCharType="begin"/>
      </w:r>
      <w:r>
        <w:instrText xml:space="preserve"> PAGEREF _Toc184916582 \h </w:instrText>
      </w:r>
      <w:r>
        <w:fldChar w:fldCharType="separate"/>
      </w:r>
      <w:r>
        <w:t>24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"_Toc184916583" </w:instrText>
      </w:r>
      <w:r>
        <w:fldChar w:fldCharType="separate"/>
      </w:r>
      <w:r>
        <w:rPr>
          <w:rStyle w:val="99"/>
          <w:rFonts w:cs="宋体"/>
          <w:bCs/>
        </w:rPr>
        <w:t>12.需要补充的其他内容</w:t>
      </w:r>
      <w:r>
        <w:tab/>
      </w:r>
      <w:r>
        <w:fldChar w:fldCharType="begin"/>
      </w:r>
      <w:r>
        <w:instrText xml:space="preserve"> PAGEREF _Toc184916583 \h </w:instrText>
      </w:r>
      <w:r>
        <w:fldChar w:fldCharType="separate"/>
      </w:r>
      <w:r>
        <w:t>25</w:t>
      </w:r>
      <w:r>
        <w:fldChar w:fldCharType="end"/>
      </w:r>
      <w:r>
        <w:fldChar w:fldCharType="end"/>
      </w:r>
    </w:p>
    <w:p>
      <w:pPr>
        <w:pStyle w:val="60"/>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"_Toc184916584" </w:instrText>
      </w:r>
      <w:r>
        <w:fldChar w:fldCharType="separate"/>
      </w:r>
      <w:r>
        <w:rPr>
          <w:rStyle w:val="99"/>
        </w:rPr>
        <w:t>第三章  评标办法</w:t>
      </w:r>
      <w:r>
        <w:tab/>
      </w:r>
      <w:r>
        <w:fldChar w:fldCharType="begin"/>
      </w:r>
      <w:r>
        <w:instrText xml:space="preserve"> PAGEREF _Toc184916584 \h </w:instrText>
      </w:r>
      <w:r>
        <w:fldChar w:fldCharType="separate"/>
      </w:r>
      <w:r>
        <w:t>29</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"_Toc184916585" </w:instrText>
      </w:r>
      <w:r>
        <w:fldChar w:fldCharType="separate"/>
      </w:r>
      <w:r>
        <w:rPr>
          <w:rStyle w:val="99"/>
        </w:rPr>
        <w:t>一、评标办法前附表</w:t>
      </w:r>
      <w:r>
        <w:tab/>
      </w:r>
      <w:r>
        <w:fldChar w:fldCharType="begin"/>
      </w:r>
      <w:r>
        <w:instrText xml:space="preserve"> PAGEREF _Toc184916585 \h </w:instrText>
      </w:r>
      <w:r>
        <w:fldChar w:fldCharType="separate"/>
      </w:r>
      <w:r>
        <w:t>29</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"_Toc184916586" </w:instrText>
      </w:r>
      <w:r>
        <w:fldChar w:fldCharType="separate"/>
      </w:r>
      <w:r>
        <w:rPr>
          <w:rStyle w:val="99"/>
        </w:rPr>
        <w:t>二、评标办法正文部分</w:t>
      </w:r>
      <w:r>
        <w:tab/>
      </w:r>
      <w:r>
        <w:fldChar w:fldCharType="begin"/>
      </w:r>
      <w:r>
        <w:instrText xml:space="preserve"> PAGEREF _Toc184916586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"_Toc184916587" </w:instrText>
      </w:r>
      <w:r>
        <w:fldChar w:fldCharType="separate"/>
      </w:r>
      <w:r>
        <w:rPr>
          <w:rStyle w:val="99"/>
          <w:rFonts w:ascii="黑体"/>
          <w:bCs/>
        </w:rPr>
        <w:t>1. 评标方法</w:t>
      </w:r>
      <w:r>
        <w:tab/>
      </w:r>
      <w:r>
        <w:fldChar w:fldCharType="begin"/>
      </w:r>
      <w:r>
        <w:instrText xml:space="preserve"> PAGEREF _Toc184916587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"_Toc184916588" </w:instrText>
      </w:r>
      <w:r>
        <w:fldChar w:fldCharType="separate"/>
      </w:r>
      <w:r>
        <w:rPr>
          <w:rStyle w:val="99"/>
          <w:rFonts w:cs="宋体"/>
          <w:bCs/>
        </w:rPr>
        <w:t>1.1 评标方法</w:t>
      </w:r>
      <w:r>
        <w:tab/>
      </w:r>
      <w:r>
        <w:fldChar w:fldCharType="begin"/>
      </w:r>
      <w:r>
        <w:instrText xml:space="preserve"> PAGEREF _Toc184916588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"_Toc184916589" </w:instrText>
      </w:r>
      <w:r>
        <w:fldChar w:fldCharType="separate"/>
      </w:r>
      <w:r>
        <w:rPr>
          <w:rStyle w:val="99"/>
          <w:rFonts w:cs="宋体"/>
          <w:bCs/>
        </w:rPr>
        <w:t>1.3 评标程序</w:t>
      </w:r>
      <w:r>
        <w:tab/>
      </w:r>
      <w:r>
        <w:fldChar w:fldCharType="begin"/>
      </w:r>
      <w:r>
        <w:instrText xml:space="preserve"> PAGEREF _Toc184916589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"_Toc184916590" </w:instrText>
      </w:r>
      <w:r>
        <w:fldChar w:fldCharType="separate"/>
      </w:r>
      <w:r>
        <w:rPr>
          <w:rStyle w:val="99"/>
          <w:rFonts w:ascii="黑体"/>
          <w:bCs/>
        </w:rPr>
        <w:t>2. 评审标准</w:t>
      </w:r>
      <w:r>
        <w:tab/>
      </w:r>
      <w:r>
        <w:fldChar w:fldCharType="begin"/>
      </w:r>
      <w:r>
        <w:instrText xml:space="preserve"> PAGEREF _Toc184916590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"_Toc184916591" </w:instrText>
      </w:r>
      <w:r>
        <w:fldChar w:fldCharType="separate"/>
      </w:r>
      <w:r>
        <w:rPr>
          <w:rStyle w:val="99"/>
          <w:rFonts w:cs="宋体"/>
          <w:bCs/>
        </w:rPr>
        <w:t>2.1 初步评审标准</w:t>
      </w:r>
      <w:r>
        <w:tab/>
      </w:r>
      <w:r>
        <w:fldChar w:fldCharType="begin"/>
      </w:r>
      <w:r>
        <w:instrText xml:space="preserve"> PAGEREF _Toc184916591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"_Toc184916592" </w:instrText>
      </w:r>
      <w:r>
        <w:fldChar w:fldCharType="separate"/>
      </w:r>
      <w:r>
        <w:rPr>
          <w:rStyle w:val="99"/>
          <w:rFonts w:cs="宋体"/>
          <w:bCs/>
        </w:rPr>
        <w:t>2.2 详细评审分值构成与评分标准</w:t>
      </w:r>
      <w:r>
        <w:tab/>
      </w:r>
      <w:r>
        <w:fldChar w:fldCharType="begin"/>
      </w:r>
      <w:r>
        <w:instrText xml:space="preserve"> PAGEREF _Toc184916592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"_Toc184916593" </w:instrText>
      </w:r>
      <w:r>
        <w:fldChar w:fldCharType="separate"/>
      </w:r>
      <w:r>
        <w:rPr>
          <w:rStyle w:val="99"/>
          <w:rFonts w:ascii="黑体"/>
          <w:bCs/>
        </w:rPr>
        <w:t>3. 评标程序</w:t>
      </w:r>
      <w:r>
        <w:tab/>
      </w:r>
      <w:r>
        <w:fldChar w:fldCharType="begin"/>
      </w:r>
      <w:r>
        <w:instrText xml:space="preserve"> PAGEREF _Toc184916593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"_Toc184916594" </w:instrText>
      </w:r>
      <w:r>
        <w:fldChar w:fldCharType="separate"/>
      </w:r>
      <w:r>
        <w:rPr>
          <w:rStyle w:val="99"/>
          <w:rFonts w:cs="宋体"/>
          <w:bCs/>
        </w:rPr>
        <w:t>3.1评标准备</w:t>
      </w:r>
      <w:r>
        <w:tab/>
      </w:r>
      <w:r>
        <w:fldChar w:fldCharType="begin"/>
      </w:r>
      <w:r>
        <w:instrText xml:space="preserve"> PAGEREF _Toc184916594 \h </w:instrText>
      </w:r>
      <w:r>
        <w:fldChar w:fldCharType="separate"/>
      </w:r>
      <w:r>
        <w:t>31</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"_Toc184916595" </w:instrText>
      </w:r>
      <w:r>
        <w:fldChar w:fldCharType="separate"/>
      </w:r>
      <w:r>
        <w:rPr>
          <w:rStyle w:val="99"/>
          <w:rFonts w:cs="宋体"/>
          <w:bCs/>
        </w:rPr>
        <w:t>3.2初步评审</w:t>
      </w:r>
      <w:r>
        <w:tab/>
      </w:r>
      <w:r>
        <w:fldChar w:fldCharType="begin"/>
      </w:r>
      <w:r>
        <w:instrText xml:space="preserve"> PAGEREF _Toc184916595 \h </w:instrText>
      </w:r>
      <w:r>
        <w:fldChar w:fldCharType="separate"/>
      </w:r>
      <w:r>
        <w:t>32</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"_Toc184916596" </w:instrText>
      </w:r>
      <w:r>
        <w:fldChar w:fldCharType="separate"/>
      </w:r>
      <w:r>
        <w:rPr>
          <w:rStyle w:val="99"/>
          <w:rFonts w:ascii="黑体" w:hAnsi="黑体" w:cs="宋体"/>
        </w:rPr>
        <w:t>3.5 汇总评分结果并推荐中标候选人</w:t>
      </w:r>
      <w:r>
        <w:tab/>
      </w:r>
      <w:r>
        <w:fldChar w:fldCharType="begin"/>
      </w:r>
      <w:r>
        <w:instrText xml:space="preserve"> PAGEREF _Toc184916596 \h </w:instrText>
      </w:r>
      <w:r>
        <w:fldChar w:fldCharType="separate"/>
      </w:r>
      <w:r>
        <w:t>33</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"_Toc184916597" </w:instrText>
      </w:r>
      <w:r>
        <w:fldChar w:fldCharType="separate"/>
      </w:r>
      <w:r>
        <w:rPr>
          <w:rStyle w:val="99"/>
          <w:rFonts w:cs="宋体"/>
          <w:bCs/>
        </w:rPr>
        <w:t>3.6 特殊情况的处置程序</w:t>
      </w:r>
      <w:r>
        <w:tab/>
      </w:r>
      <w:r>
        <w:fldChar w:fldCharType="begin"/>
      </w:r>
      <w:r>
        <w:instrText xml:space="preserve"> PAGEREF _Toc184916597 \h </w:instrText>
      </w:r>
      <w:r>
        <w:fldChar w:fldCharType="separate"/>
      </w:r>
      <w:r>
        <w:t>34</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"_Toc184916598" </w:instrText>
      </w:r>
      <w:r>
        <w:fldChar w:fldCharType="separate"/>
      </w:r>
      <w:r>
        <w:rPr>
          <w:rStyle w:val="99"/>
          <w:rFonts w:cs="宋体"/>
          <w:bCs/>
        </w:rPr>
        <w:t>3.7补充条款</w:t>
      </w:r>
      <w:r>
        <w:tab/>
      </w:r>
      <w:r>
        <w:fldChar w:fldCharType="begin"/>
      </w:r>
      <w:r>
        <w:instrText xml:space="preserve"> PAGEREF _Toc184916598 \h </w:instrText>
      </w:r>
      <w:r>
        <w:fldChar w:fldCharType="separate"/>
      </w:r>
      <w:r>
        <w:t>34</w:t>
      </w:r>
      <w:r>
        <w:fldChar w:fldCharType="end"/>
      </w:r>
      <w:r>
        <w:fldChar w:fldCharType="end"/>
      </w:r>
    </w:p>
    <w:p>
      <w:pPr>
        <w:pStyle w:val="60"/>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"_Toc184916599" </w:instrText>
      </w:r>
      <w:r>
        <w:fldChar w:fldCharType="separate"/>
      </w:r>
      <w:r>
        <w:rPr>
          <w:rStyle w:val="99"/>
        </w:rPr>
        <w:t>第四章  服务技术标准和要求</w:t>
      </w:r>
      <w:r>
        <w:tab/>
      </w:r>
      <w:r>
        <w:fldChar w:fldCharType="begin"/>
      </w:r>
      <w:r>
        <w:instrText xml:space="preserve"> PAGEREF _Toc184916599 \h </w:instrText>
      </w:r>
      <w:r>
        <w:fldChar w:fldCharType="separate"/>
      </w:r>
      <w:r>
        <w:t>48</w:t>
      </w:r>
      <w:r>
        <w:fldChar w:fldCharType="end"/>
      </w:r>
      <w:r>
        <w:fldChar w:fldCharType="end"/>
      </w:r>
    </w:p>
    <w:p>
      <w:pPr>
        <w:pStyle w:val="60"/>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"_Toc184916600" </w:instrText>
      </w:r>
      <w:r>
        <w:fldChar w:fldCharType="separate"/>
      </w:r>
      <w:r>
        <w:rPr>
          <w:rStyle w:val="99"/>
        </w:rPr>
        <w:t>第五章  合同条款及格式</w:t>
      </w:r>
      <w:r>
        <w:tab/>
      </w:r>
      <w:r>
        <w:fldChar w:fldCharType="begin"/>
      </w:r>
      <w:r>
        <w:instrText xml:space="preserve"> PAGEREF _Toc184916600 \h </w:instrText>
      </w:r>
      <w:r>
        <w:fldChar w:fldCharType="separate"/>
      </w:r>
      <w:r>
        <w:t>56</w:t>
      </w:r>
      <w:r>
        <w:fldChar w:fldCharType="end"/>
      </w:r>
      <w:r>
        <w:fldChar w:fldCharType="end"/>
      </w:r>
    </w:p>
    <w:p>
      <w:pPr>
        <w:pStyle w:val="60"/>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"_Toc184916611" </w:instrText>
      </w:r>
      <w:r>
        <w:fldChar w:fldCharType="separate"/>
      </w:r>
      <w:r>
        <w:rPr>
          <w:rStyle w:val="99"/>
        </w:rPr>
        <w:t>第六章  投标文件格式及要求</w:t>
      </w:r>
      <w:r>
        <w:tab/>
      </w:r>
      <w:r>
        <w:fldChar w:fldCharType="begin"/>
      </w:r>
      <w:r>
        <w:instrText xml:space="preserve"> PAGEREF _Toc184916611 \h </w:instrText>
      </w:r>
      <w:r>
        <w:fldChar w:fldCharType="separate"/>
      </w:r>
      <w:r>
        <w:t>73</w:t>
      </w:r>
      <w:r>
        <w:fldChar w:fldCharType="end"/>
      </w:r>
      <w: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"_Toc184916612" </w:instrText>
      </w:r>
      <w:r>
        <w:fldChar w:fldCharType="separate"/>
      </w:r>
      <w:r>
        <w:rPr>
          <w:rStyle w:val="99"/>
          <w:rFonts w:ascii="黑体" w:eastAsia="黑体"/>
        </w:rPr>
        <w:t>（第一部分  价格部分）</w:t>
      </w:r>
      <w:r>
        <w:tab/>
      </w:r>
      <w:r>
        <w:fldChar w:fldCharType="begin"/>
      </w:r>
      <w:r>
        <w:instrText xml:space="preserve"> PAGEREF _Toc184916612 \h </w:instrText>
      </w:r>
      <w:r>
        <w:fldChar w:fldCharType="separate"/>
      </w:r>
      <w:r>
        <w:t>75</w:t>
      </w:r>
      <w:r>
        <w:fldChar w:fldCharType="end"/>
      </w:r>
      <w: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"_Toc184916613" </w:instrText>
      </w:r>
      <w:r>
        <w:fldChar w:fldCharType="separate"/>
      </w:r>
      <w:r>
        <w:rPr>
          <w:rStyle w:val="99"/>
          <w:rFonts w:ascii="宋体" w:hAnsi="宋体"/>
          <w:i w:val="0"/>
        </w:rPr>
        <w:t>一、投标报价函</w:t>
      </w:r>
      <w:r>
        <w:rPr>
          <w:rFonts w:ascii="宋体" w:hAnsi="宋体"/>
          <w:i w:val="0"/>
        </w:rPr>
        <w:tab/>
      </w:r>
      <w:r>
        <w:rPr>
          <w:rFonts w:ascii="宋体" w:hAnsi="宋体"/>
          <w:i w:val="0"/>
        </w:rPr>
        <w:fldChar w:fldCharType="begin"/>
      </w:r>
      <w:r>
        <w:rPr>
          <w:rFonts w:ascii="宋体" w:hAnsi="宋体"/>
          <w:i w:val="0"/>
        </w:rPr>
        <w:instrText xml:space="preserve"> PAGEREF _Toc184916613 \h </w:instrText>
      </w:r>
      <w:r>
        <w:rPr>
          <w:rFonts w:ascii="宋体" w:hAnsi="宋体"/>
          <w:i w:val="0"/>
        </w:rPr>
        <w:fldChar w:fldCharType="separate"/>
      </w:r>
      <w:r>
        <w:rPr>
          <w:rFonts w:ascii="宋体" w:hAnsi="宋体"/>
          <w:i w:val="0"/>
        </w:rPr>
        <w:t>76</w:t>
      </w:r>
      <w:r>
        <w:rPr>
          <w:rFonts w:ascii="宋体" w:hAnsi="宋体"/>
          <w:i w:val="0"/>
        </w:rPr>
        <w:fldChar w:fldCharType="end"/>
      </w:r>
      <w:r>
        <w:rPr>
          <w:rFonts w:ascii="宋体" w:hAnsi="宋体"/>
          <w:i w:val="0"/>
        </w:rP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"_Toc184916614" </w:instrText>
      </w:r>
      <w:r>
        <w:fldChar w:fldCharType="separate"/>
      </w:r>
      <w:r>
        <w:rPr>
          <w:rStyle w:val="99"/>
          <w:rFonts w:ascii="宋体" w:hAnsi="宋体"/>
          <w:i w:val="0"/>
        </w:rPr>
        <w:t>二、法定代表人身份证明书</w:t>
      </w:r>
      <w:r>
        <w:rPr>
          <w:rFonts w:ascii="宋体" w:hAnsi="宋体"/>
          <w:i w:val="0"/>
        </w:rPr>
        <w:tab/>
      </w:r>
      <w:r>
        <w:rPr>
          <w:rFonts w:ascii="宋体" w:hAnsi="宋体"/>
          <w:i w:val="0"/>
        </w:rPr>
        <w:fldChar w:fldCharType="begin"/>
      </w:r>
      <w:r>
        <w:rPr>
          <w:rFonts w:ascii="宋体" w:hAnsi="宋体"/>
          <w:i w:val="0"/>
        </w:rPr>
        <w:instrText xml:space="preserve"> PAGEREF _Toc184916614 \h </w:instrText>
      </w:r>
      <w:r>
        <w:rPr>
          <w:rFonts w:ascii="宋体" w:hAnsi="宋体"/>
          <w:i w:val="0"/>
        </w:rPr>
        <w:fldChar w:fldCharType="separate"/>
      </w:r>
      <w:r>
        <w:rPr>
          <w:rFonts w:ascii="宋体" w:hAnsi="宋体"/>
          <w:i w:val="0"/>
        </w:rPr>
        <w:t>77</w:t>
      </w:r>
      <w:r>
        <w:rPr>
          <w:rFonts w:ascii="宋体" w:hAnsi="宋体"/>
          <w:i w:val="0"/>
        </w:rPr>
        <w:fldChar w:fldCharType="end"/>
      </w:r>
      <w:r>
        <w:rPr>
          <w:rFonts w:ascii="宋体" w:hAnsi="宋体"/>
          <w:i w:val="0"/>
        </w:rP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"_Toc184916615" </w:instrText>
      </w:r>
      <w:r>
        <w:fldChar w:fldCharType="separate"/>
      </w:r>
      <w:r>
        <w:rPr>
          <w:rStyle w:val="99"/>
          <w:rFonts w:ascii="宋体" w:hAnsi="宋体"/>
          <w:i w:val="0"/>
        </w:rPr>
        <w:t>三、授权委托书</w:t>
      </w:r>
      <w:r>
        <w:rPr>
          <w:rFonts w:ascii="宋体" w:hAnsi="宋体"/>
          <w:i w:val="0"/>
        </w:rPr>
        <w:tab/>
      </w:r>
      <w:r>
        <w:rPr>
          <w:rFonts w:ascii="宋体" w:hAnsi="宋体"/>
          <w:i w:val="0"/>
        </w:rPr>
        <w:fldChar w:fldCharType="begin"/>
      </w:r>
      <w:r>
        <w:rPr>
          <w:rFonts w:ascii="宋体" w:hAnsi="宋体"/>
          <w:i w:val="0"/>
        </w:rPr>
        <w:instrText xml:space="preserve"> PAGEREF _Toc184916615 \h </w:instrText>
      </w:r>
      <w:r>
        <w:rPr>
          <w:rFonts w:ascii="宋体" w:hAnsi="宋体"/>
          <w:i w:val="0"/>
        </w:rPr>
        <w:fldChar w:fldCharType="separate"/>
      </w:r>
      <w:r>
        <w:rPr>
          <w:rFonts w:ascii="宋体" w:hAnsi="宋体"/>
          <w:i w:val="0"/>
        </w:rPr>
        <w:t>78</w:t>
      </w:r>
      <w:r>
        <w:rPr>
          <w:rFonts w:ascii="宋体" w:hAnsi="宋体"/>
          <w:i w:val="0"/>
        </w:rPr>
        <w:fldChar w:fldCharType="end"/>
      </w:r>
      <w:r>
        <w:rPr>
          <w:rFonts w:ascii="宋体" w:hAnsi="宋体"/>
          <w:i w:val="0"/>
        </w:rP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"_Toc184916616" </w:instrText>
      </w:r>
      <w:r>
        <w:fldChar w:fldCharType="separate"/>
      </w:r>
      <w:r>
        <w:rPr>
          <w:rStyle w:val="99"/>
          <w:rFonts w:ascii="宋体" w:hAnsi="宋体"/>
          <w:i w:val="0"/>
        </w:rPr>
        <w:t>四、投标保证金缴纳和基本账户证明</w:t>
      </w:r>
      <w:r>
        <w:rPr>
          <w:rFonts w:ascii="宋体" w:hAnsi="宋体"/>
          <w:i w:val="0"/>
        </w:rPr>
        <w:tab/>
      </w:r>
      <w:r>
        <w:rPr>
          <w:rFonts w:ascii="宋体" w:hAnsi="宋体"/>
          <w:i w:val="0"/>
        </w:rPr>
        <w:fldChar w:fldCharType="begin"/>
      </w:r>
      <w:r>
        <w:rPr>
          <w:rFonts w:ascii="宋体" w:hAnsi="宋体"/>
          <w:i w:val="0"/>
        </w:rPr>
        <w:instrText xml:space="preserve"> PAGEREF _Toc184916616 \h </w:instrText>
      </w:r>
      <w:r>
        <w:rPr>
          <w:rFonts w:ascii="宋体" w:hAnsi="宋体"/>
          <w:i w:val="0"/>
        </w:rPr>
        <w:fldChar w:fldCharType="separate"/>
      </w:r>
      <w:r>
        <w:rPr>
          <w:rFonts w:ascii="宋体" w:hAnsi="宋体"/>
          <w:i w:val="0"/>
        </w:rPr>
        <w:t>80</w:t>
      </w:r>
      <w:r>
        <w:rPr>
          <w:rFonts w:ascii="宋体" w:hAnsi="宋体"/>
          <w:i w:val="0"/>
        </w:rPr>
        <w:fldChar w:fldCharType="end"/>
      </w:r>
      <w:r>
        <w:rPr>
          <w:rFonts w:ascii="宋体" w:hAnsi="宋体"/>
          <w:i w:val="0"/>
        </w:rP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"_Toc184916617" </w:instrText>
      </w:r>
      <w:r>
        <w:fldChar w:fldCharType="separate"/>
      </w:r>
      <w:r>
        <w:rPr>
          <w:rStyle w:val="99"/>
          <w:rFonts w:ascii="黑体" w:eastAsia="黑体"/>
        </w:rPr>
        <w:t>（第二部分  技术部分）</w:t>
      </w:r>
      <w:r>
        <w:tab/>
      </w:r>
      <w:r>
        <w:fldChar w:fldCharType="begin"/>
      </w:r>
      <w:r>
        <w:instrText xml:space="preserve"> PAGEREF _Toc184916617 \h </w:instrText>
      </w:r>
      <w:r>
        <w:fldChar w:fldCharType="separate"/>
      </w:r>
      <w:r>
        <w:t>81</w:t>
      </w:r>
      <w:r>
        <w:fldChar w:fldCharType="end"/>
      </w:r>
      <w: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"_Toc184916618" </w:instrText>
      </w:r>
      <w:r>
        <w:fldChar w:fldCharType="separate"/>
      </w:r>
      <w:r>
        <w:rPr>
          <w:rStyle w:val="99"/>
          <w:rFonts w:ascii="宋体" w:hAnsi="宋体"/>
          <w:i w:val="0"/>
        </w:rPr>
        <w:t>一、</w:t>
      </w:r>
      <w:r>
        <w:rPr>
          <w:rStyle w:val="99"/>
          <w:rFonts w:hint="eastAsia" w:ascii="宋体" w:hAnsi="宋体"/>
          <w:bCs/>
          <w:i w:val="0"/>
          <w:lang w:val="en-US" w:eastAsia="zh-CN"/>
        </w:rPr>
        <w:t>3122</w:t>
      </w:r>
      <w:r>
        <w:rPr>
          <w:rStyle w:val="99"/>
          <w:rFonts w:ascii="宋体" w:hAnsi="宋体"/>
          <w:bCs/>
          <w:i w:val="0"/>
        </w:rPr>
        <w:t>工程全过程工程咨询（2024-JJDCBG-G1006）总体实施方案</w:t>
      </w:r>
      <w:r>
        <w:rPr>
          <w:rFonts w:ascii="宋体" w:hAnsi="宋体"/>
          <w:i w:val="0"/>
        </w:rPr>
        <w:tab/>
      </w:r>
      <w:r>
        <w:rPr>
          <w:rFonts w:ascii="宋体" w:hAnsi="宋体"/>
          <w:i w:val="0"/>
        </w:rPr>
        <w:fldChar w:fldCharType="begin"/>
      </w:r>
      <w:r>
        <w:rPr>
          <w:rFonts w:ascii="宋体" w:hAnsi="宋体"/>
          <w:i w:val="0"/>
        </w:rPr>
        <w:instrText xml:space="preserve"> PAGEREF _Toc184916618 \h </w:instrText>
      </w:r>
      <w:r>
        <w:rPr>
          <w:rFonts w:ascii="宋体" w:hAnsi="宋体"/>
          <w:i w:val="0"/>
        </w:rPr>
        <w:fldChar w:fldCharType="separate"/>
      </w:r>
      <w:r>
        <w:rPr>
          <w:rFonts w:ascii="宋体" w:hAnsi="宋体"/>
          <w:i w:val="0"/>
        </w:rPr>
        <w:t>82</w:t>
      </w:r>
      <w:r>
        <w:rPr>
          <w:rFonts w:ascii="宋体" w:hAnsi="宋体"/>
          <w:i w:val="0"/>
        </w:rPr>
        <w:fldChar w:fldCharType="end"/>
      </w:r>
      <w:r>
        <w:rPr>
          <w:rFonts w:ascii="宋体" w:hAnsi="宋体"/>
          <w:i w:val="0"/>
        </w:rPr>
        <w:fldChar w:fldCharType="end"/>
      </w:r>
    </w:p>
    <w:p>
      <w:pPr>
        <w:pStyle w:val="75"/>
        <w:tabs>
          <w:tab w:val="right" w:leader="dot" w:pos="8834"/>
        </w:tabs>
        <w:rPr>
          <w:rFonts w:asciiTheme="minorHAnsi" w:hAnsiTheme="minorHAnsi" w:eastAsiaTheme="minorEastAsia" w:cstheme="minorBidi"/>
          <w:smallCaps w:val="0"/>
          <w:sz w:val="21"/>
          <w:szCs w:val="22"/>
        </w:rPr>
      </w:pPr>
      <w:r>
        <w:fldChar w:fldCharType="begin"/>
      </w:r>
      <w:r>
        <w:instrText xml:space="preserve"> HYPERLINK \l "_Toc184916619" </w:instrText>
      </w:r>
      <w:r>
        <w:fldChar w:fldCharType="separate"/>
      </w:r>
      <w:r>
        <w:rPr>
          <w:rStyle w:val="99"/>
          <w:rFonts w:ascii="黑体" w:eastAsia="黑体"/>
        </w:rPr>
        <w:t>（第三部分  资信业绩部分）</w:t>
      </w:r>
      <w:r>
        <w:tab/>
      </w:r>
      <w:r>
        <w:fldChar w:fldCharType="begin"/>
      </w:r>
      <w:r>
        <w:instrText xml:space="preserve"> PAGEREF _Toc184916619 \h </w:instrText>
      </w:r>
      <w:r>
        <w:fldChar w:fldCharType="separate"/>
      </w:r>
      <w:r>
        <w:t>85</w:t>
      </w:r>
      <w:r>
        <w:fldChar w:fldCharType="end"/>
      </w:r>
      <w: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"_Toc184916620" </w:instrText>
      </w:r>
      <w:r>
        <w:fldChar w:fldCharType="separate"/>
      </w:r>
      <w:r>
        <w:rPr>
          <w:rStyle w:val="99"/>
          <w:rFonts w:ascii="宋体" w:hAnsi="宋体"/>
          <w:i w:val="0"/>
        </w:rPr>
        <w:t>一、资格审查材料</w:t>
      </w:r>
      <w:r>
        <w:rPr>
          <w:rFonts w:ascii="宋体" w:hAnsi="宋体"/>
          <w:i w:val="0"/>
        </w:rPr>
        <w:tab/>
      </w:r>
      <w:r>
        <w:rPr>
          <w:rFonts w:ascii="宋体" w:hAnsi="宋体"/>
          <w:i w:val="0"/>
        </w:rPr>
        <w:fldChar w:fldCharType="begin"/>
      </w:r>
      <w:r>
        <w:rPr>
          <w:rFonts w:ascii="宋体" w:hAnsi="宋体"/>
          <w:i w:val="0"/>
        </w:rPr>
        <w:instrText xml:space="preserve"> PAGEREF _Toc184916620 \h </w:instrText>
      </w:r>
      <w:r>
        <w:rPr>
          <w:rFonts w:ascii="宋体" w:hAnsi="宋体"/>
          <w:i w:val="0"/>
        </w:rPr>
        <w:fldChar w:fldCharType="separate"/>
      </w:r>
      <w:r>
        <w:rPr>
          <w:rFonts w:ascii="宋体" w:hAnsi="宋体"/>
          <w:i w:val="0"/>
        </w:rPr>
        <w:t>87</w:t>
      </w:r>
      <w:r>
        <w:rPr>
          <w:rFonts w:ascii="宋体" w:hAnsi="宋体"/>
          <w:i w:val="0"/>
        </w:rPr>
        <w:fldChar w:fldCharType="end"/>
      </w:r>
      <w:r>
        <w:rPr>
          <w:rFonts w:ascii="宋体" w:hAnsi="宋体"/>
          <w:i w:val="0"/>
        </w:rP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"_Toc184916621" </w:instrText>
      </w:r>
      <w:r>
        <w:fldChar w:fldCharType="separate"/>
      </w:r>
      <w:r>
        <w:rPr>
          <w:rStyle w:val="99"/>
          <w:rFonts w:ascii="宋体" w:hAnsi="宋体"/>
          <w:i w:val="0"/>
        </w:rPr>
        <w:t>二、特殊资质材料</w:t>
      </w:r>
      <w:r>
        <w:rPr>
          <w:rFonts w:ascii="宋体" w:hAnsi="宋体"/>
          <w:i w:val="0"/>
        </w:rPr>
        <w:tab/>
      </w:r>
      <w:r>
        <w:rPr>
          <w:rFonts w:ascii="宋体" w:hAnsi="宋体"/>
          <w:i w:val="0"/>
        </w:rPr>
        <w:fldChar w:fldCharType="begin"/>
      </w:r>
      <w:r>
        <w:rPr>
          <w:rFonts w:ascii="宋体" w:hAnsi="宋体"/>
          <w:i w:val="0"/>
        </w:rPr>
        <w:instrText xml:space="preserve"> PAGEREF _Toc184916621 \h </w:instrText>
      </w:r>
      <w:r>
        <w:rPr>
          <w:rFonts w:ascii="宋体" w:hAnsi="宋体"/>
          <w:i w:val="0"/>
        </w:rPr>
        <w:fldChar w:fldCharType="separate"/>
      </w:r>
      <w:r>
        <w:rPr>
          <w:rFonts w:ascii="宋体" w:hAnsi="宋体"/>
          <w:i w:val="0"/>
        </w:rPr>
        <w:t>94</w:t>
      </w:r>
      <w:r>
        <w:rPr>
          <w:rFonts w:ascii="宋体" w:hAnsi="宋体"/>
          <w:i w:val="0"/>
        </w:rPr>
        <w:fldChar w:fldCharType="end"/>
      </w:r>
      <w:r>
        <w:rPr>
          <w:rFonts w:ascii="宋体" w:hAnsi="宋体"/>
          <w:i w:val="0"/>
        </w:rP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"_Toc184916622" </w:instrText>
      </w:r>
      <w:r>
        <w:fldChar w:fldCharType="separate"/>
      </w:r>
      <w:r>
        <w:rPr>
          <w:rStyle w:val="99"/>
          <w:rFonts w:ascii="宋体" w:hAnsi="宋体"/>
          <w:i w:val="0"/>
        </w:rPr>
        <w:t>三、近五年相关业绩（复印件）</w:t>
      </w:r>
      <w:r>
        <w:rPr>
          <w:rFonts w:ascii="宋体" w:hAnsi="宋体"/>
          <w:i w:val="0"/>
        </w:rPr>
        <w:tab/>
      </w:r>
      <w:r>
        <w:rPr>
          <w:rFonts w:ascii="宋体" w:hAnsi="宋体"/>
          <w:i w:val="0"/>
        </w:rPr>
        <w:fldChar w:fldCharType="begin"/>
      </w:r>
      <w:r>
        <w:rPr>
          <w:rFonts w:ascii="宋体" w:hAnsi="宋体"/>
          <w:i w:val="0"/>
        </w:rPr>
        <w:instrText xml:space="preserve"> PAGEREF _Toc184916622 \h </w:instrText>
      </w:r>
      <w:r>
        <w:rPr>
          <w:rFonts w:ascii="宋体" w:hAnsi="宋体"/>
          <w:i w:val="0"/>
        </w:rPr>
        <w:fldChar w:fldCharType="separate"/>
      </w:r>
      <w:r>
        <w:rPr>
          <w:rFonts w:ascii="宋体" w:hAnsi="宋体"/>
          <w:i w:val="0"/>
        </w:rPr>
        <w:t>95</w:t>
      </w:r>
      <w:r>
        <w:rPr>
          <w:rFonts w:ascii="宋体" w:hAnsi="宋体"/>
          <w:i w:val="0"/>
        </w:rPr>
        <w:fldChar w:fldCharType="end"/>
      </w:r>
      <w:r>
        <w:rPr>
          <w:rFonts w:ascii="宋体" w:hAnsi="宋体"/>
          <w:i w:val="0"/>
        </w:rP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"_Toc184916623" </w:instrText>
      </w:r>
      <w:r>
        <w:fldChar w:fldCharType="separate"/>
      </w:r>
      <w:r>
        <w:rPr>
          <w:rStyle w:val="99"/>
          <w:rFonts w:ascii="宋体" w:hAnsi="宋体"/>
          <w:i w:val="0"/>
        </w:rPr>
        <w:t>四、人员实力（复印件）</w:t>
      </w:r>
      <w:r>
        <w:rPr>
          <w:rFonts w:ascii="宋体" w:hAnsi="宋体"/>
          <w:i w:val="0"/>
        </w:rPr>
        <w:tab/>
      </w:r>
      <w:r>
        <w:rPr>
          <w:rFonts w:ascii="宋体" w:hAnsi="宋体"/>
          <w:i w:val="0"/>
        </w:rPr>
        <w:fldChar w:fldCharType="begin"/>
      </w:r>
      <w:r>
        <w:rPr>
          <w:rFonts w:ascii="宋体" w:hAnsi="宋体"/>
          <w:i w:val="0"/>
        </w:rPr>
        <w:instrText xml:space="preserve"> PAGEREF _Toc184916623 \h </w:instrText>
      </w:r>
      <w:r>
        <w:rPr>
          <w:rFonts w:ascii="宋体" w:hAnsi="宋体"/>
          <w:i w:val="0"/>
        </w:rPr>
        <w:fldChar w:fldCharType="separate"/>
      </w:r>
      <w:r>
        <w:rPr>
          <w:rFonts w:ascii="宋体" w:hAnsi="宋体"/>
          <w:i w:val="0"/>
        </w:rPr>
        <w:t>101</w:t>
      </w:r>
      <w:r>
        <w:rPr>
          <w:rFonts w:ascii="宋体" w:hAnsi="宋体"/>
          <w:i w:val="0"/>
        </w:rPr>
        <w:fldChar w:fldCharType="end"/>
      </w:r>
      <w:r>
        <w:rPr>
          <w:rFonts w:ascii="宋体" w:hAnsi="宋体"/>
          <w:i w:val="0"/>
        </w:rP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"_Toc184916624" </w:instrText>
      </w:r>
      <w:r>
        <w:fldChar w:fldCharType="separate"/>
      </w:r>
      <w:r>
        <w:rPr>
          <w:rStyle w:val="99"/>
          <w:rFonts w:ascii="宋体" w:hAnsi="宋体"/>
          <w:i w:val="0"/>
        </w:rPr>
        <w:t>五、项目管理机构</w:t>
      </w:r>
      <w:r>
        <w:rPr>
          <w:rFonts w:ascii="宋体" w:hAnsi="宋体"/>
          <w:i w:val="0"/>
        </w:rPr>
        <w:tab/>
      </w:r>
      <w:r>
        <w:rPr>
          <w:rFonts w:ascii="宋体" w:hAnsi="宋体"/>
          <w:i w:val="0"/>
        </w:rPr>
        <w:fldChar w:fldCharType="begin"/>
      </w:r>
      <w:r>
        <w:rPr>
          <w:rFonts w:ascii="宋体" w:hAnsi="宋体"/>
          <w:i w:val="0"/>
        </w:rPr>
        <w:instrText xml:space="preserve"> PAGEREF _Toc184916624 \h </w:instrText>
      </w:r>
      <w:r>
        <w:rPr>
          <w:rFonts w:ascii="宋体" w:hAnsi="宋体"/>
          <w:i w:val="0"/>
        </w:rPr>
        <w:fldChar w:fldCharType="separate"/>
      </w:r>
      <w:r>
        <w:rPr>
          <w:rFonts w:ascii="宋体" w:hAnsi="宋体"/>
          <w:i w:val="0"/>
        </w:rPr>
        <w:t>107</w:t>
      </w:r>
      <w:r>
        <w:rPr>
          <w:rFonts w:ascii="宋体" w:hAnsi="宋体"/>
          <w:i w:val="0"/>
        </w:rPr>
        <w:fldChar w:fldCharType="end"/>
      </w:r>
      <w:r>
        <w:rPr>
          <w:rFonts w:ascii="宋体" w:hAnsi="宋体"/>
          <w:i w:val="0"/>
        </w:rPr>
        <w:fldChar w:fldCharType="end"/>
      </w:r>
    </w:p>
    <w:p>
      <w:pPr>
        <w:pStyle w:val="45"/>
        <w:tabs>
          <w:tab w:val="right" w:leader="dot" w:pos="8834"/>
        </w:tabs>
        <w:rPr>
          <w:rFonts w:ascii="宋体" w:hAnsi="宋体" w:cstheme="minorBidi"/>
          <w:i w:val="0"/>
          <w:iCs w:val="0"/>
          <w:sz w:val="21"/>
          <w:szCs w:val="22"/>
        </w:rPr>
      </w:pPr>
      <w:r>
        <w:fldChar w:fldCharType="begin"/>
      </w:r>
      <w:r>
        <w:instrText xml:space="preserve"> HYPERLINK \l "_Toc184916625" </w:instrText>
      </w:r>
      <w:r>
        <w:fldChar w:fldCharType="separate"/>
      </w:r>
      <w:r>
        <w:rPr>
          <w:rStyle w:val="99"/>
          <w:rFonts w:ascii="宋体" w:hAnsi="宋体"/>
          <w:i w:val="0"/>
        </w:rPr>
        <w:t>六、其他资料</w:t>
      </w:r>
      <w:r>
        <w:rPr>
          <w:rFonts w:ascii="宋体" w:hAnsi="宋体"/>
          <w:i w:val="0"/>
        </w:rPr>
        <w:tab/>
      </w:r>
      <w:r>
        <w:rPr>
          <w:rFonts w:ascii="宋体" w:hAnsi="宋体"/>
          <w:i w:val="0"/>
        </w:rPr>
        <w:fldChar w:fldCharType="begin"/>
      </w:r>
      <w:r>
        <w:rPr>
          <w:rFonts w:ascii="宋体" w:hAnsi="宋体"/>
          <w:i w:val="0"/>
        </w:rPr>
        <w:instrText xml:space="preserve"> PAGEREF _Toc184916625 \h </w:instrText>
      </w:r>
      <w:r>
        <w:rPr>
          <w:rFonts w:ascii="宋体" w:hAnsi="宋体"/>
          <w:i w:val="0"/>
        </w:rPr>
        <w:fldChar w:fldCharType="separate"/>
      </w:r>
      <w:r>
        <w:rPr>
          <w:rFonts w:ascii="宋体" w:hAnsi="宋体"/>
          <w:i w:val="0"/>
        </w:rPr>
        <w:t>111</w:t>
      </w:r>
      <w:r>
        <w:rPr>
          <w:rFonts w:ascii="宋体" w:hAnsi="宋体"/>
          <w:i w:val="0"/>
        </w:rPr>
        <w:fldChar w:fldCharType="end"/>
      </w:r>
      <w:r>
        <w:rPr>
          <w:rFonts w:ascii="宋体" w:hAnsi="宋体"/>
          <w:i w:val="0"/>
        </w:rPr>
        <w:fldChar w:fldCharType="end"/>
      </w:r>
    </w:p>
    <w:p>
      <w:pPr>
        <w:tabs>
          <w:tab w:val="left" w:pos="8460"/>
        </w:tabs>
        <w:spacing w:line="360" w:lineRule="auto"/>
        <w:rPr>
          <w:rFonts w:ascii="宋体" w:hAnsi="宋体"/>
          <w:bCs/>
          <w:caps/>
          <w:sz w:val="28"/>
          <w:szCs w:val="28"/>
        </w:rPr>
        <w:sectPr>
          <w:headerReference r:id="rId4" w:type="first"/>
          <w:headerReference r:id="rId3" w:type="even"/>
          <w:pgSz w:w="11906" w:h="16838"/>
          <w:pgMar w:top="1984" w:right="1474" w:bottom="1814" w:left="1588" w:header="1134" w:footer="1418" w:gutter="0"/>
          <w:paperSrc w:first="257" w:other="257"/>
          <w:pgNumType w:start="1"/>
          <w:cols w:space="720" w:num="1"/>
          <w:docGrid w:linePitch="435" w:charSpace="0"/>
        </w:sectPr>
      </w:pPr>
      <w:r>
        <w:rPr>
          <w:rFonts w:ascii="宋体" w:hAnsi="宋体"/>
          <w:bCs/>
          <w:caps/>
          <w:szCs w:val="28"/>
        </w:rPr>
        <w:fldChar w:fldCharType="end"/>
      </w:r>
      <w:r>
        <w:rPr>
          <w:rFonts w:ascii="宋体" w:hAnsi="宋体"/>
          <w:bCs/>
          <w:caps/>
          <w:sz w:val="28"/>
          <w:szCs w:val="28"/>
        </w:rPr>
        <w:br w:type="page"/>
      </w:r>
    </w:p>
    <w:bookmarkEnd w:id="1"/>
    <w:bookmarkEnd w:id="2"/>
    <w:bookmarkEnd w:id="3"/>
    <w:bookmarkEnd w:id="4"/>
    <w:p>
      <w:pPr>
        <w:pStyle w:val="5"/>
        <w:spacing w:after="120" w:line="360" w:lineRule="auto"/>
        <w:jc w:val="center"/>
      </w:pPr>
      <w:bookmarkStart w:id="6" w:name="_Toc212953346"/>
      <w:bookmarkEnd w:id="6"/>
      <w:bookmarkStart w:id="7" w:name="_Toc184916527"/>
      <w:bookmarkStart w:id="8" w:name="_Toc184635053"/>
      <w:r>
        <w:rPr>
          <w:rFonts w:hint="eastAsia"/>
        </w:rPr>
        <w:t>第一章  招标公告</w:t>
      </w:r>
      <w:bookmarkEnd w:id="7"/>
    </w:p>
    <w:p>
      <w:pPr>
        <w:spacing w:line="400" w:lineRule="exact"/>
        <w:ind w:firstLine="420" w:firstLineChars="200"/>
        <w:rPr>
          <w:rFonts w:ascii="宋体" w:hAnsi="宋体" w:cs="宋体"/>
        </w:rPr>
      </w:pPr>
      <w:bookmarkStart w:id="9" w:name="OLE_LINK3"/>
      <w:bookmarkStart w:id="10" w:name="OLE_LINK4"/>
      <w:r>
        <w:rPr>
          <w:rFonts w:hint="eastAsia" w:ascii="宋体" w:hAnsi="宋体" w:cs="宋体"/>
        </w:rPr>
        <w:t>本招标项目已按工程建设管理有关规定批准建设，项目已具备招标条件，现对“</w:t>
      </w:r>
      <w:r>
        <w:rPr>
          <w:rFonts w:hint="eastAsia" w:ascii="宋体" w:hAnsi="宋体" w:cs="宋体"/>
          <w:highlight w:val="none"/>
          <w:lang w:val="en-US" w:eastAsia="zh-CN"/>
        </w:rPr>
        <w:t>3122</w:t>
      </w:r>
      <w:r>
        <w:rPr>
          <w:rFonts w:hint="eastAsia" w:ascii="宋体" w:hAnsi="宋体" w:cs="宋体"/>
          <w:highlight w:val="none"/>
        </w:rPr>
        <w:t>工程全过程工程咨询（202</w:t>
      </w:r>
      <w:r>
        <w:rPr>
          <w:rFonts w:hint="eastAsia" w:ascii="宋体" w:hAnsi="宋体" w:cs="宋体"/>
          <w:highlight w:val="none"/>
          <w:lang w:val="en-US" w:eastAsia="zh-CN"/>
        </w:rPr>
        <w:t>5</w:t>
      </w:r>
      <w:r>
        <w:rPr>
          <w:rFonts w:hint="eastAsia" w:ascii="宋体" w:hAnsi="宋体" w:cs="宋体"/>
          <w:highlight w:val="none"/>
        </w:rPr>
        <w:t>-JJDCBG-G100</w:t>
      </w:r>
      <w:r>
        <w:rPr>
          <w:rFonts w:hint="eastAsia" w:ascii="宋体" w:hAnsi="宋体" w:cs="宋体"/>
          <w:highlight w:val="none"/>
          <w:lang w:val="en-US" w:eastAsia="zh-CN"/>
        </w:rPr>
        <w:t>4</w:t>
      </w:r>
      <w:r>
        <w:rPr>
          <w:rFonts w:hint="eastAsia" w:ascii="宋体" w:hAnsi="宋体" w:cs="宋体"/>
          <w:highlight w:val="none"/>
        </w:rPr>
        <w:t>）</w:t>
      </w:r>
      <w:r>
        <w:rPr>
          <w:rFonts w:hint="eastAsia" w:ascii="宋体" w:hAnsi="宋体" w:cs="宋体"/>
        </w:rPr>
        <w:t>”项目进行公开招标，欢迎符合资格条件的投标人前来投标。</w:t>
      </w:r>
    </w:p>
    <w:p>
      <w:pPr>
        <w:spacing w:line="400" w:lineRule="exact"/>
        <w:ind w:firstLine="422" w:firstLineChars="200"/>
        <w:rPr>
          <w:rFonts w:ascii="宋体" w:hAnsi="宋体" w:cs="宋体"/>
          <w:b/>
          <w:bCs/>
        </w:rPr>
      </w:pPr>
      <w:r>
        <w:rPr>
          <w:rFonts w:hint="eastAsia" w:ascii="宋体" w:hAnsi="宋体" w:cs="宋体"/>
          <w:b/>
          <w:bCs/>
        </w:rPr>
        <w:t>一、项目名称</w:t>
      </w:r>
    </w:p>
    <w:p>
      <w:pPr>
        <w:spacing w:line="400" w:lineRule="exact"/>
        <w:ind w:firstLine="420" w:firstLineChars="200"/>
        <w:rPr>
          <w:rFonts w:ascii="宋体" w:hAnsi="宋体" w:cs="宋体"/>
        </w:rPr>
      </w:pPr>
      <w:r>
        <w:rPr>
          <w:rFonts w:hint="eastAsia" w:ascii="宋体" w:hAnsi="宋体" w:cs="宋体"/>
        </w:rPr>
        <w:t>1.1项目名称：</w:t>
      </w:r>
      <w:r>
        <w:rPr>
          <w:rFonts w:hint="eastAsia" w:ascii="宋体" w:hAnsi="宋体" w:cs="宋体"/>
          <w:highlight w:val="none"/>
          <w:lang w:val="en-US" w:eastAsia="zh-CN"/>
        </w:rPr>
        <w:t>3122</w:t>
      </w:r>
      <w:r>
        <w:rPr>
          <w:rFonts w:hint="eastAsia" w:ascii="宋体" w:hAnsi="宋体" w:cs="宋体"/>
          <w:highlight w:val="none"/>
        </w:rPr>
        <w:t>工程全过程工程咨询</w:t>
      </w:r>
    </w:p>
    <w:p>
      <w:pPr>
        <w:spacing w:line="400" w:lineRule="exact"/>
        <w:ind w:firstLine="420" w:firstLineChars="200"/>
        <w:rPr>
          <w:rFonts w:ascii="宋体" w:hAnsi="宋体" w:cs="宋体"/>
          <w:szCs w:val="22"/>
        </w:rPr>
      </w:pPr>
      <w:r>
        <w:rPr>
          <w:rFonts w:hint="eastAsia" w:ascii="宋体" w:hAnsi="宋体" w:cs="宋体"/>
          <w:szCs w:val="22"/>
        </w:rPr>
        <w:t>1.2招标人：某单位</w:t>
      </w:r>
    </w:p>
    <w:p>
      <w:pPr>
        <w:spacing w:line="400" w:lineRule="exact"/>
        <w:ind w:firstLine="420" w:firstLineChars="200"/>
        <w:rPr>
          <w:rFonts w:ascii="宋体" w:hAnsi="宋体" w:cs="宋体"/>
          <w:szCs w:val="22"/>
        </w:rPr>
      </w:pPr>
      <w:r>
        <w:rPr>
          <w:rFonts w:hint="eastAsia" w:ascii="宋体" w:hAnsi="宋体" w:cs="宋体"/>
          <w:szCs w:val="22"/>
        </w:rPr>
        <w:t>1.3资金来源：上级拨款</w:t>
      </w:r>
    </w:p>
    <w:p>
      <w:pPr>
        <w:spacing w:line="400" w:lineRule="exact"/>
        <w:ind w:firstLine="420" w:firstLineChars="200"/>
        <w:rPr>
          <w:rFonts w:ascii="宋体" w:hAnsi="宋体" w:cs="宋体"/>
          <w:szCs w:val="22"/>
        </w:rPr>
      </w:pPr>
      <w:r>
        <w:rPr>
          <w:rFonts w:hint="eastAsia" w:ascii="宋体" w:hAnsi="宋体" w:cs="宋体"/>
          <w:szCs w:val="22"/>
        </w:rPr>
        <w:t>1.4资金落实情况：已落实</w:t>
      </w:r>
    </w:p>
    <w:p>
      <w:pPr>
        <w:spacing w:line="400" w:lineRule="exact"/>
        <w:ind w:firstLine="422" w:firstLineChars="200"/>
        <w:rPr>
          <w:rFonts w:ascii="宋体" w:hAnsi="宋体" w:cs="宋体"/>
          <w:b/>
          <w:bCs/>
        </w:rPr>
      </w:pPr>
      <w:r>
        <w:rPr>
          <w:rFonts w:hint="eastAsia" w:ascii="宋体" w:hAnsi="宋体" w:cs="宋体"/>
          <w:b/>
          <w:bCs/>
        </w:rPr>
        <w:t>二、项目编号</w:t>
      </w:r>
    </w:p>
    <w:p>
      <w:pPr>
        <w:spacing w:line="400" w:lineRule="exact"/>
        <w:ind w:firstLine="420" w:firstLineChars="200"/>
        <w:rPr>
          <w:rFonts w:ascii="宋体" w:hAnsi="宋体" w:cs="宋体"/>
        </w:rPr>
      </w:pPr>
      <w:r>
        <w:rPr>
          <w:rFonts w:hint="eastAsia" w:ascii="宋体" w:hAnsi="宋体" w:cs="宋体"/>
        </w:rPr>
        <w:t>2.1项目编号：</w:t>
      </w:r>
      <w:r>
        <w:rPr>
          <w:rFonts w:hint="eastAsia" w:ascii="宋体" w:hAnsi="宋体" w:cs="宋体"/>
          <w:highlight w:val="none"/>
        </w:rPr>
        <w:t>202</w:t>
      </w:r>
      <w:r>
        <w:rPr>
          <w:rFonts w:hint="eastAsia" w:ascii="宋体" w:hAnsi="宋体" w:cs="宋体"/>
          <w:highlight w:val="none"/>
          <w:lang w:val="en-US" w:eastAsia="zh-CN"/>
        </w:rPr>
        <w:t>5</w:t>
      </w:r>
      <w:r>
        <w:rPr>
          <w:rFonts w:hint="eastAsia" w:ascii="宋体" w:hAnsi="宋体" w:cs="宋体"/>
          <w:highlight w:val="none"/>
        </w:rPr>
        <w:t>-JJDCBG-G100</w:t>
      </w:r>
      <w:r>
        <w:rPr>
          <w:rFonts w:hint="eastAsia" w:ascii="宋体" w:hAnsi="宋体" w:cs="宋体"/>
          <w:highlight w:val="none"/>
          <w:lang w:val="en-US" w:eastAsia="zh-CN"/>
        </w:rPr>
        <w:t>4</w:t>
      </w:r>
    </w:p>
    <w:p>
      <w:pPr>
        <w:spacing w:line="400" w:lineRule="exact"/>
        <w:ind w:firstLine="422" w:firstLineChars="200"/>
        <w:rPr>
          <w:rFonts w:ascii="宋体" w:hAnsi="宋体" w:cs="宋体"/>
          <w:b/>
          <w:bCs/>
        </w:rPr>
      </w:pPr>
      <w:r>
        <w:rPr>
          <w:rFonts w:hint="eastAsia" w:ascii="宋体" w:hAnsi="宋体" w:cs="宋体"/>
          <w:b/>
          <w:bCs/>
        </w:rPr>
        <w:t>三、项目概况</w:t>
      </w:r>
    </w:p>
    <w:p>
      <w:pPr>
        <w:spacing w:line="400" w:lineRule="exact"/>
        <w:ind w:firstLine="420" w:firstLineChars="200"/>
        <w:rPr>
          <w:rFonts w:ascii="宋体" w:hAnsi="宋体" w:cs="宋体"/>
        </w:rPr>
      </w:pPr>
      <w:r>
        <w:rPr>
          <w:rFonts w:hint="eastAsia" w:ascii="宋体" w:hAnsi="宋体" w:cs="宋体"/>
        </w:rPr>
        <w:t>3.1服务期：计划工期为</w:t>
      </w:r>
      <w:r>
        <w:rPr>
          <w:rFonts w:hint="eastAsia" w:ascii="宋体" w:hAnsi="宋体" w:cs="宋体"/>
          <w:lang w:val="en-US" w:eastAsia="zh-CN"/>
        </w:rPr>
        <w:t>15</w:t>
      </w:r>
      <w:r>
        <w:rPr>
          <w:rFonts w:hint="eastAsia" w:ascii="宋体" w:hAnsi="宋体" w:cs="宋体"/>
        </w:rPr>
        <w:t>个月，</w:t>
      </w:r>
      <w:r>
        <w:rPr>
          <w:rFonts w:hint="eastAsia" w:ascii="宋体" w:hAnsi="宋体" w:cs="宋体"/>
          <w:lang w:val="en-US" w:eastAsia="zh-CN"/>
        </w:rPr>
        <w:t>其中勘察设计、造价咨询要在2个月内完成。</w:t>
      </w:r>
      <w:r>
        <w:rPr>
          <w:rFonts w:hint="eastAsia" w:ascii="宋体" w:hAnsi="宋体" w:cs="宋体"/>
        </w:rPr>
        <w:t>实际以工程建设实际情况为准。具体自招标人与中标人签订全过程工程咨询服务合同之日起至工程竣工验收及竣工结算审计(或审核)完成且工程保修期结束。</w:t>
      </w:r>
    </w:p>
    <w:p>
      <w:pPr>
        <w:spacing w:line="400" w:lineRule="exact"/>
        <w:ind w:firstLine="420" w:firstLineChars="200"/>
        <w:rPr>
          <w:rFonts w:ascii="宋体" w:hAnsi="宋体" w:cs="宋体"/>
        </w:rPr>
      </w:pPr>
      <w:r>
        <w:rPr>
          <w:rFonts w:hint="eastAsia" w:ascii="宋体" w:hAnsi="宋体" w:cs="宋体"/>
        </w:rPr>
        <w:t>3.2服务地点：安徽省池州市。</w:t>
      </w:r>
    </w:p>
    <w:p>
      <w:pPr>
        <w:spacing w:line="400" w:lineRule="exact"/>
        <w:ind w:firstLine="420" w:firstLineChars="200"/>
        <w:rPr>
          <w:rFonts w:hint="default" w:ascii="宋体" w:hAnsi="宋体" w:cs="宋体"/>
          <w:lang w:val="en-US" w:eastAsia="zh-CN" w:bidi="ar"/>
        </w:rPr>
      </w:pPr>
      <w:r>
        <w:rPr>
          <w:rFonts w:hint="eastAsia" w:ascii="宋体" w:hAnsi="宋体" w:cs="宋体"/>
        </w:rPr>
        <w:t>3.3项目范围：工程建设</w:t>
      </w:r>
      <w:r>
        <w:rPr>
          <w:rFonts w:hint="eastAsia" w:ascii="宋体" w:hAnsi="宋体" w:cs="宋体"/>
          <w:lang w:eastAsia="zh-CN"/>
        </w:rPr>
        <w:t>建安费约</w:t>
      </w:r>
      <w:r>
        <w:rPr>
          <w:rFonts w:hint="eastAsia" w:ascii="宋体" w:hAnsi="宋体" w:cs="宋体"/>
          <w:lang w:val="en-US" w:eastAsia="zh-CN"/>
        </w:rPr>
        <w:t>3270</w:t>
      </w:r>
      <w:r>
        <w:rPr>
          <w:rFonts w:hint="eastAsia" w:ascii="宋体" w:hAnsi="宋体" w:cs="宋体"/>
        </w:rPr>
        <w:t>万元(后续工程量若有调整时咨询服务费用会按照相关规则进行调整，详见招标文件中相关章节)。项目位于安徽省池州市，建设内容主要包括：</w:t>
      </w:r>
      <w:r>
        <w:rPr>
          <w:rFonts w:hint="eastAsia" w:ascii="宋体" w:hAnsi="宋体" w:cs="宋体"/>
          <w:lang w:val="en-US" w:eastAsia="zh-CN" w:bidi="ar"/>
        </w:rPr>
        <w:t>新建库房1790平方米、道路2公里、硬化场地8379平方米，桥梁修复加固，完善给排水、供电，以及设施设备等附属采购。</w:t>
      </w:r>
    </w:p>
    <w:p>
      <w:pPr>
        <w:spacing w:line="400" w:lineRule="exact"/>
        <w:ind w:firstLine="420" w:firstLineChars="200"/>
        <w:rPr>
          <w:rFonts w:ascii="宋体" w:hAnsi="宋体" w:cs="宋体"/>
        </w:rPr>
      </w:pPr>
      <w:r>
        <w:rPr>
          <w:rFonts w:hint="eastAsia" w:ascii="宋体" w:hAnsi="宋体" w:cs="宋体"/>
        </w:rPr>
        <w:t>3.4主要服务内容：</w:t>
      </w:r>
    </w:p>
    <w:p>
      <w:pPr>
        <w:spacing w:line="400" w:lineRule="exact"/>
        <w:ind w:firstLine="420" w:firstLineChars="200"/>
        <w:rPr>
          <w:rFonts w:ascii="宋体" w:hAnsi="宋体" w:cs="宋体"/>
        </w:rPr>
      </w:pPr>
      <w:r>
        <w:rPr>
          <w:rFonts w:hint="eastAsia" w:ascii="宋体" w:hAnsi="宋体" w:cs="宋体"/>
        </w:rPr>
        <w:t>工程勘察、设计、监理、造价咨询</w:t>
      </w:r>
      <w:r>
        <w:rPr>
          <w:rFonts w:ascii="宋体" w:hAnsi="宋体" w:cs="宋体"/>
        </w:rPr>
        <w:t>全过程</w:t>
      </w:r>
      <w:r>
        <w:rPr>
          <w:rFonts w:hint="eastAsia" w:ascii="宋体" w:hAnsi="宋体" w:cs="宋体"/>
        </w:rPr>
        <w:t>服务，包括但不限于：</w:t>
      </w:r>
    </w:p>
    <w:p>
      <w:pPr>
        <w:spacing w:line="400" w:lineRule="exact"/>
        <w:ind w:firstLine="420" w:firstLineChars="200"/>
        <w:rPr>
          <w:rFonts w:ascii="宋体" w:hAnsi="宋体" w:cs="宋体"/>
        </w:rPr>
      </w:pPr>
      <w:r>
        <w:rPr>
          <w:rFonts w:hint="eastAsia" w:ascii="宋体" w:hAnsi="宋体" w:cs="宋体"/>
        </w:rPr>
        <w:t>（1）勘察设计：包括本项目所有建设内容的地质勘察、全过程选址勘察、初步勘察、详细勘察等勘察工作、测绘、方案设计、初步设计（扩大初步设计）、技术规格书编制、施工图设计等工作。其中，设计应包含招标人所需的平面图、鸟瞰图、VR图等各类效果图制作。</w:t>
      </w:r>
    </w:p>
    <w:p>
      <w:pPr>
        <w:spacing w:line="400" w:lineRule="exact"/>
        <w:ind w:firstLine="420" w:firstLineChars="200"/>
        <w:rPr>
          <w:rFonts w:ascii="宋体" w:hAnsi="宋体" w:cs="宋体"/>
        </w:rPr>
      </w:pPr>
      <w:r>
        <w:rPr>
          <w:rFonts w:hint="eastAsia" w:ascii="宋体" w:hAnsi="宋体" w:cs="宋体"/>
        </w:rPr>
        <w:t>（2）工程监理：包括本项目所有建设内容全过程监理的投资、进度、质量、保密、廉政控制，安全、信息、合同管理，协调各方关系，协助开展竣工验收移交和归档工程资料等；</w:t>
      </w:r>
    </w:p>
    <w:p>
      <w:pPr>
        <w:spacing w:line="400" w:lineRule="exact"/>
        <w:ind w:firstLine="420" w:firstLineChars="200"/>
        <w:rPr>
          <w:rFonts w:ascii="宋体" w:hAnsi="宋体" w:cs="宋体"/>
        </w:rPr>
      </w:pPr>
      <w:r>
        <w:rPr>
          <w:rFonts w:hint="eastAsia" w:ascii="宋体" w:hAnsi="宋体" w:cs="宋体"/>
        </w:rPr>
        <w:t>（3）造价咨询：包括本项目所有建设内容全过程的编审工程估算、审查初步设计概算、编制工程量清单和招标控制价，配合审查施工图预算，审查变更签证价款、审查工程进度款、审查工程索赔，协助梳理核实竣工结算和编制竣工决算等工作。</w:t>
      </w:r>
    </w:p>
    <w:p>
      <w:pPr>
        <w:spacing w:line="400" w:lineRule="exact"/>
        <w:ind w:firstLine="420" w:firstLineChars="200"/>
        <w:rPr>
          <w:rFonts w:ascii="宋体" w:hAnsi="宋体" w:cs="宋体"/>
        </w:rPr>
      </w:pPr>
      <w:r>
        <w:rPr>
          <w:rFonts w:hint="eastAsia" w:ascii="宋体" w:hAnsi="宋体" w:cs="宋体"/>
          <w:szCs w:val="21"/>
        </w:rPr>
        <w:t>（4）其他专业咨询：包括法律顾问、房地产评估、环境影响评价报告、</w:t>
      </w:r>
      <w:r>
        <w:rPr>
          <w:rFonts w:ascii="宋体" w:hAnsi="宋体" w:cs="宋体"/>
          <w:szCs w:val="21"/>
        </w:rPr>
        <w:t>沉降观测评价报告、</w:t>
      </w:r>
      <w:r>
        <w:rPr>
          <w:rFonts w:hint="eastAsia" w:ascii="宋体" w:hAnsi="宋体" w:cs="宋体"/>
          <w:szCs w:val="21"/>
        </w:rPr>
        <w:t>地质灾害危险性评估、房屋质量鉴定、特殊试验检测或第三方试验检测等其他专业咨询项目。</w:t>
      </w:r>
    </w:p>
    <w:p>
      <w:pPr>
        <w:spacing w:line="400" w:lineRule="exact"/>
        <w:ind w:firstLine="420" w:firstLineChars="200"/>
        <w:rPr>
          <w:rFonts w:ascii="宋体" w:hAnsi="宋体" w:cs="宋体"/>
        </w:rPr>
      </w:pPr>
      <w:r>
        <w:rPr>
          <w:rFonts w:hint="eastAsia" w:ascii="宋体" w:hAnsi="宋体" w:cs="宋体"/>
        </w:rPr>
        <w:t>3.5计划建设周期：</w:t>
      </w:r>
      <w:r>
        <w:rPr>
          <w:rFonts w:hint="eastAsia" w:ascii="宋体" w:hAnsi="宋体" w:cs="宋体"/>
          <w:lang w:val="en-US" w:eastAsia="zh-CN"/>
        </w:rPr>
        <w:t>15</w:t>
      </w:r>
      <w:r>
        <w:rPr>
          <w:rFonts w:hint="eastAsia" w:ascii="宋体" w:hAnsi="宋体" w:cs="宋体"/>
        </w:rPr>
        <w:t>个月，项目计划2026年</w:t>
      </w:r>
      <w:r>
        <w:rPr>
          <w:rFonts w:hint="eastAsia" w:ascii="宋体" w:hAnsi="宋体" w:cs="宋体"/>
          <w:lang w:val="en-US" w:eastAsia="zh-CN"/>
        </w:rPr>
        <w:t>下半年</w:t>
      </w:r>
      <w:r>
        <w:rPr>
          <w:rFonts w:hint="eastAsia" w:ascii="宋体" w:hAnsi="宋体" w:cs="宋体"/>
        </w:rPr>
        <w:t>竣工，工期包括报批设计周期、采购周期和施工工期。</w:t>
      </w:r>
    </w:p>
    <w:p>
      <w:pPr>
        <w:spacing w:line="400" w:lineRule="exact"/>
        <w:ind w:firstLine="420" w:firstLineChars="200"/>
        <w:rPr>
          <w:rFonts w:ascii="宋体" w:hAnsi="宋体" w:cs="宋体"/>
          <w:color w:val="FF0000"/>
        </w:rPr>
      </w:pPr>
      <w:r>
        <w:rPr>
          <w:rFonts w:hint="eastAsia" w:ascii="宋体" w:hAnsi="宋体" w:cs="宋体"/>
        </w:rPr>
        <w:t>3.6本项目总预算：全过程工程咨询总投资</w:t>
      </w:r>
      <w:r>
        <w:rPr>
          <w:rFonts w:hint="eastAsia" w:ascii="宋体" w:hAnsi="宋体" w:cs="宋体"/>
          <w:lang w:val="en-US" w:eastAsia="zh-CN"/>
        </w:rPr>
        <w:t>182</w:t>
      </w:r>
      <w:r>
        <w:rPr>
          <w:rFonts w:hint="eastAsia" w:ascii="宋体" w:hAnsi="宋体" w:cs="宋体"/>
        </w:rPr>
        <w:t>万元，其中，勘察设计费</w:t>
      </w:r>
      <w:r>
        <w:rPr>
          <w:rFonts w:hint="eastAsia" w:ascii="宋体" w:hAnsi="宋体" w:cs="宋体"/>
          <w:lang w:val="en-US" w:eastAsia="zh-CN"/>
        </w:rPr>
        <w:t>93</w:t>
      </w:r>
      <w:r>
        <w:rPr>
          <w:rFonts w:hint="eastAsia" w:ascii="宋体" w:hAnsi="宋体" w:cs="宋体"/>
        </w:rPr>
        <w:t>万元、工程监理费</w:t>
      </w:r>
      <w:r>
        <w:rPr>
          <w:rFonts w:hint="eastAsia" w:ascii="宋体" w:hAnsi="宋体" w:cs="宋体"/>
          <w:lang w:val="en-US" w:eastAsia="zh-CN"/>
        </w:rPr>
        <w:t>76</w:t>
      </w:r>
      <w:r>
        <w:rPr>
          <w:rFonts w:hint="eastAsia" w:ascii="宋体" w:hAnsi="宋体" w:cs="宋体"/>
        </w:rPr>
        <w:t>万元、造价咨询</w:t>
      </w:r>
      <w:r>
        <w:rPr>
          <w:rFonts w:hint="eastAsia" w:ascii="宋体" w:hAnsi="宋体" w:cs="宋体"/>
          <w:lang w:val="en-US" w:eastAsia="zh-CN"/>
        </w:rPr>
        <w:t>13</w:t>
      </w:r>
      <w:r>
        <w:rPr>
          <w:rFonts w:hint="eastAsia" w:ascii="宋体" w:hAnsi="宋体" w:cs="宋体"/>
        </w:rPr>
        <w:t>万元。</w:t>
      </w:r>
    </w:p>
    <w:p>
      <w:pPr>
        <w:spacing w:line="400" w:lineRule="exact"/>
        <w:ind w:firstLine="422" w:firstLineChars="200"/>
        <w:rPr>
          <w:rFonts w:ascii="宋体" w:hAnsi="宋体" w:cs="宋体"/>
          <w:b/>
          <w:bCs/>
        </w:rPr>
      </w:pPr>
      <w:r>
        <w:rPr>
          <w:rFonts w:hint="eastAsia" w:ascii="宋体" w:hAnsi="宋体" w:cs="宋体"/>
          <w:b/>
          <w:bCs/>
        </w:rPr>
        <w:t>四、投标人资格要求</w:t>
      </w:r>
    </w:p>
    <w:p>
      <w:pPr>
        <w:spacing w:line="400" w:lineRule="exact"/>
        <w:ind w:firstLine="420" w:firstLineChars="200"/>
        <w:rPr>
          <w:rFonts w:ascii="宋体" w:hAnsi="宋体" w:cs="宋体"/>
        </w:rPr>
      </w:pPr>
      <w:r>
        <w:rPr>
          <w:rFonts w:hint="eastAsia" w:ascii="宋体" w:hAnsi="宋体" w:cs="宋体"/>
        </w:rPr>
        <w:t>4.1投标人应同时具备下类资质要求：</w:t>
      </w:r>
    </w:p>
    <w:p>
      <w:pPr>
        <w:spacing w:line="400" w:lineRule="exact"/>
        <w:ind w:firstLine="420" w:firstLineChars="200"/>
        <w:rPr>
          <w:rFonts w:ascii="宋体" w:hAnsi="宋体" w:cs="宋体"/>
          <w:szCs w:val="21"/>
        </w:rPr>
      </w:pPr>
      <w:r>
        <w:rPr>
          <w:rFonts w:hint="eastAsia" w:ascii="宋体" w:hAnsi="宋体" w:cs="宋体"/>
          <w:szCs w:val="21"/>
        </w:rPr>
        <w:t>（1）工程勘察：工程勘察综合甲级资质或工程勘察岩土工程专业乙级及以上资质或工程勘察岩土工程专业（岩土工程（勘察））乙级及以上资质；</w:t>
      </w:r>
    </w:p>
    <w:p>
      <w:pPr>
        <w:spacing w:line="400" w:lineRule="exact"/>
        <w:ind w:firstLine="420" w:firstLineChars="200"/>
        <w:rPr>
          <w:rFonts w:ascii="宋体" w:hAnsi="宋体" w:cs="宋体"/>
          <w:szCs w:val="21"/>
        </w:rPr>
      </w:pPr>
      <w:r>
        <w:rPr>
          <w:rFonts w:hint="eastAsia" w:ascii="宋体" w:hAnsi="宋体" w:cs="宋体"/>
          <w:szCs w:val="21"/>
        </w:rPr>
        <w:t>（2）工程设计：工程设计综合甲级资质或工程设计建筑行业乙级及以上资质或工程设计建筑行业(建筑工程)乙级及以上资质；</w:t>
      </w:r>
    </w:p>
    <w:p>
      <w:pPr>
        <w:spacing w:line="400" w:lineRule="exact"/>
        <w:ind w:firstLine="420" w:firstLineChars="200"/>
        <w:rPr>
          <w:rFonts w:ascii="宋体" w:hAnsi="宋体" w:cs="宋体"/>
          <w:szCs w:val="21"/>
        </w:rPr>
      </w:pPr>
      <w:r>
        <w:rPr>
          <w:rFonts w:hint="eastAsia" w:ascii="宋体" w:hAnsi="宋体" w:cs="宋体"/>
          <w:szCs w:val="21"/>
        </w:rPr>
        <w:t>（3）工程监理：工程监理综合甲级资质或者工程监理房屋建筑工程专业乙级及以上资质。</w:t>
      </w:r>
    </w:p>
    <w:p>
      <w:pPr>
        <w:spacing w:line="400" w:lineRule="exact"/>
        <w:ind w:firstLine="420" w:firstLineChars="200"/>
        <w:rPr>
          <w:rFonts w:ascii="宋体" w:hAnsi="宋体" w:cs="宋体"/>
        </w:rPr>
      </w:pPr>
      <w:r>
        <w:rPr>
          <w:rFonts w:hint="eastAsia" w:ascii="宋体" w:hAnsi="宋体" w:cs="宋体"/>
        </w:rPr>
        <w:t>4.2本项目接受联合体投标，联合体单位不超过2家。可由不同独立法人组成联合体投标，且牵头单位必须是本项目的设计单位，联合体投标时，必须签订联合体协议书，明确联合体成员各方的权利和义务，联合体牵头人及联合体成员与其他独立投标人或其他联合体各个企业之间不得有控股、参股、隶属或其他管理的利益关系，且不得为同一法定代表人。已组成联合体各方不得再以自己名义单独或加入其它联合体在本项目中参加投标。</w:t>
      </w:r>
    </w:p>
    <w:p>
      <w:pPr>
        <w:spacing w:line="400" w:lineRule="exact"/>
        <w:ind w:firstLine="420" w:firstLineChars="200"/>
        <w:rPr>
          <w:rFonts w:ascii="宋体" w:hAnsi="宋体" w:cs="宋体"/>
        </w:rPr>
      </w:pPr>
      <w:r>
        <w:rPr>
          <w:rFonts w:hint="eastAsia" w:ascii="宋体" w:hAnsi="宋体" w:cs="宋体"/>
        </w:rPr>
        <w:t>4.3参与投标的企业中，单位负责人为同一人或存在控股、管理关系的不同单位仅限一家单位参与本项目的投标。(注：施工型企业相关设计、监理企业参与全过程工程咨询项目，该企业相关施工企业不能参与后续施工标段投标)。</w:t>
      </w:r>
    </w:p>
    <w:p>
      <w:pPr>
        <w:spacing w:line="400" w:lineRule="exact"/>
        <w:ind w:firstLine="420" w:firstLineChars="200"/>
        <w:rPr>
          <w:rFonts w:ascii="宋体" w:hAnsi="宋体" w:cs="宋体"/>
        </w:rPr>
      </w:pPr>
      <w:r>
        <w:rPr>
          <w:rFonts w:hint="eastAsia" w:ascii="宋体" w:hAnsi="宋体" w:cs="宋体"/>
        </w:rPr>
        <w:t>4.4财务要求：投标人没有处于投标资格被取消或财产被接管、冻结或破产状态，具有良好的商业信誉和健全的财务会计制度，有依法缴纳税收和社会保障资金的良好记录。</w:t>
      </w:r>
    </w:p>
    <w:p>
      <w:pPr>
        <w:spacing w:line="400" w:lineRule="exact"/>
        <w:ind w:firstLine="420" w:firstLineChars="200"/>
        <w:rPr>
          <w:rFonts w:ascii="宋体" w:hAnsi="宋体" w:cs="宋体"/>
        </w:rPr>
      </w:pPr>
      <w:r>
        <w:rPr>
          <w:rFonts w:hint="eastAsia" w:ascii="宋体" w:hAnsi="宋体" w:cs="宋体"/>
        </w:rPr>
        <w:t>4.5信誉要求：投标人未被列入</w:t>
      </w:r>
      <w:r>
        <w:rPr>
          <w:rFonts w:hint="eastAsia" w:ascii="宋体" w:hAnsi="宋体"/>
          <w:szCs w:val="21"/>
        </w:rPr>
        <w:t>“全国建筑市场监管公共服务平台”</w:t>
      </w:r>
      <w:r>
        <w:rPr>
          <w:rFonts w:hint="eastAsia"/>
        </w:rPr>
        <w:t>诚信数据、黑名单及失信联合惩戒记录</w:t>
      </w:r>
      <w:r>
        <w:rPr>
          <w:rFonts w:hint="eastAsia" w:ascii="宋体" w:hAnsi="宋体"/>
          <w:szCs w:val="21"/>
        </w:rPr>
        <w:t>，</w:t>
      </w:r>
      <w:r>
        <w:rPr>
          <w:rFonts w:hint="eastAsia" w:ascii="宋体" w:hAnsi="宋体" w:cs="宋体"/>
        </w:rPr>
        <w:t>“信用中国”失信被执行人及重大税收违法失信主体，“军队采购网”军队采购失信名单（禁入处罚期和处罚范围内）及军队采购暂停名单（处罚范围内），被军队单位暂停投标资格或被禁止参加军队项目，近3年无重大违法记录、未出现在最近3年骗取中标、严重违约、重大工程质量问题和其他严重不良记录。</w:t>
      </w:r>
    </w:p>
    <w:p>
      <w:pPr>
        <w:pStyle w:val="2"/>
        <w:spacing w:after="0" w:line="400" w:lineRule="exact"/>
        <w:ind w:firstLineChars="200"/>
      </w:pPr>
      <w:r>
        <w:rPr>
          <w:rFonts w:hint="eastAsia" w:ascii="宋体" w:hAnsi="宋体" w:eastAsia="宋体" w:cs="宋体"/>
          <w:b w:val="0"/>
          <w:bCs w:val="0"/>
          <w:kern w:val="2"/>
          <w:sz w:val="21"/>
          <w:szCs w:val="20"/>
        </w:rPr>
        <w:t>4.6业绩要求：投标人提供开标前近5年同类项目业绩</w:t>
      </w:r>
      <w:r>
        <w:rPr>
          <w:rFonts w:hint="eastAsia" w:ascii="宋体" w:hAnsi="宋体" w:eastAsia="宋体" w:cs="宋体"/>
          <w:b w:val="0"/>
          <w:bCs w:val="0"/>
          <w:color w:val="auto"/>
          <w:kern w:val="2"/>
          <w:sz w:val="21"/>
          <w:szCs w:val="20"/>
        </w:rPr>
        <w:t>（全过程工程咨询</w:t>
      </w:r>
      <w:r>
        <w:rPr>
          <w:rFonts w:hint="eastAsia" w:ascii="宋体" w:hAnsi="宋体" w:eastAsia="宋体" w:cs="宋体"/>
          <w:b w:val="0"/>
          <w:bCs w:val="0"/>
          <w:color w:val="auto"/>
          <w:kern w:val="2"/>
          <w:sz w:val="21"/>
          <w:szCs w:val="20"/>
          <w:lang w:val="en-US" w:eastAsia="zh-CN"/>
        </w:rPr>
        <w:t>130</w:t>
      </w:r>
      <w:r>
        <w:rPr>
          <w:rFonts w:hint="eastAsia" w:ascii="宋体" w:hAnsi="宋体" w:eastAsia="宋体" w:cs="宋体"/>
          <w:b w:val="0"/>
          <w:bCs w:val="0"/>
          <w:color w:val="auto"/>
          <w:kern w:val="2"/>
          <w:sz w:val="21"/>
          <w:szCs w:val="20"/>
        </w:rPr>
        <w:t>万元及以上业绩合同或提供单个项目“勘察设计”金额</w:t>
      </w:r>
      <w:r>
        <w:rPr>
          <w:rFonts w:hint="eastAsia" w:ascii="宋体" w:hAnsi="宋体" w:eastAsia="宋体" w:cs="宋体"/>
          <w:b w:val="0"/>
          <w:bCs w:val="0"/>
          <w:color w:val="auto"/>
          <w:kern w:val="2"/>
          <w:sz w:val="21"/>
          <w:szCs w:val="20"/>
          <w:lang w:val="en-US" w:eastAsia="zh-CN"/>
        </w:rPr>
        <w:t>70</w:t>
      </w:r>
      <w:r>
        <w:rPr>
          <w:rFonts w:hint="eastAsia" w:ascii="宋体" w:hAnsi="宋体" w:eastAsia="宋体" w:cs="宋体"/>
          <w:b w:val="0"/>
          <w:bCs w:val="0"/>
          <w:color w:val="auto"/>
          <w:kern w:val="2"/>
          <w:sz w:val="21"/>
          <w:szCs w:val="20"/>
        </w:rPr>
        <w:t>万元、“监理合同”金额</w:t>
      </w:r>
      <w:r>
        <w:rPr>
          <w:rFonts w:hint="eastAsia" w:ascii="宋体" w:hAnsi="宋体" w:eastAsia="宋体" w:cs="宋体"/>
          <w:b w:val="0"/>
          <w:bCs w:val="0"/>
          <w:color w:val="auto"/>
          <w:kern w:val="2"/>
          <w:sz w:val="21"/>
          <w:szCs w:val="20"/>
          <w:lang w:val="en-US" w:eastAsia="zh-CN"/>
        </w:rPr>
        <w:t>56</w:t>
      </w:r>
      <w:r>
        <w:rPr>
          <w:rFonts w:hint="eastAsia" w:ascii="宋体" w:hAnsi="宋体" w:eastAsia="宋体" w:cs="宋体"/>
          <w:b w:val="0"/>
          <w:bCs w:val="0"/>
          <w:color w:val="auto"/>
          <w:kern w:val="2"/>
          <w:sz w:val="21"/>
          <w:szCs w:val="20"/>
        </w:rPr>
        <w:t>万元及以上业绩合同或提供总投资</w:t>
      </w:r>
      <w:r>
        <w:rPr>
          <w:rFonts w:hint="eastAsia" w:ascii="宋体" w:hAnsi="宋体" w:eastAsia="宋体" w:cs="宋体"/>
          <w:b w:val="0"/>
          <w:bCs w:val="0"/>
          <w:color w:val="auto"/>
          <w:kern w:val="2"/>
          <w:sz w:val="21"/>
          <w:szCs w:val="20"/>
          <w:lang w:val="en-US" w:eastAsia="zh-CN"/>
        </w:rPr>
        <w:t>2200</w:t>
      </w:r>
      <w:r>
        <w:rPr>
          <w:rFonts w:hint="eastAsia" w:ascii="宋体" w:hAnsi="宋体" w:eastAsia="宋体" w:cs="宋体"/>
          <w:b w:val="0"/>
          <w:bCs w:val="0"/>
          <w:color w:val="auto"/>
          <w:kern w:val="2"/>
          <w:sz w:val="21"/>
          <w:szCs w:val="20"/>
        </w:rPr>
        <w:t>万元以上业绩合同）</w:t>
      </w:r>
      <w:r>
        <w:rPr>
          <w:rFonts w:hint="eastAsia" w:ascii="宋体" w:hAnsi="宋体" w:eastAsia="宋体" w:cs="宋体"/>
          <w:b w:val="0"/>
          <w:bCs w:val="0"/>
          <w:kern w:val="2"/>
          <w:sz w:val="21"/>
          <w:szCs w:val="20"/>
        </w:rPr>
        <w:t>，业绩以合同签订日期为准。</w:t>
      </w:r>
    </w:p>
    <w:p>
      <w:pPr>
        <w:spacing w:line="400" w:lineRule="exact"/>
        <w:ind w:firstLine="420" w:firstLineChars="200"/>
        <w:rPr>
          <w:rFonts w:ascii="宋体" w:hAnsi="宋体" w:cs="宋体"/>
        </w:rPr>
      </w:pPr>
      <w:r>
        <w:rPr>
          <w:rFonts w:hint="eastAsia" w:ascii="宋体" w:hAnsi="宋体" w:cs="宋体"/>
        </w:rPr>
        <w:t>4.7保密要求：投标人保密机构设置齐全，保密制度措施完善，无保密管理不良信誉记录，不接受“三资”企业或有外资参与的企业，企业背景清澈。</w:t>
      </w:r>
    </w:p>
    <w:p>
      <w:pPr>
        <w:spacing w:line="400" w:lineRule="exact"/>
        <w:ind w:firstLine="420" w:firstLineChars="200"/>
        <w:rPr>
          <w:rFonts w:ascii="宋体" w:hAnsi="宋体" w:cs="宋体"/>
        </w:rPr>
      </w:pPr>
      <w:r>
        <w:rPr>
          <w:rFonts w:hint="eastAsia" w:ascii="宋体" w:hAnsi="宋体" w:cs="宋体"/>
        </w:rPr>
        <w:t>4.8服务团队要求：</w:t>
      </w:r>
    </w:p>
    <w:p>
      <w:pPr>
        <w:spacing w:line="400" w:lineRule="exact"/>
        <w:ind w:firstLine="420" w:firstLineChars="200"/>
        <w:rPr>
          <w:rFonts w:ascii="宋体" w:hAnsi="宋体" w:cs="宋体"/>
        </w:rPr>
      </w:pPr>
      <w:r>
        <w:rPr>
          <w:rFonts w:hint="eastAsia" w:ascii="宋体" w:hAnsi="宋体" w:cs="宋体"/>
          <w:szCs w:val="22"/>
        </w:rPr>
        <w:t>（1）总咨询师：1人，具备</w:t>
      </w:r>
      <w:r>
        <w:rPr>
          <w:rFonts w:hint="eastAsia"/>
        </w:rPr>
        <w:t>一级注册建筑师或一级注册结构工程师或国家注册监理工程师（房屋建筑工程）或一级注</w:t>
      </w:r>
      <w:r>
        <w:rPr>
          <w:rFonts w:hint="eastAsia" w:ascii="宋体" w:hAnsi="宋体" w:cs="宋体"/>
        </w:rPr>
        <w:t>册建造师（建筑工程或市政公用工程）或一级注册造价工程师（或原国家注册造价工程师）（土木建筑工程）执业资格，具有工程类或工程经济类高级及以上职称，有5年及以上类似工程管理经验。</w:t>
      </w:r>
    </w:p>
    <w:p>
      <w:pPr>
        <w:spacing w:line="400" w:lineRule="exact"/>
        <w:ind w:firstLine="420" w:firstLineChars="200"/>
        <w:rPr>
          <w:rFonts w:ascii="宋体" w:hAnsi="宋体" w:cs="宋体"/>
          <w:szCs w:val="22"/>
        </w:rPr>
      </w:pPr>
      <w:r>
        <w:rPr>
          <w:rFonts w:hint="eastAsia" w:ascii="宋体" w:hAnsi="宋体" w:cs="宋体"/>
        </w:rPr>
        <w:t>（2）副总咨询师：1人，</w:t>
      </w:r>
      <w:r>
        <w:rPr>
          <w:rFonts w:hint="eastAsia" w:ascii="宋体" w:hAnsi="宋体" w:cs="宋体"/>
          <w:szCs w:val="22"/>
        </w:rPr>
        <w:t>具备</w:t>
      </w:r>
      <w:r>
        <w:rPr>
          <w:rFonts w:hint="eastAsia"/>
        </w:rPr>
        <w:t>一级注册建筑师或一级注册结构工程师或国家注册监理工程师（房屋建筑工程）或一级注</w:t>
      </w:r>
      <w:r>
        <w:rPr>
          <w:rFonts w:hint="eastAsia" w:ascii="宋体" w:hAnsi="宋体" w:cs="宋体"/>
        </w:rPr>
        <w:t>册建造师（建筑工程或市政公用工程）或一级注册造价工程师（或原国家注册造价工程师）（土木建筑工程）执业资格，具有工程类或工程经济类高级及以上职称，有5年及以上类似工程管理经验</w:t>
      </w:r>
      <w:r>
        <w:rPr>
          <w:rFonts w:hint="eastAsia" w:ascii="宋体" w:hAnsi="宋体" w:cs="宋体"/>
          <w:szCs w:val="22"/>
        </w:rPr>
        <w:t>。</w:t>
      </w:r>
    </w:p>
    <w:p>
      <w:pPr>
        <w:spacing w:line="400" w:lineRule="exact"/>
        <w:ind w:firstLine="420" w:firstLineChars="200"/>
        <w:rPr>
          <w:rFonts w:ascii="宋体" w:hAnsi="宋体" w:cs="宋体"/>
          <w:szCs w:val="22"/>
        </w:rPr>
      </w:pPr>
      <w:r>
        <w:rPr>
          <w:rFonts w:hint="eastAsia" w:ascii="宋体" w:hAnsi="宋体" w:cs="宋体"/>
          <w:szCs w:val="22"/>
        </w:rPr>
        <w:t>（3）勘察设计负责人：1人，具备一级注册建筑师</w:t>
      </w:r>
      <w:r>
        <w:rPr>
          <w:rFonts w:hint="eastAsia" w:ascii="宋体" w:hAnsi="宋体" w:cs="宋体"/>
        </w:rPr>
        <w:t>执业资格</w:t>
      </w:r>
      <w:r>
        <w:rPr>
          <w:rFonts w:hint="eastAsia" w:ascii="宋体" w:hAnsi="宋体" w:cs="宋体"/>
          <w:szCs w:val="22"/>
        </w:rPr>
        <w:t>，有3年及以上类似工程管理经验，具有中级及以上职称。</w:t>
      </w:r>
    </w:p>
    <w:p>
      <w:pPr>
        <w:spacing w:line="400" w:lineRule="exact"/>
        <w:ind w:firstLine="420" w:firstLineChars="200"/>
        <w:rPr>
          <w:rFonts w:ascii="宋体" w:hAnsi="宋体" w:cs="宋体"/>
          <w:szCs w:val="22"/>
        </w:rPr>
      </w:pPr>
      <w:r>
        <w:rPr>
          <w:rFonts w:hint="eastAsia" w:ascii="宋体" w:hAnsi="宋体" w:cs="宋体"/>
          <w:szCs w:val="22"/>
        </w:rPr>
        <w:t>（4）造价负责人：1人，具备一级注册造价工程师（或原国家注册造价工程师）（土木建筑工程）</w:t>
      </w:r>
      <w:r>
        <w:rPr>
          <w:rFonts w:hint="eastAsia" w:ascii="宋体" w:hAnsi="宋体" w:cs="宋体"/>
        </w:rPr>
        <w:t>执业资格</w:t>
      </w:r>
      <w:r>
        <w:rPr>
          <w:rFonts w:hint="eastAsia" w:ascii="宋体" w:hAnsi="宋体" w:cs="宋体"/>
          <w:szCs w:val="22"/>
        </w:rPr>
        <w:t>，具有中级及以上职称，有3年及以上类似工程管理经验。</w:t>
      </w:r>
    </w:p>
    <w:p>
      <w:pPr>
        <w:spacing w:line="400" w:lineRule="exact"/>
        <w:ind w:firstLine="420" w:firstLineChars="200"/>
        <w:rPr>
          <w:rFonts w:hint="eastAsia" w:ascii="宋体" w:hAnsi="宋体" w:cs="宋体"/>
          <w:bCs/>
        </w:rPr>
      </w:pPr>
      <w:r>
        <w:rPr>
          <w:rFonts w:hint="eastAsia" w:ascii="宋体" w:hAnsi="宋体" w:cs="宋体"/>
          <w:szCs w:val="22"/>
        </w:rPr>
        <w:t>（5）监理负责人</w:t>
      </w:r>
      <w:r>
        <w:rPr>
          <w:rFonts w:hint="eastAsia"/>
        </w:rPr>
        <w:t>：1人，具备国家注册监理工程师（房屋建筑工程）</w:t>
      </w:r>
      <w:r>
        <w:rPr>
          <w:rFonts w:hint="eastAsia" w:ascii="宋体" w:hAnsi="宋体" w:cs="宋体"/>
        </w:rPr>
        <w:t>执业资格</w:t>
      </w:r>
      <w:r>
        <w:rPr>
          <w:rFonts w:hint="eastAsia"/>
        </w:rPr>
        <w:t>，具有中级及以上职称,具有类似项目总监理工程师</w:t>
      </w:r>
      <w:r>
        <w:rPr>
          <w:rFonts w:hint="eastAsia" w:ascii="宋体" w:hAnsi="宋体" w:cs="宋体"/>
          <w:bCs/>
        </w:rPr>
        <w:t>经历，不允许设总监理工程师代表。</w:t>
      </w:r>
    </w:p>
    <w:p>
      <w:pPr>
        <w:spacing w:line="400" w:lineRule="exact"/>
        <w:ind w:firstLine="420" w:firstLineChars="200"/>
        <w:rPr>
          <w:rFonts w:hint="default" w:ascii="宋体" w:hAnsi="宋体" w:cs="宋体"/>
          <w:szCs w:val="22"/>
          <w:lang w:val="en-US" w:eastAsia="zh-CN"/>
        </w:rPr>
      </w:pPr>
      <w:r>
        <w:rPr>
          <w:rFonts w:hint="eastAsia" w:ascii="宋体" w:hAnsi="宋体" w:cs="宋体"/>
          <w:szCs w:val="22"/>
          <w:lang w:eastAsia="zh-CN"/>
        </w:rPr>
        <w:t>（</w:t>
      </w:r>
      <w:r>
        <w:rPr>
          <w:rFonts w:hint="eastAsia" w:ascii="宋体" w:hAnsi="宋体" w:cs="宋体"/>
          <w:szCs w:val="22"/>
          <w:lang w:val="en-US" w:eastAsia="zh-CN"/>
        </w:rPr>
        <w:t>6</w:t>
      </w:r>
      <w:r>
        <w:rPr>
          <w:rFonts w:hint="eastAsia" w:ascii="宋体" w:hAnsi="宋体" w:cs="宋体"/>
          <w:szCs w:val="22"/>
          <w:lang w:eastAsia="zh-CN"/>
        </w:rPr>
        <w:t>）</w:t>
      </w:r>
      <w:r>
        <w:rPr>
          <w:rFonts w:hint="eastAsia" w:ascii="宋体" w:hAnsi="宋体" w:cs="宋体"/>
          <w:szCs w:val="22"/>
          <w:lang w:val="en-US" w:eastAsia="zh-CN"/>
        </w:rPr>
        <w:t>投标人已在广州交易集团有限公司（广州公共资源交易中心）办理企业信息登记，本项目负责人是本企业在广州交易集团有限公司（广州公共资源交易中心）企业信息登记中的在册人员。</w:t>
      </w:r>
    </w:p>
    <w:p>
      <w:pPr>
        <w:spacing w:line="400" w:lineRule="exact"/>
        <w:ind w:firstLine="420" w:firstLineChars="200"/>
        <w:rPr>
          <w:rFonts w:ascii="宋体" w:hAnsi="宋体" w:cs="宋体"/>
        </w:rPr>
      </w:pPr>
      <w:r>
        <w:rPr>
          <w:rFonts w:hint="eastAsia" w:ascii="宋体" w:hAnsi="宋体" w:cs="宋体"/>
          <w:szCs w:val="22"/>
        </w:rPr>
        <w:t>注：上述人员需提供资格证书、以及类似工程管理经验年限的</w:t>
      </w:r>
      <w:r>
        <w:rPr>
          <w:rFonts w:hint="eastAsia" w:ascii="宋体" w:hAnsi="宋体" w:cs="宋体"/>
        </w:rPr>
        <w:t>相关承诺书。</w:t>
      </w:r>
    </w:p>
    <w:p>
      <w:pPr>
        <w:spacing w:line="400" w:lineRule="exact"/>
        <w:ind w:firstLine="422" w:firstLineChars="200"/>
        <w:rPr>
          <w:rFonts w:ascii="宋体" w:hAnsi="宋体" w:cs="宋体"/>
          <w:b/>
          <w:bCs/>
        </w:rPr>
      </w:pPr>
      <w:r>
        <w:rPr>
          <w:rFonts w:hint="eastAsia" w:ascii="宋体" w:hAnsi="宋体" w:cs="宋体"/>
          <w:b/>
          <w:bCs/>
        </w:rPr>
        <w:t>五、</w:t>
      </w:r>
      <w:r>
        <w:rPr>
          <w:rFonts w:hint="eastAsia" w:ascii="宋体" w:hAnsi="宋体" w:cs="宋体"/>
          <w:b/>
          <w:bCs/>
          <w:lang w:val="en-US" w:eastAsia="zh-CN"/>
        </w:rPr>
        <w:t>获取</w:t>
      </w:r>
      <w:r>
        <w:rPr>
          <w:rFonts w:hint="eastAsia" w:ascii="宋体" w:hAnsi="宋体" w:cs="宋体"/>
          <w:b/>
          <w:bCs/>
        </w:rPr>
        <w:t>招标文件的时间期限、地点、方式及售价</w:t>
      </w:r>
    </w:p>
    <w:p>
      <w:pPr>
        <w:spacing w:line="400" w:lineRule="exact"/>
        <w:ind w:firstLine="420" w:firstLineChars="200"/>
        <w:rPr>
          <w:rFonts w:hint="eastAsia" w:ascii="宋体" w:hAnsi="宋体" w:cs="宋体"/>
        </w:rPr>
      </w:pPr>
      <w:r>
        <w:rPr>
          <w:rFonts w:hint="eastAsia" w:ascii="宋体" w:hAnsi="宋体" w:cs="宋体"/>
          <w:lang w:eastAsia="zh-CN"/>
        </w:rPr>
        <w:t>（</w:t>
      </w:r>
      <w:r>
        <w:rPr>
          <w:rFonts w:hint="eastAsia" w:ascii="宋体" w:hAnsi="宋体" w:cs="宋体"/>
          <w:lang w:val="en-US" w:eastAsia="zh-CN"/>
        </w:rPr>
        <w:t>1</w:t>
      </w:r>
      <w:r>
        <w:rPr>
          <w:rFonts w:hint="eastAsia" w:ascii="宋体" w:hAnsi="宋体" w:cs="宋体"/>
          <w:lang w:eastAsia="zh-CN"/>
        </w:rPr>
        <w:t>）</w:t>
      </w:r>
      <w:r>
        <w:rPr>
          <w:rFonts w:hint="eastAsia" w:ascii="宋体" w:hAnsi="宋体" w:cs="宋体"/>
        </w:rPr>
        <w:t>凡有意参加投标者，请于 2025 年</w:t>
      </w:r>
      <w:r>
        <w:rPr>
          <w:rFonts w:hint="eastAsia" w:ascii="宋体" w:hAnsi="宋体" w:cs="宋体"/>
          <w:u w:val="single"/>
          <w:lang w:val="en-US" w:eastAsia="zh-CN"/>
        </w:rPr>
        <w:t xml:space="preserve"> 7 </w:t>
      </w:r>
      <w:r>
        <w:rPr>
          <w:rFonts w:hint="eastAsia" w:ascii="宋体" w:hAnsi="宋体" w:cs="宋体"/>
        </w:rPr>
        <w:t>月</w:t>
      </w:r>
      <w:r>
        <w:rPr>
          <w:rFonts w:hint="eastAsia" w:ascii="宋体" w:hAnsi="宋体" w:cs="宋体"/>
          <w:u w:val="single"/>
          <w:lang w:val="en-US" w:eastAsia="zh-CN"/>
        </w:rPr>
        <w:t xml:space="preserve"> 9 </w:t>
      </w:r>
      <w:r>
        <w:rPr>
          <w:rFonts w:hint="eastAsia" w:ascii="宋体" w:hAnsi="宋体" w:cs="宋体"/>
        </w:rPr>
        <w:t>日</w:t>
      </w:r>
      <w:r>
        <w:rPr>
          <w:rFonts w:hint="eastAsia" w:ascii="宋体" w:hAnsi="宋体" w:cs="宋体"/>
          <w:u w:val="single"/>
        </w:rPr>
        <w:t xml:space="preserve"> </w:t>
      </w:r>
      <w:r>
        <w:rPr>
          <w:rFonts w:hint="eastAsia" w:ascii="宋体" w:hAnsi="宋体" w:cs="宋体"/>
          <w:u w:val="single"/>
          <w:lang w:val="en-US" w:eastAsia="zh-CN"/>
        </w:rPr>
        <w:t xml:space="preserve">17 </w:t>
      </w:r>
      <w:r>
        <w:rPr>
          <w:rFonts w:hint="eastAsia" w:ascii="宋体" w:hAnsi="宋体" w:cs="宋体"/>
        </w:rPr>
        <w:t>时</w:t>
      </w:r>
      <w:r>
        <w:rPr>
          <w:rFonts w:hint="eastAsia" w:ascii="宋体" w:hAnsi="宋体" w:cs="宋体"/>
          <w:u w:val="single"/>
        </w:rPr>
        <w:t xml:space="preserve"> </w:t>
      </w:r>
      <w:r>
        <w:rPr>
          <w:rFonts w:hint="eastAsia" w:ascii="宋体" w:hAnsi="宋体" w:cs="宋体"/>
          <w:u w:val="single"/>
          <w:lang w:val="en-US" w:eastAsia="zh-CN"/>
        </w:rPr>
        <w:t xml:space="preserve">00 </w:t>
      </w:r>
      <w:r>
        <w:rPr>
          <w:rFonts w:hint="eastAsia" w:ascii="宋体" w:hAnsi="宋体" w:cs="宋体"/>
        </w:rPr>
        <w:t>分至2025 年</w:t>
      </w:r>
      <w:r>
        <w:rPr>
          <w:rFonts w:hint="eastAsia" w:ascii="宋体" w:hAnsi="宋体" w:cs="宋体"/>
          <w:u w:val="single"/>
          <w:lang w:val="en-US" w:eastAsia="zh-CN"/>
        </w:rPr>
        <w:t xml:space="preserve">  7 </w:t>
      </w:r>
      <w:r>
        <w:rPr>
          <w:rFonts w:hint="eastAsia" w:ascii="宋体" w:hAnsi="宋体" w:cs="宋体"/>
        </w:rPr>
        <w:t>月</w:t>
      </w:r>
      <w:r>
        <w:rPr>
          <w:rFonts w:hint="eastAsia" w:ascii="宋体" w:hAnsi="宋体" w:cs="宋体"/>
          <w:u w:val="single"/>
          <w:lang w:val="en-US" w:eastAsia="zh-CN"/>
        </w:rPr>
        <w:t xml:space="preserve"> 31  </w:t>
      </w:r>
      <w:r>
        <w:rPr>
          <w:rFonts w:hint="eastAsia" w:ascii="宋体" w:hAnsi="宋体" w:cs="宋体"/>
        </w:rPr>
        <w:t>日</w:t>
      </w:r>
      <w:r>
        <w:rPr>
          <w:rFonts w:hint="eastAsia" w:ascii="宋体" w:hAnsi="宋体" w:cs="宋体"/>
          <w:u w:val="single"/>
          <w:lang w:val="en-US" w:eastAsia="zh-CN"/>
        </w:rPr>
        <w:t xml:space="preserve"> 10</w:t>
      </w:r>
      <w:r>
        <w:rPr>
          <w:rFonts w:hint="eastAsia" w:ascii="宋体" w:hAnsi="宋体" w:cs="宋体"/>
        </w:rPr>
        <w:t>时</w:t>
      </w:r>
      <w:r>
        <w:rPr>
          <w:rFonts w:hint="eastAsia" w:ascii="宋体" w:hAnsi="宋体" w:cs="宋体"/>
          <w:u w:val="single"/>
          <w:lang w:val="en-US" w:eastAsia="zh-CN"/>
        </w:rPr>
        <w:t xml:space="preserve"> 00 </w:t>
      </w:r>
      <w:r>
        <w:rPr>
          <w:rFonts w:hint="eastAsia" w:ascii="宋体" w:hAnsi="宋体" w:cs="宋体"/>
        </w:rPr>
        <w:t>分（北京时间，下同），登录广州交易集团有限公司（广州公共资源交易中心）网站（网址：http：//www.gzggzy.cn）下载电子招标文件。</w:t>
      </w:r>
    </w:p>
    <w:p>
      <w:pPr>
        <w:spacing w:line="400" w:lineRule="exact"/>
        <w:ind w:firstLine="420" w:firstLineChars="200"/>
        <w:rPr>
          <w:rFonts w:hint="eastAsia" w:ascii="宋体" w:hAnsi="宋体" w:cs="宋体"/>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cs="宋体"/>
        </w:rPr>
        <w:t>招标文件售价：0元</w:t>
      </w:r>
    </w:p>
    <w:p>
      <w:pPr>
        <w:spacing w:line="400" w:lineRule="exact"/>
        <w:ind w:firstLine="422" w:firstLineChars="200"/>
        <w:rPr>
          <w:rFonts w:ascii="宋体" w:hAnsi="宋体" w:cs="宋体"/>
        </w:rPr>
      </w:pPr>
      <w:r>
        <w:rPr>
          <w:rFonts w:hint="eastAsia" w:ascii="宋体" w:hAnsi="宋体" w:cs="宋体"/>
          <w:b/>
          <w:bCs/>
        </w:rPr>
        <w:t>六、投标文件递交时间及地点</w:t>
      </w:r>
    </w:p>
    <w:p>
      <w:pPr>
        <w:spacing w:line="400" w:lineRule="exact"/>
        <w:ind w:firstLine="420" w:firstLineChars="200"/>
        <w:rPr>
          <w:rFonts w:ascii="宋体" w:hAnsi="宋体" w:cs="宋体"/>
        </w:rPr>
      </w:pPr>
      <w:r>
        <w:rPr>
          <w:rFonts w:hint="eastAsia" w:ascii="宋体" w:hAnsi="宋体" w:cs="宋体"/>
        </w:rPr>
        <w:t>6.1递交截止时间</w:t>
      </w:r>
    </w:p>
    <w:p>
      <w:pPr>
        <w:numPr>
          <w:ilvl w:val="0"/>
          <w:numId w:val="1"/>
        </w:numPr>
        <w:spacing w:line="400" w:lineRule="exact"/>
        <w:ind w:firstLine="420" w:firstLineChars="200"/>
        <w:rPr>
          <w:rFonts w:hint="eastAsia" w:ascii="宋体" w:hAnsi="宋体" w:cs="宋体"/>
          <w:lang w:eastAsia="zh-CN"/>
        </w:rPr>
      </w:pPr>
      <w:r>
        <w:rPr>
          <w:rFonts w:hint="eastAsia" w:ascii="宋体" w:hAnsi="宋体" w:cs="宋体"/>
          <w:lang w:eastAsia="zh-CN"/>
        </w:rPr>
        <w:t>发布招标公告时间（含本日）</w:t>
      </w:r>
      <w:r>
        <w:rPr>
          <w:rFonts w:hint="eastAsia" w:ascii="宋体" w:hAnsi="宋体" w:cs="宋体"/>
          <w:u w:val="none"/>
          <w:lang w:eastAsia="zh-CN"/>
        </w:rPr>
        <w:t>：</w:t>
      </w:r>
      <w:r>
        <w:rPr>
          <w:rFonts w:hint="eastAsia" w:ascii="宋体" w:hAnsi="宋体" w:cs="宋体"/>
        </w:rPr>
        <w:t xml:space="preserve"> 2025 年</w:t>
      </w:r>
      <w:r>
        <w:rPr>
          <w:rFonts w:hint="eastAsia" w:ascii="宋体" w:hAnsi="宋体" w:cs="宋体"/>
          <w:u w:val="single"/>
          <w:lang w:val="en-US" w:eastAsia="zh-CN"/>
        </w:rPr>
        <w:t xml:space="preserve"> 7 </w:t>
      </w:r>
      <w:r>
        <w:rPr>
          <w:rFonts w:hint="eastAsia" w:ascii="宋体" w:hAnsi="宋体" w:cs="宋体"/>
        </w:rPr>
        <w:t>月</w:t>
      </w:r>
      <w:r>
        <w:rPr>
          <w:rFonts w:hint="eastAsia" w:ascii="宋体" w:hAnsi="宋体" w:cs="宋体"/>
          <w:u w:val="single"/>
          <w:lang w:val="en-US" w:eastAsia="zh-CN"/>
        </w:rPr>
        <w:t xml:space="preserve"> 9 </w:t>
      </w:r>
      <w:r>
        <w:rPr>
          <w:rFonts w:hint="eastAsia" w:ascii="宋体" w:hAnsi="宋体" w:cs="宋体"/>
        </w:rPr>
        <w:t>日</w:t>
      </w:r>
      <w:r>
        <w:rPr>
          <w:rFonts w:hint="eastAsia" w:ascii="宋体" w:hAnsi="宋体" w:cs="宋体"/>
          <w:u w:val="single"/>
        </w:rPr>
        <w:t xml:space="preserve"> </w:t>
      </w:r>
      <w:r>
        <w:rPr>
          <w:rFonts w:hint="eastAsia" w:ascii="宋体" w:hAnsi="宋体" w:cs="宋体"/>
          <w:u w:val="single"/>
          <w:lang w:val="en-US" w:eastAsia="zh-CN"/>
        </w:rPr>
        <w:t xml:space="preserve">17 </w:t>
      </w:r>
      <w:r>
        <w:rPr>
          <w:rFonts w:hint="eastAsia" w:ascii="宋体" w:hAnsi="宋体" w:cs="宋体"/>
        </w:rPr>
        <w:t>时</w:t>
      </w:r>
      <w:r>
        <w:rPr>
          <w:rFonts w:hint="eastAsia" w:ascii="宋体" w:hAnsi="宋体" w:cs="宋体"/>
          <w:u w:val="single"/>
        </w:rPr>
        <w:t xml:space="preserve"> </w:t>
      </w:r>
      <w:r>
        <w:rPr>
          <w:rFonts w:hint="eastAsia" w:ascii="宋体" w:hAnsi="宋体" w:cs="宋体"/>
          <w:u w:val="single"/>
          <w:lang w:val="en-US" w:eastAsia="zh-CN"/>
        </w:rPr>
        <w:t xml:space="preserve">00 </w:t>
      </w:r>
      <w:r>
        <w:rPr>
          <w:rFonts w:hint="eastAsia" w:ascii="宋体" w:hAnsi="宋体" w:cs="宋体"/>
        </w:rPr>
        <w:t>分至2025 年</w:t>
      </w:r>
      <w:r>
        <w:rPr>
          <w:rFonts w:hint="eastAsia" w:ascii="宋体" w:hAnsi="宋体" w:cs="宋体"/>
          <w:u w:val="single"/>
          <w:lang w:val="en-US" w:eastAsia="zh-CN"/>
        </w:rPr>
        <w:t xml:space="preserve">  7 </w:t>
      </w:r>
      <w:r>
        <w:rPr>
          <w:rFonts w:hint="eastAsia" w:ascii="宋体" w:hAnsi="宋体" w:cs="宋体"/>
        </w:rPr>
        <w:t>月</w:t>
      </w:r>
      <w:r>
        <w:rPr>
          <w:rFonts w:hint="eastAsia" w:ascii="宋体" w:hAnsi="宋体" w:cs="宋体"/>
          <w:u w:val="single"/>
          <w:lang w:val="en-US" w:eastAsia="zh-CN"/>
        </w:rPr>
        <w:t xml:space="preserve"> 31  </w:t>
      </w:r>
      <w:r>
        <w:rPr>
          <w:rFonts w:hint="eastAsia" w:ascii="宋体" w:hAnsi="宋体" w:cs="宋体"/>
        </w:rPr>
        <w:t>日</w:t>
      </w:r>
      <w:r>
        <w:rPr>
          <w:rFonts w:hint="eastAsia" w:ascii="宋体" w:hAnsi="宋体" w:cs="宋体"/>
          <w:u w:val="single"/>
          <w:lang w:val="en-US" w:eastAsia="zh-CN"/>
        </w:rPr>
        <w:t xml:space="preserve"> 10</w:t>
      </w:r>
      <w:r>
        <w:rPr>
          <w:rFonts w:hint="eastAsia" w:ascii="宋体" w:hAnsi="宋体" w:cs="宋体"/>
        </w:rPr>
        <w:t>时</w:t>
      </w:r>
      <w:r>
        <w:rPr>
          <w:rFonts w:hint="eastAsia" w:ascii="宋体" w:hAnsi="宋体" w:cs="宋体"/>
          <w:u w:val="single"/>
          <w:lang w:val="en-US" w:eastAsia="zh-CN"/>
        </w:rPr>
        <w:t xml:space="preserve"> 00 </w:t>
      </w:r>
      <w:r>
        <w:rPr>
          <w:rFonts w:hint="eastAsia" w:ascii="宋体" w:hAnsi="宋体" w:cs="宋体"/>
        </w:rPr>
        <w:t>分</w:t>
      </w:r>
      <w:r>
        <w:rPr>
          <w:rFonts w:hint="eastAsia" w:ascii="宋体" w:hAnsi="宋体" w:cs="宋体"/>
          <w:lang w:eastAsia="zh-CN"/>
        </w:rPr>
        <w:t>。注：发布招标公告的时间为招标公告发出之日起至递交投标文件截止时间止。</w:t>
      </w:r>
    </w:p>
    <w:p>
      <w:pPr>
        <w:numPr>
          <w:ilvl w:val="0"/>
          <w:numId w:val="1"/>
        </w:numPr>
        <w:spacing w:line="400" w:lineRule="exact"/>
        <w:ind w:firstLine="420" w:firstLineChars="200"/>
        <w:rPr>
          <w:rFonts w:ascii="宋体" w:hAnsi="宋体" w:cs="宋体"/>
          <w:szCs w:val="22"/>
        </w:rPr>
      </w:pPr>
      <w:r>
        <w:rPr>
          <w:rFonts w:hint="eastAsia" w:ascii="宋体" w:hAnsi="宋体" w:cs="宋体"/>
          <w:lang w:eastAsia="zh-CN"/>
        </w:rPr>
        <w:t xml:space="preserve"> 递交投标文件时间：</w:t>
      </w:r>
      <w:r>
        <w:rPr>
          <w:rFonts w:hint="eastAsia" w:ascii="宋体" w:hAnsi="宋体" w:cs="宋体"/>
          <w:u w:val="single"/>
        </w:rPr>
        <w:t xml:space="preserve">2025 </w:t>
      </w:r>
      <w:r>
        <w:rPr>
          <w:rFonts w:hint="eastAsia" w:ascii="宋体" w:hAnsi="宋体" w:cs="宋体"/>
        </w:rPr>
        <w:t>年</w:t>
      </w:r>
      <w:r>
        <w:rPr>
          <w:rFonts w:hint="eastAsia" w:ascii="宋体" w:hAnsi="宋体" w:cs="宋体"/>
          <w:u w:val="single"/>
          <w:lang w:val="en-US" w:eastAsia="zh-CN"/>
        </w:rPr>
        <w:t xml:space="preserve">  7 </w:t>
      </w:r>
      <w:r>
        <w:rPr>
          <w:rFonts w:hint="eastAsia" w:ascii="宋体" w:hAnsi="宋体" w:cs="宋体"/>
        </w:rPr>
        <w:t>月</w:t>
      </w:r>
      <w:r>
        <w:rPr>
          <w:rFonts w:hint="eastAsia" w:ascii="宋体" w:hAnsi="宋体" w:cs="宋体"/>
          <w:u w:val="single"/>
          <w:lang w:val="en-US" w:eastAsia="zh-CN"/>
        </w:rPr>
        <w:t xml:space="preserve"> 31 </w:t>
      </w:r>
      <w:r>
        <w:rPr>
          <w:rFonts w:hint="eastAsia" w:ascii="宋体" w:hAnsi="宋体" w:cs="宋体"/>
        </w:rPr>
        <w:t>日</w:t>
      </w:r>
      <w:r>
        <w:rPr>
          <w:rFonts w:hint="eastAsia" w:ascii="宋体" w:hAnsi="宋体" w:cs="宋体"/>
          <w:u w:val="single"/>
        </w:rPr>
        <w:t xml:space="preserve"> </w:t>
      </w:r>
      <w:r>
        <w:rPr>
          <w:rFonts w:hint="eastAsia" w:ascii="宋体" w:hAnsi="宋体" w:cs="宋体"/>
          <w:u w:val="single"/>
          <w:lang w:val="en-US" w:eastAsia="zh-CN"/>
        </w:rPr>
        <w:t xml:space="preserve">10  </w:t>
      </w:r>
      <w:r>
        <w:rPr>
          <w:rFonts w:hint="eastAsia" w:ascii="宋体" w:hAnsi="宋体" w:cs="宋体"/>
        </w:rPr>
        <w:t>时</w:t>
      </w:r>
      <w:r>
        <w:rPr>
          <w:rFonts w:hint="eastAsia" w:ascii="宋体" w:hAnsi="宋体" w:cs="宋体"/>
          <w:lang w:eastAsia="zh-CN"/>
        </w:rPr>
        <w:t>。投标人通过广州交易集团有限公司（广州公共资源交易中心）网站（网址：https://www.gzggzy.cn/）交易平台递交电子投标文件。</w:t>
      </w:r>
    </w:p>
    <w:p>
      <w:pPr>
        <w:numPr>
          <w:ilvl w:val="0"/>
          <w:numId w:val="1"/>
        </w:numPr>
        <w:spacing w:line="400" w:lineRule="exact"/>
        <w:ind w:firstLine="420" w:firstLineChars="200"/>
        <w:rPr>
          <w:rFonts w:ascii="宋体" w:hAnsi="宋体" w:cs="宋体"/>
          <w:szCs w:val="22"/>
        </w:rPr>
      </w:pPr>
      <w:r>
        <w:rPr>
          <w:rFonts w:hint="eastAsia" w:ascii="宋体" w:hAnsi="宋体" w:cs="宋体"/>
          <w:lang w:eastAsia="zh-CN"/>
        </w:rPr>
        <w:t>投标人应在递交投标文件截止时间前，登录广州交易集团有限公司（广州公共资源交易中心）网站交易平台网站办理网上投标登记手续。按照交易平台关于全流程电子化项目的相关指南进行操作。详见：广州交易集团有限公司（广州公共资源交易中心）网站首页-服务指南。</w:t>
      </w:r>
    </w:p>
    <w:p>
      <w:pPr>
        <w:numPr>
          <w:ilvl w:val="0"/>
          <w:numId w:val="1"/>
        </w:numPr>
        <w:spacing w:line="400" w:lineRule="exact"/>
        <w:ind w:firstLine="420" w:firstLineChars="200"/>
        <w:rPr>
          <w:rFonts w:ascii="宋体" w:hAnsi="宋体" w:cs="宋体"/>
          <w:szCs w:val="22"/>
        </w:rPr>
      </w:pPr>
      <w:r>
        <w:rPr>
          <w:rFonts w:hint="eastAsia" w:ascii="宋体" w:hAnsi="宋体" w:cs="宋体"/>
          <w:lang w:eastAsia="zh-CN"/>
        </w:rPr>
        <w:t>开标时间：</w:t>
      </w:r>
      <w:r>
        <w:rPr>
          <w:rFonts w:hint="eastAsia" w:ascii="宋体" w:hAnsi="宋体" w:cs="宋体"/>
          <w:u w:val="single"/>
        </w:rPr>
        <w:t xml:space="preserve">2025 </w:t>
      </w:r>
      <w:r>
        <w:rPr>
          <w:rFonts w:hint="eastAsia" w:ascii="宋体" w:hAnsi="宋体" w:cs="宋体"/>
        </w:rPr>
        <w:t>年</w:t>
      </w:r>
      <w:r>
        <w:rPr>
          <w:rFonts w:hint="eastAsia" w:ascii="宋体" w:hAnsi="宋体" w:cs="宋体"/>
          <w:u w:val="single"/>
          <w:lang w:val="en-US" w:eastAsia="zh-CN"/>
        </w:rPr>
        <w:t xml:space="preserve">  7 </w:t>
      </w:r>
      <w:r>
        <w:rPr>
          <w:rFonts w:hint="eastAsia" w:ascii="宋体" w:hAnsi="宋体" w:cs="宋体"/>
        </w:rPr>
        <w:t>月</w:t>
      </w:r>
      <w:r>
        <w:rPr>
          <w:rFonts w:hint="eastAsia" w:ascii="宋体" w:hAnsi="宋体" w:cs="宋体"/>
          <w:u w:val="single"/>
          <w:lang w:val="en-US" w:eastAsia="zh-CN"/>
        </w:rPr>
        <w:t xml:space="preserve"> 31 </w:t>
      </w:r>
      <w:r>
        <w:rPr>
          <w:rFonts w:hint="eastAsia" w:ascii="宋体" w:hAnsi="宋体" w:cs="宋体"/>
        </w:rPr>
        <w:t>日</w:t>
      </w:r>
      <w:r>
        <w:rPr>
          <w:rFonts w:hint="eastAsia" w:ascii="宋体" w:hAnsi="宋体" w:cs="宋体"/>
          <w:u w:val="single"/>
        </w:rPr>
        <w:t xml:space="preserve"> </w:t>
      </w:r>
      <w:r>
        <w:rPr>
          <w:rFonts w:hint="eastAsia" w:ascii="宋体" w:hAnsi="宋体" w:cs="宋体"/>
          <w:u w:val="single"/>
          <w:lang w:val="en-US" w:eastAsia="zh-CN"/>
        </w:rPr>
        <w:t xml:space="preserve">10  </w:t>
      </w:r>
      <w:r>
        <w:rPr>
          <w:rFonts w:hint="eastAsia" w:ascii="宋体" w:hAnsi="宋体" w:cs="宋体"/>
        </w:rPr>
        <w:t>时</w:t>
      </w:r>
      <w:r>
        <w:rPr>
          <w:rFonts w:hint="eastAsia" w:ascii="宋体" w:hAnsi="宋体" w:cs="宋体"/>
          <w:lang w:eastAsia="zh-CN"/>
        </w:rPr>
        <w:t>。地点：广州交易集团有限公司（广州公共资源交易中心）第</w:t>
      </w:r>
      <w:r>
        <w:rPr>
          <w:rFonts w:hint="eastAsia" w:ascii="宋体" w:hAnsi="宋体" w:cs="宋体"/>
          <w:u w:val="single"/>
          <w:lang w:val="en-US" w:eastAsia="zh-CN"/>
        </w:rPr>
        <w:t xml:space="preserve"> 06 </w:t>
      </w:r>
      <w:r>
        <w:rPr>
          <w:rFonts w:hint="eastAsia" w:ascii="宋体" w:hAnsi="宋体" w:cs="宋体"/>
          <w:lang w:eastAsia="zh-CN"/>
        </w:rPr>
        <w:t>开标室。投标人也可选择参加在线开标，具体按照广州交易集团有限公司（广州公共资源交易中心）相关指南进行操作。详见：http：//www.gzggzy.cn/fwznbszyjsgc/index.jhtml。</w:t>
      </w:r>
    </w:p>
    <w:p>
      <w:pPr>
        <w:spacing w:line="400" w:lineRule="exact"/>
        <w:ind w:firstLine="422" w:firstLineChars="200"/>
        <w:rPr>
          <w:rFonts w:hint="eastAsia" w:ascii="宋体" w:hAnsi="宋体" w:cs="宋体"/>
          <w:b/>
          <w:bCs/>
        </w:rPr>
      </w:pPr>
      <w:r>
        <w:rPr>
          <w:rFonts w:hint="eastAsia" w:ascii="宋体" w:hAnsi="宋体" w:cs="宋体"/>
          <w:b/>
          <w:bCs/>
        </w:rPr>
        <w:t>七、资格审查方式</w:t>
      </w:r>
    </w:p>
    <w:p>
      <w:pPr>
        <w:spacing w:line="400" w:lineRule="exact"/>
        <w:ind w:firstLine="420" w:firstLineChars="200"/>
        <w:rPr>
          <w:rFonts w:ascii="宋体" w:hAnsi="宋体" w:cs="宋体"/>
          <w:szCs w:val="22"/>
        </w:rPr>
      </w:pPr>
      <w:r>
        <w:rPr>
          <w:rFonts w:hint="eastAsia" w:ascii="宋体" w:hAnsi="宋体" w:cs="宋体"/>
          <w:szCs w:val="22"/>
        </w:rPr>
        <w:t>本招标项目采用资格后审方式进行资格审查。</w:t>
      </w:r>
    </w:p>
    <w:p>
      <w:pPr>
        <w:spacing w:line="400" w:lineRule="exact"/>
        <w:ind w:firstLine="422" w:firstLineChars="200"/>
        <w:rPr>
          <w:rFonts w:ascii="宋体" w:hAnsi="宋体" w:cs="宋体"/>
          <w:szCs w:val="22"/>
        </w:rPr>
      </w:pPr>
      <w:r>
        <w:rPr>
          <w:rFonts w:hint="eastAsia" w:ascii="宋体" w:hAnsi="宋体" w:cs="宋体"/>
          <w:b/>
          <w:bCs/>
          <w:szCs w:val="22"/>
        </w:rPr>
        <w:t>八、评标办法</w:t>
      </w:r>
    </w:p>
    <w:p>
      <w:pPr>
        <w:spacing w:line="400" w:lineRule="exact"/>
        <w:ind w:firstLine="420" w:firstLineChars="200"/>
        <w:rPr>
          <w:rFonts w:ascii="宋体" w:hAnsi="宋体" w:cs="宋体"/>
          <w:szCs w:val="22"/>
        </w:rPr>
      </w:pPr>
      <w:r>
        <w:rPr>
          <w:rFonts w:hint="eastAsia" w:ascii="宋体" w:hAnsi="宋体" w:cs="宋体"/>
          <w:szCs w:val="22"/>
        </w:rPr>
        <w:t>本招标项目评标办法采用综合评估法（见招标文件第三章“评标办法”）。</w:t>
      </w:r>
    </w:p>
    <w:p>
      <w:pPr>
        <w:spacing w:line="400" w:lineRule="exact"/>
        <w:ind w:firstLine="422" w:firstLineChars="200"/>
        <w:rPr>
          <w:rFonts w:ascii="宋体" w:hAnsi="宋体" w:cs="宋体"/>
          <w:b/>
          <w:bCs/>
        </w:rPr>
      </w:pPr>
      <w:r>
        <w:rPr>
          <w:rFonts w:hint="eastAsia" w:ascii="宋体" w:hAnsi="宋体" w:cs="宋体"/>
          <w:b/>
          <w:bCs/>
        </w:rPr>
        <w:t>九、开标时间及开标地点</w:t>
      </w:r>
    </w:p>
    <w:p>
      <w:pPr>
        <w:spacing w:line="400" w:lineRule="exact"/>
        <w:ind w:firstLine="420" w:firstLineChars="200"/>
        <w:rPr>
          <w:rFonts w:hint="eastAsia" w:ascii="宋体" w:hAnsi="宋体" w:cs="宋体"/>
          <w:lang w:eastAsia="zh-CN"/>
        </w:rPr>
      </w:pPr>
      <w:r>
        <w:rPr>
          <w:rFonts w:hint="eastAsia" w:ascii="宋体" w:hAnsi="宋体" w:cs="宋体"/>
          <w:lang w:eastAsia="zh-CN"/>
        </w:rPr>
        <w:t>开标时间：</w:t>
      </w:r>
      <w:r>
        <w:rPr>
          <w:rFonts w:hint="eastAsia" w:ascii="宋体" w:hAnsi="宋体" w:cs="宋体"/>
          <w:u w:val="single"/>
        </w:rPr>
        <w:t xml:space="preserve">2025 </w:t>
      </w:r>
      <w:r>
        <w:rPr>
          <w:rFonts w:hint="eastAsia" w:ascii="宋体" w:hAnsi="宋体" w:cs="宋体"/>
        </w:rPr>
        <w:t>年</w:t>
      </w:r>
      <w:r>
        <w:rPr>
          <w:rFonts w:hint="eastAsia" w:ascii="宋体" w:hAnsi="宋体" w:cs="宋体"/>
          <w:u w:val="single"/>
          <w:lang w:val="en-US" w:eastAsia="zh-CN"/>
        </w:rPr>
        <w:t xml:space="preserve">  7 </w:t>
      </w:r>
      <w:r>
        <w:rPr>
          <w:rFonts w:hint="eastAsia" w:ascii="宋体" w:hAnsi="宋体" w:cs="宋体"/>
        </w:rPr>
        <w:t>月</w:t>
      </w:r>
      <w:r>
        <w:rPr>
          <w:rFonts w:hint="eastAsia" w:ascii="宋体" w:hAnsi="宋体" w:cs="宋体"/>
          <w:u w:val="single"/>
          <w:lang w:val="en-US" w:eastAsia="zh-CN"/>
        </w:rPr>
        <w:t xml:space="preserve"> 31 </w:t>
      </w:r>
      <w:r>
        <w:rPr>
          <w:rFonts w:hint="eastAsia" w:ascii="宋体" w:hAnsi="宋体" w:cs="宋体"/>
        </w:rPr>
        <w:t>日</w:t>
      </w:r>
      <w:r>
        <w:rPr>
          <w:rFonts w:hint="eastAsia" w:ascii="宋体" w:hAnsi="宋体" w:cs="宋体"/>
          <w:u w:val="single"/>
        </w:rPr>
        <w:t xml:space="preserve"> </w:t>
      </w:r>
      <w:r>
        <w:rPr>
          <w:rFonts w:hint="eastAsia" w:ascii="宋体" w:hAnsi="宋体" w:cs="宋体"/>
          <w:u w:val="single"/>
          <w:lang w:val="en-US" w:eastAsia="zh-CN"/>
        </w:rPr>
        <w:t xml:space="preserve">10 </w:t>
      </w:r>
      <w:r>
        <w:rPr>
          <w:rFonts w:hint="eastAsia" w:ascii="宋体" w:hAnsi="宋体" w:cs="宋体"/>
        </w:rPr>
        <w:t>时</w:t>
      </w:r>
      <w:r>
        <w:rPr>
          <w:rFonts w:hint="eastAsia" w:ascii="宋体" w:hAnsi="宋体" w:cs="宋体"/>
          <w:lang w:eastAsia="zh-CN"/>
        </w:rPr>
        <w:t>。地点：广州交易集团有限公司（广州公共资源交易中心）第</w:t>
      </w:r>
      <w:r>
        <w:rPr>
          <w:rFonts w:hint="eastAsia" w:ascii="宋体" w:hAnsi="宋体" w:cs="宋体"/>
          <w:u w:val="single"/>
          <w:lang w:val="en-US" w:eastAsia="zh-CN"/>
        </w:rPr>
        <w:t xml:space="preserve">  06 </w:t>
      </w:r>
      <w:r>
        <w:rPr>
          <w:rFonts w:hint="eastAsia" w:ascii="宋体" w:hAnsi="宋体" w:cs="宋体"/>
          <w:lang w:eastAsia="zh-CN"/>
        </w:rPr>
        <w:t>开标室。投标人也可选择参加在线开标，具体按照广州交易集团有限公司（广州公共资源交易中心）相关指南进行操作。详见：http：//www.gzggzy.cn/fwznbszyjsgc/index.jhtml。</w:t>
      </w:r>
    </w:p>
    <w:p>
      <w:pPr>
        <w:spacing w:line="400" w:lineRule="exact"/>
        <w:ind w:firstLine="422" w:firstLineChars="200"/>
        <w:rPr>
          <w:rFonts w:ascii="宋体" w:hAnsi="宋体" w:cs="宋体"/>
          <w:b/>
          <w:bCs/>
          <w:szCs w:val="22"/>
        </w:rPr>
      </w:pPr>
      <w:r>
        <w:rPr>
          <w:rFonts w:hint="eastAsia" w:ascii="宋体" w:hAnsi="宋体" w:cs="宋体"/>
          <w:b/>
          <w:bCs/>
          <w:szCs w:val="22"/>
        </w:rPr>
        <w:t>十、招标文件的质疑、投诉</w:t>
      </w:r>
    </w:p>
    <w:p>
      <w:pPr>
        <w:spacing w:line="400" w:lineRule="exact"/>
        <w:ind w:firstLine="420" w:firstLineChars="200"/>
        <w:rPr>
          <w:rFonts w:ascii="宋体" w:hAnsi="宋体" w:cs="宋体"/>
          <w:szCs w:val="22"/>
        </w:rPr>
      </w:pPr>
      <w:r>
        <w:rPr>
          <w:rFonts w:hint="eastAsia" w:ascii="宋体" w:hAnsi="宋体" w:cs="宋体"/>
          <w:szCs w:val="22"/>
        </w:rPr>
        <w:t>10.1 投标人或者其他利害关系人对招标文件有质疑的，应当在规定时间通过电子交易系统在线提出或以其他书面形式提出。</w:t>
      </w:r>
    </w:p>
    <w:p>
      <w:pPr>
        <w:spacing w:line="400" w:lineRule="exact"/>
        <w:ind w:firstLine="420" w:firstLineChars="200"/>
        <w:rPr>
          <w:rFonts w:ascii="宋体" w:hAnsi="宋体" w:cs="宋体"/>
          <w:szCs w:val="22"/>
        </w:rPr>
      </w:pPr>
      <w:r>
        <w:rPr>
          <w:rFonts w:hint="eastAsia" w:ascii="宋体" w:hAnsi="宋体" w:cs="宋体"/>
          <w:szCs w:val="22"/>
        </w:rPr>
        <w:t>10.2 投标人或者其他利害关系人对招标人、招标代理机构的答复不满意，或者招标人、招标代理机构未在规定时间内作出答复的，可以在规定时间内通过网上投诉系统或以其他书面形式向监管部门提出投诉。</w:t>
      </w:r>
    </w:p>
    <w:p>
      <w:pPr>
        <w:spacing w:line="400" w:lineRule="exact"/>
        <w:ind w:firstLine="420" w:firstLineChars="200"/>
        <w:rPr>
          <w:rFonts w:ascii="宋体" w:hAnsi="宋体" w:cs="宋体"/>
          <w:szCs w:val="22"/>
        </w:rPr>
      </w:pPr>
      <w:r>
        <w:rPr>
          <w:rFonts w:hint="eastAsia" w:ascii="宋体" w:hAnsi="宋体" w:cs="宋体"/>
          <w:szCs w:val="22"/>
        </w:rPr>
        <w:t>10.3 受理质疑的联系人和联系方式见招标公告。</w:t>
      </w:r>
    </w:p>
    <w:p>
      <w:pPr>
        <w:spacing w:line="400" w:lineRule="exact"/>
        <w:ind w:firstLine="422" w:firstLineChars="200"/>
        <w:rPr>
          <w:rFonts w:ascii="宋体" w:hAnsi="宋体" w:cs="宋体"/>
          <w:b/>
          <w:bCs/>
          <w:szCs w:val="22"/>
        </w:rPr>
      </w:pPr>
      <w:r>
        <w:rPr>
          <w:rFonts w:hint="eastAsia" w:ascii="宋体" w:hAnsi="宋体" w:cs="宋体"/>
          <w:b/>
          <w:bCs/>
          <w:szCs w:val="22"/>
        </w:rPr>
        <w:t>十一、发布公告的媒介</w:t>
      </w:r>
    </w:p>
    <w:p>
      <w:pPr>
        <w:spacing w:line="400" w:lineRule="exact"/>
        <w:ind w:firstLine="420" w:firstLineChars="200"/>
        <w:rPr>
          <w:rFonts w:hint="eastAsia" w:ascii="宋体" w:hAnsi="宋体" w:cs="宋体"/>
          <w:szCs w:val="22"/>
        </w:rPr>
      </w:pPr>
      <w:r>
        <w:rPr>
          <w:rFonts w:hint="eastAsia" w:ascii="宋体" w:hAnsi="宋体" w:cs="宋体"/>
          <w:szCs w:val="22"/>
        </w:rPr>
        <w:t>本次招标公告同时在军队采购网（网址：http：//www.</w:t>
      </w:r>
      <w:r>
        <w:rPr>
          <w:rFonts w:hint="default" w:ascii="宋体" w:hAnsi="宋体" w:cs="宋体"/>
          <w:szCs w:val="22"/>
          <w:lang w:val="en-US"/>
        </w:rPr>
        <w:t>plap</w:t>
      </w:r>
      <w:r>
        <w:rPr>
          <w:rFonts w:hint="eastAsia" w:ascii="宋体" w:hAnsi="宋体" w:cs="宋体"/>
          <w:szCs w:val="22"/>
        </w:rPr>
        <w:t>.</w:t>
      </w:r>
      <w:r>
        <w:rPr>
          <w:rFonts w:hint="default" w:ascii="宋体" w:hAnsi="宋体" w:cs="宋体"/>
          <w:szCs w:val="22"/>
          <w:lang w:val="en-US"/>
        </w:rPr>
        <w:t>mil.</w:t>
      </w:r>
      <w:r>
        <w:rPr>
          <w:rFonts w:hint="eastAsia" w:ascii="宋体" w:hAnsi="宋体" w:cs="宋体"/>
          <w:szCs w:val="22"/>
        </w:rPr>
        <w:t>cn）、在广州交易集团有限公司（广州公共资源交易中心）网站（网址：http：//www.gzggzy.cn）</w:t>
      </w:r>
      <w:r>
        <w:rPr>
          <w:rFonts w:hint="eastAsia" w:ascii="宋体" w:hAnsi="宋体" w:cs="宋体"/>
          <w:szCs w:val="22"/>
          <w:lang w:val="en-US" w:eastAsia="zh-CN"/>
        </w:rPr>
        <w:t>平台</w:t>
      </w:r>
      <w:r>
        <w:rPr>
          <w:rFonts w:hint="eastAsia" w:ascii="宋体" w:hAnsi="宋体" w:cs="宋体"/>
          <w:szCs w:val="22"/>
        </w:rPr>
        <w:t>上发布。</w:t>
      </w:r>
    </w:p>
    <w:p>
      <w:pPr>
        <w:spacing w:line="400" w:lineRule="exact"/>
        <w:ind w:firstLine="422" w:firstLineChars="200"/>
        <w:rPr>
          <w:rFonts w:hint="eastAsia" w:ascii="宋体" w:hAnsi="宋体" w:cs="宋体"/>
          <w:b/>
          <w:bCs/>
          <w:szCs w:val="22"/>
        </w:rPr>
      </w:pPr>
      <w:r>
        <w:rPr>
          <w:rFonts w:hint="eastAsia" w:ascii="宋体" w:hAnsi="宋体" w:cs="宋体"/>
          <w:b/>
          <w:bCs/>
          <w:szCs w:val="22"/>
        </w:rPr>
        <w:t>十二、联系方式</w:t>
      </w:r>
    </w:p>
    <w:p>
      <w:pPr>
        <w:topLinePunct/>
        <w:spacing w:line="400" w:lineRule="exact"/>
        <w:ind w:left="420" w:leftChars="200"/>
        <w:jc w:val="left"/>
        <w:rPr>
          <w:rFonts w:ascii="宋体" w:hAnsi="宋体" w:cs="宋体"/>
          <w:bCs/>
        </w:rPr>
      </w:pPr>
      <w:r>
        <w:rPr>
          <w:rFonts w:hint="eastAsia" w:ascii="宋体" w:hAnsi="宋体" w:cs="宋体"/>
        </w:rPr>
        <w:t xml:space="preserve">建设单位：某单位 </w:t>
      </w:r>
    </w:p>
    <w:p>
      <w:pPr>
        <w:topLinePunct/>
        <w:spacing w:line="400" w:lineRule="exact"/>
        <w:ind w:left="420" w:leftChars="200"/>
        <w:jc w:val="left"/>
        <w:rPr>
          <w:rFonts w:ascii="宋体" w:hAnsi="宋体" w:cs="宋体"/>
        </w:rPr>
      </w:pPr>
      <w:r>
        <w:rPr>
          <w:rFonts w:hint="eastAsia" w:ascii="宋体" w:hAnsi="宋体" w:cs="宋体"/>
        </w:rPr>
        <w:t xml:space="preserve">地    址：安徽省池州市 </w:t>
      </w:r>
    </w:p>
    <w:p>
      <w:pPr>
        <w:topLinePunct/>
        <w:spacing w:line="400" w:lineRule="exact"/>
        <w:ind w:firstLine="420" w:firstLineChars="200"/>
        <w:rPr>
          <w:rFonts w:ascii="宋体" w:hAnsi="宋体" w:cs="宋体"/>
        </w:rPr>
      </w:pPr>
      <w:r>
        <w:rPr>
          <w:rFonts w:hint="eastAsia" w:ascii="宋体" w:hAnsi="宋体" w:cs="宋体"/>
        </w:rPr>
        <w:t xml:space="preserve">联 系 人：姚先生     </w:t>
      </w:r>
    </w:p>
    <w:p>
      <w:pPr>
        <w:topLinePunct/>
        <w:spacing w:line="400" w:lineRule="exact"/>
        <w:ind w:firstLine="420" w:firstLineChars="200"/>
        <w:rPr>
          <w:rFonts w:ascii="宋体" w:hAnsi="宋体" w:cs="宋体"/>
        </w:rPr>
      </w:pPr>
      <w:r>
        <w:rPr>
          <w:rFonts w:hint="eastAsia" w:ascii="宋体" w:hAnsi="宋体" w:cs="宋体"/>
        </w:rPr>
        <w:t xml:space="preserve">电    话： </w:t>
      </w:r>
      <w:r>
        <w:rPr>
          <w:rFonts w:ascii="宋体" w:hAnsi="宋体" w:cs="宋体"/>
        </w:rPr>
        <w:t>153515860</w:t>
      </w:r>
      <w:r>
        <w:rPr>
          <w:rFonts w:hint="eastAsia" w:ascii="宋体" w:hAnsi="宋体" w:cs="宋体"/>
        </w:rPr>
        <w:t xml:space="preserve">26 </w:t>
      </w:r>
    </w:p>
    <w:p>
      <w:pPr>
        <w:topLinePunct/>
        <w:spacing w:line="400" w:lineRule="exact"/>
        <w:ind w:firstLine="420" w:firstLineChars="200"/>
        <w:rPr>
          <w:rFonts w:ascii="宋体" w:hAnsi="宋体"/>
        </w:rPr>
      </w:pPr>
      <w:r>
        <w:rPr>
          <w:rFonts w:hint="eastAsia" w:ascii="宋体" w:hAnsi="宋体" w:cs="宋体"/>
        </w:rPr>
        <w:t>招标代理机构：</w:t>
      </w:r>
      <w:r>
        <w:rPr>
          <w:rFonts w:hint="eastAsia" w:ascii="宋体" w:hAnsi="宋体" w:cs="宋体"/>
          <w:lang w:val="en-US" w:eastAsia="zh-CN"/>
        </w:rPr>
        <w:t>中科高盛咨询集团有限公司</w:t>
      </w:r>
      <w:r>
        <w:rPr>
          <w:rFonts w:hint="eastAsia" w:ascii="宋体" w:hAnsi="宋体" w:cs="宋体"/>
          <w:szCs w:val="21"/>
        </w:rPr>
        <w:t xml:space="preserve"> </w:t>
      </w:r>
    </w:p>
    <w:p>
      <w:pPr>
        <w:adjustRightInd w:val="0"/>
        <w:snapToGrid w:val="0"/>
        <w:spacing w:line="400" w:lineRule="exact"/>
        <w:ind w:firstLine="420" w:firstLineChars="200"/>
        <w:rPr>
          <w:rFonts w:ascii="宋体" w:hAnsi="宋体" w:cs="宋体"/>
        </w:rPr>
      </w:pPr>
      <w:r>
        <w:rPr>
          <w:rFonts w:hint="eastAsia" w:ascii="宋体" w:hAnsi="宋体" w:cs="宋体"/>
        </w:rPr>
        <w:t>地    址：长沙市天心区友谊路413号运成大厦12楼</w:t>
      </w:r>
    </w:p>
    <w:p>
      <w:pPr>
        <w:topLinePunct/>
        <w:spacing w:line="400" w:lineRule="exact"/>
        <w:ind w:firstLine="420" w:firstLineChars="200"/>
        <w:rPr>
          <w:rFonts w:hint="default" w:ascii="宋体" w:hAnsi="宋体" w:eastAsia="宋体" w:cs="宋体"/>
          <w:lang w:val="en-US" w:eastAsia="zh-CN"/>
        </w:rPr>
      </w:pPr>
      <w:r>
        <w:rPr>
          <w:rFonts w:hint="eastAsia" w:ascii="宋体" w:hAnsi="宋体" w:cs="宋体"/>
        </w:rPr>
        <w:t>联 系 人：</w:t>
      </w:r>
      <w:r>
        <w:rPr>
          <w:rFonts w:hint="eastAsia" w:ascii="宋体" w:hAnsi="宋体" w:cs="宋体"/>
          <w:lang w:val="en-US" w:eastAsia="zh-CN"/>
        </w:rPr>
        <w:t>吕文华、李静、郑宾</w:t>
      </w:r>
    </w:p>
    <w:p>
      <w:pPr>
        <w:pStyle w:val="2"/>
        <w:spacing w:after="0" w:line="400" w:lineRule="exact"/>
        <w:ind w:firstLineChars="200"/>
        <w:rPr>
          <w:rFonts w:hint="default" w:ascii="宋体" w:hAnsi="宋体" w:eastAsia="宋体" w:cs="宋体"/>
          <w:b w:val="0"/>
          <w:bCs w:val="0"/>
          <w:kern w:val="2"/>
          <w:sz w:val="21"/>
          <w:szCs w:val="20"/>
          <w:lang w:val="en-US" w:eastAsia="zh-CN"/>
        </w:rPr>
      </w:pPr>
      <w:r>
        <w:rPr>
          <w:rFonts w:hint="eastAsia" w:ascii="宋体" w:hAnsi="宋体" w:eastAsia="宋体" w:cs="宋体"/>
          <w:b w:val="0"/>
          <w:bCs w:val="0"/>
          <w:kern w:val="2"/>
          <w:sz w:val="21"/>
          <w:szCs w:val="20"/>
        </w:rPr>
        <w:t>电    话：</w:t>
      </w:r>
      <w:r>
        <w:rPr>
          <w:rFonts w:hint="eastAsia" w:ascii="宋体" w:hAnsi="宋体" w:eastAsia="宋体" w:cs="宋体"/>
          <w:b w:val="0"/>
          <w:bCs w:val="0"/>
          <w:kern w:val="2"/>
          <w:sz w:val="21"/>
          <w:szCs w:val="20"/>
          <w:lang w:val="en-US" w:eastAsia="zh-CN"/>
        </w:rPr>
        <w:t>13263222098</w:t>
      </w:r>
    </w:p>
    <w:p>
      <w:pPr>
        <w:topLinePunct/>
        <w:spacing w:line="400" w:lineRule="exact"/>
        <w:ind w:firstLine="420" w:firstLineChars="200"/>
        <w:rPr>
          <w:rFonts w:ascii="宋体" w:hAnsi="宋体" w:cs="宋体"/>
        </w:rPr>
      </w:pPr>
      <w:r>
        <w:rPr>
          <w:rFonts w:hint="eastAsia" w:ascii="宋体" w:hAnsi="宋体" w:cs="宋体"/>
        </w:rPr>
        <w:t>邮    箱：</w:t>
      </w:r>
      <w:r>
        <w:rPr>
          <w:rFonts w:hint="eastAsia" w:ascii="宋体" w:hAnsi="宋体" w:cs="宋体"/>
          <w:lang w:val="en-US" w:eastAsia="zh-CN"/>
        </w:rPr>
        <w:t>2302227265@qq.com</w:t>
      </w:r>
      <w:r>
        <w:rPr>
          <w:rFonts w:hint="eastAsia" w:ascii="宋体" w:hAnsi="宋体" w:cs="宋体"/>
        </w:rPr>
        <w:t xml:space="preserve">        </w:t>
      </w:r>
    </w:p>
    <w:p>
      <w:pPr>
        <w:spacing w:line="400" w:lineRule="exact"/>
        <w:ind w:firstLine="420" w:firstLineChars="200"/>
        <w:rPr>
          <w:rFonts w:hint="eastAsia" w:ascii="宋体" w:hAnsi="宋体" w:cs="宋体"/>
          <w:highlight w:val="none"/>
        </w:rPr>
      </w:pPr>
      <w:r>
        <w:rPr>
          <w:rFonts w:hint="eastAsia" w:ascii="宋体" w:hAnsi="宋体"/>
        </w:rPr>
        <w:t>电子交易系统名称：</w:t>
      </w:r>
      <w:r>
        <w:rPr>
          <w:rFonts w:hint="eastAsia" w:ascii="宋体" w:hAnsi="宋体" w:cs="宋体"/>
          <w:highlight w:val="none"/>
        </w:rPr>
        <w:t>广州交易集团有限公司（广州公共资源交易中心）</w:t>
      </w:r>
    </w:p>
    <w:p>
      <w:pPr>
        <w:spacing w:line="400" w:lineRule="exact"/>
        <w:ind w:firstLine="420" w:firstLineChars="200"/>
        <w:rPr>
          <w:rFonts w:ascii="宋体" w:hAnsi="宋体"/>
        </w:rPr>
      </w:pPr>
      <w:r>
        <w:rPr>
          <w:rFonts w:hint="eastAsia" w:ascii="宋体" w:hAnsi="宋体" w:cs="宋体"/>
          <w:highlight w:val="none"/>
        </w:rPr>
        <w:t>网站（网址：https://www.gzggzy.cn/）</w:t>
      </w:r>
    </w:p>
    <w:p>
      <w:pPr>
        <w:spacing w:line="400" w:lineRule="exact"/>
        <w:ind w:firstLine="420" w:firstLineChars="200"/>
        <w:rPr>
          <w:rFonts w:ascii="宋体" w:hAnsi="宋体"/>
        </w:rPr>
      </w:pPr>
      <w:r>
        <w:rPr>
          <w:rFonts w:hint="eastAsia" w:ascii="宋体" w:hAnsi="宋体"/>
        </w:rPr>
        <w:t>监督管理部门：某单位</w:t>
      </w:r>
    </w:p>
    <w:p>
      <w:pPr>
        <w:spacing w:line="400" w:lineRule="exact"/>
        <w:ind w:firstLine="420" w:firstLineChars="200"/>
        <w:rPr>
          <w:rFonts w:hint="default" w:ascii="宋体" w:hAnsi="宋体" w:eastAsia="宋体"/>
          <w:lang w:val="en-US" w:eastAsia="zh-CN"/>
        </w:rPr>
      </w:pPr>
      <w:r>
        <w:rPr>
          <w:rFonts w:hint="eastAsia" w:ascii="宋体" w:hAnsi="宋体"/>
        </w:rPr>
        <w:t>电话：</w:t>
      </w:r>
      <w:r>
        <w:rPr>
          <w:rFonts w:hint="eastAsia" w:ascii="宋体" w:hAnsi="宋体"/>
          <w:highlight w:val="none"/>
          <w:lang w:val="en-US" w:eastAsia="zh-CN"/>
        </w:rPr>
        <w:t>15351586031</w:t>
      </w:r>
    </w:p>
    <w:p>
      <w:pPr>
        <w:spacing w:line="400" w:lineRule="exact"/>
        <w:ind w:firstLine="420" w:firstLineChars="200"/>
        <w:rPr>
          <w:rFonts w:ascii="宋体" w:hAnsi="宋体" w:cs="宋体"/>
          <w:szCs w:val="22"/>
        </w:rPr>
      </w:pPr>
      <w:bookmarkStart w:id="11" w:name="_Toc26122"/>
      <w:bookmarkStart w:id="12" w:name="_Toc26706"/>
      <w:r>
        <w:rPr>
          <w:rFonts w:hint="eastAsia" w:ascii="宋体" w:hAnsi="宋体" w:cs="宋体"/>
          <w:szCs w:val="22"/>
        </w:rPr>
        <w:t>十三、其他事项说明</w:t>
      </w:r>
      <w:bookmarkEnd w:id="11"/>
      <w:bookmarkEnd w:id="12"/>
    </w:p>
    <w:p>
      <w:pPr>
        <w:spacing w:line="400" w:lineRule="exact"/>
        <w:ind w:firstLine="420" w:firstLineChars="200"/>
        <w:rPr>
          <w:rFonts w:ascii="宋体" w:hAnsi="宋体" w:cs="宋体"/>
          <w:szCs w:val="22"/>
        </w:rPr>
      </w:pPr>
      <w:r>
        <w:rPr>
          <w:rFonts w:hint="eastAsia" w:ascii="宋体" w:hAnsi="宋体" w:cs="宋体"/>
          <w:szCs w:val="22"/>
        </w:rPr>
        <w:t>12.1 投标人应合理安排招标文件获取时间，特别是网络速度慢的地区防止在系统关闭前网络拥堵无法操作。如果因计算机及网络故障造成无法完成招标文件获取，责任自负。</w:t>
      </w:r>
    </w:p>
    <w:p>
      <w:pPr>
        <w:spacing w:line="400" w:lineRule="exact"/>
        <w:ind w:firstLine="420" w:firstLineChars="200"/>
        <w:rPr>
          <w:rFonts w:ascii="宋体" w:hAnsi="宋体" w:cs="宋体"/>
          <w:szCs w:val="22"/>
        </w:rPr>
      </w:pPr>
      <w:r>
        <w:rPr>
          <w:rFonts w:hint="eastAsia" w:ascii="宋体" w:hAnsi="宋体" w:cs="宋体"/>
          <w:szCs w:val="22"/>
        </w:rPr>
        <w:t>12.2 招标文件中有任何疑问或问题，请在工作时间（周一至周五，上午8:30-11:30，下午 14:00-17:30）与项目联系人联系。</w:t>
      </w:r>
    </w:p>
    <w:p>
      <w:pPr>
        <w:spacing w:line="400" w:lineRule="exact"/>
        <w:ind w:firstLine="420" w:firstLineChars="200"/>
        <w:rPr>
          <w:rFonts w:ascii="宋体" w:hAnsi="宋体" w:cs="宋体"/>
          <w:szCs w:val="22"/>
        </w:rPr>
      </w:pPr>
      <w:bookmarkStart w:id="13" w:name="_Toc13487"/>
      <w:bookmarkStart w:id="14" w:name="_Toc26727"/>
      <w:r>
        <w:rPr>
          <w:rFonts w:hint="eastAsia" w:ascii="宋体" w:hAnsi="宋体" w:cs="宋体"/>
          <w:szCs w:val="22"/>
        </w:rPr>
        <w:t>十四、投标保证金账户</w:t>
      </w:r>
      <w:bookmarkEnd w:id="13"/>
      <w:bookmarkEnd w:id="14"/>
    </w:p>
    <w:bookmarkEnd w:id="9"/>
    <w:bookmarkEnd w:id="10"/>
    <w:p>
      <w:pPr>
        <w:spacing w:line="400" w:lineRule="exact"/>
        <w:ind w:firstLine="840" w:firstLineChars="400"/>
        <w:rPr>
          <w:rFonts w:hint="eastAsia" w:ascii="宋体" w:hAnsi="宋体" w:cs="宋体"/>
          <w:szCs w:val="22"/>
          <w:u w:val="single"/>
        </w:rPr>
      </w:pPr>
      <w:r>
        <w:rPr>
          <w:rFonts w:hint="eastAsia" w:ascii="宋体" w:hAnsi="宋体" w:cs="宋体"/>
          <w:szCs w:val="22"/>
          <w:u w:val="single"/>
        </w:rPr>
        <w:t>户名：广州交易集团有限公司</w:t>
      </w:r>
    </w:p>
    <w:p>
      <w:pPr>
        <w:spacing w:line="400" w:lineRule="exact"/>
        <w:ind w:firstLine="840" w:firstLineChars="400"/>
        <w:rPr>
          <w:rFonts w:hint="eastAsia" w:ascii="宋体" w:hAnsi="宋体" w:cs="宋体"/>
          <w:szCs w:val="22"/>
          <w:u w:val="single"/>
        </w:rPr>
      </w:pPr>
      <w:r>
        <w:rPr>
          <w:rFonts w:hint="eastAsia" w:ascii="宋体" w:hAnsi="宋体" w:cs="宋体"/>
          <w:szCs w:val="22"/>
          <w:u w:val="single"/>
        </w:rPr>
        <w:t>开户银行：中国建设银行天润路支行</w:t>
      </w:r>
    </w:p>
    <w:p>
      <w:pPr>
        <w:spacing w:line="400" w:lineRule="exact"/>
        <w:ind w:firstLine="840" w:firstLineChars="400"/>
        <w:rPr>
          <w:rFonts w:ascii="宋体" w:hAnsi="宋体" w:cs="宋体"/>
          <w:szCs w:val="22"/>
        </w:rPr>
      </w:pPr>
      <w:r>
        <w:rPr>
          <w:rFonts w:hint="eastAsia" w:ascii="宋体" w:hAnsi="宋体" w:cs="宋体"/>
          <w:szCs w:val="22"/>
          <w:u w:val="single"/>
        </w:rPr>
        <w:t>账号：44001583404059333333</w:t>
      </w:r>
    </w:p>
    <w:p>
      <w:pPr>
        <w:pStyle w:val="2"/>
        <w:ind w:firstLine="280"/>
        <w:rPr>
          <w:rFonts w:ascii="宋体" w:hAnsi="宋体"/>
          <w:u w:val="single"/>
        </w:rPr>
      </w:pPr>
    </w:p>
    <w:p>
      <w:pPr>
        <w:pStyle w:val="2"/>
        <w:ind w:firstLine="280"/>
        <w:rPr>
          <w:rFonts w:ascii="宋体" w:hAnsi="宋体"/>
          <w:u w:val="single"/>
        </w:rPr>
      </w:pPr>
    </w:p>
    <w:p>
      <w:pPr>
        <w:spacing w:line="400" w:lineRule="exact"/>
        <w:ind w:firstLine="6825" w:firstLineChars="3250"/>
        <w:rPr>
          <w:rFonts w:ascii="宋体" w:hAnsi="宋体"/>
        </w:rPr>
      </w:pPr>
      <w:r>
        <w:rPr>
          <w:rFonts w:ascii="宋体" w:hAnsi="宋体"/>
          <w:u w:val="single"/>
        </w:rPr>
        <w:t>202</w:t>
      </w:r>
      <w:r>
        <w:rPr>
          <w:rFonts w:hint="eastAsia" w:ascii="宋体" w:hAnsi="宋体"/>
          <w:u w:val="single"/>
          <w:lang w:val="en-US" w:eastAsia="zh-CN"/>
        </w:rPr>
        <w:t>5</w:t>
      </w:r>
      <w:r>
        <w:rPr>
          <w:rFonts w:hint="eastAsia" w:ascii="宋体" w:hAnsi="宋体"/>
        </w:rPr>
        <w:t>年</w:t>
      </w:r>
      <w:r>
        <w:rPr>
          <w:rFonts w:ascii="宋体" w:hAnsi="宋体"/>
        </w:rPr>
        <w:t xml:space="preserve"> </w:t>
      </w:r>
      <w:r>
        <w:rPr>
          <w:rFonts w:hint="eastAsia" w:ascii="宋体" w:hAnsi="宋体"/>
          <w:u w:val="single"/>
          <w:lang w:val="en-US" w:eastAsia="zh-CN"/>
        </w:rPr>
        <w:t xml:space="preserve">  </w:t>
      </w:r>
      <w:r>
        <w:rPr>
          <w:rFonts w:hint="eastAsia" w:ascii="宋体" w:hAnsi="宋体"/>
        </w:rPr>
        <w:t>月</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rPr>
        <w:t>日</w:t>
      </w:r>
    </w:p>
    <w:p>
      <w:pPr>
        <w:pStyle w:val="2"/>
        <w:ind w:firstLine="280"/>
      </w:pPr>
    </w:p>
    <w:bookmarkEnd w:id="8"/>
    <w:p>
      <w:bookmarkStart w:id="15" w:name="_Toc184635069"/>
      <w:r>
        <w:rPr>
          <w:rFonts w:hint="eastAsia"/>
        </w:rPr>
        <w:br w:type="page"/>
      </w:r>
    </w:p>
    <w:p>
      <w:pPr>
        <w:pStyle w:val="5"/>
        <w:spacing w:after="120" w:line="360" w:lineRule="auto"/>
        <w:jc w:val="center"/>
      </w:pPr>
      <w:bookmarkStart w:id="16" w:name="_Toc184916528"/>
      <w:r>
        <w:rPr>
          <w:rFonts w:hint="eastAsia"/>
        </w:rPr>
        <w:t xml:space="preserve">第二章 </w:t>
      </w:r>
      <w:r>
        <w:t xml:space="preserve"> </w:t>
      </w:r>
      <w:r>
        <w:rPr>
          <w:rFonts w:hint="eastAsia"/>
        </w:rPr>
        <w:t>投标人须知</w:t>
      </w:r>
      <w:bookmarkEnd w:id="15"/>
      <w:bookmarkEnd w:id="16"/>
      <w:bookmarkStart w:id="17" w:name="_Toc202362150"/>
      <w:bookmarkStart w:id="18" w:name="_Toc184635070"/>
      <w:bookmarkStart w:id="19" w:name="_Toc262123808"/>
    </w:p>
    <w:bookmarkEnd w:id="17"/>
    <w:bookmarkEnd w:id="18"/>
    <w:bookmarkEnd w:id="19"/>
    <w:p>
      <w:pPr>
        <w:pStyle w:val="6"/>
        <w:spacing w:before="0" w:after="0" w:line="572" w:lineRule="exact"/>
      </w:pPr>
      <w:bookmarkStart w:id="20" w:name="_Toc31627"/>
      <w:bookmarkStart w:id="21" w:name="_Toc184916529"/>
      <w:bookmarkStart w:id="22" w:name="_Toc202362151"/>
      <w:bookmarkStart w:id="23" w:name="_Toc184635071"/>
      <w:r>
        <w:rPr>
          <w:rFonts w:hint="eastAsia"/>
        </w:rPr>
        <w:t>一、投标人须知前附表</w:t>
      </w:r>
      <w:bookmarkEnd w:id="20"/>
      <w:bookmarkEnd w:id="21"/>
    </w:p>
    <w:tbl>
      <w:tblPr>
        <w:tblStyle w:val="88"/>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244"/>
        <w:gridCol w:w="5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883" w:type="dxa"/>
            <w:vAlign w:val="center"/>
          </w:tcPr>
          <w:p>
            <w:pPr>
              <w:spacing w:line="320" w:lineRule="exact"/>
              <w:jc w:val="center"/>
            </w:pPr>
            <w:r>
              <w:rPr>
                <w:rFonts w:hint="eastAsia" w:cs="宋体"/>
              </w:rPr>
              <w:t>条款号</w:t>
            </w:r>
          </w:p>
        </w:tc>
        <w:tc>
          <w:tcPr>
            <w:tcW w:w="2244" w:type="dxa"/>
            <w:vAlign w:val="center"/>
          </w:tcPr>
          <w:p>
            <w:pPr>
              <w:spacing w:line="320" w:lineRule="exact"/>
              <w:jc w:val="center"/>
            </w:pPr>
            <w:r>
              <w:rPr>
                <w:rFonts w:hint="eastAsia" w:cs="宋体"/>
              </w:rPr>
              <w:t>条</w:t>
            </w:r>
            <w:r>
              <w:t xml:space="preserve">  </w:t>
            </w:r>
            <w:r>
              <w:rPr>
                <w:rFonts w:hint="eastAsia" w:cs="宋体"/>
              </w:rPr>
              <w:t>款</w:t>
            </w:r>
            <w:r>
              <w:t xml:space="preserve">  </w:t>
            </w:r>
            <w:r>
              <w:rPr>
                <w:rFonts w:hint="eastAsia" w:cs="宋体"/>
              </w:rPr>
              <w:t>名</w:t>
            </w:r>
            <w:r>
              <w:t xml:space="preserve">  </w:t>
            </w:r>
            <w:r>
              <w:rPr>
                <w:rFonts w:hint="eastAsia" w:cs="宋体"/>
              </w:rPr>
              <w:t>称</w:t>
            </w:r>
          </w:p>
        </w:tc>
        <w:tc>
          <w:tcPr>
            <w:tcW w:w="5844" w:type="dxa"/>
            <w:vAlign w:val="center"/>
          </w:tcPr>
          <w:p>
            <w:pPr>
              <w:spacing w:line="320" w:lineRule="exact"/>
              <w:jc w:val="center"/>
            </w:pPr>
            <w:r>
              <w:rPr>
                <w:rFonts w:hint="eastAsia" w:cs="宋体"/>
              </w:rPr>
              <w:t>编</w:t>
            </w:r>
            <w:r>
              <w:t xml:space="preserve">  </w:t>
            </w:r>
            <w:r>
              <w:rPr>
                <w:rFonts w:hint="eastAsia" w:cs="宋体"/>
              </w:rPr>
              <w:t>列</w:t>
            </w:r>
            <w:r>
              <w:t xml:space="preserve">  </w:t>
            </w:r>
            <w:r>
              <w:rPr>
                <w:rFonts w:hint="eastAsia" w:cs="宋体"/>
              </w:rPr>
              <w:t>内</w:t>
            </w:r>
            <w:r>
              <w:t xml:space="preserve">  </w:t>
            </w:r>
            <w:r>
              <w:rPr>
                <w:rFonts w:hint="eastAsia" w:cs="宋体"/>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vAlign w:val="center"/>
          </w:tcPr>
          <w:p>
            <w:pPr>
              <w:spacing w:line="320" w:lineRule="exact"/>
              <w:jc w:val="center"/>
            </w:pPr>
            <w:r>
              <w:t>1.1.1</w:t>
            </w:r>
          </w:p>
        </w:tc>
        <w:tc>
          <w:tcPr>
            <w:tcW w:w="2244" w:type="dxa"/>
            <w:vAlign w:val="center"/>
          </w:tcPr>
          <w:p>
            <w:pPr>
              <w:spacing w:line="320" w:lineRule="exact"/>
              <w:jc w:val="center"/>
            </w:pPr>
            <w:r>
              <w:rPr>
                <w:rFonts w:hint="eastAsia" w:cs="宋体"/>
              </w:rPr>
              <w:t>招标人</w:t>
            </w:r>
          </w:p>
        </w:tc>
        <w:tc>
          <w:tcPr>
            <w:tcW w:w="5844" w:type="dxa"/>
            <w:vAlign w:val="center"/>
          </w:tcPr>
          <w:p>
            <w:pPr>
              <w:spacing w:line="300" w:lineRule="exact"/>
              <w:rPr>
                <w:rFonts w:ascii="Times" w:hAnsi="宋体" w:cs="MingLiU"/>
                <w:kern w:val="0"/>
              </w:rPr>
            </w:pPr>
            <w:r>
              <w:rPr>
                <w:rFonts w:hint="eastAsia" w:ascii="Times" w:hAnsi="宋体" w:cs="MingLiU"/>
                <w:kern w:val="0"/>
              </w:rPr>
              <w:t>名  称：某单位</w:t>
            </w:r>
          </w:p>
          <w:p>
            <w:pPr>
              <w:spacing w:line="300" w:lineRule="exact"/>
              <w:rPr>
                <w:rFonts w:ascii="Times" w:hAnsi="宋体" w:cs="MingLiU"/>
                <w:kern w:val="0"/>
              </w:rPr>
            </w:pPr>
            <w:r>
              <w:rPr>
                <w:rFonts w:hint="eastAsia" w:ascii="Times" w:hAnsi="宋体" w:cs="MingLiU"/>
                <w:kern w:val="0"/>
              </w:rPr>
              <w:t>地  址：安徽省池州市</w:t>
            </w:r>
          </w:p>
          <w:p>
            <w:pPr>
              <w:spacing w:line="300" w:lineRule="exact"/>
              <w:rPr>
                <w:rFonts w:ascii="Times" w:hAnsi="宋体" w:cs="MingLiU"/>
                <w:kern w:val="0"/>
              </w:rPr>
            </w:pPr>
            <w:r>
              <w:rPr>
                <w:rFonts w:hint="eastAsia" w:ascii="Times" w:hAnsi="宋体" w:cs="MingLiU"/>
                <w:kern w:val="0"/>
              </w:rPr>
              <w:t>联系人：姚先生</w:t>
            </w:r>
          </w:p>
          <w:p>
            <w:pPr>
              <w:spacing w:line="300" w:lineRule="exact"/>
            </w:pPr>
            <w:r>
              <w:rPr>
                <w:rFonts w:hint="eastAsia" w:ascii="Times" w:hAnsi="宋体" w:cs="MingLiU"/>
                <w:kern w:val="0"/>
              </w:rPr>
              <w:t>电  话：15351586026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vAlign w:val="center"/>
          </w:tcPr>
          <w:p>
            <w:pPr>
              <w:spacing w:line="320" w:lineRule="exact"/>
              <w:jc w:val="center"/>
            </w:pPr>
            <w:r>
              <w:rPr>
                <w:rFonts w:hint="eastAsia"/>
              </w:rPr>
              <w:t>1.1.2</w:t>
            </w:r>
          </w:p>
        </w:tc>
        <w:tc>
          <w:tcPr>
            <w:tcW w:w="2244" w:type="dxa"/>
            <w:vAlign w:val="center"/>
          </w:tcPr>
          <w:p>
            <w:pPr>
              <w:adjustRightInd w:val="0"/>
              <w:snapToGrid w:val="0"/>
              <w:spacing w:line="320" w:lineRule="exact"/>
              <w:jc w:val="center"/>
            </w:pPr>
            <w:r>
              <w:rPr>
                <w:rFonts w:hint="eastAsia"/>
              </w:rPr>
              <w:t>招标代理机构</w:t>
            </w:r>
          </w:p>
        </w:tc>
        <w:tc>
          <w:tcPr>
            <w:tcW w:w="5844" w:type="dxa"/>
            <w:vAlign w:val="center"/>
          </w:tcPr>
          <w:p>
            <w:pPr>
              <w:adjustRightInd w:val="0"/>
              <w:snapToGrid w:val="0"/>
              <w:spacing w:line="300" w:lineRule="exact"/>
              <w:rPr>
                <w:rFonts w:hint="eastAsia" w:eastAsia="宋体"/>
                <w:lang w:eastAsia="zh-CN"/>
              </w:rPr>
            </w:pPr>
            <w:r>
              <w:rPr>
                <w:rFonts w:hint="eastAsia"/>
              </w:rPr>
              <w:t>名  称：中科高盛咨询集团有限公司</w:t>
            </w:r>
          </w:p>
          <w:p>
            <w:pPr>
              <w:adjustRightInd w:val="0"/>
              <w:snapToGrid w:val="0"/>
              <w:spacing w:line="300" w:lineRule="exact"/>
            </w:pPr>
            <w:r>
              <w:rPr>
                <w:rFonts w:hint="eastAsia"/>
              </w:rPr>
              <w:t>地  址：</w:t>
            </w:r>
            <w:r>
              <w:rPr>
                <w:rFonts w:hint="eastAsia"/>
                <w:kern w:val="0"/>
              </w:rPr>
              <w:t>北京市海淀区莲花苑华宝大厦1316室</w:t>
            </w:r>
          </w:p>
          <w:p>
            <w:pPr>
              <w:adjustRightInd w:val="0"/>
              <w:snapToGrid w:val="0"/>
              <w:spacing w:line="300" w:lineRule="exact"/>
              <w:rPr>
                <w:rFonts w:hint="default" w:eastAsia="宋体"/>
                <w:lang w:val="en-US" w:eastAsia="zh-CN"/>
              </w:rPr>
            </w:pPr>
            <w:r>
              <w:t>联系人：</w:t>
            </w:r>
            <w:r>
              <w:rPr>
                <w:rFonts w:hint="eastAsia"/>
                <w:kern w:val="0"/>
                <w:lang w:val="en-US" w:eastAsia="zh-CN"/>
              </w:rPr>
              <w:t>吕文华、李静、郑宾</w:t>
            </w:r>
          </w:p>
          <w:p>
            <w:pPr>
              <w:adjustRightInd w:val="0"/>
              <w:snapToGrid w:val="0"/>
              <w:spacing w:line="300" w:lineRule="exact"/>
              <w:rPr>
                <w:rFonts w:hint="default" w:eastAsia="宋体"/>
                <w:lang w:val="en-US" w:eastAsia="zh-CN"/>
              </w:rPr>
            </w:pPr>
            <w:r>
              <w:t>电  话：</w:t>
            </w:r>
            <w:r>
              <w:rPr>
                <w:rFonts w:hint="eastAsia"/>
                <w:lang w:val="en-US" w:eastAsia="zh-CN"/>
              </w:rPr>
              <w:t>13263222098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883" w:type="dxa"/>
            <w:vAlign w:val="center"/>
          </w:tcPr>
          <w:p>
            <w:pPr>
              <w:spacing w:line="320" w:lineRule="exact"/>
              <w:jc w:val="center"/>
            </w:pPr>
            <w:r>
              <w:t>1.1.</w:t>
            </w:r>
            <w:r>
              <w:rPr>
                <w:rFonts w:hint="eastAsia"/>
              </w:rPr>
              <w:t>3</w:t>
            </w:r>
          </w:p>
        </w:tc>
        <w:tc>
          <w:tcPr>
            <w:tcW w:w="2244" w:type="dxa"/>
            <w:vAlign w:val="center"/>
          </w:tcPr>
          <w:p>
            <w:pPr>
              <w:spacing w:line="320" w:lineRule="exact"/>
              <w:jc w:val="center"/>
            </w:pPr>
            <w:r>
              <w:t>项目名称</w:t>
            </w:r>
            <w:r>
              <w:rPr>
                <w:rFonts w:hint="eastAsia"/>
              </w:rPr>
              <w:t>及</w:t>
            </w:r>
            <w:r>
              <w:t>地点</w:t>
            </w:r>
          </w:p>
        </w:tc>
        <w:tc>
          <w:tcPr>
            <w:tcW w:w="5844" w:type="dxa"/>
            <w:vAlign w:val="center"/>
          </w:tcPr>
          <w:p>
            <w:pPr>
              <w:adjustRightInd w:val="0"/>
              <w:snapToGrid w:val="0"/>
              <w:spacing w:line="300" w:lineRule="exact"/>
              <w:jc w:val="left"/>
              <w:rPr>
                <w:rFonts w:hint="eastAsia" w:eastAsia="宋体"/>
                <w:lang w:eastAsia="zh-CN"/>
              </w:rPr>
            </w:pPr>
            <w:r>
              <w:rPr>
                <w:rFonts w:hint="eastAsia"/>
              </w:rPr>
              <w:t>项目名称：</w:t>
            </w:r>
            <w:r>
              <w:rPr>
                <w:rFonts w:hint="eastAsia"/>
                <w:highlight w:val="none"/>
                <w:lang w:eastAsia="zh-CN"/>
              </w:rPr>
              <w:t>3122工程全过程工程咨询（2025-JJDCBG-G1004）</w:t>
            </w:r>
          </w:p>
          <w:p>
            <w:pPr>
              <w:pStyle w:val="2"/>
              <w:spacing w:line="300" w:lineRule="exact"/>
              <w:ind w:firstLine="0" w:firstLineChars="0"/>
              <w:jc w:val="left"/>
              <w:rPr>
                <w:rFonts w:ascii="Cambria" w:hAnsi="Cambria" w:eastAsia="宋体" w:cs="MingLiU"/>
                <w:b w:val="0"/>
                <w:bCs w:val="0"/>
                <w:kern w:val="0"/>
                <w:sz w:val="21"/>
                <w:szCs w:val="20"/>
              </w:rPr>
            </w:pPr>
            <w:r>
              <w:rPr>
                <w:rFonts w:hint="eastAsia" w:ascii="Cambria" w:hAnsi="Cambria" w:eastAsia="宋体" w:cs="MingLiU"/>
                <w:b w:val="0"/>
                <w:bCs w:val="0"/>
                <w:kern w:val="0"/>
                <w:sz w:val="21"/>
                <w:szCs w:val="20"/>
              </w:rPr>
              <w:t>建设</w:t>
            </w:r>
            <w:r>
              <w:rPr>
                <w:rFonts w:ascii="Cambria" w:hAnsi="Cambria" w:eastAsia="宋体" w:cs="MingLiU"/>
                <w:b w:val="0"/>
                <w:bCs w:val="0"/>
                <w:kern w:val="0"/>
                <w:sz w:val="21"/>
                <w:szCs w:val="20"/>
              </w:rPr>
              <w:t>地点</w:t>
            </w:r>
            <w:r>
              <w:rPr>
                <w:rFonts w:hint="eastAsia" w:ascii="Cambria" w:hAnsi="Cambria" w:eastAsia="宋体" w:cs="MingLiU"/>
                <w:b w:val="0"/>
                <w:bCs w:val="0"/>
                <w:kern w:val="0"/>
                <w:sz w:val="21"/>
                <w:szCs w:val="20"/>
              </w:rPr>
              <w:t>：安徽省池州市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883" w:type="dxa"/>
            <w:vAlign w:val="center"/>
          </w:tcPr>
          <w:p>
            <w:pPr>
              <w:spacing w:line="320" w:lineRule="exact"/>
              <w:jc w:val="center"/>
            </w:pPr>
            <w:r>
              <w:rPr>
                <w:rFonts w:hint="eastAsia"/>
              </w:rPr>
              <w:t>1.1.4</w:t>
            </w:r>
          </w:p>
        </w:tc>
        <w:tc>
          <w:tcPr>
            <w:tcW w:w="2244" w:type="dxa"/>
            <w:vAlign w:val="center"/>
          </w:tcPr>
          <w:p>
            <w:pPr>
              <w:spacing w:line="320" w:lineRule="exact"/>
              <w:jc w:val="center"/>
            </w:pPr>
            <w:r>
              <w:rPr>
                <w:rFonts w:hint="eastAsia"/>
              </w:rPr>
              <w:t>项目预算</w:t>
            </w:r>
          </w:p>
        </w:tc>
        <w:tc>
          <w:tcPr>
            <w:tcW w:w="5844" w:type="dxa"/>
            <w:vAlign w:val="center"/>
          </w:tcPr>
          <w:p>
            <w:pPr>
              <w:spacing w:line="300" w:lineRule="exact"/>
              <w:rPr>
                <w:rFonts w:ascii="Cambria" w:hAnsi="Cambria" w:cs="MingLiU"/>
                <w:color w:val="FF0000"/>
                <w:kern w:val="0"/>
              </w:rPr>
            </w:pPr>
            <w:r>
              <w:rPr>
                <w:rFonts w:hint="eastAsia" w:ascii="宋体" w:hAnsi="宋体" w:cs="宋体"/>
              </w:rPr>
              <w:t>全过程工程咨询总投资</w:t>
            </w:r>
            <w:r>
              <w:rPr>
                <w:rFonts w:hint="eastAsia" w:ascii="宋体" w:hAnsi="宋体" w:cs="宋体"/>
                <w:lang w:val="en-US" w:eastAsia="zh-CN"/>
              </w:rPr>
              <w:t>182</w:t>
            </w:r>
            <w:r>
              <w:rPr>
                <w:rFonts w:hint="eastAsia" w:ascii="宋体" w:hAnsi="宋体" w:cs="宋体"/>
              </w:rPr>
              <w:t>万元，其中，勘察设计费</w:t>
            </w:r>
            <w:r>
              <w:rPr>
                <w:rFonts w:hint="eastAsia" w:ascii="宋体" w:hAnsi="宋体" w:cs="宋体"/>
                <w:lang w:val="en-US" w:eastAsia="zh-CN"/>
              </w:rPr>
              <w:t>93</w:t>
            </w:r>
            <w:r>
              <w:rPr>
                <w:rFonts w:hint="eastAsia" w:ascii="宋体" w:hAnsi="宋体" w:cs="宋体"/>
              </w:rPr>
              <w:t>万元、工程监理费</w:t>
            </w:r>
            <w:r>
              <w:rPr>
                <w:rFonts w:hint="eastAsia" w:ascii="宋体" w:hAnsi="宋体" w:cs="宋体"/>
                <w:lang w:val="en-US" w:eastAsia="zh-CN"/>
              </w:rPr>
              <w:t>76</w:t>
            </w:r>
            <w:r>
              <w:rPr>
                <w:rFonts w:hint="eastAsia" w:ascii="宋体" w:hAnsi="宋体" w:cs="宋体"/>
              </w:rPr>
              <w:t>万元、造价咨询</w:t>
            </w:r>
            <w:r>
              <w:rPr>
                <w:rFonts w:hint="eastAsia" w:ascii="宋体" w:hAnsi="宋体" w:cs="宋体"/>
                <w:lang w:val="en-US" w:eastAsia="zh-CN"/>
              </w:rPr>
              <w:t>13</w:t>
            </w: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exact"/>
          <w:jc w:val="center"/>
        </w:trPr>
        <w:tc>
          <w:tcPr>
            <w:tcW w:w="883" w:type="dxa"/>
            <w:vAlign w:val="center"/>
          </w:tcPr>
          <w:p>
            <w:pPr>
              <w:spacing w:line="320" w:lineRule="exact"/>
              <w:jc w:val="center"/>
            </w:pPr>
            <w:r>
              <w:rPr>
                <w:rFonts w:hint="eastAsia"/>
              </w:rPr>
              <w:t>1.1</w:t>
            </w:r>
            <w:r>
              <w:t>.</w:t>
            </w:r>
            <w:r>
              <w:rPr>
                <w:rFonts w:hint="eastAsia"/>
              </w:rPr>
              <w:t>5</w:t>
            </w:r>
          </w:p>
        </w:tc>
        <w:tc>
          <w:tcPr>
            <w:tcW w:w="2244" w:type="dxa"/>
            <w:vAlign w:val="center"/>
          </w:tcPr>
          <w:p>
            <w:pPr>
              <w:spacing w:line="320" w:lineRule="exact"/>
              <w:ind w:left="840" w:hanging="840" w:hangingChars="400"/>
              <w:jc w:val="center"/>
              <w:rPr>
                <w:rFonts w:ascii="宋体" w:hAnsi="宋体" w:cs="宋体"/>
              </w:rPr>
            </w:pPr>
            <w:r>
              <w:rPr>
                <w:rFonts w:hint="eastAsia" w:ascii="宋体" w:hAnsi="宋体" w:cs="宋体"/>
                <w:lang w:bidi="ar"/>
              </w:rPr>
              <w:t>工程建设内容</w:t>
            </w:r>
          </w:p>
        </w:tc>
        <w:tc>
          <w:tcPr>
            <w:tcW w:w="5844" w:type="dxa"/>
            <w:vAlign w:val="center"/>
          </w:tcPr>
          <w:p>
            <w:pPr>
              <w:spacing w:line="300" w:lineRule="exact"/>
              <w:rPr>
                <w:rFonts w:ascii="宋体" w:hAnsi="宋体" w:cs="宋体"/>
                <w:szCs w:val="22"/>
              </w:rPr>
            </w:pPr>
            <w:r>
              <w:rPr>
                <w:rFonts w:hint="eastAsia" w:ascii="宋体" w:hAnsi="宋体" w:cs="宋体"/>
              </w:rPr>
              <w:t>工程建设</w:t>
            </w:r>
            <w:r>
              <w:rPr>
                <w:rFonts w:hint="eastAsia" w:ascii="宋体" w:hAnsi="宋体" w:cs="宋体"/>
                <w:lang w:eastAsia="zh-CN"/>
              </w:rPr>
              <w:t>建安费约</w:t>
            </w:r>
            <w:r>
              <w:rPr>
                <w:rFonts w:hint="eastAsia" w:ascii="宋体" w:hAnsi="宋体" w:cs="宋体"/>
                <w:lang w:val="en-US" w:eastAsia="zh-CN"/>
              </w:rPr>
              <w:t>3270</w:t>
            </w:r>
            <w:r>
              <w:rPr>
                <w:rFonts w:hint="eastAsia" w:ascii="宋体" w:hAnsi="宋体" w:cs="宋体"/>
              </w:rPr>
              <w:t>万元(后续工程量若有调整时咨询服务费用会按照相关规则进行调整，详见招标文件中相关章节)。项目位于安徽省池州市，建设内容主要包括：</w:t>
            </w:r>
            <w:r>
              <w:rPr>
                <w:rFonts w:hint="eastAsia" w:ascii="宋体" w:hAnsi="宋体" w:cs="宋体"/>
                <w:lang w:val="en-US" w:eastAsia="zh-CN" w:bidi="ar"/>
              </w:rPr>
              <w:t>新建库房1790平方米、道路2公里、硬化场地8379平方米，桥梁修复加固，完善给排水、供电，以及设施设备等附属采购</w:t>
            </w:r>
            <w:r>
              <w:rPr>
                <w:rFonts w:hint="eastAsia" w:ascii="宋体" w:hAnsi="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3" w:type="dxa"/>
            <w:vAlign w:val="center"/>
          </w:tcPr>
          <w:p>
            <w:pPr>
              <w:spacing w:line="320" w:lineRule="exact"/>
              <w:jc w:val="center"/>
            </w:pPr>
            <w:r>
              <w:t>1.1.</w:t>
            </w:r>
            <w:r>
              <w:rPr>
                <w:rFonts w:hint="eastAsia"/>
              </w:rPr>
              <w:t>6</w:t>
            </w:r>
          </w:p>
        </w:tc>
        <w:tc>
          <w:tcPr>
            <w:tcW w:w="2244" w:type="dxa"/>
            <w:vAlign w:val="center"/>
          </w:tcPr>
          <w:p>
            <w:pPr>
              <w:spacing w:line="320" w:lineRule="exact"/>
              <w:jc w:val="center"/>
              <w:rPr>
                <w:rFonts w:cs="宋体"/>
              </w:rPr>
            </w:pPr>
            <w:r>
              <w:rPr>
                <w:rFonts w:hint="eastAsia" w:cs="宋体"/>
              </w:rPr>
              <w:t>资金来源/到位情况</w:t>
            </w:r>
          </w:p>
        </w:tc>
        <w:tc>
          <w:tcPr>
            <w:tcW w:w="5844" w:type="dxa"/>
            <w:vAlign w:val="center"/>
          </w:tcPr>
          <w:p>
            <w:pPr>
              <w:spacing w:line="320" w:lineRule="exact"/>
              <w:rPr>
                <w:rFonts w:ascii="Times" w:hAnsi="宋体" w:cs="MingLiU"/>
                <w:kern w:val="0"/>
              </w:rPr>
            </w:pPr>
            <w:r>
              <w:rPr>
                <w:rFonts w:hint="eastAsia"/>
              </w:rPr>
              <w:t>上级拨款，已落实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5" w:hRule="atLeast"/>
          <w:jc w:val="center"/>
        </w:trPr>
        <w:tc>
          <w:tcPr>
            <w:tcW w:w="883" w:type="dxa"/>
            <w:vAlign w:val="center"/>
          </w:tcPr>
          <w:p>
            <w:pPr>
              <w:spacing w:line="320" w:lineRule="exact"/>
              <w:jc w:val="center"/>
            </w:pPr>
            <w:r>
              <w:t>1.1.</w:t>
            </w:r>
            <w:r>
              <w:rPr>
                <w:rFonts w:hint="eastAsia"/>
              </w:rPr>
              <w:t>7</w:t>
            </w:r>
          </w:p>
        </w:tc>
        <w:tc>
          <w:tcPr>
            <w:tcW w:w="2244" w:type="dxa"/>
            <w:vAlign w:val="center"/>
          </w:tcPr>
          <w:p>
            <w:pPr>
              <w:spacing w:line="320" w:lineRule="exact"/>
              <w:jc w:val="center"/>
            </w:pPr>
            <w:r>
              <w:rPr>
                <w:rFonts w:hint="eastAsia" w:cs="宋体"/>
              </w:rPr>
              <w:t>服务范围</w:t>
            </w:r>
          </w:p>
        </w:tc>
        <w:tc>
          <w:tcPr>
            <w:tcW w:w="5844" w:type="dxa"/>
            <w:vAlign w:val="center"/>
          </w:tcPr>
          <w:p>
            <w:pPr>
              <w:spacing w:line="300" w:lineRule="exact"/>
              <w:rPr>
                <w:rFonts w:ascii="宋体" w:hAnsi="宋体" w:cs="宋体"/>
                <w:szCs w:val="22"/>
              </w:rPr>
            </w:pPr>
            <w:r>
              <w:rPr>
                <w:rFonts w:hint="eastAsia" w:ascii="宋体" w:hAnsi="宋体" w:cs="宋体"/>
                <w:szCs w:val="22"/>
              </w:rPr>
              <w:t>（1）勘察设计：包括本项目所有建设内容全过程选址勘察、初步勘察、详细勘察等勘察工作、测绘、方案设计、初步设计（扩大初步设计）、技术规格书编制、施工图设计等工作。其中设计应包含招标人所需的平面图、鸟瞰图、VR图等各类效果图制作。</w:t>
            </w:r>
          </w:p>
          <w:p>
            <w:pPr>
              <w:spacing w:line="300" w:lineRule="exact"/>
              <w:rPr>
                <w:rFonts w:ascii="宋体" w:hAnsi="宋体" w:cs="宋体"/>
                <w:szCs w:val="22"/>
              </w:rPr>
            </w:pPr>
            <w:r>
              <w:rPr>
                <w:rFonts w:hint="eastAsia" w:ascii="宋体" w:hAnsi="宋体" w:cs="宋体"/>
                <w:szCs w:val="22"/>
              </w:rPr>
              <w:t>（2）工程监理：包括本项目所有建设内容全过程监理的投资、进度、质量、保密、廉政控制，安全、信息、合同管理，协调各方关系，协助开展竣工验收移交和归档工程资料等；</w:t>
            </w:r>
          </w:p>
          <w:p>
            <w:pPr>
              <w:spacing w:line="300" w:lineRule="exact"/>
              <w:rPr>
                <w:rFonts w:ascii="宋体" w:hAnsi="宋体" w:cs="宋体"/>
                <w:szCs w:val="22"/>
              </w:rPr>
            </w:pPr>
            <w:r>
              <w:rPr>
                <w:rFonts w:hint="eastAsia" w:ascii="宋体" w:hAnsi="宋体" w:cs="宋体"/>
                <w:szCs w:val="22"/>
              </w:rPr>
              <w:t>（3）造价咨询：包括本项目所有建设内容全过程的编审工程估算、审查初步设计概算、编制工程量清单和招标控制价，配合审查施工图预算，审查变更签证价款、审查工程进度款、审查工程索赔，协助梳理核实竣工结算和编制竣工决算等工作。</w:t>
            </w:r>
          </w:p>
          <w:p>
            <w:pPr>
              <w:spacing w:line="300" w:lineRule="exact"/>
              <w:rPr>
                <w:rFonts w:ascii="宋体" w:hAnsi="宋体" w:cs="宋体"/>
                <w:szCs w:val="22"/>
              </w:rPr>
            </w:pPr>
            <w:r>
              <w:rPr>
                <w:rFonts w:hint="eastAsia" w:ascii="宋体" w:hAnsi="宋体" w:cs="宋体"/>
                <w:szCs w:val="22"/>
              </w:rPr>
              <w:t>（4）其他专业咨询：包括法律顾问、房地产评估、环境影响评价报告、沉降观测评价报告、地质灾害危险性评估、房屋质量鉴定、特殊试验检测或第三方试验检测等其他专业咨询项目。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3" w:type="dxa"/>
            <w:vAlign w:val="center"/>
          </w:tcPr>
          <w:p>
            <w:pPr>
              <w:spacing w:line="320" w:lineRule="exact"/>
              <w:jc w:val="center"/>
            </w:pPr>
            <w:r>
              <w:rPr>
                <w:rFonts w:hint="eastAsia"/>
              </w:rPr>
              <w:t>1.1.8</w:t>
            </w:r>
          </w:p>
        </w:tc>
        <w:tc>
          <w:tcPr>
            <w:tcW w:w="2244" w:type="dxa"/>
            <w:vAlign w:val="center"/>
          </w:tcPr>
          <w:p>
            <w:pPr>
              <w:spacing w:line="320" w:lineRule="exact"/>
              <w:jc w:val="center"/>
              <w:rPr>
                <w:rFonts w:cs="宋体"/>
              </w:rPr>
            </w:pPr>
            <w:r>
              <w:rPr>
                <w:rFonts w:hint="eastAsia" w:cs="宋体"/>
              </w:rPr>
              <w:t>招标方式及评分办法</w:t>
            </w:r>
          </w:p>
        </w:tc>
        <w:tc>
          <w:tcPr>
            <w:tcW w:w="5844" w:type="dxa"/>
            <w:vAlign w:val="center"/>
          </w:tcPr>
          <w:p>
            <w:pPr>
              <w:spacing w:line="300" w:lineRule="exact"/>
              <w:rPr>
                <w:rFonts w:ascii="宋体" w:hAnsi="宋体" w:cs="宋体"/>
                <w:szCs w:val="22"/>
              </w:rPr>
            </w:pPr>
            <w:r>
              <w:rPr>
                <w:rFonts w:hint="eastAsia" w:ascii="宋体" w:hAnsi="宋体" w:cs="宋体"/>
                <w:szCs w:val="22"/>
              </w:rPr>
              <w:t>公开招标、综合评估法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883" w:type="dxa"/>
            <w:vAlign w:val="center"/>
          </w:tcPr>
          <w:p>
            <w:pPr>
              <w:spacing w:line="320" w:lineRule="exact"/>
              <w:jc w:val="center"/>
            </w:pPr>
            <w:r>
              <w:rPr>
                <w:rFonts w:hint="eastAsia"/>
              </w:rPr>
              <w:t>1.</w:t>
            </w:r>
            <w:r>
              <w:t>1</w:t>
            </w:r>
            <w:r>
              <w:rPr>
                <w:rFonts w:hint="eastAsia"/>
              </w:rPr>
              <w:t>.9</w:t>
            </w:r>
          </w:p>
        </w:tc>
        <w:tc>
          <w:tcPr>
            <w:tcW w:w="2244" w:type="dxa"/>
            <w:vAlign w:val="center"/>
          </w:tcPr>
          <w:p>
            <w:pPr>
              <w:spacing w:line="320" w:lineRule="exact"/>
              <w:jc w:val="center"/>
              <w:rPr>
                <w:rFonts w:cs="宋体"/>
              </w:rPr>
            </w:pPr>
            <w:r>
              <w:rPr>
                <w:rFonts w:hint="eastAsia" w:cs="宋体"/>
              </w:rPr>
              <w:t>最高投标限价</w:t>
            </w:r>
          </w:p>
        </w:tc>
        <w:tc>
          <w:tcPr>
            <w:tcW w:w="5844"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最高费率：</w:t>
            </w:r>
            <w:r>
              <w:rPr>
                <w:rFonts w:hint="eastAsia" w:ascii="宋体" w:hAnsi="宋体" w:cs="宋体"/>
                <w:color w:val="auto"/>
                <w:szCs w:val="21"/>
                <w:highlight w:val="none"/>
                <w:lang w:val="en-US" w:eastAsia="zh-CN"/>
              </w:rPr>
              <w:t>5.571</w:t>
            </w:r>
            <w:r>
              <w:rPr>
                <w:rFonts w:hint="eastAsia" w:ascii="宋体" w:hAnsi="宋体" w:cs="宋体"/>
                <w:color w:val="auto"/>
                <w:szCs w:val="21"/>
                <w:highlight w:val="none"/>
              </w:rPr>
              <w:t>%</w:t>
            </w:r>
          </w:p>
          <w:p>
            <w:pPr>
              <w:spacing w:line="320" w:lineRule="exact"/>
              <w:rPr>
                <w:rFonts w:ascii="宋体" w:hAnsi="宋体" w:cs="宋体"/>
                <w:color w:val="auto"/>
                <w:szCs w:val="21"/>
                <w:highlight w:val="none"/>
              </w:rPr>
            </w:pPr>
            <w:r>
              <w:rPr>
                <w:rFonts w:hint="eastAsia" w:ascii="宋体" w:hAnsi="宋体" w:cs="宋体"/>
                <w:color w:val="auto"/>
                <w:szCs w:val="21"/>
                <w:highlight w:val="none"/>
              </w:rPr>
              <w:t>勘察设计最高费率：2.</w:t>
            </w:r>
            <w:r>
              <w:rPr>
                <w:rFonts w:hint="eastAsia" w:ascii="宋体" w:hAnsi="宋体" w:cs="宋体"/>
                <w:color w:val="auto"/>
                <w:szCs w:val="21"/>
                <w:highlight w:val="none"/>
                <w:lang w:val="en-US" w:eastAsia="zh-CN"/>
              </w:rPr>
              <w:t>847</w:t>
            </w:r>
            <w:r>
              <w:rPr>
                <w:rFonts w:hint="eastAsia" w:ascii="宋体" w:hAnsi="宋体" w:cs="宋体"/>
                <w:color w:val="auto"/>
                <w:szCs w:val="21"/>
                <w:highlight w:val="none"/>
              </w:rPr>
              <w:t>%</w:t>
            </w:r>
          </w:p>
          <w:p>
            <w:pPr>
              <w:spacing w:line="320" w:lineRule="exact"/>
              <w:rPr>
                <w:rFonts w:ascii="宋体" w:hAnsi="宋体" w:cs="宋体"/>
                <w:color w:val="auto"/>
                <w:szCs w:val="21"/>
                <w:highlight w:val="none"/>
              </w:rPr>
            </w:pPr>
            <w:r>
              <w:rPr>
                <w:rFonts w:hint="eastAsia" w:ascii="宋体" w:hAnsi="宋体" w:cs="宋体"/>
                <w:color w:val="auto"/>
                <w:szCs w:val="21"/>
                <w:highlight w:val="none"/>
              </w:rPr>
              <w:t>工程监理最高费率：</w:t>
            </w:r>
            <w:r>
              <w:rPr>
                <w:rFonts w:hint="eastAsia" w:ascii="宋体" w:hAnsi="宋体" w:cs="宋体"/>
                <w:color w:val="auto"/>
                <w:szCs w:val="21"/>
                <w:highlight w:val="none"/>
                <w:lang w:val="en-US" w:eastAsia="zh-CN"/>
              </w:rPr>
              <w:t>2.327</w:t>
            </w:r>
            <w:r>
              <w:rPr>
                <w:rFonts w:hint="eastAsia" w:ascii="宋体" w:hAnsi="宋体" w:cs="宋体"/>
                <w:color w:val="auto"/>
                <w:szCs w:val="21"/>
                <w:highlight w:val="none"/>
              </w:rPr>
              <w:t>%</w:t>
            </w:r>
          </w:p>
          <w:p>
            <w:pPr>
              <w:spacing w:line="320" w:lineRule="exact"/>
              <w:rPr>
                <w:rFonts w:ascii="宋体" w:hAnsi="宋体" w:cs="宋体"/>
                <w:color w:val="auto"/>
                <w:szCs w:val="21"/>
                <w:highlight w:val="none"/>
              </w:rPr>
            </w:pPr>
            <w:r>
              <w:rPr>
                <w:rFonts w:hint="eastAsia" w:ascii="宋体" w:hAnsi="宋体" w:cs="宋体"/>
                <w:color w:val="auto"/>
                <w:szCs w:val="21"/>
                <w:highlight w:val="none"/>
              </w:rPr>
              <w:t>造价咨询最高费率：0.</w:t>
            </w:r>
            <w:r>
              <w:rPr>
                <w:rFonts w:hint="eastAsia" w:ascii="宋体" w:hAnsi="宋体" w:cs="宋体"/>
                <w:color w:val="auto"/>
                <w:szCs w:val="21"/>
                <w:highlight w:val="none"/>
                <w:lang w:val="en-US" w:eastAsia="zh-CN"/>
              </w:rPr>
              <w:t>397</w:t>
            </w:r>
            <w:r>
              <w:rPr>
                <w:rFonts w:hint="eastAsia" w:ascii="宋体" w:hAnsi="宋体" w:cs="宋体"/>
                <w:color w:val="auto"/>
                <w:szCs w:val="21"/>
                <w:highlight w:val="none"/>
              </w:rPr>
              <w:t>%</w:t>
            </w:r>
          </w:p>
          <w:p>
            <w:pPr>
              <w:spacing w:line="320" w:lineRule="exact"/>
            </w:pPr>
            <w:r>
              <w:rPr>
                <w:rFonts w:hint="eastAsia" w:ascii="宋体" w:hAnsi="宋体" w:cs="宋体"/>
                <w:szCs w:val="21"/>
              </w:rPr>
              <w:t>（最高费率=勘察设计最高费率+工程监理最高费率+造价咨询最高费率）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3" w:type="dxa"/>
            <w:vAlign w:val="center"/>
          </w:tcPr>
          <w:p>
            <w:pPr>
              <w:spacing w:line="320" w:lineRule="exact"/>
              <w:jc w:val="center"/>
            </w:pPr>
            <w:r>
              <w:t>1.1.</w:t>
            </w:r>
            <w:r>
              <w:rPr>
                <w:rFonts w:hint="eastAsia"/>
              </w:rPr>
              <w:t>10</w:t>
            </w:r>
          </w:p>
        </w:tc>
        <w:tc>
          <w:tcPr>
            <w:tcW w:w="2244" w:type="dxa"/>
            <w:vAlign w:val="center"/>
          </w:tcPr>
          <w:p>
            <w:pPr>
              <w:spacing w:line="320" w:lineRule="exact"/>
              <w:jc w:val="center"/>
            </w:pPr>
            <w:r>
              <w:rPr>
                <w:rFonts w:hint="eastAsia" w:cs="宋体"/>
              </w:rPr>
              <w:t>服务期限</w:t>
            </w:r>
          </w:p>
        </w:tc>
        <w:tc>
          <w:tcPr>
            <w:tcW w:w="5844" w:type="dxa"/>
            <w:vAlign w:val="center"/>
          </w:tcPr>
          <w:p>
            <w:pPr>
              <w:spacing w:line="320" w:lineRule="exact"/>
              <w:rPr>
                <w:rFonts w:ascii="宋体" w:hAnsi="宋体" w:cs="宋体"/>
                <w:szCs w:val="21"/>
              </w:rPr>
            </w:pPr>
            <w:r>
              <w:rPr>
                <w:rFonts w:hint="eastAsia" w:ascii="宋体" w:hAnsi="宋体" w:cs="宋体"/>
                <w:szCs w:val="21"/>
              </w:rPr>
              <w:t>计划工期为</w:t>
            </w:r>
            <w:r>
              <w:rPr>
                <w:rFonts w:hint="eastAsia" w:ascii="宋体" w:hAnsi="宋体" w:cs="宋体"/>
                <w:szCs w:val="21"/>
                <w:lang w:val="en-US" w:eastAsia="zh-CN"/>
              </w:rPr>
              <w:t>15</w:t>
            </w:r>
            <w:r>
              <w:rPr>
                <w:rFonts w:hint="eastAsia" w:ascii="宋体" w:hAnsi="宋体" w:cs="宋体"/>
                <w:szCs w:val="21"/>
              </w:rPr>
              <w:t>个月，其中勘察设计、造价咨询要在</w:t>
            </w:r>
            <w:r>
              <w:rPr>
                <w:rFonts w:hint="eastAsia" w:ascii="宋体" w:hAnsi="宋体" w:cs="宋体"/>
                <w:szCs w:val="21"/>
                <w:lang w:val="en-US" w:eastAsia="zh-CN"/>
              </w:rPr>
              <w:t>1</w:t>
            </w:r>
            <w:r>
              <w:rPr>
                <w:rFonts w:hint="eastAsia" w:ascii="宋体" w:hAnsi="宋体" w:cs="宋体"/>
                <w:szCs w:val="21"/>
              </w:rPr>
              <w:t>个月内完成</w:t>
            </w:r>
            <w:r>
              <w:rPr>
                <w:rFonts w:hint="eastAsia" w:ascii="宋体" w:hAnsi="宋体" w:cs="宋体"/>
                <w:szCs w:val="21"/>
                <w:lang w:eastAsia="zh-CN"/>
              </w:rPr>
              <w:t>，</w:t>
            </w:r>
            <w:r>
              <w:rPr>
                <w:rFonts w:hint="eastAsia" w:ascii="宋体" w:hAnsi="宋体" w:cs="宋体"/>
                <w:szCs w:val="21"/>
              </w:rPr>
              <w:t>实际以工程建设实际情况为准。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320" w:lineRule="exact"/>
              <w:jc w:val="center"/>
            </w:pPr>
            <w:r>
              <w:rPr>
                <w:rFonts w:hint="eastAsia"/>
              </w:rPr>
              <w:t>1.1.11</w:t>
            </w:r>
          </w:p>
        </w:tc>
        <w:tc>
          <w:tcPr>
            <w:tcW w:w="2244" w:type="dxa"/>
            <w:vAlign w:val="center"/>
          </w:tcPr>
          <w:p>
            <w:pPr>
              <w:spacing w:line="320" w:lineRule="exact"/>
              <w:jc w:val="center"/>
              <w:rPr>
                <w:rFonts w:cs="宋体"/>
              </w:rPr>
            </w:pPr>
            <w:r>
              <w:rPr>
                <w:rFonts w:hint="eastAsia" w:cs="宋体"/>
              </w:rPr>
              <w:t>投标人资质要求</w:t>
            </w:r>
          </w:p>
        </w:tc>
        <w:tc>
          <w:tcPr>
            <w:tcW w:w="5844" w:type="dxa"/>
            <w:vAlign w:val="center"/>
          </w:tcPr>
          <w:p>
            <w:pPr>
              <w:spacing w:line="320" w:lineRule="exact"/>
              <w:rPr>
                <w:rFonts w:ascii="宋体" w:hAnsi="宋体" w:cs="宋体"/>
                <w:szCs w:val="21"/>
              </w:rPr>
            </w:pPr>
            <w:r>
              <w:rPr>
                <w:rFonts w:hint="eastAsia" w:ascii="宋体" w:hAnsi="宋体" w:cs="宋体"/>
                <w:szCs w:val="21"/>
              </w:rPr>
              <w:t>详见第一章“招标公告”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320" w:lineRule="exact"/>
              <w:jc w:val="center"/>
            </w:pPr>
            <w:r>
              <w:rPr>
                <w:rFonts w:hint="eastAsia"/>
              </w:rPr>
              <w:t>1.1.12</w:t>
            </w:r>
          </w:p>
        </w:tc>
        <w:tc>
          <w:tcPr>
            <w:tcW w:w="2244" w:type="dxa"/>
            <w:vAlign w:val="center"/>
          </w:tcPr>
          <w:p>
            <w:pPr>
              <w:spacing w:line="320" w:lineRule="exact"/>
              <w:jc w:val="center"/>
              <w:rPr>
                <w:rFonts w:cs="宋体"/>
              </w:rPr>
            </w:pPr>
            <w:r>
              <w:rPr>
                <w:rFonts w:hint="eastAsia" w:cs="宋体"/>
              </w:rPr>
              <w:t>人员资质要求</w:t>
            </w:r>
          </w:p>
        </w:tc>
        <w:tc>
          <w:tcPr>
            <w:tcW w:w="5844" w:type="dxa"/>
            <w:vAlign w:val="center"/>
          </w:tcPr>
          <w:p>
            <w:pPr>
              <w:spacing w:line="320" w:lineRule="exact"/>
              <w:rPr>
                <w:rFonts w:ascii="宋体" w:hAnsi="宋体" w:cs="宋体"/>
                <w:szCs w:val="21"/>
              </w:rPr>
            </w:pPr>
            <w:r>
              <w:rPr>
                <w:rFonts w:hint="eastAsia"/>
              </w:rPr>
              <w:t>详见第一章“招标公告”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883" w:type="dxa"/>
            <w:vAlign w:val="center"/>
          </w:tcPr>
          <w:p>
            <w:pPr>
              <w:spacing w:line="320" w:lineRule="exact"/>
              <w:jc w:val="center"/>
            </w:pPr>
            <w:r>
              <w:rPr>
                <w:rFonts w:hint="eastAsia"/>
              </w:rPr>
              <w:t>1.1.13</w:t>
            </w:r>
          </w:p>
        </w:tc>
        <w:tc>
          <w:tcPr>
            <w:tcW w:w="2244" w:type="dxa"/>
            <w:vAlign w:val="center"/>
          </w:tcPr>
          <w:p>
            <w:pPr>
              <w:spacing w:line="320" w:lineRule="exact"/>
              <w:jc w:val="center"/>
              <w:rPr>
                <w:rFonts w:cs="宋体"/>
              </w:rPr>
            </w:pPr>
            <w:r>
              <w:rPr>
                <w:rFonts w:hint="eastAsia" w:cs="宋体"/>
              </w:rPr>
              <w:t>开标时投标人应当提交的材料</w:t>
            </w:r>
          </w:p>
        </w:tc>
        <w:tc>
          <w:tcPr>
            <w:tcW w:w="5844" w:type="dxa"/>
            <w:vAlign w:val="center"/>
          </w:tcPr>
          <w:p>
            <w:pPr>
              <w:spacing w:line="320" w:lineRule="exact"/>
              <w:rPr>
                <w:rFonts w:ascii="宋体" w:hAnsi="宋体" w:cs="宋体"/>
                <w:szCs w:val="21"/>
              </w:rPr>
            </w:pPr>
            <w:r>
              <w:rPr>
                <w:rFonts w:hint="eastAsia" w:ascii="宋体" w:hAnsi="宋体" w:cs="宋体"/>
                <w:szCs w:val="21"/>
              </w:rPr>
              <w:t xml:space="preserve"> </w:t>
            </w:r>
            <w:r>
              <w:rPr>
                <w:rFonts w:hint="eastAsia" w:ascii="宋体" w:hAnsi="宋体" w:cs="宋体"/>
                <w:szCs w:val="21"/>
              </w:rPr>
              <w:sym w:font="Wingdings 2" w:char="0052"/>
            </w:r>
            <w:r>
              <w:rPr>
                <w:rFonts w:ascii="宋体" w:hAnsi="宋体" w:cs="宋体"/>
                <w:szCs w:val="21"/>
              </w:rPr>
              <w:t xml:space="preserve"> </w:t>
            </w:r>
            <w:r>
              <w:rPr>
                <w:rFonts w:hint="eastAsia" w:ascii="宋体" w:hAnsi="宋体" w:cs="宋体"/>
                <w:szCs w:val="21"/>
              </w:rPr>
              <w:t>法定代表人证书和本人身份证或者法定代表人授权委托书和本人身份证；</w:t>
            </w:r>
          </w:p>
          <w:p>
            <w:pPr>
              <w:spacing w:line="320" w:lineRule="exact"/>
              <w:rPr>
                <w:rFonts w:ascii="宋体" w:hAnsi="宋体" w:cs="宋体"/>
                <w:szCs w:val="21"/>
              </w:rPr>
            </w:pPr>
            <w:r>
              <w:rPr>
                <w:rFonts w:hint="eastAsia" w:ascii="宋体" w:hAnsi="宋体" w:cs="宋体"/>
                <w:szCs w:val="21"/>
              </w:rPr>
              <w:t xml:space="preserve"> </w:t>
            </w:r>
            <w:r>
              <w:rPr>
                <w:rFonts w:hint="eastAsia" w:ascii="宋体" w:hAnsi="宋体" w:cs="宋体"/>
                <w:szCs w:val="21"/>
              </w:rPr>
              <w:sym w:font="Wingdings 2" w:char="0052"/>
            </w:r>
            <w:r>
              <w:rPr>
                <w:rFonts w:hint="eastAsia" w:ascii="宋体" w:hAnsi="宋体" w:cs="宋体"/>
                <w:szCs w:val="21"/>
              </w:rPr>
              <w:t>投标保证金凭证。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83" w:type="dxa"/>
            <w:vAlign w:val="center"/>
          </w:tcPr>
          <w:p>
            <w:pPr>
              <w:spacing w:line="320" w:lineRule="exact"/>
              <w:jc w:val="center"/>
            </w:pPr>
            <w:r>
              <w:t>1.1.</w:t>
            </w:r>
            <w:r>
              <w:rPr>
                <w:rFonts w:hint="eastAsia"/>
              </w:rPr>
              <w:t>14</w:t>
            </w:r>
          </w:p>
        </w:tc>
        <w:tc>
          <w:tcPr>
            <w:tcW w:w="2244" w:type="dxa"/>
            <w:vAlign w:val="center"/>
          </w:tcPr>
          <w:p>
            <w:pPr>
              <w:spacing w:line="320" w:lineRule="exact"/>
              <w:jc w:val="center"/>
            </w:pPr>
            <w:r>
              <w:rPr>
                <w:rFonts w:hint="eastAsia" w:cs="宋体"/>
              </w:rPr>
              <w:t>质量要求</w:t>
            </w:r>
          </w:p>
        </w:tc>
        <w:tc>
          <w:tcPr>
            <w:tcW w:w="5844" w:type="dxa"/>
            <w:vAlign w:val="center"/>
          </w:tcPr>
          <w:p>
            <w:pPr>
              <w:spacing w:line="320" w:lineRule="exact"/>
              <w:rPr>
                <w:rFonts w:ascii="宋体" w:hAnsi="宋体" w:cs="宋体"/>
                <w:szCs w:val="21"/>
              </w:rPr>
            </w:pPr>
            <w:r>
              <w:rPr>
                <w:rFonts w:hint="eastAsia" w:ascii="宋体" w:hAnsi="宋体" w:cs="宋体"/>
                <w:szCs w:val="21"/>
              </w:rPr>
              <w:t>符合现行国家和军队有关规范和标准的要求。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vAlign w:val="center"/>
          </w:tcPr>
          <w:p>
            <w:pPr>
              <w:spacing w:line="320" w:lineRule="exact"/>
              <w:jc w:val="center"/>
            </w:pPr>
            <w:r>
              <w:rPr>
                <w:rFonts w:hint="eastAsia"/>
              </w:rPr>
              <w:t>1.1.15</w:t>
            </w:r>
          </w:p>
        </w:tc>
        <w:tc>
          <w:tcPr>
            <w:tcW w:w="2244" w:type="dxa"/>
            <w:vAlign w:val="center"/>
          </w:tcPr>
          <w:p>
            <w:pPr>
              <w:spacing w:line="320" w:lineRule="exact"/>
              <w:jc w:val="center"/>
            </w:pPr>
            <w:r>
              <w:rPr>
                <w:rFonts w:hint="eastAsia"/>
              </w:rPr>
              <w:t>获取招标文件</w:t>
            </w:r>
          </w:p>
        </w:tc>
        <w:tc>
          <w:tcPr>
            <w:tcW w:w="5844" w:type="dxa"/>
            <w:vAlign w:val="center"/>
          </w:tcPr>
          <w:p>
            <w:pPr>
              <w:spacing w:line="320" w:lineRule="exact"/>
              <w:rPr>
                <w:rFonts w:ascii="宋体" w:hAnsi="宋体" w:cs="宋体"/>
                <w:szCs w:val="21"/>
              </w:rPr>
            </w:pPr>
            <w:r>
              <w:rPr>
                <w:rFonts w:hint="eastAsia" w:ascii="宋体" w:hAnsi="宋体" w:eastAsia="宋体" w:cs="宋体"/>
              </w:rPr>
              <w:t>凡有意参加投标者，请于 2025 年</w:t>
            </w:r>
            <w:r>
              <w:rPr>
                <w:rFonts w:hint="eastAsia" w:ascii="宋体" w:hAnsi="宋体" w:eastAsia="宋体" w:cs="宋体"/>
                <w:u w:val="single"/>
                <w:lang w:val="en-US" w:eastAsia="zh-CN"/>
              </w:rPr>
              <w:t xml:space="preserve">  7 </w:t>
            </w:r>
            <w:r>
              <w:rPr>
                <w:rFonts w:hint="eastAsia" w:ascii="宋体" w:hAnsi="宋体" w:eastAsia="宋体" w:cs="宋体"/>
              </w:rPr>
              <w:t>月</w:t>
            </w:r>
            <w:r>
              <w:rPr>
                <w:rFonts w:hint="eastAsia" w:ascii="宋体" w:hAnsi="宋体" w:eastAsia="宋体" w:cs="宋体"/>
                <w:u w:val="single"/>
                <w:lang w:val="en-US" w:eastAsia="zh-CN"/>
              </w:rPr>
              <w:t xml:space="preserve"> 9  </w:t>
            </w:r>
            <w:r>
              <w:rPr>
                <w:rFonts w:hint="eastAsia" w:ascii="宋体" w:hAnsi="宋体" w:eastAsia="宋体" w:cs="宋体"/>
              </w:rPr>
              <w:t>日</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17 </w:t>
            </w:r>
            <w:r>
              <w:rPr>
                <w:rFonts w:hint="eastAsia" w:ascii="宋体" w:hAnsi="宋体" w:eastAsia="宋体" w:cs="宋体"/>
              </w:rPr>
              <w:t>时</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00 </w:t>
            </w:r>
            <w:r>
              <w:rPr>
                <w:rFonts w:hint="eastAsia" w:ascii="宋体" w:hAnsi="宋体" w:eastAsia="宋体" w:cs="宋体"/>
              </w:rPr>
              <w:t>分至2025 年</w:t>
            </w:r>
            <w:r>
              <w:rPr>
                <w:rFonts w:hint="eastAsia" w:ascii="宋体" w:hAnsi="宋体" w:eastAsia="宋体" w:cs="宋体"/>
                <w:u w:val="single"/>
                <w:lang w:val="en-US" w:eastAsia="zh-CN"/>
              </w:rPr>
              <w:t xml:space="preserve">  7 </w:t>
            </w:r>
            <w:r>
              <w:rPr>
                <w:rFonts w:hint="eastAsia" w:ascii="宋体" w:hAnsi="宋体" w:eastAsia="宋体" w:cs="宋体"/>
              </w:rPr>
              <w:t>月</w:t>
            </w:r>
            <w:r>
              <w:rPr>
                <w:rFonts w:hint="eastAsia" w:ascii="宋体" w:hAnsi="宋体" w:eastAsia="宋体" w:cs="宋体"/>
                <w:u w:val="single"/>
                <w:lang w:val="en-US" w:eastAsia="zh-CN"/>
              </w:rPr>
              <w:t xml:space="preserve">  31 </w:t>
            </w:r>
            <w:r>
              <w:rPr>
                <w:rFonts w:hint="eastAsia" w:ascii="宋体" w:hAnsi="宋体" w:eastAsia="宋体" w:cs="宋体"/>
              </w:rPr>
              <w:t>日</w:t>
            </w:r>
            <w:r>
              <w:rPr>
                <w:rFonts w:hint="eastAsia" w:ascii="宋体" w:hAnsi="宋体" w:eastAsia="宋体" w:cs="宋体"/>
                <w:u w:val="single"/>
                <w:lang w:val="en-US" w:eastAsia="zh-CN"/>
              </w:rPr>
              <w:t xml:space="preserve"> </w:t>
            </w:r>
            <w:r>
              <w:rPr>
                <w:rFonts w:hint="eastAsia" w:ascii="宋体" w:hAnsi="宋体" w:cs="宋体"/>
                <w:u w:val="single"/>
                <w:lang w:val="en-US" w:eastAsia="zh-CN"/>
              </w:rPr>
              <w:t>10</w:t>
            </w:r>
            <w:r>
              <w:rPr>
                <w:rFonts w:hint="eastAsia" w:ascii="宋体" w:hAnsi="宋体" w:eastAsia="宋体" w:cs="宋体"/>
                <w:u w:val="single"/>
                <w:lang w:val="en-US" w:eastAsia="zh-CN"/>
              </w:rPr>
              <w:t xml:space="preserve"> </w:t>
            </w:r>
            <w:r>
              <w:rPr>
                <w:rFonts w:hint="eastAsia" w:ascii="宋体" w:hAnsi="宋体" w:eastAsia="宋体" w:cs="宋体"/>
              </w:rPr>
              <w:t>时</w:t>
            </w:r>
            <w:r>
              <w:rPr>
                <w:rFonts w:hint="eastAsia" w:ascii="宋体" w:hAnsi="宋体" w:eastAsia="宋体" w:cs="宋体"/>
                <w:u w:val="single"/>
                <w:lang w:val="en-US" w:eastAsia="zh-CN"/>
              </w:rPr>
              <w:t xml:space="preserve"> 00 </w:t>
            </w:r>
            <w:r>
              <w:rPr>
                <w:rFonts w:hint="eastAsia" w:ascii="宋体" w:hAnsi="宋体" w:eastAsia="宋体" w:cs="宋体"/>
              </w:rPr>
              <w:t>分（北京时间，下同），登录</w:t>
            </w:r>
            <w:r>
              <w:rPr>
                <w:rFonts w:hint="eastAsia" w:ascii="宋体" w:hAnsi="宋体" w:eastAsia="宋体" w:cs="宋体"/>
                <w:szCs w:val="22"/>
              </w:rPr>
              <w:t>军队采购网（网址：http：//www.</w:t>
            </w:r>
            <w:r>
              <w:rPr>
                <w:rFonts w:hint="eastAsia" w:ascii="宋体" w:hAnsi="宋体" w:eastAsia="宋体" w:cs="宋体"/>
                <w:szCs w:val="22"/>
                <w:lang w:val="en-US"/>
              </w:rPr>
              <w:t>plap</w:t>
            </w:r>
            <w:r>
              <w:rPr>
                <w:rFonts w:hint="eastAsia" w:ascii="宋体" w:hAnsi="宋体" w:eastAsia="宋体" w:cs="宋体"/>
                <w:szCs w:val="22"/>
              </w:rPr>
              <w:t>.</w:t>
            </w:r>
            <w:r>
              <w:rPr>
                <w:rFonts w:hint="eastAsia" w:ascii="宋体" w:hAnsi="宋体" w:eastAsia="宋体" w:cs="宋体"/>
                <w:szCs w:val="22"/>
                <w:lang w:val="en-US"/>
              </w:rPr>
              <w:t>mil.</w:t>
            </w:r>
            <w:r>
              <w:rPr>
                <w:rFonts w:hint="eastAsia" w:ascii="宋体" w:hAnsi="宋体" w:eastAsia="宋体" w:cs="宋体"/>
                <w:szCs w:val="22"/>
              </w:rPr>
              <w:t>cn）</w:t>
            </w:r>
            <w:r>
              <w:rPr>
                <w:rFonts w:hint="eastAsia" w:ascii="宋体" w:hAnsi="宋体" w:eastAsia="宋体" w:cs="宋体"/>
                <w:szCs w:val="22"/>
                <w:lang w:eastAsia="zh-CN"/>
              </w:rPr>
              <w:t>、</w:t>
            </w:r>
            <w:r>
              <w:rPr>
                <w:rFonts w:hint="eastAsia" w:ascii="宋体" w:hAnsi="宋体" w:eastAsia="宋体" w:cs="宋体"/>
              </w:rPr>
              <w:t>广州交易集团有限公司（广州公共资源交易中心）网站（网址：http：//www.gzggzy.cn）下载电子招标文件。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83" w:type="dxa"/>
            <w:vAlign w:val="center"/>
          </w:tcPr>
          <w:p>
            <w:pPr>
              <w:spacing w:line="320" w:lineRule="exact"/>
              <w:jc w:val="center"/>
            </w:pPr>
            <w:r>
              <w:t>1.2.1</w:t>
            </w:r>
          </w:p>
        </w:tc>
        <w:tc>
          <w:tcPr>
            <w:tcW w:w="2244" w:type="dxa"/>
            <w:vAlign w:val="center"/>
          </w:tcPr>
          <w:p>
            <w:pPr>
              <w:spacing w:line="320" w:lineRule="exact"/>
              <w:jc w:val="center"/>
            </w:pPr>
            <w:r>
              <w:rPr>
                <w:rFonts w:hint="eastAsia" w:cs="宋体"/>
              </w:rPr>
              <w:t>踏勘现场</w:t>
            </w:r>
          </w:p>
        </w:tc>
        <w:tc>
          <w:tcPr>
            <w:tcW w:w="5844" w:type="dxa"/>
            <w:vAlign w:val="center"/>
          </w:tcPr>
          <w:p>
            <w:pPr>
              <w:spacing w:line="320" w:lineRule="exact"/>
            </w:pPr>
            <w:r>
              <w:rPr>
                <w:rFonts w:hint="eastAsia" w:cs="宋体"/>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83" w:type="dxa"/>
            <w:vAlign w:val="center"/>
          </w:tcPr>
          <w:p>
            <w:pPr>
              <w:spacing w:line="320" w:lineRule="exact"/>
              <w:jc w:val="center"/>
            </w:pPr>
            <w:r>
              <w:rPr>
                <w:rFonts w:hint="eastAsia"/>
              </w:rPr>
              <w:t>1.</w:t>
            </w:r>
            <w:r>
              <w:t>2</w:t>
            </w:r>
            <w:r>
              <w:rPr>
                <w:rFonts w:hint="eastAsia"/>
              </w:rPr>
              <w:t>.2</w:t>
            </w:r>
          </w:p>
        </w:tc>
        <w:tc>
          <w:tcPr>
            <w:tcW w:w="2244" w:type="dxa"/>
            <w:vAlign w:val="center"/>
          </w:tcPr>
          <w:p>
            <w:pPr>
              <w:spacing w:line="320" w:lineRule="exact"/>
              <w:jc w:val="center"/>
              <w:rPr>
                <w:rFonts w:ascii="宋体" w:hAnsi="宋体" w:cs="宋体"/>
                <w:szCs w:val="21"/>
              </w:rPr>
            </w:pPr>
            <w:r>
              <w:rPr>
                <w:rFonts w:hint="eastAsia" w:ascii="宋体" w:hAnsi="宋体" w:cs="宋体"/>
                <w:szCs w:val="21"/>
              </w:rPr>
              <w:t>投标预备会</w:t>
            </w:r>
          </w:p>
        </w:tc>
        <w:tc>
          <w:tcPr>
            <w:tcW w:w="5844" w:type="dxa"/>
            <w:vAlign w:val="center"/>
          </w:tcPr>
          <w:p>
            <w:pPr>
              <w:spacing w:line="320" w:lineRule="exact"/>
              <w:rPr>
                <w:rFonts w:ascii="宋体" w:hAnsi="宋体" w:cs="宋体"/>
                <w:szCs w:val="21"/>
              </w:rPr>
            </w:pPr>
            <w:r>
              <w:rPr>
                <w:rFonts w:hint="eastAsia" w:ascii="宋体" w:hAnsi="宋体" w:cs="宋体"/>
                <w:szCs w:val="21"/>
              </w:rPr>
              <w:t>根据需要召开。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83" w:type="dxa"/>
            <w:vAlign w:val="center"/>
          </w:tcPr>
          <w:p>
            <w:pPr>
              <w:spacing w:line="320" w:lineRule="exact"/>
              <w:jc w:val="center"/>
            </w:pPr>
            <w:r>
              <w:t>1.2.3</w:t>
            </w:r>
          </w:p>
        </w:tc>
        <w:tc>
          <w:tcPr>
            <w:tcW w:w="2244" w:type="dxa"/>
            <w:vAlign w:val="center"/>
          </w:tcPr>
          <w:p>
            <w:pPr>
              <w:spacing w:line="320" w:lineRule="exact"/>
              <w:jc w:val="center"/>
              <w:rPr>
                <w:rFonts w:cs="宋体"/>
              </w:rPr>
            </w:pPr>
            <w:r>
              <w:rPr>
                <w:rFonts w:hint="eastAsia" w:cs="宋体"/>
              </w:rPr>
              <w:t>投标人提出问题的</w:t>
            </w:r>
          </w:p>
          <w:p>
            <w:pPr>
              <w:spacing w:line="320" w:lineRule="exact"/>
              <w:jc w:val="center"/>
            </w:pPr>
            <w:r>
              <w:rPr>
                <w:rFonts w:hint="eastAsia" w:cs="宋体"/>
              </w:rPr>
              <w:t>截止时间</w:t>
            </w:r>
          </w:p>
        </w:tc>
        <w:tc>
          <w:tcPr>
            <w:tcW w:w="5844" w:type="dxa"/>
            <w:vAlign w:val="center"/>
          </w:tcPr>
          <w:p>
            <w:pPr>
              <w:spacing w:line="320" w:lineRule="exact"/>
            </w:pPr>
            <w:r>
              <w:rPr>
                <w:rFonts w:hint="eastAsia" w:cs="宋体"/>
              </w:rPr>
              <w:t>投标截止时间</w:t>
            </w:r>
            <w:r>
              <w:rPr>
                <w:rFonts w:hint="eastAsia" w:cs="宋体"/>
                <w:u w:val="single"/>
              </w:rPr>
              <w:t xml:space="preserve"> 10 </w:t>
            </w:r>
            <w:r>
              <w:rPr>
                <w:rFonts w:hint="eastAsia" w:cs="宋体"/>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83" w:type="dxa"/>
            <w:vAlign w:val="center"/>
          </w:tcPr>
          <w:p>
            <w:pPr>
              <w:spacing w:line="320" w:lineRule="exact"/>
              <w:jc w:val="center"/>
            </w:pPr>
            <w:r>
              <w:t>1.2.4</w:t>
            </w:r>
          </w:p>
        </w:tc>
        <w:tc>
          <w:tcPr>
            <w:tcW w:w="2244" w:type="dxa"/>
            <w:vAlign w:val="center"/>
          </w:tcPr>
          <w:p>
            <w:pPr>
              <w:spacing w:line="320" w:lineRule="exact"/>
              <w:jc w:val="center"/>
              <w:rPr>
                <w:rFonts w:cs="宋体"/>
              </w:rPr>
            </w:pPr>
            <w:r>
              <w:rPr>
                <w:rFonts w:hint="eastAsia" w:cs="宋体"/>
              </w:rPr>
              <w:t>招标人书面澄清的</w:t>
            </w:r>
          </w:p>
          <w:p>
            <w:pPr>
              <w:spacing w:line="320" w:lineRule="exact"/>
              <w:jc w:val="center"/>
            </w:pPr>
            <w:r>
              <w:rPr>
                <w:rFonts w:hint="eastAsia" w:cs="宋体"/>
              </w:rPr>
              <w:t>时间</w:t>
            </w:r>
          </w:p>
        </w:tc>
        <w:tc>
          <w:tcPr>
            <w:tcW w:w="5844" w:type="dxa"/>
            <w:vAlign w:val="center"/>
          </w:tcPr>
          <w:p>
            <w:pPr>
              <w:spacing w:line="320" w:lineRule="exact"/>
            </w:pPr>
            <w:bookmarkStart w:id="24" w:name="OLE_LINK5"/>
            <w:r>
              <w:rPr>
                <w:rFonts w:hint="eastAsia" w:cs="宋体"/>
              </w:rPr>
              <w:t>投标截止时间</w:t>
            </w:r>
            <w:r>
              <w:rPr>
                <w:rFonts w:hint="eastAsia" w:cs="宋体"/>
                <w:u w:val="single"/>
              </w:rPr>
              <w:t xml:space="preserve"> 1</w:t>
            </w:r>
            <w:r>
              <w:rPr>
                <w:rFonts w:cs="宋体"/>
                <w:u w:val="single"/>
              </w:rPr>
              <w:t>5</w:t>
            </w:r>
            <w:r>
              <w:rPr>
                <w:rFonts w:hint="eastAsia" w:cs="宋体"/>
                <w:u w:val="single"/>
              </w:rPr>
              <w:t xml:space="preserve"> </w:t>
            </w:r>
            <w:r>
              <w:rPr>
                <w:rFonts w:hint="eastAsia" w:cs="宋体"/>
              </w:rPr>
              <w:t>日前</w:t>
            </w:r>
            <w:bookmarkEnd w:id="24"/>
            <w:r>
              <w:rPr>
                <w:rFonts w:hint="eastAsia" w:cs="宋体"/>
              </w:rPr>
              <w:t>，以书面形式澄清，时间不足的，影响投标文件编制的应当顺延提交投标文件的截止时间。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83" w:type="dxa"/>
            <w:vAlign w:val="center"/>
          </w:tcPr>
          <w:p>
            <w:pPr>
              <w:spacing w:line="320" w:lineRule="exact"/>
              <w:jc w:val="center"/>
            </w:pPr>
            <w:r>
              <w:t>1.2</w:t>
            </w:r>
            <w:r>
              <w:rPr>
                <w:rFonts w:hint="eastAsia"/>
              </w:rPr>
              <w:t>.</w:t>
            </w:r>
            <w:r>
              <w:t>5</w:t>
            </w:r>
          </w:p>
        </w:tc>
        <w:tc>
          <w:tcPr>
            <w:tcW w:w="2244" w:type="dxa"/>
            <w:vAlign w:val="center"/>
          </w:tcPr>
          <w:p>
            <w:pPr>
              <w:spacing w:line="320" w:lineRule="exact"/>
              <w:jc w:val="center"/>
            </w:pPr>
            <w:r>
              <w:rPr>
                <w:rFonts w:hint="eastAsia"/>
              </w:rPr>
              <w:t>分包</w:t>
            </w:r>
          </w:p>
        </w:tc>
        <w:tc>
          <w:tcPr>
            <w:tcW w:w="5844" w:type="dxa"/>
            <w:vAlign w:val="center"/>
          </w:tcPr>
          <w:p>
            <w:pPr>
              <w:spacing w:line="320" w:lineRule="exact"/>
              <w:rPr>
                <w:b/>
              </w:rPr>
            </w:pPr>
            <w:r>
              <w:rPr>
                <w:rFonts w:hint="eastAsia"/>
              </w:rPr>
              <w:t>不允</w:t>
            </w:r>
            <w:r>
              <w:rPr>
                <w:rFonts w:hint="eastAsia" w:cs="宋体"/>
              </w:rPr>
              <w:t>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83" w:type="dxa"/>
            <w:vAlign w:val="center"/>
          </w:tcPr>
          <w:p>
            <w:pPr>
              <w:spacing w:line="320" w:lineRule="exact"/>
              <w:jc w:val="center"/>
            </w:pPr>
            <w:r>
              <w:rPr>
                <w:rFonts w:hint="eastAsia"/>
              </w:rPr>
              <w:t>1.</w:t>
            </w:r>
            <w:r>
              <w:t>2.6</w:t>
            </w:r>
          </w:p>
        </w:tc>
        <w:tc>
          <w:tcPr>
            <w:tcW w:w="2244" w:type="dxa"/>
            <w:vAlign w:val="center"/>
          </w:tcPr>
          <w:p>
            <w:pPr>
              <w:spacing w:line="320" w:lineRule="exact"/>
              <w:jc w:val="center"/>
            </w:pPr>
            <w:r>
              <w:rPr>
                <w:rFonts w:hint="eastAsia"/>
              </w:rPr>
              <w:t>偏离</w:t>
            </w:r>
          </w:p>
        </w:tc>
        <w:tc>
          <w:tcPr>
            <w:tcW w:w="5844" w:type="dxa"/>
            <w:vAlign w:val="center"/>
          </w:tcPr>
          <w:p>
            <w:pPr>
              <w:spacing w:line="320" w:lineRule="exact"/>
              <w:rPr>
                <w:rFonts w:cs="宋体"/>
                <w:szCs w:val="22"/>
              </w:rPr>
            </w:pPr>
            <w:r>
              <w:rPr>
                <w:rFonts w:hint="eastAsia" w:cs="宋体"/>
                <w:szCs w:val="2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83" w:type="dxa"/>
            <w:vAlign w:val="center"/>
          </w:tcPr>
          <w:p>
            <w:pPr>
              <w:spacing w:line="320" w:lineRule="exact"/>
              <w:jc w:val="center"/>
            </w:pPr>
            <w:r>
              <w:t>1.2.7</w:t>
            </w:r>
          </w:p>
        </w:tc>
        <w:tc>
          <w:tcPr>
            <w:tcW w:w="2244" w:type="dxa"/>
            <w:vAlign w:val="center"/>
          </w:tcPr>
          <w:p>
            <w:pPr>
              <w:spacing w:line="320" w:lineRule="exact"/>
              <w:jc w:val="center"/>
            </w:pPr>
            <w:r>
              <w:rPr>
                <w:rFonts w:hint="eastAsia" w:cs="宋体"/>
              </w:rPr>
              <w:t>投标人要求澄清招标文件的截止时间</w:t>
            </w:r>
          </w:p>
        </w:tc>
        <w:tc>
          <w:tcPr>
            <w:tcW w:w="5844" w:type="dxa"/>
            <w:vAlign w:val="center"/>
          </w:tcPr>
          <w:p>
            <w:pPr>
              <w:spacing w:line="320" w:lineRule="exact"/>
            </w:pPr>
            <w:r>
              <w:rPr>
                <w:rFonts w:hint="eastAsia" w:cs="宋体"/>
              </w:rPr>
              <w:t>投标截止时间</w:t>
            </w:r>
            <w:r>
              <w:rPr>
                <w:rFonts w:hint="eastAsia" w:cs="宋体"/>
                <w:u w:val="single"/>
              </w:rPr>
              <w:t xml:space="preserve"> 10 </w:t>
            </w:r>
            <w:r>
              <w:rPr>
                <w:rFonts w:hint="eastAsia" w:cs="宋体"/>
              </w:rPr>
              <w:t>日前，以书面形式提出。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1.2.8</w:t>
            </w:r>
          </w:p>
        </w:tc>
        <w:tc>
          <w:tcPr>
            <w:tcW w:w="2244" w:type="dxa"/>
            <w:vAlign w:val="center"/>
          </w:tcPr>
          <w:p>
            <w:pPr>
              <w:spacing w:line="320" w:lineRule="exact"/>
              <w:jc w:val="center"/>
            </w:pPr>
            <w:r>
              <w:rPr>
                <w:rFonts w:hint="eastAsia" w:cs="宋体"/>
              </w:rPr>
              <w:t>投标截止时间</w:t>
            </w:r>
          </w:p>
        </w:tc>
        <w:tc>
          <w:tcPr>
            <w:tcW w:w="5844" w:type="dxa"/>
            <w:vAlign w:val="center"/>
          </w:tcPr>
          <w:p>
            <w:pPr>
              <w:spacing w:line="320" w:lineRule="exact"/>
            </w:pPr>
            <w:r>
              <w:rPr>
                <w:rFonts w:hint="eastAsia" w:ascii="宋体" w:hAnsi="宋体" w:eastAsia="宋体" w:cs="宋体"/>
                <w:u w:val="single"/>
              </w:rPr>
              <w:t>2025</w:t>
            </w:r>
            <w:r>
              <w:rPr>
                <w:rFonts w:hint="eastAsia" w:ascii="宋体" w:hAnsi="宋体" w:eastAsia="宋体" w:cs="宋体"/>
              </w:rPr>
              <w:t>年</w:t>
            </w:r>
            <w:r>
              <w:rPr>
                <w:rFonts w:hint="eastAsia" w:ascii="宋体" w:hAnsi="宋体" w:eastAsia="宋体" w:cs="宋体"/>
                <w:u w:val="single"/>
                <w:lang w:val="en-US" w:eastAsia="zh-CN"/>
              </w:rPr>
              <w:t xml:space="preserve"> 7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31 </w:t>
            </w:r>
            <w:r>
              <w:rPr>
                <w:rFonts w:hint="eastAsia" w:ascii="宋体" w:hAnsi="宋体" w:eastAsia="宋体" w:cs="宋体"/>
              </w:rPr>
              <w:t>日</w:t>
            </w:r>
            <w:r>
              <w:rPr>
                <w:rFonts w:hint="eastAsia" w:ascii="宋体" w:hAnsi="宋体" w:eastAsia="宋体" w:cs="宋体"/>
                <w:u w:val="single"/>
                <w:lang w:val="en-US" w:eastAsia="zh-CN"/>
              </w:rPr>
              <w:t xml:space="preserve"> </w:t>
            </w:r>
            <w:r>
              <w:rPr>
                <w:rFonts w:hint="eastAsia" w:ascii="宋体" w:hAnsi="宋体" w:cs="宋体"/>
                <w:u w:val="single"/>
                <w:lang w:val="en-US" w:eastAsia="zh-CN"/>
              </w:rPr>
              <w:t>10</w:t>
            </w:r>
            <w:r>
              <w:rPr>
                <w:rFonts w:hint="eastAsia" w:ascii="宋体" w:hAnsi="宋体" w:eastAsia="宋体" w:cs="宋体"/>
                <w:u w:val="single"/>
                <w:lang w:val="en-US" w:eastAsia="zh-CN"/>
              </w:rPr>
              <w:t xml:space="preserve"> </w:t>
            </w:r>
            <w:r>
              <w:rPr>
                <w:rFonts w:hint="eastAsia" w:ascii="宋体" w:hAnsi="宋体" w:eastAsia="宋体" w:cs="宋体"/>
              </w:rPr>
              <w:t>时</w:t>
            </w:r>
            <w:r>
              <w:rPr>
                <w:rFonts w:hint="eastAsia" w:ascii="宋体" w:hAnsi="宋体" w:eastAsia="宋体" w:cs="宋体"/>
                <w:u w:val="single"/>
                <w:lang w:val="en-US" w:eastAsia="zh-CN"/>
              </w:rPr>
              <w:t xml:space="preserve">  00 </w:t>
            </w:r>
            <w:r>
              <w:rPr>
                <w:rFonts w:hint="eastAsia" w:ascii="宋体" w:hAnsi="宋体" w:eastAsia="宋体" w:cs="宋体"/>
                <w:u w:val="single"/>
              </w:rPr>
              <w:t xml:space="preserve"> </w:t>
            </w:r>
            <w:r>
              <w:rPr>
                <w:rFonts w:hint="eastAsia" w:ascii="宋体" w:hAnsi="宋体" w:eastAsia="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1.2.9</w:t>
            </w:r>
          </w:p>
        </w:tc>
        <w:tc>
          <w:tcPr>
            <w:tcW w:w="2244" w:type="dxa"/>
            <w:vAlign w:val="center"/>
          </w:tcPr>
          <w:p>
            <w:pPr>
              <w:spacing w:line="320" w:lineRule="exact"/>
              <w:jc w:val="center"/>
            </w:pPr>
            <w:r>
              <w:rPr>
                <w:rFonts w:hint="eastAsia" w:cs="宋体"/>
              </w:rPr>
              <w:t>投标人确认收到招标文件澄清的时间</w:t>
            </w:r>
          </w:p>
        </w:tc>
        <w:tc>
          <w:tcPr>
            <w:tcW w:w="5844" w:type="dxa"/>
            <w:vAlign w:val="center"/>
          </w:tcPr>
          <w:p>
            <w:pPr>
              <w:spacing w:line="320" w:lineRule="exact"/>
              <w:rPr>
                <w:u w:val="single"/>
              </w:rPr>
            </w:pPr>
            <w:r>
              <w:rPr>
                <w:rFonts w:hint="eastAsia" w:cs="宋体"/>
              </w:rPr>
              <w:t>在收到相应澄清文件后</w:t>
            </w:r>
            <w:r>
              <w:rPr>
                <w:rFonts w:hint="eastAsia"/>
                <w:u w:val="single"/>
              </w:rPr>
              <w:t>24</w:t>
            </w:r>
            <w:r>
              <w:rPr>
                <w:rFonts w:hint="eastAsia" w:cs="宋体"/>
              </w:rPr>
              <w:t>小时内</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1.2.10</w:t>
            </w:r>
          </w:p>
        </w:tc>
        <w:tc>
          <w:tcPr>
            <w:tcW w:w="2244" w:type="dxa"/>
            <w:vAlign w:val="center"/>
          </w:tcPr>
          <w:p>
            <w:pPr>
              <w:spacing w:line="320" w:lineRule="exact"/>
              <w:jc w:val="center"/>
            </w:pPr>
            <w:r>
              <w:rPr>
                <w:rFonts w:hint="eastAsia" w:cs="宋体"/>
              </w:rPr>
              <w:t>投标人确认收到招标文件修改的时间</w:t>
            </w:r>
          </w:p>
        </w:tc>
        <w:tc>
          <w:tcPr>
            <w:tcW w:w="5844" w:type="dxa"/>
            <w:vAlign w:val="center"/>
          </w:tcPr>
          <w:p>
            <w:pPr>
              <w:spacing w:line="320" w:lineRule="exact"/>
            </w:pPr>
            <w:r>
              <w:rPr>
                <w:rFonts w:hint="eastAsia" w:cs="宋体"/>
              </w:rPr>
              <w:t>在收到相应修改文件后</w:t>
            </w:r>
            <w:r>
              <w:rPr>
                <w:rFonts w:hint="eastAsia"/>
                <w:u w:val="single"/>
              </w:rPr>
              <w:t>24</w:t>
            </w:r>
            <w:r>
              <w:rPr>
                <w:rFonts w:hint="eastAsia" w:cs="宋体"/>
              </w:rPr>
              <w:t>小时内</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w:t>
            </w:r>
            <w:r>
              <w:rPr>
                <w:rFonts w:hint="eastAsia"/>
              </w:rPr>
              <w:t>.2.</w:t>
            </w:r>
            <w:r>
              <w:t>11</w:t>
            </w:r>
          </w:p>
        </w:tc>
        <w:tc>
          <w:tcPr>
            <w:tcW w:w="2244" w:type="dxa"/>
            <w:vAlign w:val="center"/>
          </w:tcPr>
          <w:p>
            <w:pPr>
              <w:spacing w:line="320" w:lineRule="exact"/>
              <w:jc w:val="center"/>
              <w:rPr>
                <w:rFonts w:cs="宋体"/>
              </w:rPr>
            </w:pPr>
            <w:r>
              <w:rPr>
                <w:rFonts w:hint="eastAsia" w:cs="宋体"/>
              </w:rPr>
              <w:t>投标报价其他要求</w:t>
            </w:r>
          </w:p>
        </w:tc>
        <w:tc>
          <w:tcPr>
            <w:tcW w:w="5844" w:type="dxa"/>
            <w:vAlign w:val="center"/>
          </w:tcPr>
          <w:p>
            <w:pPr>
              <w:spacing w:line="320" w:lineRule="exact"/>
              <w:rPr>
                <w:bCs/>
              </w:rPr>
            </w:pPr>
            <w:r>
              <w:rPr>
                <w:rFonts w:hint="eastAsia" w:cs="宋体"/>
                <w:bCs/>
              </w:rPr>
              <w:t>应考虑为做好本工程咨询服务工作所聘请的工程咨询专家、保密条件建设及相关人员办公、出差、住宿等全部费用。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83" w:type="dxa"/>
            <w:vAlign w:val="center"/>
          </w:tcPr>
          <w:p>
            <w:pPr>
              <w:spacing w:line="320" w:lineRule="exact"/>
              <w:jc w:val="center"/>
            </w:pPr>
            <w:r>
              <w:t>1.3.1</w:t>
            </w:r>
          </w:p>
        </w:tc>
        <w:tc>
          <w:tcPr>
            <w:tcW w:w="2244" w:type="dxa"/>
            <w:vAlign w:val="center"/>
          </w:tcPr>
          <w:p>
            <w:pPr>
              <w:spacing w:line="320" w:lineRule="exact"/>
              <w:jc w:val="center"/>
            </w:pPr>
            <w:r>
              <w:rPr>
                <w:rFonts w:hint="eastAsia" w:cs="宋体"/>
              </w:rPr>
              <w:t>投标有效期</w:t>
            </w:r>
          </w:p>
        </w:tc>
        <w:tc>
          <w:tcPr>
            <w:tcW w:w="5844" w:type="dxa"/>
            <w:vAlign w:val="center"/>
          </w:tcPr>
          <w:p>
            <w:pPr>
              <w:spacing w:line="320" w:lineRule="exact"/>
            </w:pPr>
            <w:r>
              <w:rPr>
                <w:rFonts w:hint="eastAsia" w:cs="宋体"/>
              </w:rPr>
              <w:t>从提交投标文件截止日起计算，</w:t>
            </w:r>
            <w:r>
              <w:rPr>
                <w:u w:val="single"/>
              </w:rPr>
              <w:t xml:space="preserve"> </w:t>
            </w:r>
            <w:r>
              <w:rPr>
                <w:rFonts w:hint="eastAsia"/>
                <w:u w:val="single"/>
              </w:rPr>
              <w:t>90</w:t>
            </w:r>
            <w:r>
              <w:rPr>
                <w:rFonts w:hint="eastAsia" w:cs="宋体"/>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1" w:hRule="atLeast"/>
          <w:jc w:val="center"/>
        </w:trPr>
        <w:tc>
          <w:tcPr>
            <w:tcW w:w="883" w:type="dxa"/>
            <w:vAlign w:val="center"/>
          </w:tcPr>
          <w:p>
            <w:pPr>
              <w:spacing w:line="320" w:lineRule="exact"/>
              <w:jc w:val="center"/>
            </w:pPr>
            <w:r>
              <w:t>1.3.2</w:t>
            </w:r>
          </w:p>
        </w:tc>
        <w:tc>
          <w:tcPr>
            <w:tcW w:w="2244" w:type="dxa"/>
            <w:vAlign w:val="center"/>
          </w:tcPr>
          <w:p>
            <w:pPr>
              <w:spacing w:line="320" w:lineRule="exact"/>
              <w:jc w:val="center"/>
            </w:pPr>
            <w:r>
              <w:rPr>
                <w:rFonts w:hint="eastAsia" w:cs="宋体"/>
              </w:rPr>
              <w:t>投标保证金</w:t>
            </w:r>
          </w:p>
        </w:tc>
        <w:tc>
          <w:tcPr>
            <w:tcW w:w="5844" w:type="dxa"/>
            <w:vAlign w:val="center"/>
          </w:tcPr>
          <w:p>
            <w:pPr>
              <w:spacing w:line="240" w:lineRule="auto"/>
              <w:ind w:firstLine="0" w:firstLineChars="0"/>
              <w:jc w:val="left"/>
              <w:rPr>
                <w:rFonts w:cs="宋体"/>
                <w:color w:val="auto"/>
                <w:szCs w:val="21"/>
                <w:highlight w:val="none"/>
              </w:rPr>
            </w:pPr>
            <w:r>
              <w:rPr>
                <w:rFonts w:hint="eastAsia" w:cs="宋体"/>
                <w:color w:val="auto"/>
                <w:szCs w:val="21"/>
                <w:highlight w:val="none"/>
              </w:rPr>
              <w:t>是否要求投标人递交投标保证金：</w:t>
            </w:r>
          </w:p>
          <w:p>
            <w:pPr>
              <w:spacing w:line="240" w:lineRule="auto"/>
              <w:ind w:firstLine="0" w:firstLineChars="0"/>
              <w:jc w:val="left"/>
              <w:rPr>
                <w:rFonts w:cs="宋体"/>
                <w:color w:val="auto"/>
                <w:szCs w:val="21"/>
                <w:highlight w:val="none"/>
              </w:rPr>
            </w:pPr>
            <w:r>
              <w:rPr>
                <w:rFonts w:hint="eastAsia" w:cs="宋体"/>
                <w:color w:val="auto"/>
                <w:szCs w:val="21"/>
                <w:highlight w:val="none"/>
              </w:rPr>
              <w:t>☑要求</w:t>
            </w:r>
          </w:p>
          <w:p>
            <w:pPr>
              <w:spacing w:line="240" w:lineRule="auto"/>
              <w:ind w:firstLine="0" w:firstLineChars="0"/>
              <w:jc w:val="left"/>
              <w:rPr>
                <w:rFonts w:cs="宋体"/>
                <w:bCs/>
                <w:color w:val="auto"/>
                <w:szCs w:val="21"/>
                <w:highlight w:val="none"/>
              </w:rPr>
            </w:pPr>
            <w:r>
              <w:rPr>
                <w:rFonts w:cs="宋体"/>
                <w:bCs/>
                <w:color w:val="auto"/>
                <w:szCs w:val="21"/>
                <w:highlight w:val="none"/>
              </w:rPr>
              <w:t>本项目收取投标保证金</w:t>
            </w:r>
            <w:r>
              <w:rPr>
                <w:rFonts w:hint="eastAsia" w:cs="宋体"/>
                <w:bCs/>
                <w:color w:val="auto"/>
                <w:szCs w:val="21"/>
                <w:highlight w:val="none"/>
                <w:u w:val="single"/>
                <w:lang w:val="en-US" w:eastAsia="zh-CN"/>
              </w:rPr>
              <w:t>贰</w:t>
            </w:r>
            <w:r>
              <w:rPr>
                <w:rFonts w:cs="宋体"/>
                <w:bCs/>
                <w:color w:val="auto"/>
                <w:szCs w:val="21"/>
                <w:highlight w:val="none"/>
                <w:u w:val="single"/>
              </w:rPr>
              <w:t>万</w:t>
            </w:r>
            <w:r>
              <w:rPr>
                <w:rFonts w:hint="eastAsia" w:cs="宋体"/>
                <w:bCs/>
                <w:color w:val="auto"/>
                <w:szCs w:val="21"/>
                <w:highlight w:val="none"/>
                <w:u w:val="single"/>
                <w:lang w:val="en-US" w:eastAsia="zh-CN"/>
              </w:rPr>
              <w:t>玖仟圆</w:t>
            </w:r>
            <w:r>
              <w:rPr>
                <w:rFonts w:cs="宋体"/>
                <w:bCs/>
                <w:color w:val="auto"/>
                <w:szCs w:val="21"/>
                <w:highlight w:val="none"/>
              </w:rPr>
              <w:t>人民币</w:t>
            </w:r>
            <w:r>
              <w:rPr>
                <w:rFonts w:hint="eastAsia" w:cs="宋体"/>
                <w:bCs/>
                <w:color w:val="auto"/>
                <w:szCs w:val="21"/>
                <w:highlight w:val="none"/>
                <w:lang w:eastAsia="zh-CN"/>
              </w:rPr>
              <w:t>（</w:t>
            </w:r>
            <w:r>
              <w:rPr>
                <w:rFonts w:hint="default" w:ascii="Arial" w:hAnsi="Arial" w:cs="Arial"/>
                <w:bCs/>
                <w:color w:val="auto"/>
                <w:szCs w:val="21"/>
                <w:highlight w:val="none"/>
                <w:lang w:eastAsia="zh-CN"/>
              </w:rPr>
              <w:t>￥</w:t>
            </w:r>
            <w:r>
              <w:rPr>
                <w:rFonts w:hint="eastAsia" w:cs="宋体"/>
                <w:bCs/>
                <w:color w:val="auto"/>
                <w:szCs w:val="21"/>
                <w:highlight w:val="none"/>
                <w:lang w:val="en-US" w:eastAsia="zh-CN"/>
              </w:rPr>
              <w:t>29000</w:t>
            </w:r>
            <w:r>
              <w:rPr>
                <w:rFonts w:hint="eastAsia" w:cs="宋体"/>
                <w:bCs/>
                <w:color w:val="auto"/>
                <w:szCs w:val="21"/>
                <w:highlight w:val="none"/>
                <w:lang w:eastAsia="zh-CN"/>
              </w:rPr>
              <w:t>）</w:t>
            </w:r>
            <w:r>
              <w:rPr>
                <w:rFonts w:cs="宋体"/>
                <w:bCs/>
                <w:color w:val="auto"/>
                <w:szCs w:val="21"/>
                <w:highlight w:val="none"/>
              </w:rPr>
              <w:t>，缴纳时间在</w:t>
            </w:r>
            <w:r>
              <w:rPr>
                <w:rFonts w:hint="eastAsia" w:cs="宋体"/>
                <w:color w:val="auto"/>
                <w:szCs w:val="21"/>
                <w:highlight w:val="none"/>
                <w:u w:val="single"/>
              </w:rPr>
              <w:t>投标截止时间</w:t>
            </w:r>
            <w:r>
              <w:rPr>
                <w:rFonts w:cs="宋体"/>
                <w:bCs/>
                <w:color w:val="auto"/>
                <w:szCs w:val="21"/>
                <w:highlight w:val="none"/>
              </w:rPr>
              <w:t>之前。</w:t>
            </w:r>
          </w:p>
          <w:p>
            <w:pPr>
              <w:spacing w:line="240" w:lineRule="auto"/>
              <w:ind w:firstLine="0" w:firstLineChars="0"/>
              <w:jc w:val="left"/>
              <w:rPr>
                <w:rFonts w:cs="宋体"/>
                <w:bCs/>
                <w:color w:val="auto"/>
                <w:szCs w:val="21"/>
                <w:highlight w:val="none"/>
              </w:rPr>
            </w:pPr>
            <w:r>
              <w:rPr>
                <w:rFonts w:cs="宋体"/>
                <w:bCs/>
                <w:color w:val="auto"/>
                <w:szCs w:val="21"/>
                <w:highlight w:val="none"/>
              </w:rPr>
              <w:t>注：</w:t>
            </w:r>
          </w:p>
          <w:p>
            <w:pPr>
              <w:spacing w:line="240" w:lineRule="auto"/>
              <w:ind w:firstLine="0" w:firstLineChars="0"/>
              <w:jc w:val="left"/>
              <w:rPr>
                <w:rFonts w:cs="宋体"/>
                <w:color w:val="auto"/>
                <w:szCs w:val="21"/>
                <w:highlight w:val="none"/>
              </w:rPr>
            </w:pPr>
            <w:r>
              <w:rPr>
                <w:rFonts w:hint="eastAsia" w:cs="宋体"/>
                <w:bCs/>
                <w:color w:val="auto"/>
                <w:szCs w:val="21"/>
                <w:highlight w:val="none"/>
                <w:lang w:val="en-US" w:eastAsia="zh-CN"/>
              </w:rPr>
              <w:t>1</w:t>
            </w:r>
            <w:r>
              <w:rPr>
                <w:rFonts w:cs="宋体"/>
                <w:bCs/>
                <w:color w:val="auto"/>
                <w:szCs w:val="21"/>
                <w:highlight w:val="none"/>
              </w:rPr>
              <w:t>、投标保证金不得超过招标项目估算价的2%，投标保证金有效期应当与投标文件有效期一致。根据《房屋建筑和市政基础设施工程施工招标投标管理办法》（建设部令第89号）第二十六条的规定，投标保证金最高不得超过50万元。</w:t>
            </w:r>
          </w:p>
          <w:p>
            <w:pPr>
              <w:spacing w:line="240" w:lineRule="auto"/>
              <w:ind w:firstLine="0" w:firstLineChars="0"/>
              <w:jc w:val="left"/>
              <w:rPr>
                <w:rFonts w:cs="宋体"/>
                <w:color w:val="auto"/>
                <w:szCs w:val="21"/>
                <w:highlight w:val="none"/>
              </w:rPr>
            </w:pPr>
            <w:r>
              <w:rPr>
                <w:rFonts w:hint="eastAsia" w:cs="宋体"/>
                <w:color w:val="auto"/>
                <w:szCs w:val="21"/>
                <w:highlight w:val="none"/>
              </w:rPr>
              <w:t>其他说明：</w:t>
            </w:r>
          </w:p>
          <w:p>
            <w:pPr>
              <w:spacing w:line="240" w:lineRule="auto"/>
              <w:ind w:firstLine="0" w:firstLineChars="0"/>
              <w:jc w:val="left"/>
              <w:rPr>
                <w:rFonts w:cs="宋体"/>
                <w:color w:val="auto"/>
                <w:szCs w:val="21"/>
                <w:highlight w:val="none"/>
              </w:rPr>
            </w:pPr>
            <w:r>
              <w:rPr>
                <w:rFonts w:hint="eastAsia" w:cs="宋体"/>
                <w:color w:val="auto"/>
                <w:szCs w:val="21"/>
                <w:highlight w:val="none"/>
              </w:rPr>
              <w:t>投标保证金的形式：投标保证金可采用现金、支票、银行保函、保证保险、专业工程担保公司担保等形式。</w:t>
            </w:r>
          </w:p>
          <w:p>
            <w:pPr>
              <w:spacing w:line="240" w:lineRule="auto"/>
              <w:ind w:firstLine="0" w:firstLineChars="0"/>
              <w:jc w:val="left"/>
              <w:rPr>
                <w:rFonts w:cs="宋体"/>
                <w:color w:val="auto"/>
                <w:szCs w:val="21"/>
                <w:highlight w:val="none"/>
              </w:rPr>
            </w:pPr>
            <w:r>
              <w:rPr>
                <w:rFonts w:hint="eastAsia" w:cs="宋体"/>
                <w:color w:val="auto"/>
                <w:szCs w:val="21"/>
                <w:highlight w:val="none"/>
              </w:rPr>
              <w:t>收取方式：</w:t>
            </w:r>
          </w:p>
          <w:p>
            <w:pPr>
              <w:spacing w:line="240" w:lineRule="auto"/>
              <w:ind w:firstLine="0" w:firstLineChars="0"/>
              <w:jc w:val="left"/>
              <w:rPr>
                <w:rFonts w:cs="宋体"/>
                <w:color w:val="auto"/>
                <w:szCs w:val="21"/>
                <w:highlight w:val="none"/>
              </w:rPr>
            </w:pPr>
            <w:r>
              <w:rPr>
                <w:rFonts w:hint="eastAsia" w:cs="宋体"/>
                <w:color w:val="auto"/>
                <w:szCs w:val="21"/>
                <w:highlight w:val="none"/>
              </w:rPr>
              <w:t>（</w:t>
            </w:r>
            <w:r>
              <w:rPr>
                <w:rFonts w:cs="宋体"/>
                <w:color w:val="auto"/>
                <w:szCs w:val="21"/>
                <w:highlight w:val="none"/>
              </w:rPr>
              <w:t>1）如采用现金、支票或者汇票形式提交的，由</w:t>
            </w:r>
            <w:r>
              <w:rPr>
                <w:rFonts w:hint="eastAsia" w:cs="宋体"/>
                <w:color w:val="auto"/>
                <w:szCs w:val="21"/>
                <w:highlight w:val="none"/>
              </w:rPr>
              <w:t>广州交易集团有限公司（广州公共资源交易中心）</w:t>
            </w:r>
            <w:r>
              <w:rPr>
                <w:rFonts w:cs="宋体"/>
                <w:color w:val="auto"/>
                <w:szCs w:val="21"/>
                <w:highlight w:val="none"/>
              </w:rPr>
              <w:t>代收，投标保证金须从投标人基本账户递交；</w:t>
            </w:r>
          </w:p>
          <w:p>
            <w:pPr>
              <w:spacing w:line="240" w:lineRule="auto"/>
              <w:ind w:firstLine="0" w:firstLineChars="0"/>
              <w:jc w:val="left"/>
              <w:rPr>
                <w:rFonts w:cs="宋体"/>
                <w:color w:val="auto"/>
                <w:szCs w:val="21"/>
                <w:highlight w:val="none"/>
              </w:rPr>
            </w:pPr>
            <w:r>
              <w:rPr>
                <w:rFonts w:hint="eastAsia" w:cs="宋体"/>
                <w:color w:val="auto"/>
                <w:szCs w:val="21"/>
                <w:highlight w:val="none"/>
              </w:rPr>
              <w:t>收款单位：广州交易集团有限公司</w:t>
            </w:r>
          </w:p>
          <w:p>
            <w:pPr>
              <w:spacing w:line="240" w:lineRule="auto"/>
              <w:ind w:firstLine="0" w:firstLineChars="0"/>
              <w:jc w:val="left"/>
              <w:rPr>
                <w:rFonts w:cs="宋体"/>
                <w:color w:val="auto"/>
                <w:szCs w:val="21"/>
                <w:highlight w:val="none"/>
              </w:rPr>
            </w:pPr>
            <w:r>
              <w:rPr>
                <w:rFonts w:hint="eastAsia" w:cs="宋体"/>
                <w:color w:val="auto"/>
                <w:szCs w:val="21"/>
                <w:highlight w:val="none"/>
              </w:rPr>
              <w:t>银行账号：</w:t>
            </w:r>
            <w:r>
              <w:rPr>
                <w:rFonts w:cs="宋体"/>
                <w:color w:val="auto"/>
                <w:szCs w:val="21"/>
                <w:highlight w:val="none"/>
              </w:rPr>
              <w:t>44001583404059333333</w:t>
            </w:r>
          </w:p>
          <w:p>
            <w:pPr>
              <w:spacing w:line="240" w:lineRule="auto"/>
              <w:ind w:firstLine="0" w:firstLineChars="0"/>
              <w:jc w:val="left"/>
              <w:rPr>
                <w:rFonts w:cs="宋体"/>
                <w:color w:val="auto"/>
                <w:szCs w:val="21"/>
                <w:highlight w:val="none"/>
              </w:rPr>
            </w:pPr>
            <w:r>
              <w:rPr>
                <w:rFonts w:hint="eastAsia" w:cs="宋体"/>
                <w:color w:val="auto"/>
                <w:szCs w:val="21"/>
                <w:highlight w:val="none"/>
              </w:rPr>
              <w:t>开户银行：中国建设银行天润路支行</w:t>
            </w:r>
          </w:p>
          <w:p>
            <w:pPr>
              <w:spacing w:line="240" w:lineRule="auto"/>
              <w:ind w:firstLine="0" w:firstLineChars="0"/>
              <w:jc w:val="left"/>
              <w:rPr>
                <w:rFonts w:cs="宋体"/>
                <w:color w:val="auto"/>
                <w:szCs w:val="21"/>
                <w:highlight w:val="none"/>
              </w:rPr>
            </w:pPr>
            <w:r>
              <w:rPr>
                <w:rFonts w:hint="eastAsia" w:cs="宋体"/>
                <w:color w:val="auto"/>
                <w:szCs w:val="21"/>
                <w:highlight w:val="none"/>
              </w:rPr>
              <w:t>具体操作要求详见广州交易集团有限公司（广州公共资源交易中心）有关指引，递交事宜请自行咨询交易中心；请各投标人在投标文件递交截止时间前按上述金额递交至广州交易集团有限公司（广州公共资源交易中心），款项到账后，投标人在完成投标登记后至投标截止时间前，可登陆交易中心网站，在基本户投标保证金栏目内将上述到账资金转到对应的投标项目，完成保证金缴纳。保证金到账情况以开标时广州交易集团有限公司（广州公共资源交易中心）数据库查询的信息为准。</w:t>
            </w:r>
          </w:p>
          <w:p>
            <w:pPr>
              <w:spacing w:line="240" w:lineRule="auto"/>
              <w:ind w:firstLine="0" w:firstLineChars="0"/>
              <w:jc w:val="left"/>
              <w:rPr>
                <w:rFonts w:cs="宋体"/>
                <w:color w:val="auto"/>
                <w:szCs w:val="21"/>
                <w:highlight w:val="none"/>
              </w:rPr>
            </w:pPr>
            <w:r>
              <w:rPr>
                <w:rFonts w:hint="eastAsia" w:cs="宋体"/>
                <w:color w:val="auto"/>
                <w:szCs w:val="21"/>
                <w:highlight w:val="none"/>
              </w:rPr>
              <w:t>（2）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或联合体牵头方）电子印章。如投标人选择在开标前提交纸质原件的，可在投标截止时间前单独密封递交至开标室（时间及地点同递交备用投标文件电子光盘的时间及地点）。</w:t>
            </w:r>
          </w:p>
          <w:p>
            <w:pPr>
              <w:spacing w:line="240" w:lineRule="auto"/>
              <w:ind w:firstLine="0" w:firstLineChars="0"/>
              <w:jc w:val="left"/>
              <w:rPr>
                <w:rFonts w:cs="宋体"/>
                <w:color w:val="auto"/>
                <w:szCs w:val="21"/>
                <w:highlight w:val="none"/>
              </w:rPr>
            </w:pPr>
            <w:r>
              <w:rPr>
                <w:rFonts w:hint="eastAsia" w:cs="宋体"/>
                <w:color w:val="auto"/>
                <w:szCs w:val="21"/>
                <w:highlight w:val="none"/>
              </w:rPr>
              <w:t>（</w:t>
            </w:r>
            <w:r>
              <w:rPr>
                <w:rFonts w:cs="宋体"/>
                <w:color w:val="auto"/>
                <w:szCs w:val="21"/>
                <w:highlight w:val="none"/>
              </w:rPr>
              <w:t>3）采用电子形式的保函、担保或保证保险提交投标保证金的，开具及递交以</w:t>
            </w:r>
            <w:r>
              <w:rPr>
                <w:rFonts w:hint="eastAsia" w:cs="宋体"/>
                <w:color w:val="auto"/>
                <w:szCs w:val="21"/>
                <w:highlight w:val="none"/>
              </w:rPr>
              <w:t>广州交易集团有限公司（广州公共资源交易中心）</w:t>
            </w:r>
            <w:r>
              <w:rPr>
                <w:rFonts w:cs="宋体"/>
                <w:color w:val="auto"/>
                <w:szCs w:val="21"/>
                <w:highlight w:val="none"/>
              </w:rPr>
              <w:t>的相关操作指引为准。</w:t>
            </w:r>
          </w:p>
          <w:p>
            <w:pPr>
              <w:spacing w:line="240" w:lineRule="auto"/>
              <w:ind w:firstLine="0" w:firstLineChars="0"/>
              <w:jc w:val="left"/>
              <w:rPr>
                <w:rFonts w:cs="宋体"/>
                <w:color w:val="auto"/>
                <w:szCs w:val="21"/>
                <w:highlight w:val="none"/>
              </w:rPr>
            </w:pPr>
            <w:r>
              <w:rPr>
                <w:rFonts w:hint="eastAsia" w:cs="宋体"/>
                <w:color w:val="auto"/>
                <w:szCs w:val="21"/>
                <w:highlight w:val="none"/>
              </w:rPr>
              <w:t>（</w:t>
            </w:r>
            <w:r>
              <w:rPr>
                <w:rFonts w:cs="宋体"/>
                <w:color w:val="auto"/>
                <w:szCs w:val="21"/>
                <w:highlight w:val="none"/>
              </w:rPr>
              <w:t>4</w:t>
            </w:r>
            <w:r>
              <w:rPr>
                <w:rFonts w:hint="eastAsia" w:cs="宋体"/>
                <w:color w:val="auto"/>
                <w:szCs w:val="21"/>
                <w:highlight w:val="none"/>
              </w:rPr>
              <w:t>）如联合体投标，投标保证金由联合体牵头方缴纳。</w:t>
            </w:r>
          </w:p>
          <w:p>
            <w:pPr>
              <w:spacing w:line="300" w:lineRule="exact"/>
              <w:rPr>
                <w:rFonts w:ascii="宋体" w:hAnsi="宋体" w:cs="宋体"/>
                <w:szCs w:val="21"/>
              </w:rPr>
            </w:pPr>
            <w:r>
              <w:rPr>
                <w:rFonts w:hint="eastAsia" w:cs="宋体"/>
                <w:color w:val="auto"/>
                <w:szCs w:val="21"/>
                <w:highlight w:val="none"/>
              </w:rPr>
              <w:t>□不要求</w:t>
            </w:r>
            <w:r>
              <w:rPr>
                <w:rFonts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3" w:type="dxa"/>
            <w:vAlign w:val="center"/>
          </w:tcPr>
          <w:p>
            <w:pPr>
              <w:pStyle w:val="33"/>
              <w:topLinePunct/>
              <w:spacing w:line="320" w:lineRule="exact"/>
              <w:jc w:val="center"/>
              <w:rPr>
                <w:sz w:val="21"/>
                <w:szCs w:val="21"/>
              </w:rPr>
            </w:pPr>
            <w:r>
              <w:rPr>
                <w:bCs/>
                <w:sz w:val="21"/>
                <w:szCs w:val="21"/>
              </w:rPr>
              <w:t>1</w:t>
            </w:r>
            <w:r>
              <w:rPr>
                <w:rFonts w:hint="eastAsia"/>
                <w:bCs/>
                <w:sz w:val="21"/>
                <w:szCs w:val="21"/>
              </w:rPr>
              <w:t>.</w:t>
            </w:r>
            <w:r>
              <w:rPr>
                <w:bCs/>
                <w:sz w:val="21"/>
                <w:szCs w:val="21"/>
              </w:rPr>
              <w:t>3</w:t>
            </w:r>
            <w:r>
              <w:rPr>
                <w:rFonts w:hint="eastAsia"/>
                <w:bCs/>
                <w:sz w:val="21"/>
                <w:szCs w:val="21"/>
              </w:rPr>
              <w:t>.</w:t>
            </w:r>
            <w:r>
              <w:rPr>
                <w:bCs/>
                <w:sz w:val="21"/>
                <w:szCs w:val="21"/>
              </w:rPr>
              <w:t>3</w:t>
            </w:r>
          </w:p>
        </w:tc>
        <w:tc>
          <w:tcPr>
            <w:tcW w:w="2244" w:type="dxa"/>
            <w:vAlign w:val="center"/>
          </w:tcPr>
          <w:p>
            <w:pPr>
              <w:pStyle w:val="33"/>
              <w:topLinePunct/>
              <w:spacing w:line="320" w:lineRule="exact"/>
              <w:jc w:val="center"/>
              <w:rPr>
                <w:sz w:val="21"/>
                <w:szCs w:val="21"/>
              </w:rPr>
            </w:pPr>
            <w:r>
              <w:rPr>
                <w:rFonts w:hint="eastAsia" w:ascii="宋体" w:hAnsi="宋体" w:cs="宋体"/>
                <w:sz w:val="21"/>
                <w:szCs w:val="21"/>
              </w:rPr>
              <w:t>财务状况</w:t>
            </w:r>
          </w:p>
        </w:tc>
        <w:tc>
          <w:tcPr>
            <w:tcW w:w="5844" w:type="dxa"/>
            <w:vAlign w:val="center"/>
          </w:tcPr>
          <w:p>
            <w:pPr>
              <w:spacing w:line="300" w:lineRule="exact"/>
              <w:rPr>
                <w:bCs/>
                <w:szCs w:val="21"/>
              </w:rPr>
            </w:pPr>
            <w:r>
              <w:rPr>
                <w:rFonts w:hint="eastAsia"/>
              </w:rPr>
              <w:t>详见第一章“招标公告”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3" w:type="dxa"/>
            <w:vAlign w:val="center"/>
          </w:tcPr>
          <w:p>
            <w:pPr>
              <w:pStyle w:val="33"/>
              <w:topLinePunct/>
              <w:spacing w:line="320" w:lineRule="exact"/>
              <w:jc w:val="center"/>
              <w:rPr>
                <w:bCs/>
                <w:sz w:val="21"/>
                <w:szCs w:val="21"/>
              </w:rPr>
            </w:pPr>
            <w:r>
              <w:rPr>
                <w:rFonts w:hint="eastAsia"/>
                <w:bCs/>
                <w:sz w:val="21"/>
                <w:szCs w:val="21"/>
              </w:rPr>
              <w:t>1.3.4</w:t>
            </w:r>
          </w:p>
        </w:tc>
        <w:tc>
          <w:tcPr>
            <w:tcW w:w="2244" w:type="dxa"/>
            <w:vAlign w:val="center"/>
          </w:tcPr>
          <w:p>
            <w:pPr>
              <w:pStyle w:val="33"/>
              <w:topLinePunct/>
              <w:spacing w:line="320" w:lineRule="exact"/>
              <w:jc w:val="center"/>
              <w:rPr>
                <w:sz w:val="21"/>
                <w:szCs w:val="21"/>
              </w:rPr>
            </w:pPr>
            <w:r>
              <w:rPr>
                <w:rFonts w:hint="eastAsia"/>
                <w:sz w:val="21"/>
                <w:szCs w:val="21"/>
              </w:rPr>
              <w:t>投标</w:t>
            </w:r>
            <w:r>
              <w:rPr>
                <w:sz w:val="21"/>
                <w:szCs w:val="21"/>
              </w:rPr>
              <w:t>人信誉</w:t>
            </w:r>
            <w:r>
              <w:rPr>
                <w:rFonts w:hint="eastAsia"/>
                <w:sz w:val="21"/>
                <w:szCs w:val="21"/>
              </w:rPr>
              <w:t>要求</w:t>
            </w:r>
          </w:p>
        </w:tc>
        <w:tc>
          <w:tcPr>
            <w:tcW w:w="5844" w:type="dxa"/>
            <w:vAlign w:val="center"/>
          </w:tcPr>
          <w:p>
            <w:pPr>
              <w:spacing w:line="300" w:lineRule="exact"/>
              <w:rPr>
                <w:rFonts w:cs="宋体"/>
                <w:bCs/>
                <w:szCs w:val="22"/>
              </w:rPr>
            </w:pPr>
            <w:r>
              <w:rPr>
                <w:rFonts w:hint="eastAsia"/>
              </w:rPr>
              <w:t>详见第一章“招标公告”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3" w:type="dxa"/>
            <w:vAlign w:val="center"/>
          </w:tcPr>
          <w:p>
            <w:pPr>
              <w:pStyle w:val="33"/>
              <w:topLinePunct/>
              <w:spacing w:line="320" w:lineRule="exact"/>
              <w:jc w:val="center"/>
              <w:rPr>
                <w:bCs/>
                <w:sz w:val="21"/>
                <w:szCs w:val="21"/>
              </w:rPr>
            </w:pPr>
            <w:r>
              <w:rPr>
                <w:bCs/>
                <w:sz w:val="21"/>
                <w:szCs w:val="21"/>
              </w:rPr>
              <w:t>1</w:t>
            </w:r>
            <w:r>
              <w:rPr>
                <w:rFonts w:hint="eastAsia"/>
                <w:bCs/>
                <w:sz w:val="21"/>
                <w:szCs w:val="21"/>
              </w:rPr>
              <w:t>.</w:t>
            </w:r>
            <w:r>
              <w:rPr>
                <w:bCs/>
                <w:sz w:val="21"/>
                <w:szCs w:val="21"/>
              </w:rPr>
              <w:t>4</w:t>
            </w:r>
            <w:r>
              <w:rPr>
                <w:rFonts w:hint="eastAsia"/>
                <w:bCs/>
                <w:sz w:val="21"/>
                <w:szCs w:val="21"/>
              </w:rPr>
              <w:t>.</w:t>
            </w:r>
            <w:r>
              <w:rPr>
                <w:bCs/>
                <w:sz w:val="21"/>
                <w:szCs w:val="21"/>
              </w:rPr>
              <w:t>1</w:t>
            </w:r>
          </w:p>
        </w:tc>
        <w:tc>
          <w:tcPr>
            <w:tcW w:w="2244" w:type="dxa"/>
            <w:vAlign w:val="center"/>
          </w:tcPr>
          <w:p>
            <w:pPr>
              <w:pStyle w:val="33"/>
              <w:topLinePunct/>
              <w:spacing w:line="320" w:lineRule="exact"/>
              <w:jc w:val="center"/>
              <w:rPr>
                <w:sz w:val="21"/>
                <w:szCs w:val="21"/>
              </w:rPr>
            </w:pPr>
            <w:r>
              <w:rPr>
                <w:sz w:val="21"/>
                <w:szCs w:val="21"/>
              </w:rPr>
              <w:t>是否接受联合体</w:t>
            </w:r>
            <w:r>
              <w:rPr>
                <w:rFonts w:hint="eastAsia"/>
                <w:sz w:val="21"/>
                <w:szCs w:val="21"/>
              </w:rPr>
              <w:t>投标</w:t>
            </w:r>
          </w:p>
        </w:tc>
        <w:tc>
          <w:tcPr>
            <w:tcW w:w="5844" w:type="dxa"/>
            <w:vAlign w:val="center"/>
          </w:tcPr>
          <w:p>
            <w:pPr>
              <w:pStyle w:val="33"/>
              <w:topLinePunct/>
              <w:spacing w:after="0"/>
              <w:rPr>
                <w:sz w:val="21"/>
                <w:szCs w:val="21"/>
              </w:rPr>
            </w:pPr>
            <w:r>
              <w:rPr>
                <w:rFonts w:hint="eastAsia"/>
                <w:sz w:val="21"/>
                <w:szCs w:val="21"/>
              </w:rPr>
              <w:sym w:font="Wingdings 2" w:char="00A3"/>
            </w:r>
            <w:r>
              <w:rPr>
                <w:rFonts w:hint="eastAsia"/>
                <w:sz w:val="21"/>
                <w:szCs w:val="21"/>
              </w:rPr>
              <w:t>不接受</w:t>
            </w:r>
          </w:p>
          <w:p>
            <w:pPr>
              <w:pStyle w:val="33"/>
              <w:topLinePunct/>
              <w:spacing w:after="0"/>
              <w:rPr>
                <w:sz w:val="21"/>
                <w:szCs w:val="21"/>
              </w:rPr>
            </w:pPr>
            <w:r>
              <w:rPr>
                <w:rFonts w:hint="eastAsia"/>
                <w:sz w:val="21"/>
                <w:szCs w:val="21"/>
              </w:rPr>
              <w:sym w:font="Wingdings 2" w:char="0052"/>
            </w:r>
            <w:r>
              <w:rPr>
                <w:rFonts w:hint="eastAsia"/>
                <w:sz w:val="21"/>
                <w:szCs w:val="21"/>
              </w:rPr>
              <w:t xml:space="preserve"> 接受  应满足以下要求：</w:t>
            </w:r>
          </w:p>
          <w:p>
            <w:pPr>
              <w:pStyle w:val="33"/>
              <w:topLinePunct/>
              <w:spacing w:after="0"/>
              <w:rPr>
                <w:sz w:val="21"/>
                <w:szCs w:val="21"/>
              </w:rPr>
            </w:pPr>
            <w:r>
              <w:rPr>
                <w:rFonts w:hint="eastAsia"/>
                <w:sz w:val="21"/>
                <w:szCs w:val="21"/>
              </w:rPr>
              <w:t>可由不同独立法人组成联合体投标，且牵头单位必须是本项目的设计单位，联合体投标时，必须签订联合体协议书，明确联合体成员各方的权利和义务，联合体牵头人及联合体成员与其他独立投标人或其他联合体各个企业之间不得有控股、参股、隶属或其他管理的利益关系，且不得为同一法定代表人。</w:t>
            </w:r>
          </w:p>
          <w:p>
            <w:pPr>
              <w:pStyle w:val="33"/>
              <w:topLinePunct/>
              <w:spacing w:after="0"/>
              <w:rPr>
                <w:sz w:val="21"/>
                <w:szCs w:val="21"/>
              </w:rPr>
            </w:pPr>
            <w:r>
              <w:rPr>
                <w:rFonts w:hint="eastAsia"/>
                <w:sz w:val="21"/>
                <w:szCs w:val="21"/>
              </w:rPr>
              <w:t>已组成联合体各方不得再以自己名义单独或加入其它联合体在本项目中参加投标。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3" w:type="dxa"/>
            <w:vAlign w:val="center"/>
          </w:tcPr>
          <w:p>
            <w:pPr>
              <w:spacing w:line="320" w:lineRule="exact"/>
              <w:jc w:val="center"/>
            </w:pPr>
            <w:r>
              <w:t>1</w:t>
            </w:r>
            <w:r>
              <w:rPr>
                <w:rFonts w:hint="eastAsia"/>
              </w:rPr>
              <w:t>.</w:t>
            </w:r>
            <w:r>
              <w:t>4.2</w:t>
            </w:r>
          </w:p>
        </w:tc>
        <w:tc>
          <w:tcPr>
            <w:tcW w:w="2244" w:type="dxa"/>
            <w:vAlign w:val="center"/>
          </w:tcPr>
          <w:p>
            <w:pPr>
              <w:spacing w:line="320" w:lineRule="exact"/>
              <w:jc w:val="center"/>
              <w:rPr>
                <w:rFonts w:cs="宋体"/>
              </w:rPr>
            </w:pPr>
            <w:r>
              <w:rPr>
                <w:rFonts w:hint="eastAsia" w:cs="宋体"/>
              </w:rPr>
              <w:t>是否允许递交备选投标方案</w:t>
            </w:r>
          </w:p>
        </w:tc>
        <w:tc>
          <w:tcPr>
            <w:tcW w:w="5844" w:type="dxa"/>
            <w:vAlign w:val="center"/>
          </w:tcPr>
          <w:p>
            <w:pPr>
              <w:pStyle w:val="33"/>
              <w:topLinePunct/>
              <w:spacing w:line="320" w:lineRule="exact"/>
              <w:rPr>
                <w:rFonts w:hAnsi="宋体" w:cs="Arial"/>
                <w:sz w:val="21"/>
                <w:szCs w:val="21"/>
              </w:rPr>
            </w:pPr>
            <w:r>
              <w:rPr>
                <w:sz w:val="21"/>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1.4.3</w:t>
            </w:r>
          </w:p>
        </w:tc>
        <w:tc>
          <w:tcPr>
            <w:tcW w:w="2244" w:type="dxa"/>
            <w:vAlign w:val="center"/>
          </w:tcPr>
          <w:p>
            <w:pPr>
              <w:spacing w:line="320" w:lineRule="exact"/>
              <w:jc w:val="center"/>
              <w:rPr>
                <w:rFonts w:cs="宋体"/>
                <w:szCs w:val="22"/>
              </w:rPr>
            </w:pPr>
            <w:r>
              <w:rPr>
                <w:rFonts w:hint="eastAsia" w:cs="宋体"/>
                <w:szCs w:val="22"/>
              </w:rPr>
              <w:t>全过程工程咨询规划编制的特殊要求</w:t>
            </w:r>
          </w:p>
        </w:tc>
        <w:tc>
          <w:tcPr>
            <w:tcW w:w="5844" w:type="dxa"/>
            <w:vAlign w:val="center"/>
          </w:tcPr>
          <w:p>
            <w:pPr>
              <w:spacing w:line="320" w:lineRule="exact"/>
              <w:rPr>
                <w:szCs w:val="22"/>
              </w:rPr>
            </w:pPr>
            <w:r>
              <w:rPr>
                <w:rFonts w:hint="eastAsia"/>
                <w:szCs w:val="22"/>
              </w:rPr>
              <w:t>（1）本招标项目重点难点：/；</w:t>
            </w:r>
          </w:p>
          <w:p>
            <w:pPr>
              <w:spacing w:line="320" w:lineRule="exact"/>
              <w:rPr>
                <w:szCs w:val="22"/>
              </w:rPr>
            </w:pPr>
            <w:r>
              <w:rPr>
                <w:rFonts w:hint="eastAsia"/>
                <w:szCs w:val="22"/>
              </w:rPr>
              <w:t>（2）其他：/。</w:t>
            </w:r>
          </w:p>
          <w:p>
            <w:pPr>
              <w:spacing w:line="320" w:lineRule="exact"/>
              <w:rPr>
                <w:szCs w:val="22"/>
              </w:rPr>
            </w:pPr>
            <w:r>
              <w:rPr>
                <w:rFonts w:hint="eastAsia"/>
                <w:szCs w:val="22"/>
              </w:rPr>
              <w:t>投标人必须在技术文件中重点阐述。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83" w:type="dxa"/>
            <w:vAlign w:val="center"/>
          </w:tcPr>
          <w:p>
            <w:pPr>
              <w:spacing w:line="320" w:lineRule="exact"/>
              <w:jc w:val="center"/>
            </w:pPr>
            <w:r>
              <w:t>1.4.4</w:t>
            </w:r>
          </w:p>
        </w:tc>
        <w:tc>
          <w:tcPr>
            <w:tcW w:w="2244" w:type="dxa"/>
            <w:vAlign w:val="center"/>
          </w:tcPr>
          <w:p>
            <w:pPr>
              <w:spacing w:line="320" w:lineRule="exact"/>
              <w:jc w:val="center"/>
              <w:rPr>
                <w:rFonts w:cs="宋体"/>
                <w:szCs w:val="22"/>
              </w:rPr>
            </w:pPr>
            <w:r>
              <w:rPr>
                <w:rFonts w:hint="eastAsia" w:cs="宋体"/>
                <w:szCs w:val="22"/>
              </w:rPr>
              <w:t>非加密投标文件递交</w:t>
            </w:r>
          </w:p>
        </w:tc>
        <w:tc>
          <w:tcPr>
            <w:tcW w:w="5844" w:type="dxa"/>
            <w:vAlign w:val="center"/>
          </w:tcPr>
          <w:p>
            <w:pPr>
              <w:pStyle w:val="33"/>
              <w:topLinePunct/>
              <w:spacing w:after="0"/>
              <w:rPr>
                <w:sz w:val="21"/>
                <w:szCs w:val="21"/>
              </w:rPr>
            </w:pPr>
            <w:r>
              <w:rPr>
                <w:rFonts w:hint="eastAsia"/>
                <w:sz w:val="21"/>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83" w:type="dxa"/>
            <w:vAlign w:val="center"/>
          </w:tcPr>
          <w:p>
            <w:pPr>
              <w:spacing w:line="320" w:lineRule="exact"/>
              <w:jc w:val="center"/>
            </w:pPr>
            <w:r>
              <w:t>1.4.</w:t>
            </w:r>
            <w:r>
              <w:rPr>
                <w:rFonts w:hint="eastAsia"/>
              </w:rPr>
              <w:t>5</w:t>
            </w:r>
          </w:p>
        </w:tc>
        <w:tc>
          <w:tcPr>
            <w:tcW w:w="2244" w:type="dxa"/>
            <w:vAlign w:val="center"/>
          </w:tcPr>
          <w:p>
            <w:pPr>
              <w:spacing w:line="320" w:lineRule="exact"/>
              <w:jc w:val="center"/>
            </w:pPr>
            <w:r>
              <w:rPr>
                <w:rFonts w:hint="eastAsia" w:cs="宋体"/>
              </w:rPr>
              <w:t>是否退还招标文件</w:t>
            </w:r>
          </w:p>
        </w:tc>
        <w:tc>
          <w:tcPr>
            <w:tcW w:w="5844" w:type="dxa"/>
            <w:vAlign w:val="center"/>
          </w:tcPr>
          <w:p>
            <w:pPr>
              <w:pStyle w:val="251"/>
              <w:topLinePunct/>
              <w:spacing w:line="320" w:lineRule="exact"/>
              <w:rPr>
                <w:rFonts w:hAnsi="宋体"/>
                <w:sz w:val="21"/>
                <w:szCs w:val="21"/>
              </w:rPr>
            </w:pPr>
            <w:r>
              <w:rPr>
                <w:rFonts w:hint="eastAsia" w:hAnsi="宋体" w:cs="宋体"/>
                <w:sz w:val="21"/>
                <w:szCs w:val="21"/>
              </w:rPr>
              <w:t>否</w:t>
            </w:r>
            <w:bookmarkStart w:id="25" w:name="bjyshg2v423v2"/>
            <w:r>
              <w:rPr>
                <w:rFonts w:hint="eastAsia" w:hAnsi="宋体" w:cs="宋体"/>
                <w:sz w:val="21"/>
                <w:szCs w:val="21"/>
              </w:rPr>
              <w:t>。</w:t>
            </w:r>
            <w:r>
              <w:rPr>
                <w:rFonts w:hAnsi="宋体"/>
                <w:sz w:val="21"/>
                <w:szCs w:val="21"/>
              </w:rPr>
              <w:t xml:space="preserve"> </w:t>
            </w:r>
            <w:bookmarkEnd w:id="25"/>
            <w:r>
              <w:rPr>
                <w:rFonts w:hAnsi="宋体"/>
                <w:sz w:val="21"/>
                <w:szCs w:val="21"/>
              </w:rPr>
              <w:t xml:space="preserve"> </w:t>
            </w:r>
            <w:r>
              <w:rPr>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83" w:type="dxa"/>
            <w:vAlign w:val="center"/>
          </w:tcPr>
          <w:p>
            <w:pPr>
              <w:spacing w:line="320" w:lineRule="exact"/>
              <w:jc w:val="center"/>
            </w:pPr>
            <w:r>
              <w:t>1.5.1</w:t>
            </w:r>
          </w:p>
        </w:tc>
        <w:tc>
          <w:tcPr>
            <w:tcW w:w="2244" w:type="dxa"/>
            <w:vAlign w:val="center"/>
          </w:tcPr>
          <w:p>
            <w:pPr>
              <w:spacing w:line="320" w:lineRule="exact"/>
              <w:jc w:val="center"/>
            </w:pPr>
            <w:r>
              <w:rPr>
                <w:rFonts w:hint="eastAsia" w:cs="宋体"/>
              </w:rPr>
              <w:t>开标时间和地点</w:t>
            </w:r>
          </w:p>
        </w:tc>
        <w:tc>
          <w:tcPr>
            <w:tcW w:w="5844" w:type="dxa"/>
            <w:vAlign w:val="center"/>
          </w:tcPr>
          <w:p>
            <w:pPr>
              <w:spacing w:line="320" w:lineRule="exact"/>
            </w:pPr>
            <w:r>
              <w:rPr>
                <w:rFonts w:hint="eastAsia" w:cs="宋体"/>
              </w:rPr>
              <w:t>开标时间：</w:t>
            </w:r>
            <w:r>
              <w:rPr>
                <w:rFonts w:hint="eastAsia" w:ascii="宋体" w:hAnsi="宋体" w:eastAsia="宋体" w:cs="宋体"/>
              </w:rPr>
              <w:t>2025年</w:t>
            </w:r>
            <w:r>
              <w:rPr>
                <w:rFonts w:hint="eastAsia" w:ascii="宋体" w:hAnsi="宋体" w:eastAsia="宋体" w:cs="宋体"/>
                <w:lang w:val="en-US" w:eastAsia="zh-CN"/>
              </w:rPr>
              <w:t>7</w:t>
            </w:r>
            <w:r>
              <w:rPr>
                <w:rFonts w:hint="eastAsia" w:ascii="宋体" w:hAnsi="宋体" w:eastAsia="宋体" w:cs="宋体"/>
              </w:rPr>
              <w:t>月</w:t>
            </w:r>
            <w:r>
              <w:rPr>
                <w:rFonts w:hint="eastAsia" w:ascii="宋体" w:hAnsi="宋体" w:eastAsia="宋体" w:cs="宋体"/>
                <w:lang w:val="en-US" w:eastAsia="zh-CN"/>
              </w:rPr>
              <w:t>31</w:t>
            </w:r>
            <w:r>
              <w:rPr>
                <w:rFonts w:hint="eastAsia" w:ascii="宋体" w:hAnsi="宋体" w:eastAsia="宋体" w:cs="宋体"/>
              </w:rPr>
              <w:t>日</w:t>
            </w:r>
            <w:r>
              <w:rPr>
                <w:rFonts w:hint="eastAsia" w:ascii="宋体" w:hAnsi="宋体" w:cs="宋体"/>
                <w:lang w:val="en-US" w:eastAsia="zh-CN"/>
              </w:rPr>
              <w:t>10</w:t>
            </w:r>
            <w:r>
              <w:rPr>
                <w:rFonts w:hint="eastAsia" w:ascii="宋体" w:hAnsi="宋体" w:eastAsia="宋体" w:cs="宋体"/>
              </w:rPr>
              <w:t>时</w:t>
            </w:r>
            <w:r>
              <w:rPr>
                <w:rFonts w:hint="eastAsia" w:ascii="宋体" w:hAnsi="宋体" w:eastAsia="宋体" w:cs="宋体"/>
                <w:lang w:val="en-US" w:eastAsia="zh-CN"/>
              </w:rPr>
              <w:t>0</w:t>
            </w:r>
            <w:r>
              <w:rPr>
                <w:rFonts w:hint="eastAsia" w:ascii="宋体" w:hAnsi="宋体" w:eastAsia="宋体" w:cs="宋体"/>
              </w:rPr>
              <w:t>0分</w:t>
            </w:r>
          </w:p>
          <w:p>
            <w:pPr>
              <w:spacing w:line="320" w:lineRule="exact"/>
            </w:pPr>
            <w:r>
              <w:rPr>
                <w:rFonts w:hint="eastAsia" w:cs="宋体"/>
              </w:rPr>
              <w:t>开标地点：</w:t>
            </w:r>
            <w:r>
              <w:rPr>
                <w:rFonts w:hint="eastAsia" w:ascii="宋体" w:hAnsi="宋体" w:cs="宋体"/>
                <w:highlight w:val="none"/>
              </w:rPr>
              <w:t>广州交易集团有限公司（广州公共资源交易中心）第    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83" w:type="dxa"/>
            <w:vAlign w:val="center"/>
          </w:tcPr>
          <w:p>
            <w:pPr>
              <w:spacing w:line="320" w:lineRule="exact"/>
              <w:jc w:val="center"/>
            </w:pPr>
            <w:r>
              <w:t>1.5.2</w:t>
            </w:r>
          </w:p>
        </w:tc>
        <w:tc>
          <w:tcPr>
            <w:tcW w:w="2244" w:type="dxa"/>
            <w:vAlign w:val="center"/>
          </w:tcPr>
          <w:p>
            <w:pPr>
              <w:spacing w:line="320" w:lineRule="exact"/>
              <w:jc w:val="center"/>
            </w:pPr>
            <w:r>
              <w:rPr>
                <w:rFonts w:hint="eastAsia" w:cs="宋体"/>
              </w:rPr>
              <w:t>开标程序</w:t>
            </w:r>
          </w:p>
        </w:tc>
        <w:tc>
          <w:tcPr>
            <w:tcW w:w="5844" w:type="dxa"/>
            <w:vAlign w:val="center"/>
          </w:tcPr>
          <w:p>
            <w:pPr>
              <w:spacing w:line="240" w:lineRule="auto"/>
              <w:ind w:firstLine="0" w:firstLineChars="0"/>
              <w:jc w:val="left"/>
              <w:rPr>
                <w:color w:val="auto"/>
                <w:szCs w:val="21"/>
                <w:highlight w:val="none"/>
              </w:rPr>
            </w:pPr>
            <w:r>
              <w:rPr>
                <w:rFonts w:hint="eastAsia"/>
                <w:color w:val="auto"/>
                <w:szCs w:val="21"/>
                <w:highlight w:val="none"/>
                <w:lang w:val="en-US" w:eastAsia="zh-CN"/>
              </w:rPr>
              <w:t>1、</w:t>
            </w:r>
            <w:r>
              <w:rPr>
                <w:rFonts w:hint="eastAsia"/>
                <w:color w:val="auto"/>
                <w:szCs w:val="21"/>
                <w:highlight w:val="none"/>
              </w:rPr>
              <w:t>主持人按下列程序进行开标：</w:t>
            </w:r>
          </w:p>
          <w:p>
            <w:pPr>
              <w:spacing w:line="240" w:lineRule="auto"/>
              <w:ind w:firstLine="0" w:firstLineChars="0"/>
              <w:jc w:val="left"/>
              <w:rPr>
                <w:color w:val="auto"/>
                <w:szCs w:val="21"/>
                <w:highlight w:val="none"/>
              </w:rPr>
            </w:pPr>
            <w:r>
              <w:rPr>
                <w:rFonts w:hint="eastAsia"/>
                <w:color w:val="auto"/>
                <w:szCs w:val="21"/>
                <w:highlight w:val="none"/>
              </w:rPr>
              <w:t>（1）宣布开标纪律；</w:t>
            </w:r>
          </w:p>
          <w:p>
            <w:pPr>
              <w:spacing w:line="240" w:lineRule="auto"/>
              <w:ind w:firstLine="0" w:firstLineChars="0"/>
              <w:jc w:val="left"/>
              <w:rPr>
                <w:color w:val="auto"/>
                <w:szCs w:val="21"/>
                <w:highlight w:val="none"/>
              </w:rPr>
            </w:pPr>
            <w:r>
              <w:rPr>
                <w:rFonts w:hint="eastAsia"/>
                <w:color w:val="auto"/>
                <w:szCs w:val="21"/>
                <w:highlight w:val="none"/>
              </w:rPr>
              <w:t>（2）投标人通过电子招标投标交易平台对已递交的电子投标文件进行解密，公布招标项目名称、投标人名称、</w:t>
            </w:r>
            <w:r>
              <w:rPr>
                <w:rFonts w:hint="eastAsia"/>
                <w:strike w:val="0"/>
                <w:color w:val="auto"/>
                <w:szCs w:val="21"/>
                <w:highlight w:val="none"/>
              </w:rPr>
              <w:t>投标保证金的递交情况</w:t>
            </w:r>
            <w:r>
              <w:rPr>
                <w:rFonts w:hint="eastAsia"/>
                <w:color w:val="auto"/>
                <w:szCs w:val="21"/>
                <w:highlight w:val="none"/>
              </w:rPr>
              <w:t>、投标报价、服务期限及其他内容，并记录在案；</w:t>
            </w:r>
          </w:p>
          <w:p>
            <w:pPr>
              <w:spacing w:line="240" w:lineRule="auto"/>
              <w:ind w:firstLine="0" w:firstLineChars="0"/>
              <w:jc w:val="left"/>
              <w:rPr>
                <w:color w:val="auto"/>
                <w:szCs w:val="21"/>
                <w:highlight w:val="none"/>
              </w:rPr>
            </w:pPr>
            <w:r>
              <w:rPr>
                <w:rFonts w:hint="eastAsia"/>
                <w:color w:val="auto"/>
                <w:szCs w:val="21"/>
                <w:highlight w:val="none"/>
              </w:rPr>
              <w:t>（3）宣布开标人、唱标人、记录人、监标人等有关人员姓名；</w:t>
            </w:r>
          </w:p>
          <w:p>
            <w:pPr>
              <w:spacing w:line="240" w:lineRule="auto"/>
              <w:ind w:firstLine="0" w:firstLineChars="0"/>
              <w:jc w:val="left"/>
              <w:rPr>
                <w:color w:val="auto"/>
                <w:szCs w:val="21"/>
                <w:highlight w:val="none"/>
              </w:rPr>
            </w:pPr>
            <w:r>
              <w:rPr>
                <w:rFonts w:hint="eastAsia"/>
                <w:color w:val="auto"/>
                <w:szCs w:val="21"/>
                <w:highlight w:val="none"/>
              </w:rPr>
              <w:t>（4）公布在投标截止时间前递交投标文件的投标人名称；</w:t>
            </w:r>
          </w:p>
          <w:p>
            <w:pPr>
              <w:spacing w:line="240" w:lineRule="auto"/>
              <w:ind w:firstLine="0" w:firstLineChars="0"/>
              <w:jc w:val="left"/>
              <w:rPr>
                <w:color w:val="auto"/>
                <w:szCs w:val="21"/>
                <w:highlight w:val="none"/>
              </w:rPr>
            </w:pPr>
            <w:r>
              <w:rPr>
                <w:rFonts w:hint="eastAsia"/>
                <w:color w:val="auto"/>
                <w:szCs w:val="21"/>
                <w:highlight w:val="none"/>
              </w:rPr>
              <w:t>（5）投标人代表、招标人代表、监标人、记录人等有关人员在开标记录上签字确认；若有关人员不签字的，不影响开标程序；</w:t>
            </w:r>
          </w:p>
          <w:p>
            <w:pPr>
              <w:spacing w:line="240" w:lineRule="auto"/>
              <w:ind w:firstLine="0" w:firstLineChars="0"/>
              <w:jc w:val="left"/>
              <w:rPr>
                <w:color w:val="auto"/>
                <w:szCs w:val="21"/>
                <w:highlight w:val="none"/>
              </w:rPr>
            </w:pPr>
            <w:r>
              <w:rPr>
                <w:rFonts w:hint="eastAsia"/>
                <w:color w:val="auto"/>
                <w:szCs w:val="21"/>
                <w:highlight w:val="none"/>
              </w:rPr>
              <w:t>（6）开标结束。</w:t>
            </w:r>
          </w:p>
          <w:p>
            <w:pPr>
              <w:spacing w:line="240" w:lineRule="auto"/>
              <w:ind w:firstLine="0" w:firstLineChars="0"/>
              <w:jc w:val="left"/>
              <w:rPr>
                <w:color w:val="auto"/>
                <w:szCs w:val="21"/>
                <w:highlight w:val="none"/>
              </w:rPr>
            </w:pPr>
            <w:r>
              <w:rPr>
                <w:rFonts w:hint="eastAsia"/>
                <w:color w:val="auto"/>
                <w:szCs w:val="21"/>
                <w:highlight w:val="none"/>
                <w:lang w:val="en-US" w:eastAsia="zh-CN"/>
              </w:rPr>
              <w:t>2、</w:t>
            </w:r>
            <w:r>
              <w:rPr>
                <w:rFonts w:hint="eastAsia"/>
                <w:color w:val="auto"/>
                <w:szCs w:val="21"/>
                <w:highlight w:val="none"/>
              </w:rPr>
              <w:t>投标截止时间前未完成投标文件传输的或因投标人之外的原因造成投标文件未解密且投标人未递交投标文件备用电子光盘的，视为投标人其撤回投标文件。因投标人原因造成投标文件未解密的或未在投标截止时间后一小时内解密的，视为撤销其投标文件。</w:t>
            </w:r>
          </w:p>
          <w:p>
            <w:pPr>
              <w:snapToGrid w:val="0"/>
              <w:jc w:val="left"/>
              <w:rPr>
                <w:rFonts w:hint="default" w:eastAsia="宋体"/>
                <w:u w:val="single"/>
                <w:lang w:val="en-US" w:eastAsia="zh-CN"/>
              </w:rPr>
            </w:pPr>
            <w:r>
              <w:rPr>
                <w:rFonts w:hint="eastAsia"/>
                <w:color w:val="auto"/>
                <w:szCs w:val="21"/>
                <w:highlight w:val="none"/>
                <w:lang w:val="en-US" w:eastAsia="zh-CN"/>
              </w:rPr>
              <w:t>3、</w:t>
            </w:r>
            <w:r>
              <w:rPr>
                <w:rFonts w:hint="eastAsia"/>
                <w:color w:val="auto"/>
                <w:szCs w:val="21"/>
                <w:highlight w:val="none"/>
              </w:rPr>
              <w:t>开标时，两个（含两个）以上的投标人加密打包投标文件电脑机器特征码一致的，不参与下一程序，并由评标委员会否决其投标。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320" w:lineRule="exact"/>
              <w:jc w:val="center"/>
            </w:pPr>
            <w:r>
              <w:t>1.</w:t>
            </w:r>
            <w:r>
              <w:rPr>
                <w:rFonts w:hint="eastAsia"/>
              </w:rPr>
              <w:t>6.1</w:t>
            </w:r>
          </w:p>
        </w:tc>
        <w:tc>
          <w:tcPr>
            <w:tcW w:w="2244" w:type="dxa"/>
            <w:vAlign w:val="center"/>
          </w:tcPr>
          <w:p>
            <w:pPr>
              <w:spacing w:line="320" w:lineRule="exact"/>
              <w:jc w:val="center"/>
              <w:rPr>
                <w:rFonts w:cs="宋体"/>
              </w:rPr>
            </w:pPr>
            <w:r>
              <w:rPr>
                <w:rFonts w:hint="eastAsia" w:cs="宋体"/>
              </w:rPr>
              <w:t>评标预备会</w:t>
            </w:r>
          </w:p>
        </w:tc>
        <w:tc>
          <w:tcPr>
            <w:tcW w:w="5844" w:type="dxa"/>
            <w:vAlign w:val="center"/>
          </w:tcPr>
          <w:p>
            <w:pPr>
              <w:spacing w:line="320" w:lineRule="exact"/>
              <w:rPr>
                <w:rFonts w:cs="宋体"/>
              </w:rPr>
            </w:pPr>
            <w:r>
              <w:rPr>
                <w:rFonts w:hint="eastAsia" w:cs="宋体"/>
              </w:rPr>
              <w:t>根据现场</w:t>
            </w:r>
            <w:r>
              <w:rPr>
                <w:rFonts w:cs="宋体"/>
              </w:rPr>
              <w:t>情况</w:t>
            </w:r>
            <w:r>
              <w:rPr>
                <w:rFonts w:hint="eastAsia" w:cs="宋体"/>
              </w:rPr>
              <w:t>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83" w:type="dxa"/>
            <w:vAlign w:val="center"/>
          </w:tcPr>
          <w:p>
            <w:pPr>
              <w:spacing w:line="320" w:lineRule="exact"/>
              <w:jc w:val="center"/>
            </w:pPr>
            <w:r>
              <w:t>1.6.</w:t>
            </w:r>
            <w:r>
              <w:rPr>
                <w:rFonts w:hint="eastAsia"/>
              </w:rPr>
              <w:t>2</w:t>
            </w:r>
          </w:p>
        </w:tc>
        <w:tc>
          <w:tcPr>
            <w:tcW w:w="2244" w:type="dxa"/>
            <w:vAlign w:val="center"/>
          </w:tcPr>
          <w:p>
            <w:pPr>
              <w:spacing w:line="320" w:lineRule="exact"/>
              <w:jc w:val="center"/>
            </w:pPr>
            <w:r>
              <w:rPr>
                <w:rFonts w:hint="eastAsia" w:cs="宋体"/>
              </w:rPr>
              <w:t>评标委员会的组建</w:t>
            </w:r>
          </w:p>
        </w:tc>
        <w:tc>
          <w:tcPr>
            <w:tcW w:w="5844" w:type="dxa"/>
            <w:vAlign w:val="center"/>
          </w:tcPr>
          <w:p>
            <w:pPr>
              <w:spacing w:line="320" w:lineRule="exact"/>
              <w:rPr>
                <w:rFonts w:hAnsi="宋体"/>
              </w:rPr>
            </w:pPr>
            <w:r>
              <w:rPr>
                <w:rFonts w:hint="eastAsia" w:hAnsi="宋体" w:cs="宋体"/>
              </w:rPr>
              <w:t>评标委员会构成：</w:t>
            </w:r>
            <w:r>
              <w:rPr>
                <w:rFonts w:hint="eastAsia" w:hAnsi="宋体"/>
                <w:u w:val="single"/>
              </w:rPr>
              <w:t>7</w:t>
            </w:r>
            <w:r>
              <w:rPr>
                <w:rFonts w:hint="eastAsia" w:hAnsi="宋体" w:cs="宋体"/>
              </w:rPr>
              <w:t>人，其中：技术类</w:t>
            </w:r>
            <w:r>
              <w:rPr>
                <w:rFonts w:hint="eastAsia" w:hAnsi="宋体"/>
                <w:u w:val="single"/>
              </w:rPr>
              <w:t>5</w:t>
            </w:r>
            <w:r>
              <w:rPr>
                <w:rFonts w:hint="eastAsia" w:hAnsi="宋体" w:cs="宋体"/>
              </w:rPr>
              <w:t>人、经济类2人。由招标人从军队专家库中随机抽取产生，如不能抽取足够数量专家，按照军队有关规定从相应地方政府专家库中随机抽取。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3" w:type="dxa"/>
            <w:vAlign w:val="center"/>
          </w:tcPr>
          <w:p>
            <w:pPr>
              <w:spacing w:line="320" w:lineRule="exact"/>
              <w:jc w:val="center"/>
            </w:pPr>
            <w:r>
              <w:t>1.6.3</w:t>
            </w:r>
          </w:p>
        </w:tc>
        <w:tc>
          <w:tcPr>
            <w:tcW w:w="2244" w:type="dxa"/>
            <w:vAlign w:val="center"/>
          </w:tcPr>
          <w:p>
            <w:pPr>
              <w:spacing w:line="320" w:lineRule="exact"/>
              <w:jc w:val="center"/>
            </w:pPr>
            <w:r>
              <w:rPr>
                <w:rFonts w:hint="eastAsia" w:cs="宋体"/>
              </w:rPr>
              <w:t>评标结果公示</w:t>
            </w:r>
          </w:p>
        </w:tc>
        <w:tc>
          <w:tcPr>
            <w:tcW w:w="5844" w:type="dxa"/>
            <w:vAlign w:val="center"/>
          </w:tcPr>
          <w:p>
            <w:pPr>
              <w:spacing w:line="320" w:lineRule="exact"/>
            </w:pPr>
            <w:r>
              <w:rPr>
                <w:rFonts w:hint="eastAsia" w:cs="宋体"/>
                <w:szCs w:val="21"/>
              </w:rPr>
              <w:t>招标人自收到评标报告之日起</w:t>
            </w:r>
            <w:r>
              <w:rPr>
                <w:rFonts w:cs="宋体"/>
                <w:szCs w:val="21"/>
              </w:rPr>
              <w:t>3</w:t>
            </w:r>
            <w:r>
              <w:rPr>
                <w:rFonts w:hint="eastAsia" w:cs="宋体"/>
                <w:szCs w:val="21"/>
              </w:rPr>
              <w:t>日内将中标或未中标结果通知投标人</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83" w:type="dxa"/>
            <w:vAlign w:val="center"/>
          </w:tcPr>
          <w:p>
            <w:pPr>
              <w:spacing w:line="320" w:lineRule="exact"/>
              <w:jc w:val="center"/>
            </w:pPr>
            <w:r>
              <w:t>1.6</w:t>
            </w:r>
            <w:r>
              <w:rPr>
                <w:rFonts w:hint="eastAsia"/>
              </w:rPr>
              <w:t>.</w:t>
            </w:r>
            <w:r>
              <w:t>3</w:t>
            </w:r>
          </w:p>
        </w:tc>
        <w:tc>
          <w:tcPr>
            <w:tcW w:w="2244" w:type="dxa"/>
            <w:vAlign w:val="center"/>
          </w:tcPr>
          <w:p>
            <w:pPr>
              <w:spacing w:line="320" w:lineRule="exact"/>
              <w:jc w:val="center"/>
              <w:rPr>
                <w:rFonts w:ascii="宋体" w:hAnsi="宋体" w:cs="Arial"/>
              </w:rPr>
            </w:pPr>
            <w:r>
              <w:rPr>
                <w:rFonts w:hint="eastAsia" w:ascii="宋体" w:hAnsi="宋体" w:cs="宋体"/>
              </w:rPr>
              <w:t>推荐的中标候选人数</w:t>
            </w:r>
          </w:p>
        </w:tc>
        <w:tc>
          <w:tcPr>
            <w:tcW w:w="5844" w:type="dxa"/>
            <w:vAlign w:val="center"/>
          </w:tcPr>
          <w:p>
            <w:pPr>
              <w:spacing w:line="320" w:lineRule="exact"/>
              <w:rPr>
                <w:rFonts w:cs="宋体"/>
                <w:bCs/>
                <w:szCs w:val="22"/>
              </w:rPr>
            </w:pPr>
            <w:r>
              <w:rPr>
                <w:rFonts w:hint="eastAsia" w:ascii="宋体" w:hAnsi="宋体" w:cs="宋体"/>
              </w:rPr>
              <w:t>评</w:t>
            </w:r>
            <w:r>
              <w:rPr>
                <w:rFonts w:hint="eastAsia" w:cs="宋体"/>
                <w:bCs/>
                <w:szCs w:val="22"/>
              </w:rPr>
              <w:t>标委员会按照排序推荐前3名为中标候选人。</w:t>
            </w:r>
          </w:p>
          <w:p>
            <w:pPr>
              <w:spacing w:line="320" w:lineRule="exact"/>
              <w:rPr>
                <w:rFonts w:ascii="宋体" w:hAnsi="宋体" w:cs="宋体"/>
              </w:rPr>
            </w:pPr>
            <w:r>
              <w:rPr>
                <w:rFonts w:hint="eastAsia" w:cs="宋体"/>
                <w:bCs/>
                <w:szCs w:val="22"/>
              </w:rPr>
              <w:t>排名第一的中标候选人放弃中标、因不可抗力提出不能履行合同或者招标文件规定应当提交履约保证担保而在规定的期限内未能提交的，或者被查实存在影响中标结果的违法行为等情形，不符合中标条件的，招标人可以按照评标委员会提出的中标候选人名单排序依次确定其他中标候选人为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83" w:type="dxa"/>
            <w:vAlign w:val="center"/>
          </w:tcPr>
          <w:p>
            <w:pPr>
              <w:spacing w:line="320" w:lineRule="exact"/>
              <w:jc w:val="center"/>
            </w:pPr>
            <w:r>
              <w:t>1.6.4</w:t>
            </w:r>
          </w:p>
        </w:tc>
        <w:tc>
          <w:tcPr>
            <w:tcW w:w="2244" w:type="dxa"/>
            <w:vAlign w:val="center"/>
          </w:tcPr>
          <w:p>
            <w:pPr>
              <w:spacing w:line="320" w:lineRule="exact"/>
              <w:jc w:val="center"/>
              <w:rPr>
                <w:rFonts w:ascii="宋体" w:hAnsi="宋体" w:cs="Arial"/>
              </w:rPr>
            </w:pPr>
            <w:r>
              <w:rPr>
                <w:rFonts w:hint="eastAsia" w:ascii="宋体" w:hAnsi="宋体" w:cs="宋体"/>
              </w:rPr>
              <w:t>中标候选人公示媒介、期限</w:t>
            </w:r>
          </w:p>
        </w:tc>
        <w:tc>
          <w:tcPr>
            <w:tcW w:w="5844" w:type="dxa"/>
            <w:vAlign w:val="center"/>
          </w:tcPr>
          <w:p>
            <w:pPr>
              <w:spacing w:line="320" w:lineRule="exact"/>
              <w:rPr>
                <w:rFonts w:cs="宋体"/>
                <w:bCs/>
                <w:szCs w:val="22"/>
              </w:rPr>
            </w:pPr>
            <w:r>
              <w:rPr>
                <w:rFonts w:hint="eastAsia" w:cs="宋体"/>
                <w:bCs/>
                <w:szCs w:val="22"/>
              </w:rPr>
              <w:t>（1）公示媒介：同招标公告发布媒介</w:t>
            </w:r>
          </w:p>
          <w:p>
            <w:pPr>
              <w:spacing w:line="320" w:lineRule="exact"/>
              <w:rPr>
                <w:rFonts w:cs="宋体"/>
                <w:bCs/>
                <w:szCs w:val="22"/>
              </w:rPr>
            </w:pPr>
            <w:r>
              <w:rPr>
                <w:rFonts w:hint="eastAsia" w:cs="宋体"/>
                <w:bCs/>
                <w:szCs w:val="22"/>
              </w:rPr>
              <w:t>（2）公示期限：3日（公示期截止时间在法定休息日的应顺延至首个工作日）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83" w:type="dxa"/>
            <w:vAlign w:val="center"/>
          </w:tcPr>
          <w:p>
            <w:pPr>
              <w:spacing w:line="320" w:lineRule="exact"/>
              <w:jc w:val="center"/>
            </w:pPr>
            <w:r>
              <w:rPr>
                <w:rFonts w:hint="eastAsia"/>
              </w:rPr>
              <w:t>1.6.5</w:t>
            </w:r>
          </w:p>
        </w:tc>
        <w:tc>
          <w:tcPr>
            <w:tcW w:w="2244" w:type="dxa"/>
            <w:vAlign w:val="center"/>
          </w:tcPr>
          <w:p>
            <w:pPr>
              <w:spacing w:line="320" w:lineRule="exact"/>
              <w:jc w:val="center"/>
            </w:pPr>
            <w:r>
              <w:rPr>
                <w:rFonts w:hint="eastAsia" w:cs="宋体"/>
              </w:rPr>
              <w:t>履约保密担保</w:t>
            </w:r>
          </w:p>
        </w:tc>
        <w:tc>
          <w:tcPr>
            <w:tcW w:w="5844" w:type="dxa"/>
            <w:vAlign w:val="center"/>
          </w:tcPr>
          <w:p>
            <w:pPr>
              <w:spacing w:line="320" w:lineRule="exact"/>
            </w:pPr>
            <w:r>
              <w:rPr>
                <w:rFonts w:hint="eastAsia" w:cs="宋体"/>
              </w:rPr>
              <w:t>履约保密担保的形式：银行</w:t>
            </w:r>
            <w:r>
              <w:rPr>
                <w:rFonts w:hint="eastAsia" w:ascii="宋体" w:hAnsi="宋体" w:cs="宋体"/>
              </w:rPr>
              <w:t>保函或银行转账</w:t>
            </w:r>
          </w:p>
          <w:p>
            <w:pPr>
              <w:spacing w:line="320" w:lineRule="exact"/>
            </w:pPr>
            <w:r>
              <w:rPr>
                <w:rFonts w:hint="eastAsia" w:cs="宋体"/>
              </w:rPr>
              <w:t>履约保密担保的金额：</w:t>
            </w:r>
            <w:r>
              <w:rPr>
                <w:rFonts w:hint="eastAsia" w:ascii="宋体" w:hAnsi="宋体" w:cs="宋体"/>
              </w:rPr>
              <w:t>中标金额的10%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83" w:type="dxa"/>
            <w:vAlign w:val="center"/>
          </w:tcPr>
          <w:p>
            <w:pPr>
              <w:spacing w:line="320" w:lineRule="exact"/>
              <w:jc w:val="center"/>
            </w:pPr>
            <w:r>
              <w:rPr>
                <w:rFonts w:hint="eastAsia"/>
              </w:rPr>
              <w:t>1.6.6</w:t>
            </w:r>
          </w:p>
        </w:tc>
        <w:tc>
          <w:tcPr>
            <w:tcW w:w="2244" w:type="dxa"/>
            <w:vAlign w:val="center"/>
          </w:tcPr>
          <w:p>
            <w:pPr>
              <w:spacing w:line="320" w:lineRule="exact"/>
              <w:jc w:val="center"/>
              <w:rPr>
                <w:rFonts w:cs="宋体"/>
                <w:szCs w:val="22"/>
              </w:rPr>
            </w:pPr>
            <w:r>
              <w:rPr>
                <w:rFonts w:hint="eastAsia" w:cs="宋体"/>
                <w:szCs w:val="22"/>
              </w:rPr>
              <w:t>中标通知书和中标结果通知发出的形式</w:t>
            </w:r>
          </w:p>
        </w:tc>
        <w:tc>
          <w:tcPr>
            <w:tcW w:w="5844" w:type="dxa"/>
            <w:vAlign w:val="center"/>
          </w:tcPr>
          <w:p>
            <w:pPr>
              <w:spacing w:line="320" w:lineRule="exact"/>
              <w:rPr>
                <w:rFonts w:cs="宋体"/>
                <w:bCs/>
                <w:szCs w:val="22"/>
              </w:rPr>
            </w:pPr>
            <w:r>
              <w:rPr>
                <w:rFonts w:hint="eastAsia" w:cs="宋体"/>
                <w:bCs/>
                <w:szCs w:val="22"/>
              </w:rPr>
              <w:t>（1）中标通知书发出的形式：</w:t>
            </w:r>
            <w:r>
              <w:rPr>
                <w:rFonts w:hint="eastAsia" w:cs="宋体"/>
                <w:bCs/>
                <w:szCs w:val="22"/>
              </w:rPr>
              <w:sym w:font="Wingdings 2" w:char="0052"/>
            </w:r>
            <w:r>
              <w:rPr>
                <w:rFonts w:hint="eastAsia" w:cs="宋体"/>
                <w:bCs/>
                <w:szCs w:val="22"/>
              </w:rPr>
              <w:t xml:space="preserve">数据电文  </w:t>
            </w:r>
            <w:r>
              <w:rPr>
                <w:rFonts w:hint="eastAsia" w:cs="宋体"/>
                <w:bCs/>
                <w:szCs w:val="22"/>
              </w:rPr>
              <w:sym w:font="Wingdings 2" w:char="00A3"/>
            </w:r>
            <w:r>
              <w:rPr>
                <w:rFonts w:hint="eastAsia" w:cs="宋体"/>
                <w:bCs/>
                <w:szCs w:val="22"/>
              </w:rPr>
              <w:t>纸质</w:t>
            </w:r>
          </w:p>
          <w:p>
            <w:pPr>
              <w:spacing w:line="320" w:lineRule="exact"/>
              <w:rPr>
                <w:rFonts w:cs="宋体"/>
                <w:bCs/>
                <w:szCs w:val="22"/>
              </w:rPr>
            </w:pPr>
            <w:r>
              <w:rPr>
                <w:rFonts w:hint="eastAsia" w:cs="宋体"/>
                <w:bCs/>
                <w:szCs w:val="22"/>
              </w:rPr>
              <w:t>（2）中标结果通知发出的形式：</w:t>
            </w:r>
            <w:r>
              <w:rPr>
                <w:rFonts w:hint="eastAsia" w:cs="宋体"/>
                <w:bCs/>
                <w:szCs w:val="22"/>
              </w:rPr>
              <w:sym w:font="Wingdings 2" w:char="0052"/>
            </w:r>
            <w:r>
              <w:rPr>
                <w:rFonts w:hint="eastAsia" w:cs="宋体"/>
                <w:bCs/>
                <w:szCs w:val="22"/>
              </w:rPr>
              <w:t xml:space="preserve">数据电文  </w:t>
            </w:r>
            <w:r>
              <w:rPr>
                <w:rFonts w:hint="eastAsia" w:cs="宋体"/>
                <w:bCs/>
                <w:szCs w:val="22"/>
              </w:rPr>
              <w:sym w:font="Wingdings 2" w:char="00A3"/>
            </w:r>
            <w:r>
              <w:rPr>
                <w:rFonts w:hint="eastAsia" w:cs="宋体"/>
                <w:bCs/>
                <w:szCs w:val="22"/>
              </w:rPr>
              <w:t>纸质</w:t>
            </w:r>
          </w:p>
          <w:p>
            <w:pPr>
              <w:spacing w:line="320" w:lineRule="exact"/>
              <w:rPr>
                <w:rFonts w:cs="宋体"/>
                <w:bCs/>
                <w:szCs w:val="22"/>
              </w:rPr>
            </w:pPr>
            <w:r>
              <w:rPr>
                <w:rFonts w:hint="eastAsia" w:cs="宋体"/>
                <w:bCs/>
                <w:szCs w:val="22"/>
              </w:rPr>
              <w:t>特别提醒：招标人确定中标人后，通过电子交易系统向中标人发出中标通知书，中标通知书发出即视为送达。投标人应主动登录电子交易系统查询，招标人和招标代理机构不承担投标人未及时关注相关信息引发的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71" w:type="dxa"/>
            <w:gridSpan w:val="3"/>
            <w:vAlign w:val="center"/>
          </w:tcPr>
          <w:p>
            <w:pPr>
              <w:spacing w:line="320" w:lineRule="exact"/>
              <w:jc w:val="center"/>
            </w:pPr>
            <w:r>
              <w:rPr>
                <w:rFonts w:hint="eastAsia" w:cs="宋体"/>
              </w:rPr>
              <w:t>1.7需要补充的其他内容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1.7.1</w:t>
            </w:r>
          </w:p>
        </w:tc>
        <w:tc>
          <w:tcPr>
            <w:tcW w:w="2244" w:type="dxa"/>
            <w:vAlign w:val="center"/>
          </w:tcPr>
          <w:p>
            <w:pPr>
              <w:spacing w:line="320" w:lineRule="exact"/>
              <w:jc w:val="center"/>
              <w:rPr>
                <w:rFonts w:cs="宋体"/>
                <w:szCs w:val="22"/>
              </w:rPr>
            </w:pPr>
            <w:r>
              <w:rPr>
                <w:rFonts w:hint="eastAsia" w:cs="宋体"/>
                <w:szCs w:val="22"/>
              </w:rPr>
              <w:t>获取与查看通知</w:t>
            </w:r>
          </w:p>
        </w:tc>
        <w:tc>
          <w:tcPr>
            <w:tcW w:w="5844" w:type="dxa"/>
            <w:vAlign w:val="center"/>
          </w:tcPr>
          <w:p>
            <w:pPr>
              <w:spacing w:line="320" w:lineRule="exact"/>
              <w:rPr>
                <w:rFonts w:cs="宋体"/>
                <w:szCs w:val="22"/>
              </w:rPr>
            </w:pPr>
            <w:r>
              <w:rPr>
                <w:rFonts w:hint="eastAsia" w:cs="宋体"/>
                <w:szCs w:val="22"/>
              </w:rPr>
              <w:t>本招标项目的招标文件、澄清及修改等相关资料均通过电子服务系统发布；投标人应当及时登录电子服务系统自行查看并下载。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1.7.2</w:t>
            </w:r>
          </w:p>
        </w:tc>
        <w:tc>
          <w:tcPr>
            <w:tcW w:w="2244" w:type="dxa"/>
            <w:vAlign w:val="center"/>
          </w:tcPr>
          <w:p>
            <w:pPr>
              <w:spacing w:line="320" w:lineRule="exact"/>
              <w:jc w:val="center"/>
              <w:rPr>
                <w:rFonts w:cs="宋体"/>
                <w:szCs w:val="22"/>
              </w:rPr>
            </w:pPr>
            <w:r>
              <w:rPr>
                <w:rFonts w:hint="eastAsia" w:cs="宋体"/>
                <w:szCs w:val="22"/>
              </w:rPr>
              <w:t>电子招标</w:t>
            </w:r>
          </w:p>
        </w:tc>
        <w:tc>
          <w:tcPr>
            <w:tcW w:w="5844" w:type="dxa"/>
            <w:shd w:val="clear" w:color="auto" w:fill="auto"/>
            <w:vAlign w:val="center"/>
          </w:tcPr>
          <w:p>
            <w:pPr>
              <w:spacing w:line="240" w:lineRule="auto"/>
              <w:ind w:firstLine="0" w:firstLineChars="0"/>
              <w:jc w:val="left"/>
              <w:rPr>
                <w:color w:val="auto"/>
                <w:szCs w:val="21"/>
                <w:highlight w:val="none"/>
              </w:rPr>
            </w:pPr>
            <w:r>
              <w:rPr>
                <w:rFonts w:hint="eastAsia" w:cs="宋体"/>
                <w:color w:val="auto"/>
                <w:szCs w:val="21"/>
                <w:highlight w:val="none"/>
              </w:rPr>
              <w:sym w:font="Wingdings" w:char="00A8"/>
            </w:r>
            <w:r>
              <w:rPr>
                <w:rFonts w:hint="eastAsia"/>
                <w:color w:val="auto"/>
                <w:szCs w:val="21"/>
                <w:highlight w:val="none"/>
              </w:rPr>
              <w:t>否</w:t>
            </w:r>
          </w:p>
          <w:p>
            <w:pPr>
              <w:spacing w:line="240" w:lineRule="auto"/>
              <w:ind w:firstLine="0" w:firstLineChars="0"/>
              <w:jc w:val="left"/>
              <w:rPr>
                <w:color w:val="auto"/>
                <w:szCs w:val="21"/>
                <w:highlight w:val="none"/>
              </w:rPr>
            </w:pPr>
            <w:r>
              <w:rPr>
                <w:rFonts w:hint="eastAsia" w:cs="宋体"/>
                <w:color w:val="auto"/>
                <w:szCs w:val="21"/>
                <w:highlight w:val="none"/>
              </w:rPr>
              <w:t>■</w:t>
            </w:r>
            <w:r>
              <w:rPr>
                <w:rFonts w:hint="eastAsia"/>
                <w:color w:val="auto"/>
                <w:szCs w:val="21"/>
                <w:highlight w:val="none"/>
              </w:rPr>
              <w:t>是，具体要求：</w:t>
            </w:r>
          </w:p>
          <w:p>
            <w:pPr>
              <w:spacing w:line="240" w:lineRule="auto"/>
              <w:ind w:firstLine="0" w:firstLineChars="0"/>
              <w:jc w:val="left"/>
              <w:rPr>
                <w:color w:val="auto"/>
                <w:szCs w:val="21"/>
                <w:highlight w:val="none"/>
              </w:rPr>
            </w:pPr>
            <w:r>
              <w:rPr>
                <w:rFonts w:hint="eastAsia"/>
                <w:color w:val="auto"/>
                <w:szCs w:val="21"/>
                <w:highlight w:val="none"/>
              </w:rPr>
              <w:t>1、具体操作详见广州交易集团有限公司（广州公共资源交易中心）网站最新发布的建设工程全流程电子化项目操作指南。</w:t>
            </w:r>
          </w:p>
          <w:p>
            <w:pPr>
              <w:spacing w:line="240" w:lineRule="auto"/>
              <w:ind w:firstLine="0" w:firstLineChars="0"/>
              <w:jc w:val="left"/>
              <w:rPr>
                <w:color w:val="auto"/>
                <w:szCs w:val="21"/>
                <w:highlight w:val="none"/>
              </w:rPr>
            </w:pPr>
            <w:r>
              <w:rPr>
                <w:rFonts w:hint="eastAsia"/>
                <w:color w:val="auto"/>
                <w:szCs w:val="21"/>
                <w:highlight w:val="none"/>
              </w:rPr>
              <w:t>2、现场提交投标文件光盘备用</w:t>
            </w:r>
          </w:p>
          <w:p>
            <w:pPr>
              <w:spacing w:line="240" w:lineRule="auto"/>
              <w:ind w:firstLine="0" w:firstLineChars="0"/>
              <w:jc w:val="left"/>
              <w:rPr>
                <w:color w:val="auto"/>
                <w:szCs w:val="21"/>
                <w:highlight w:val="none"/>
              </w:rPr>
            </w:pPr>
            <w:r>
              <w:rPr>
                <w:rFonts w:hint="eastAsia"/>
                <w:color w:val="auto"/>
                <w:szCs w:val="21"/>
                <w:highlight w:val="none"/>
              </w:rPr>
              <w:t>投标人将按广州交易集团有限公司（广州公共资源交易中心）网站最新发布的建设工程全流程电子化项目操作指南的操作方法制作的非加密的电子投标文件刻入光盘（1份），在开标现场（投标截止时间前）提交备用。刻录好的投标文件光盘密封在密封袋中，并在封口处加盖投标人单位公章。密封袋上应写明的内容。现场递交的投标文件（光盘）不得加密。光盘（投标文件）无法读取或导入的，则视为未提交备用投标文件光盘。如果投标人没有按规定通过交易平台网上递交电子投标文件的，不再接受现场提交的光盘。</w:t>
            </w:r>
          </w:p>
          <w:p>
            <w:pPr>
              <w:spacing w:line="240" w:lineRule="auto"/>
              <w:ind w:firstLine="0" w:firstLineChars="0"/>
              <w:jc w:val="left"/>
              <w:rPr>
                <w:color w:val="auto"/>
                <w:szCs w:val="21"/>
                <w:highlight w:val="none"/>
              </w:rPr>
            </w:pPr>
            <w:r>
              <w:rPr>
                <w:rFonts w:hint="eastAsia"/>
                <w:color w:val="auto"/>
                <w:szCs w:val="21"/>
                <w:highlight w:val="none"/>
              </w:rPr>
              <w:t>3、补救方案</w:t>
            </w:r>
          </w:p>
          <w:p>
            <w:pPr>
              <w:spacing w:line="240" w:lineRule="auto"/>
              <w:ind w:firstLine="0" w:firstLineChars="0"/>
              <w:jc w:val="left"/>
              <w:rPr>
                <w:color w:val="auto"/>
                <w:szCs w:val="21"/>
                <w:highlight w:val="none"/>
              </w:rPr>
            </w:pPr>
            <w:r>
              <w:rPr>
                <w:rFonts w:hint="eastAsia"/>
                <w:color w:val="auto"/>
                <w:szCs w:val="21"/>
                <w:highlight w:val="none"/>
              </w:rPr>
              <w:t>（1）投标文件解密失败的补救方案：</w:t>
            </w:r>
          </w:p>
          <w:p>
            <w:pPr>
              <w:spacing w:line="240" w:lineRule="auto"/>
              <w:ind w:firstLine="0" w:firstLineChars="0"/>
              <w:jc w:val="left"/>
              <w:rPr>
                <w:color w:val="auto"/>
                <w:szCs w:val="21"/>
                <w:highlight w:val="none"/>
              </w:rPr>
            </w:pPr>
            <w:r>
              <w:rPr>
                <w:rFonts w:hint="eastAsia"/>
                <w:color w:val="auto"/>
                <w:szCs w:val="21"/>
                <w:highlight w:val="none"/>
              </w:rPr>
              <w:t>在规定时间内，因投标人之外原因导致的电子投标文件解密失败，在开标现场读取光盘内容，继续开标程序。评标委员会对其投标文件的评审以光盘内容为准。</w:t>
            </w:r>
          </w:p>
          <w:p>
            <w:pPr>
              <w:spacing w:line="240" w:lineRule="auto"/>
              <w:ind w:firstLine="0" w:firstLineChars="0"/>
              <w:jc w:val="left"/>
              <w:rPr>
                <w:color w:val="auto"/>
                <w:szCs w:val="21"/>
                <w:highlight w:val="none"/>
              </w:rPr>
            </w:pPr>
            <w:r>
              <w:rPr>
                <w:rFonts w:hint="eastAsia"/>
                <w:color w:val="auto"/>
                <w:szCs w:val="21"/>
                <w:highlight w:val="none"/>
              </w:rPr>
              <w:t>（2）评标时突发情况的补救方案</w:t>
            </w:r>
          </w:p>
          <w:p>
            <w:pPr>
              <w:spacing w:line="240" w:lineRule="auto"/>
              <w:ind w:firstLine="0" w:firstLineChars="0"/>
              <w:jc w:val="left"/>
              <w:rPr>
                <w:color w:val="auto"/>
                <w:szCs w:val="21"/>
                <w:highlight w:val="none"/>
              </w:rPr>
            </w:pPr>
            <w:r>
              <w:rPr>
                <w:rFonts w:hint="eastAsia"/>
                <w:color w:val="auto"/>
                <w:szCs w:val="21"/>
                <w:highlight w:val="none"/>
              </w:rPr>
              <w:t>若遇不可抗力发生（如：网络瘫痪、服务器损坏、交易系统故障短期无法恢复等因素），由评标委员会开启现场递交的全部投标文件光盘，并按光盘内容进行评审。</w:t>
            </w:r>
          </w:p>
          <w:p>
            <w:pPr>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（3）除发生上述情况外，开标评标均以投标人通过交易平台网上递交的电子投标文件为准。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rPr>
                <w:rFonts w:hint="eastAsia"/>
              </w:rPr>
              <w:t>1.7.3</w:t>
            </w:r>
          </w:p>
        </w:tc>
        <w:tc>
          <w:tcPr>
            <w:tcW w:w="2244" w:type="dxa"/>
            <w:vAlign w:val="center"/>
          </w:tcPr>
          <w:p>
            <w:pPr>
              <w:spacing w:line="320" w:lineRule="exact"/>
              <w:jc w:val="center"/>
              <w:rPr>
                <w:rFonts w:cs="宋体"/>
                <w:szCs w:val="22"/>
              </w:rPr>
            </w:pPr>
            <w:r>
              <w:rPr>
                <w:rFonts w:hint="eastAsia" w:cs="宋体"/>
                <w:szCs w:val="22"/>
              </w:rPr>
              <w:t>评标过程中的澄清、说明或补正</w:t>
            </w:r>
          </w:p>
        </w:tc>
        <w:tc>
          <w:tcPr>
            <w:tcW w:w="5844" w:type="dxa"/>
            <w:vAlign w:val="center"/>
          </w:tcPr>
          <w:p>
            <w:pPr>
              <w:spacing w:line="320" w:lineRule="exact"/>
              <w:rPr>
                <w:rFonts w:cs="宋体"/>
                <w:szCs w:val="22"/>
              </w:rPr>
            </w:pPr>
            <w:r>
              <w:rPr>
                <w:rFonts w:hint="eastAsia" w:cs="宋体"/>
                <w:szCs w:val="22"/>
              </w:rPr>
              <w:t>（1）评标委员会通过电子交易系统将需要澄清、说明或补正的内容以询标函的形式发送给投标人，投标人应安排专人登录电子交易系统并保持在线状态，以便及时接收评标委员会可能发出的询标函。</w:t>
            </w:r>
          </w:p>
          <w:p>
            <w:pPr>
              <w:spacing w:line="320" w:lineRule="exact"/>
              <w:rPr>
                <w:rFonts w:cs="宋体"/>
                <w:szCs w:val="22"/>
              </w:rPr>
            </w:pPr>
            <w:r>
              <w:rPr>
                <w:rFonts w:hint="eastAsia" w:cs="宋体"/>
                <w:szCs w:val="22"/>
              </w:rPr>
              <w:t>（2）因投标人未登录电子交易系统导致无法及时接收询标函（远程网上询标）或未在规定时间（15分钟）内按照评标委员会要求进行澄清、说明或补正内容的，视同投标人放弃澄清、说明或补正内容的权利，评标委员会可按照对投标人不利的解释进行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rPr>
                <w:rFonts w:hint="eastAsia"/>
              </w:rPr>
              <w:t>1.7.4</w:t>
            </w:r>
          </w:p>
        </w:tc>
        <w:tc>
          <w:tcPr>
            <w:tcW w:w="2244" w:type="dxa"/>
            <w:vAlign w:val="center"/>
          </w:tcPr>
          <w:p>
            <w:pPr>
              <w:spacing w:line="320" w:lineRule="exact"/>
              <w:jc w:val="center"/>
              <w:rPr>
                <w:rFonts w:cs="宋体"/>
                <w:szCs w:val="22"/>
              </w:rPr>
            </w:pPr>
            <w:r>
              <w:rPr>
                <w:rFonts w:hint="eastAsia" w:cs="宋体"/>
                <w:szCs w:val="22"/>
              </w:rPr>
              <w:t>投标人对所提供材料应承担的责任</w:t>
            </w:r>
          </w:p>
        </w:tc>
        <w:tc>
          <w:tcPr>
            <w:tcW w:w="5844" w:type="dxa"/>
            <w:vAlign w:val="center"/>
          </w:tcPr>
          <w:p>
            <w:pPr>
              <w:spacing w:line="320" w:lineRule="exact"/>
              <w:rPr>
                <w:rFonts w:cs="宋体"/>
                <w:szCs w:val="22"/>
              </w:rPr>
            </w:pPr>
            <w:r>
              <w:rPr>
                <w:rFonts w:hint="eastAsia" w:cs="宋体"/>
                <w:szCs w:val="22"/>
              </w:rPr>
              <w:t>（1）投标人提供虚假材料谋取中标的，公共资源交易监督管理部门将依法处理，并记入不良行为记录，予以披露。</w:t>
            </w:r>
          </w:p>
          <w:p>
            <w:pPr>
              <w:spacing w:line="320" w:lineRule="exact"/>
              <w:rPr>
                <w:rFonts w:cs="宋体"/>
                <w:szCs w:val="22"/>
              </w:rPr>
            </w:pPr>
            <w:r>
              <w:rPr>
                <w:rFonts w:hint="eastAsia" w:cs="宋体"/>
                <w:szCs w:val="22"/>
              </w:rPr>
              <w:t>（2）投标人对所提供的材料承担缔约过失责任和法律责任。若投诉人或举报人对前述材料存在争议，进行有效投诉或举报，被投诉人、被举报人应当主动配合公共资源交易监督管理部门调查，并在规定期限内举证，提供有关证明材料；拒绝配合调查，且未在规定期限内举证、提供证明材料的，公共资源交易监督管理部门将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83" w:type="dxa"/>
            <w:vAlign w:val="center"/>
          </w:tcPr>
          <w:p>
            <w:pPr>
              <w:spacing w:line="320" w:lineRule="exact"/>
              <w:jc w:val="center"/>
            </w:pPr>
            <w:r>
              <w:rPr>
                <w:rFonts w:hint="eastAsia"/>
              </w:rPr>
              <w:t>1.7.5</w:t>
            </w:r>
          </w:p>
        </w:tc>
        <w:tc>
          <w:tcPr>
            <w:tcW w:w="2244" w:type="dxa"/>
            <w:vAlign w:val="center"/>
          </w:tcPr>
          <w:p>
            <w:pPr>
              <w:spacing w:line="320" w:lineRule="exact"/>
              <w:jc w:val="center"/>
              <w:rPr>
                <w:rFonts w:cs="宋体"/>
                <w:szCs w:val="22"/>
              </w:rPr>
            </w:pPr>
            <w:r>
              <w:rPr>
                <w:rFonts w:hint="eastAsia" w:cs="宋体"/>
                <w:szCs w:val="22"/>
              </w:rPr>
              <w:t>中标人未履行相关</w:t>
            </w:r>
          </w:p>
          <w:p>
            <w:pPr>
              <w:spacing w:line="320" w:lineRule="exact"/>
              <w:jc w:val="center"/>
              <w:rPr>
                <w:rFonts w:cs="宋体"/>
                <w:szCs w:val="22"/>
              </w:rPr>
            </w:pPr>
            <w:r>
              <w:rPr>
                <w:rFonts w:hint="eastAsia" w:cs="宋体"/>
                <w:szCs w:val="22"/>
              </w:rPr>
              <w:t>义务的责任</w:t>
            </w:r>
          </w:p>
        </w:tc>
        <w:tc>
          <w:tcPr>
            <w:tcW w:w="5844" w:type="dxa"/>
            <w:vAlign w:val="center"/>
          </w:tcPr>
          <w:p>
            <w:pPr>
              <w:spacing w:line="320" w:lineRule="exact"/>
              <w:rPr>
                <w:rFonts w:cs="宋体"/>
                <w:szCs w:val="22"/>
              </w:rPr>
            </w:pPr>
            <w:r>
              <w:rPr>
                <w:rFonts w:hint="eastAsia" w:cs="宋体"/>
                <w:szCs w:val="22"/>
              </w:rPr>
              <w:t>中标人未履行相关义务的，监管部门将依法对中标人进行处理，追究相关责任：</w:t>
            </w:r>
          </w:p>
          <w:p>
            <w:pPr>
              <w:spacing w:line="320" w:lineRule="exact"/>
              <w:rPr>
                <w:rFonts w:cs="宋体"/>
                <w:szCs w:val="22"/>
              </w:rPr>
            </w:pPr>
            <w:r>
              <w:rPr>
                <w:rFonts w:hint="eastAsia" w:cs="宋体"/>
                <w:szCs w:val="22"/>
              </w:rPr>
              <w:t>（1）中标后，中标人被公共资源交易监督管理部门查实存在违法行为，不满足中标条件的，由招标人取消其中标资格，并做好项目后续工作；</w:t>
            </w:r>
          </w:p>
          <w:p>
            <w:pPr>
              <w:spacing w:line="320" w:lineRule="exact"/>
              <w:rPr>
                <w:rFonts w:cs="宋体"/>
                <w:szCs w:val="22"/>
              </w:rPr>
            </w:pPr>
            <w:r>
              <w:rPr>
                <w:rFonts w:hint="eastAsia" w:cs="宋体"/>
                <w:szCs w:val="22"/>
              </w:rPr>
              <w:t>（2）中标人应在规定期限内提交履约保证金并与招标人签订合同，若中标人未能在规定期限内提交履约保证金或签订合同，招标人有权取消其中标资格，并报公共资源交易监督管理部门；</w:t>
            </w:r>
          </w:p>
          <w:p>
            <w:pPr>
              <w:spacing w:line="320" w:lineRule="exact"/>
              <w:rPr>
                <w:rFonts w:cs="宋体"/>
                <w:szCs w:val="22"/>
              </w:rPr>
            </w:pPr>
            <w:r>
              <w:rPr>
                <w:rFonts w:hint="eastAsia" w:cs="宋体"/>
                <w:szCs w:val="22"/>
              </w:rPr>
              <w:t>（3）合同签订后，中标人存在规定时间内不组织人员进场服务、不履行合同义务等情况，招标人有权解除合同，追究其违约责任，并报公共资源交易监督管理部门。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rPr>
                <w:rFonts w:hint="eastAsia"/>
              </w:rPr>
              <w:t>1.7.6</w:t>
            </w:r>
          </w:p>
        </w:tc>
        <w:tc>
          <w:tcPr>
            <w:tcW w:w="2244" w:type="dxa"/>
            <w:vAlign w:val="center"/>
          </w:tcPr>
          <w:p>
            <w:pPr>
              <w:spacing w:line="320" w:lineRule="exact"/>
              <w:jc w:val="center"/>
              <w:rPr>
                <w:rFonts w:cs="宋体"/>
                <w:szCs w:val="22"/>
              </w:rPr>
            </w:pPr>
            <w:r>
              <w:rPr>
                <w:rFonts w:hint="eastAsia" w:cs="宋体"/>
                <w:szCs w:val="22"/>
              </w:rPr>
              <w:t>异议提出方式</w:t>
            </w:r>
          </w:p>
        </w:tc>
        <w:tc>
          <w:tcPr>
            <w:tcW w:w="5844" w:type="dxa"/>
            <w:vAlign w:val="center"/>
          </w:tcPr>
          <w:p>
            <w:pPr>
              <w:spacing w:line="320" w:lineRule="exact"/>
              <w:rPr>
                <w:rFonts w:cs="宋体"/>
                <w:szCs w:val="22"/>
              </w:rPr>
            </w:pPr>
            <w:r>
              <w:rPr>
                <w:rFonts w:hint="eastAsia" w:cs="宋体"/>
                <w:szCs w:val="22"/>
              </w:rPr>
              <w:t>通过电子交易系统在线提出或以其他书面形式提出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rPr>
                <w:rFonts w:hint="eastAsia"/>
              </w:rPr>
              <w:t>1.7.7</w:t>
            </w:r>
          </w:p>
        </w:tc>
        <w:tc>
          <w:tcPr>
            <w:tcW w:w="2244" w:type="dxa"/>
            <w:vAlign w:val="center"/>
          </w:tcPr>
          <w:p>
            <w:pPr>
              <w:spacing w:line="320" w:lineRule="exact"/>
              <w:jc w:val="center"/>
              <w:rPr>
                <w:rFonts w:cs="宋体"/>
                <w:szCs w:val="22"/>
              </w:rPr>
            </w:pPr>
            <w:r>
              <w:rPr>
                <w:rFonts w:hint="eastAsia" w:cs="宋体"/>
                <w:szCs w:val="22"/>
              </w:rPr>
              <w:t>其他</w:t>
            </w:r>
          </w:p>
        </w:tc>
        <w:tc>
          <w:tcPr>
            <w:tcW w:w="5844" w:type="dxa"/>
            <w:vAlign w:val="center"/>
          </w:tcPr>
          <w:p>
            <w:pPr>
              <w:spacing w:line="320" w:lineRule="exact"/>
              <w:rPr>
                <w:rFonts w:cs="宋体"/>
                <w:szCs w:val="22"/>
              </w:rPr>
            </w:pPr>
            <w:r>
              <w:rPr>
                <w:rFonts w:hint="eastAsia" w:cs="宋体"/>
                <w:szCs w:val="22"/>
              </w:rPr>
              <w:t>（1）投标方案补偿：/；</w:t>
            </w:r>
          </w:p>
          <w:p>
            <w:pPr>
              <w:spacing w:line="320" w:lineRule="exact"/>
              <w:rPr>
                <w:rFonts w:cs="宋体"/>
                <w:szCs w:val="22"/>
              </w:rPr>
            </w:pPr>
            <w:r>
              <w:rPr>
                <w:rFonts w:hint="eastAsia" w:cs="宋体"/>
                <w:szCs w:val="22"/>
              </w:rPr>
              <w:t>（2）投资节约奖励：/。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rPr>
                <w:rFonts w:hint="eastAsia"/>
              </w:rPr>
              <w:t>1.7.8</w:t>
            </w:r>
          </w:p>
        </w:tc>
        <w:tc>
          <w:tcPr>
            <w:tcW w:w="2244" w:type="dxa"/>
            <w:vAlign w:val="center"/>
          </w:tcPr>
          <w:p>
            <w:pPr>
              <w:spacing w:line="320" w:lineRule="exact"/>
              <w:jc w:val="center"/>
              <w:rPr>
                <w:rFonts w:cs="宋体"/>
                <w:szCs w:val="22"/>
              </w:rPr>
            </w:pPr>
            <w:r>
              <w:rPr>
                <w:rFonts w:hint="eastAsia" w:cs="宋体"/>
                <w:szCs w:val="22"/>
              </w:rPr>
              <w:t>投标所需资料</w:t>
            </w:r>
          </w:p>
        </w:tc>
        <w:tc>
          <w:tcPr>
            <w:tcW w:w="5844" w:type="dxa"/>
            <w:vAlign w:val="center"/>
          </w:tcPr>
          <w:p>
            <w:pPr>
              <w:spacing w:line="320" w:lineRule="exact"/>
              <w:rPr>
                <w:rFonts w:cs="宋体"/>
                <w:szCs w:val="22"/>
              </w:rPr>
            </w:pPr>
            <w:r>
              <w:rPr>
                <w:rFonts w:hint="eastAsia" w:cs="宋体"/>
                <w:szCs w:val="22"/>
              </w:rPr>
              <w:t>（1）投标人按照招标文件要求编制投标文件并对投标文件进行电子签章并使用数字证书加密，并于招标文件规定的投标截止时间前通过电子交易系统完成上传。投标人应合理安排投标文件递交时间，特别是网络速度慢的地区防止在系统关闭前网络拥堵无法操作。如果因计算机及网络故障造成无法完成投标文件递交情形，责任自负。</w:t>
            </w:r>
          </w:p>
          <w:p>
            <w:pPr>
              <w:spacing w:line="320" w:lineRule="exact"/>
              <w:rPr>
                <w:rFonts w:cs="宋体"/>
                <w:szCs w:val="22"/>
              </w:rPr>
            </w:pPr>
            <w:r>
              <w:rPr>
                <w:rFonts w:hint="eastAsia" w:cs="宋体"/>
                <w:szCs w:val="22"/>
              </w:rPr>
              <w:t>（2）投标人应及时查看上传的相关资料，如出现上传的相应投标资料不全、模糊不清、超出有效期等情况，评标委员会将作出对投标人不利的认定，由此产生的一切后果由投标人自行承担。</w:t>
            </w:r>
          </w:p>
          <w:p>
            <w:pPr>
              <w:spacing w:line="320" w:lineRule="exact"/>
              <w:rPr>
                <w:rFonts w:cs="宋体"/>
                <w:szCs w:val="22"/>
              </w:rPr>
            </w:pPr>
            <w:r>
              <w:rPr>
                <w:rFonts w:hint="eastAsia" w:cs="宋体"/>
                <w:szCs w:val="22"/>
              </w:rPr>
              <w:t>（3）投标人提供的营业执照、资质证书、安全生产许可证、注册建造师证书、安全生产考核合格证书等证书证件应在有效期内，若法律法规或发证机构或相关主管部门另有规定的，从其规定。投标人在投标文件中提供了相关证明材料，或经询标被评标委员会认定符合相关规定的，评标委员会应予以认可。</w:t>
            </w:r>
          </w:p>
          <w:p>
            <w:pPr>
              <w:spacing w:line="320" w:lineRule="exact"/>
              <w:rPr>
                <w:rFonts w:cs="宋体"/>
                <w:szCs w:val="22"/>
              </w:rPr>
            </w:pPr>
            <w:r>
              <w:rPr>
                <w:rFonts w:hint="eastAsia" w:cs="宋体"/>
                <w:szCs w:val="22"/>
              </w:rPr>
              <w:t>（4）采用一级建造师投标的应符合《住房和城乡建设部办公厅关于全面实行一级建造师电子注册证书的通知》(建办市〔2021〕40 号)规定，投标文件应提供一级建造师电子注册证书，且应在个人签名处手写本人签名，未手写签名或与签名图像笔迹不一致的，该电子证书无效。</w:t>
            </w:r>
          </w:p>
          <w:p>
            <w:pPr>
              <w:spacing w:line="320" w:lineRule="exact"/>
              <w:rPr>
                <w:rFonts w:cs="宋体"/>
                <w:szCs w:val="22"/>
              </w:rPr>
            </w:pPr>
            <w:r>
              <w:rPr>
                <w:rFonts w:hint="eastAsia" w:cs="宋体"/>
                <w:szCs w:val="22"/>
              </w:rPr>
              <w:drawing>
                <wp:anchor distT="0" distB="0" distL="114300" distR="114300" simplePos="0" relativeHeight="251666432" behindDoc="0" locked="0" layoutInCell="1" allowOverlap="1">
                  <wp:simplePos x="0" y="0"/>
                  <wp:positionH relativeFrom="column">
                    <wp:posOffset>-47625</wp:posOffset>
                  </wp:positionH>
                  <wp:positionV relativeFrom="paragraph">
                    <wp:posOffset>40640</wp:posOffset>
                  </wp:positionV>
                  <wp:extent cx="3549015" cy="1480185"/>
                  <wp:effectExtent l="0" t="0" r="1905" b="1333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a:stretch>
                            <a:fillRect/>
                          </a:stretch>
                        </pic:blipFill>
                        <pic:spPr>
                          <a:xfrm>
                            <a:off x="0" y="0"/>
                            <a:ext cx="3549015" cy="1480185"/>
                          </a:xfrm>
                          <a:prstGeom prst="rect">
                            <a:avLst/>
                          </a:prstGeom>
                          <a:noFill/>
                          <a:ln>
                            <a:noFill/>
                          </a:ln>
                        </pic:spPr>
                      </pic:pic>
                    </a:graphicData>
                  </a:graphic>
                </wp:anchor>
              </w:drawing>
            </w:r>
          </w:p>
          <w:p>
            <w:pPr>
              <w:spacing w:line="320" w:lineRule="exact"/>
              <w:rPr>
                <w:rFonts w:cs="宋体"/>
                <w:szCs w:val="22"/>
              </w:rPr>
            </w:pPr>
          </w:p>
          <w:p>
            <w:pPr>
              <w:spacing w:line="320" w:lineRule="exact"/>
              <w:rPr>
                <w:rFonts w:cs="宋体"/>
                <w:szCs w:val="22"/>
              </w:rPr>
            </w:pPr>
          </w:p>
          <w:p>
            <w:pPr>
              <w:spacing w:line="320" w:lineRule="exact"/>
              <w:rPr>
                <w:rFonts w:cs="宋体"/>
                <w:szCs w:val="22"/>
              </w:rPr>
            </w:pPr>
          </w:p>
          <w:p>
            <w:pPr>
              <w:spacing w:line="320" w:lineRule="exact"/>
              <w:rPr>
                <w:rFonts w:cs="宋体"/>
                <w:szCs w:val="22"/>
              </w:rPr>
            </w:pPr>
          </w:p>
          <w:p>
            <w:pPr>
              <w:pStyle w:val="2"/>
              <w:ind w:firstLine="280"/>
              <w:rPr>
                <w:rFonts w:cs="宋体"/>
                <w:szCs w:val="22"/>
              </w:rPr>
            </w:pPr>
          </w:p>
          <w:p>
            <w:pPr>
              <w:pStyle w:val="2"/>
              <w:ind w:firstLine="280"/>
              <w:rPr>
                <w:rFonts w:cs="宋体"/>
                <w:szCs w:val="22"/>
              </w:rPr>
            </w:pPr>
          </w:p>
          <w:p>
            <w:pPr>
              <w:spacing w:line="320" w:lineRule="exact"/>
              <w:rPr>
                <w:rFonts w:cs="宋体"/>
                <w:szCs w:val="22"/>
              </w:rPr>
            </w:pPr>
            <w:r>
              <w:rPr>
                <w:rFonts w:hint="eastAsia" w:cs="宋体"/>
                <w:szCs w:val="22"/>
              </w:rPr>
              <w:t>（5）采用一级注册建筑师投标的应符合《全国注册建筑师管理委员会关于开展使用一级注册建筑师电子注册证书工作的通知》（注建〔2021〕2 号）规定，投标文件提供的一级注册建筑师证书应在个人签名处手写本人签名，未手写签名或与签名图像笔迹不一致的，该电子证书无效。</w:t>
            </w:r>
          </w:p>
          <w:p>
            <w:pPr>
              <w:spacing w:line="320" w:lineRule="exact"/>
              <w:rPr>
                <w:rFonts w:cs="宋体"/>
                <w:szCs w:val="22"/>
              </w:rPr>
            </w:pPr>
            <w:r>
              <w:rPr>
                <w:rFonts w:hint="eastAsia" w:cs="宋体"/>
                <w:szCs w:val="22"/>
              </w:rPr>
              <w:t>（6）具体资料以第三章“评标办法”和第六章“投标文件格式及要求”要求为准。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rPr>
                <w:rFonts w:hint="eastAsia"/>
              </w:rPr>
              <w:t>1.7.9</w:t>
            </w:r>
          </w:p>
        </w:tc>
        <w:tc>
          <w:tcPr>
            <w:tcW w:w="2244" w:type="dxa"/>
            <w:vAlign w:val="center"/>
          </w:tcPr>
          <w:p>
            <w:pPr>
              <w:spacing w:line="320" w:lineRule="exact"/>
              <w:jc w:val="center"/>
              <w:rPr>
                <w:rFonts w:cs="宋体"/>
                <w:szCs w:val="22"/>
              </w:rPr>
            </w:pPr>
            <w:r>
              <w:rPr>
                <w:rFonts w:hint="eastAsia" w:cs="宋体"/>
                <w:szCs w:val="22"/>
              </w:rPr>
              <w:t>招标人补充的</w:t>
            </w:r>
          </w:p>
          <w:p>
            <w:pPr>
              <w:spacing w:line="320" w:lineRule="exact"/>
              <w:jc w:val="center"/>
              <w:rPr>
                <w:rFonts w:cs="宋体"/>
                <w:szCs w:val="22"/>
              </w:rPr>
            </w:pPr>
            <w:r>
              <w:rPr>
                <w:rFonts w:hint="eastAsia" w:cs="宋体"/>
                <w:szCs w:val="22"/>
              </w:rPr>
              <w:t>其他内容</w:t>
            </w:r>
          </w:p>
        </w:tc>
        <w:tc>
          <w:tcPr>
            <w:tcW w:w="5844" w:type="dxa"/>
            <w:vAlign w:val="center"/>
          </w:tcPr>
          <w:p>
            <w:pPr>
              <w:spacing w:line="320" w:lineRule="exact"/>
              <w:rPr>
                <w:rFonts w:cs="宋体"/>
                <w:szCs w:val="22"/>
              </w:rPr>
            </w:pPr>
            <w:r>
              <w:rPr>
                <w:rFonts w:hint="eastAsia" w:cs="宋体"/>
                <w:szCs w:val="22"/>
              </w:rPr>
              <w:t>（1）投标人投标文件中填报人员及投标人按招标文件提出的最低要求填报派驻投标标段的其他管理和技术人员，经招标人审核后不得进行更换。除非招标文件另有约定，投标人派驻投标标段的项目经理及项目管理机构主要人员均应为投标单位在职人员（不含外聘人员、返聘人员、临时聘用人员），否则招标人有权取消其中标资格。</w:t>
            </w:r>
          </w:p>
          <w:p>
            <w:pPr>
              <w:spacing w:line="320" w:lineRule="exact"/>
              <w:rPr>
                <w:rFonts w:cs="宋体"/>
                <w:szCs w:val="22"/>
              </w:rPr>
            </w:pPr>
            <w:r>
              <w:rPr>
                <w:rFonts w:hint="eastAsia" w:cs="宋体"/>
                <w:szCs w:val="22"/>
              </w:rPr>
              <w:t>（2）因电子服务系统或电子交易系统出现软件设计或功能缺陷、运行异常等情况，可能影响招投标活动公平、公正进行的，招标人（或招标代理机构）有权中止或终止招投标活动，招投标各方免责。</w:t>
            </w:r>
          </w:p>
          <w:p>
            <w:pPr>
              <w:spacing w:line="320" w:lineRule="exact"/>
              <w:rPr>
                <w:rFonts w:cs="宋体"/>
                <w:szCs w:val="22"/>
              </w:rPr>
            </w:pPr>
            <w:r>
              <w:rPr>
                <w:rFonts w:hint="eastAsia" w:cs="宋体"/>
                <w:szCs w:val="22"/>
              </w:rPr>
              <w:t>（3）唱标信息内容与投标函中不一致的，以投标函中内容为准。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rPr>
                <w:rFonts w:hint="eastAsia"/>
              </w:rPr>
              <w:t>1.7.10</w:t>
            </w:r>
          </w:p>
        </w:tc>
        <w:tc>
          <w:tcPr>
            <w:tcW w:w="2244" w:type="dxa"/>
            <w:vAlign w:val="center"/>
          </w:tcPr>
          <w:p>
            <w:pPr>
              <w:spacing w:line="320" w:lineRule="exact"/>
              <w:jc w:val="center"/>
              <w:rPr>
                <w:rFonts w:cs="宋体"/>
                <w:szCs w:val="22"/>
              </w:rPr>
            </w:pPr>
            <w:r>
              <w:rPr>
                <w:rFonts w:hint="eastAsia" w:cs="宋体"/>
                <w:szCs w:val="22"/>
              </w:rPr>
              <w:t>招标代理服务费</w:t>
            </w:r>
          </w:p>
        </w:tc>
        <w:tc>
          <w:tcPr>
            <w:tcW w:w="5844" w:type="dxa"/>
            <w:vAlign w:val="center"/>
          </w:tcPr>
          <w:p>
            <w:pPr>
              <w:spacing w:line="320" w:lineRule="exact"/>
              <w:rPr>
                <w:rFonts w:cs="宋体"/>
                <w:szCs w:val="22"/>
              </w:rPr>
            </w:pPr>
            <w:r>
              <w:rPr>
                <w:rFonts w:hint="eastAsia" w:cs="宋体"/>
                <w:szCs w:val="22"/>
                <w:lang w:val="en-US" w:eastAsia="zh-CN"/>
              </w:rPr>
              <w:t>由</w:t>
            </w:r>
            <w:r>
              <w:rPr>
                <w:rFonts w:hint="eastAsia" w:cs="宋体"/>
                <w:szCs w:val="22"/>
              </w:rPr>
              <w:t>招标人在中标通知书发出后须向招标代理机构缴纳招标代理服务费，可以银行转账、银行电汇方式。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71" w:type="dxa"/>
            <w:gridSpan w:val="3"/>
            <w:vAlign w:val="center"/>
          </w:tcPr>
          <w:p>
            <w:pPr>
              <w:spacing w:line="320" w:lineRule="exact"/>
              <w:jc w:val="center"/>
              <w:rPr>
                <w:rFonts w:cs="宋体"/>
                <w:szCs w:val="22"/>
              </w:rPr>
            </w:pPr>
            <w:r>
              <w:t>1.</w:t>
            </w:r>
            <w:r>
              <w:rPr>
                <w:rFonts w:hint="eastAsia"/>
              </w:rPr>
              <w:t>8</w:t>
            </w:r>
            <w:r>
              <w:t xml:space="preserve"> </w:t>
            </w:r>
            <w:r>
              <w:rPr>
                <w:rFonts w:hint="eastAsia" w:cs="宋体"/>
              </w:rPr>
              <w:t>词语定义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w:t>
            </w:r>
            <w:r>
              <w:rPr>
                <w:rFonts w:hint="eastAsia"/>
              </w:rPr>
              <w:t>8</w:t>
            </w:r>
            <w:r>
              <w:t>.</w:t>
            </w:r>
            <w:r>
              <w:rPr>
                <w:rFonts w:hint="eastAsia"/>
              </w:rPr>
              <w:t>1</w:t>
            </w:r>
          </w:p>
        </w:tc>
        <w:tc>
          <w:tcPr>
            <w:tcW w:w="2244" w:type="dxa"/>
            <w:vAlign w:val="center"/>
          </w:tcPr>
          <w:p>
            <w:pPr>
              <w:spacing w:line="320" w:lineRule="exact"/>
              <w:jc w:val="center"/>
              <w:rPr>
                <w:rFonts w:cs="宋体"/>
              </w:rPr>
            </w:pPr>
            <w:r>
              <w:rPr>
                <w:rFonts w:hint="eastAsia" w:cs="宋体"/>
              </w:rPr>
              <w:t>类似工程业绩</w:t>
            </w:r>
          </w:p>
        </w:tc>
        <w:tc>
          <w:tcPr>
            <w:tcW w:w="5844" w:type="dxa"/>
            <w:vAlign w:val="center"/>
          </w:tcPr>
          <w:p>
            <w:pPr>
              <w:spacing w:line="320" w:lineRule="exact"/>
              <w:rPr>
                <w:rFonts w:cs="宋体"/>
                <w:highlight w:val="none"/>
              </w:rPr>
            </w:pPr>
            <w:r>
              <w:rPr>
                <w:rFonts w:hint="eastAsia" w:cs="宋体"/>
              </w:rPr>
              <w:t>投标人提供近开标前近5年同类项目业绩</w:t>
            </w:r>
            <w:r>
              <w:rPr>
                <w:rFonts w:hint="eastAsia" w:ascii="宋体" w:hAnsi="宋体" w:eastAsia="宋体" w:cs="宋体"/>
                <w:b w:val="0"/>
                <w:bCs w:val="0"/>
                <w:color w:val="auto"/>
                <w:kern w:val="2"/>
                <w:sz w:val="21"/>
                <w:szCs w:val="20"/>
              </w:rPr>
              <w:t>（全过程工程咨询</w:t>
            </w:r>
            <w:r>
              <w:rPr>
                <w:rFonts w:hint="eastAsia" w:ascii="宋体" w:hAnsi="宋体" w:eastAsia="宋体" w:cs="宋体"/>
                <w:b w:val="0"/>
                <w:bCs w:val="0"/>
                <w:color w:val="auto"/>
                <w:kern w:val="2"/>
                <w:sz w:val="21"/>
                <w:szCs w:val="20"/>
                <w:lang w:val="en-US" w:eastAsia="zh-CN"/>
              </w:rPr>
              <w:t>130</w:t>
            </w:r>
            <w:r>
              <w:rPr>
                <w:rFonts w:hint="eastAsia" w:ascii="宋体" w:hAnsi="宋体" w:eastAsia="宋体" w:cs="宋体"/>
                <w:b w:val="0"/>
                <w:bCs w:val="0"/>
                <w:color w:val="auto"/>
                <w:kern w:val="2"/>
                <w:sz w:val="21"/>
                <w:szCs w:val="20"/>
              </w:rPr>
              <w:t>万元及以上业绩合同或提供单个项目“勘察设计”金额</w:t>
            </w:r>
            <w:r>
              <w:rPr>
                <w:rFonts w:hint="eastAsia" w:ascii="宋体" w:hAnsi="宋体" w:eastAsia="宋体" w:cs="宋体"/>
                <w:b w:val="0"/>
                <w:bCs w:val="0"/>
                <w:color w:val="auto"/>
                <w:kern w:val="2"/>
                <w:sz w:val="21"/>
                <w:szCs w:val="20"/>
                <w:lang w:val="en-US" w:eastAsia="zh-CN"/>
              </w:rPr>
              <w:t>70</w:t>
            </w:r>
            <w:r>
              <w:rPr>
                <w:rFonts w:hint="eastAsia" w:ascii="宋体" w:hAnsi="宋体" w:eastAsia="宋体" w:cs="宋体"/>
                <w:b w:val="0"/>
                <w:bCs w:val="0"/>
                <w:color w:val="auto"/>
                <w:kern w:val="2"/>
                <w:sz w:val="21"/>
                <w:szCs w:val="20"/>
              </w:rPr>
              <w:t>万元、“监理合同”金额</w:t>
            </w:r>
            <w:r>
              <w:rPr>
                <w:rFonts w:hint="eastAsia" w:ascii="宋体" w:hAnsi="宋体" w:eastAsia="宋体" w:cs="宋体"/>
                <w:b w:val="0"/>
                <w:bCs w:val="0"/>
                <w:color w:val="auto"/>
                <w:kern w:val="2"/>
                <w:sz w:val="21"/>
                <w:szCs w:val="20"/>
                <w:lang w:val="en-US" w:eastAsia="zh-CN"/>
              </w:rPr>
              <w:t>56</w:t>
            </w:r>
            <w:r>
              <w:rPr>
                <w:rFonts w:hint="eastAsia" w:ascii="宋体" w:hAnsi="宋体" w:eastAsia="宋体" w:cs="宋体"/>
                <w:b w:val="0"/>
                <w:bCs w:val="0"/>
                <w:color w:val="auto"/>
                <w:kern w:val="2"/>
                <w:sz w:val="21"/>
                <w:szCs w:val="20"/>
              </w:rPr>
              <w:t>万元及以上业绩合同或提供总投资</w:t>
            </w:r>
            <w:r>
              <w:rPr>
                <w:rFonts w:hint="eastAsia" w:ascii="宋体" w:hAnsi="宋体" w:eastAsia="宋体" w:cs="宋体"/>
                <w:b w:val="0"/>
                <w:bCs w:val="0"/>
                <w:color w:val="auto"/>
                <w:kern w:val="2"/>
                <w:sz w:val="21"/>
                <w:szCs w:val="20"/>
                <w:lang w:val="en-US" w:eastAsia="zh-CN"/>
              </w:rPr>
              <w:t>2200</w:t>
            </w:r>
            <w:r>
              <w:rPr>
                <w:rFonts w:hint="eastAsia" w:ascii="宋体" w:hAnsi="宋体" w:eastAsia="宋体" w:cs="宋体"/>
                <w:b w:val="0"/>
                <w:bCs w:val="0"/>
                <w:color w:val="auto"/>
                <w:kern w:val="2"/>
                <w:sz w:val="21"/>
                <w:szCs w:val="20"/>
              </w:rPr>
              <w:t>万元以上业绩合同</w:t>
            </w:r>
            <w:r>
              <w:rPr>
                <w:rFonts w:hint="eastAsia" w:cs="宋体"/>
              </w:rPr>
              <w:t>，业绩以合同签订日期为准）；业绩以合同签订日期为准。</w:t>
            </w:r>
            <w:r>
              <w:rPr>
                <w:rFonts w:hint="eastAsia" w:cs="宋体"/>
                <w:bCs/>
                <w:highlight w:val="none"/>
              </w:rPr>
              <w:t>类似工程业绩（指与房屋建筑相关的项目，其中房屋建筑工程占比达到</w:t>
            </w:r>
            <w:r>
              <w:rPr>
                <w:rFonts w:cs="宋体"/>
                <w:bCs/>
                <w:highlight w:val="none"/>
              </w:rPr>
              <w:t>50%</w:t>
            </w:r>
            <w:r>
              <w:rPr>
                <w:rFonts w:hint="eastAsia" w:cs="宋体"/>
                <w:bCs/>
                <w:highlight w:val="none"/>
              </w:rPr>
              <w:t>以上）是指承担完成过与本招标项目结构、用途类似，达到或超过本招标项目投资和规模的工程项目。</w:t>
            </w:r>
            <w:r>
              <w:rPr>
                <w:rFonts w:cs="宋体"/>
                <w:highlight w:val="none"/>
              </w:rPr>
              <w:t xml:space="preserve">   </w:t>
            </w:r>
          </w:p>
          <w:p>
            <w:pPr>
              <w:spacing w:line="320" w:lineRule="exact"/>
              <w:rPr>
                <w:rFonts w:ascii="宋体" w:hAnsi="宋体" w:cs="宋体"/>
                <w:b/>
                <w:bCs/>
                <w:szCs w:val="21"/>
              </w:rPr>
            </w:pPr>
            <w:r>
              <w:rPr>
                <w:rFonts w:hint="eastAsia" w:ascii="宋体" w:hAnsi="宋体" w:cs="宋体"/>
                <w:b/>
                <w:bCs/>
                <w:szCs w:val="21"/>
              </w:rPr>
              <w:t>全过程工程咨询业绩认定：业绩合同中至少包含“项目管理、决策咨询、勘察测绘、工程设计（设计咨询）、工程监理、造价咨询、BIM咨询”内容的任意4项（其中，至少含项目管理、勘察测绘、工程设计、工程监理、造价咨询中的3项）。</w:t>
            </w:r>
            <w:r>
              <w:rPr>
                <w:rFonts w:cs="宋体"/>
              </w:rPr>
              <w:t xml:space="preserve"> </w:t>
            </w:r>
            <w:r>
              <w:rPr>
                <w:rFonts w:hint="eastAsia" w:cs="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Align w:val="center"/>
          </w:tcPr>
          <w:p>
            <w:pPr>
              <w:spacing w:line="320" w:lineRule="exact"/>
              <w:jc w:val="center"/>
            </w:pPr>
            <w:r>
              <w:t>1.</w:t>
            </w:r>
            <w:r>
              <w:rPr>
                <w:rFonts w:hint="eastAsia"/>
              </w:rPr>
              <w:t>8</w:t>
            </w:r>
            <w:r>
              <w:t>.</w:t>
            </w:r>
            <w:r>
              <w:rPr>
                <w:rFonts w:hint="eastAsia"/>
              </w:rPr>
              <w:t>2</w:t>
            </w:r>
          </w:p>
        </w:tc>
        <w:tc>
          <w:tcPr>
            <w:tcW w:w="2244" w:type="dxa"/>
            <w:vAlign w:val="center"/>
          </w:tcPr>
          <w:p>
            <w:pPr>
              <w:spacing w:line="320" w:lineRule="exact"/>
              <w:jc w:val="center"/>
            </w:pPr>
            <w:r>
              <w:rPr>
                <w:rFonts w:hint="eastAsia" w:cs="宋体"/>
              </w:rPr>
              <w:t>不良行为记录</w:t>
            </w:r>
          </w:p>
        </w:tc>
        <w:tc>
          <w:tcPr>
            <w:tcW w:w="5844" w:type="dxa"/>
            <w:vAlign w:val="center"/>
          </w:tcPr>
          <w:p>
            <w:pPr>
              <w:spacing w:line="320" w:lineRule="exact"/>
              <w:rPr>
                <w:rFonts w:ascii="宋体" w:hAnsi="宋体" w:cs="宋体"/>
              </w:rPr>
            </w:pPr>
            <w:r>
              <w:rPr>
                <w:rFonts w:hint="eastAsia" w:ascii="宋体" w:hAnsi="宋体" w:cs="宋体"/>
              </w:rPr>
              <w:t>不良行为记录是指：</w:t>
            </w:r>
            <w:r>
              <w:rPr>
                <w:rFonts w:hint="eastAsia" w:hAnsi="宋体"/>
                <w:szCs w:val="21"/>
              </w:rPr>
              <w:t>军队工程建设、采购管理部门公布的供应商合同履约不良行为记录或国家和地方政府建筑市场监管与诚信信息发布平台已经公布的不良行为记录。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83" w:type="dxa"/>
            <w:vAlign w:val="center"/>
          </w:tcPr>
          <w:p>
            <w:pPr>
              <w:spacing w:line="320" w:lineRule="exact"/>
              <w:jc w:val="center"/>
            </w:pPr>
            <w:r>
              <w:t>1.</w:t>
            </w:r>
            <w:r>
              <w:rPr>
                <w:rFonts w:hint="eastAsia"/>
              </w:rPr>
              <w:t>8</w:t>
            </w:r>
            <w:r>
              <w:t>.</w:t>
            </w:r>
            <w:r>
              <w:rPr>
                <w:rFonts w:hint="eastAsia"/>
              </w:rPr>
              <w:t>3</w:t>
            </w:r>
          </w:p>
        </w:tc>
        <w:tc>
          <w:tcPr>
            <w:tcW w:w="2244" w:type="dxa"/>
            <w:vAlign w:val="center"/>
          </w:tcPr>
          <w:p>
            <w:pPr>
              <w:spacing w:line="320" w:lineRule="exact"/>
              <w:jc w:val="center"/>
            </w:pPr>
            <w:r>
              <w:rPr>
                <w:rFonts w:hint="eastAsia" w:cs="宋体"/>
              </w:rPr>
              <w:t>知识产权</w:t>
            </w:r>
          </w:p>
        </w:tc>
        <w:tc>
          <w:tcPr>
            <w:tcW w:w="5844" w:type="dxa"/>
            <w:vAlign w:val="center"/>
          </w:tcPr>
          <w:p>
            <w:pPr>
              <w:spacing w:line="320" w:lineRule="exact"/>
            </w:pPr>
            <w:r>
              <w:rPr>
                <w:rFonts w:hint="eastAsia" w:cs="宋体"/>
              </w:rPr>
              <w:t>构成本招标文件各个组成部分的文件，未经招标人书面同意，投标人不得擅自复印和用于非本招标项目所需的其他目的。招标人全部或者部分使用未中标人投标文件中的技术成果或技术方案时，需书面告知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883" w:type="dxa"/>
            <w:vAlign w:val="center"/>
          </w:tcPr>
          <w:p>
            <w:pPr>
              <w:spacing w:line="320" w:lineRule="exact"/>
              <w:jc w:val="center"/>
            </w:pPr>
            <w:r>
              <w:t>1.</w:t>
            </w:r>
            <w:r>
              <w:rPr>
                <w:rFonts w:hint="eastAsia"/>
              </w:rPr>
              <w:t>8</w:t>
            </w:r>
            <w:r>
              <w:t>.</w:t>
            </w:r>
            <w:r>
              <w:rPr>
                <w:rFonts w:hint="eastAsia"/>
              </w:rPr>
              <w:t>4</w:t>
            </w:r>
          </w:p>
        </w:tc>
        <w:tc>
          <w:tcPr>
            <w:tcW w:w="2244" w:type="dxa"/>
            <w:vAlign w:val="center"/>
          </w:tcPr>
          <w:p>
            <w:pPr>
              <w:spacing w:line="320" w:lineRule="exact"/>
              <w:jc w:val="center"/>
            </w:pPr>
            <w:r>
              <w:rPr>
                <w:rFonts w:hint="eastAsia" w:cs="宋体"/>
              </w:rPr>
              <w:t>同义词语</w:t>
            </w:r>
          </w:p>
        </w:tc>
        <w:tc>
          <w:tcPr>
            <w:tcW w:w="5844" w:type="dxa"/>
            <w:vAlign w:val="center"/>
          </w:tcPr>
          <w:p>
            <w:pPr>
              <w:spacing w:line="320" w:lineRule="exact"/>
            </w:pPr>
            <w:r>
              <w:rPr>
                <w:rFonts w:hint="eastAsia" w:cs="宋体"/>
              </w:rPr>
              <w:t>构成招标文件组成部分的“通用合同条款”、“专用合同条款”、“技术标准和要求”等章节中出现的措辞“发包人”和“承包人”，在招标投标阶段应当分别按“招标人（建设单位）”和“投标人”进行理解。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883" w:type="dxa"/>
            <w:vAlign w:val="center"/>
          </w:tcPr>
          <w:p>
            <w:pPr>
              <w:spacing w:line="320" w:lineRule="exact"/>
              <w:jc w:val="center"/>
            </w:pPr>
            <w:r>
              <w:t>1.</w:t>
            </w:r>
            <w:r>
              <w:rPr>
                <w:rFonts w:hint="eastAsia"/>
              </w:rPr>
              <w:t>8</w:t>
            </w:r>
            <w:r>
              <w:t>.</w:t>
            </w:r>
            <w:r>
              <w:rPr>
                <w:rFonts w:hint="eastAsia"/>
              </w:rPr>
              <w:t>5</w:t>
            </w:r>
          </w:p>
        </w:tc>
        <w:tc>
          <w:tcPr>
            <w:tcW w:w="2244" w:type="dxa"/>
            <w:vAlign w:val="center"/>
          </w:tcPr>
          <w:p>
            <w:pPr>
              <w:spacing w:line="320" w:lineRule="exact"/>
              <w:jc w:val="center"/>
            </w:pPr>
            <w:r>
              <w:rPr>
                <w:rFonts w:hint="eastAsia" w:cs="宋体"/>
              </w:rPr>
              <w:t>解释权</w:t>
            </w:r>
          </w:p>
        </w:tc>
        <w:tc>
          <w:tcPr>
            <w:tcW w:w="5844" w:type="dxa"/>
            <w:vAlign w:val="center"/>
          </w:tcPr>
          <w:p>
            <w:pPr>
              <w:spacing w:line="320" w:lineRule="exact"/>
            </w:pPr>
            <w:r>
              <w:rPr>
                <w:rFonts w:hint="eastAsia" w:cs="宋体"/>
              </w:rPr>
              <w:t>构成本招标文件的各个组成文件应互为解释，互为说明；如有不明确或不一致，构成合同文件组成内容，以合同文件约定内容为准，且以专用合同条款约定的合同文件优先顺序解释；除招标文件中有特别规定外，仅适用于招标投标阶段的规定，按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83" w:type="dxa"/>
            <w:vAlign w:val="center"/>
          </w:tcPr>
          <w:p>
            <w:pPr>
              <w:spacing w:line="320" w:lineRule="exact"/>
              <w:jc w:val="center"/>
            </w:pPr>
            <w:r>
              <w:t>1.</w:t>
            </w:r>
            <w:r>
              <w:rPr>
                <w:rFonts w:hint="eastAsia"/>
              </w:rPr>
              <w:t>8</w:t>
            </w:r>
            <w:r>
              <w:t>.</w:t>
            </w:r>
            <w:r>
              <w:rPr>
                <w:rFonts w:hint="eastAsia"/>
              </w:rPr>
              <w:t>6</w:t>
            </w:r>
          </w:p>
        </w:tc>
        <w:tc>
          <w:tcPr>
            <w:tcW w:w="2244" w:type="dxa"/>
            <w:vAlign w:val="center"/>
          </w:tcPr>
          <w:p>
            <w:pPr>
              <w:spacing w:line="320" w:lineRule="exact"/>
              <w:jc w:val="center"/>
            </w:pPr>
            <w:r>
              <w:rPr>
                <w:rFonts w:hint="eastAsia" w:cs="宋体"/>
              </w:rPr>
              <w:t>质疑与投诉</w:t>
            </w:r>
          </w:p>
        </w:tc>
        <w:tc>
          <w:tcPr>
            <w:tcW w:w="5844" w:type="dxa"/>
            <w:vAlign w:val="center"/>
          </w:tcPr>
          <w:p>
            <w:pPr>
              <w:spacing w:line="320" w:lineRule="exact"/>
              <w:rPr>
                <w:rFonts w:hAnsi="宋体"/>
              </w:rPr>
            </w:pPr>
            <w:r>
              <w:rPr>
                <w:rFonts w:hint="eastAsia" w:hAnsi="宋体"/>
              </w:rPr>
              <w:t>投标人或者其他利害关系人认为招标文件、招标过程或者中标结果损害自己权益的，可以向建设单位书面提出质疑。投标人或者其他利害关系人在规定期限内未收到质疑答复，或者对质疑答复不满意的，可以在答复期满后</w:t>
            </w:r>
            <w:r>
              <w:rPr>
                <w:rFonts w:hAnsi="宋体"/>
              </w:rPr>
              <w:t>15</w:t>
            </w:r>
            <w:r>
              <w:rPr>
                <w:rFonts w:hint="eastAsia" w:hAnsi="宋体"/>
              </w:rPr>
              <w:t>个工作日内，向下达招标任务的招标管理部门或者上一级管理部门书面提起投诉，投诉应当有明确的请求和必要的证明材料。</w:t>
            </w:r>
          </w:p>
          <w:p>
            <w:pPr>
              <w:spacing w:line="320" w:lineRule="exact"/>
              <w:rPr>
                <w:rFonts w:hAnsi="宋体"/>
              </w:rPr>
            </w:pPr>
            <w:r>
              <w:rPr>
                <w:rFonts w:hint="eastAsia" w:hAnsi="宋体"/>
              </w:rPr>
              <w:t>对招标文件质疑的，应当在投标截止时间</w:t>
            </w:r>
            <w:r>
              <w:rPr>
                <w:rFonts w:hAnsi="宋体"/>
              </w:rPr>
              <w:t>10</w:t>
            </w:r>
            <w:r>
              <w:rPr>
                <w:rFonts w:hint="eastAsia" w:hAnsi="宋体"/>
              </w:rPr>
              <w:t>日前提出；对开标质疑的，应当在开标现场提出；对评标结果质疑的，应当在收到中标、未中标通知书之日起</w:t>
            </w:r>
            <w:r>
              <w:rPr>
                <w:rFonts w:hAnsi="宋体"/>
              </w:rPr>
              <w:t>3</w:t>
            </w:r>
            <w:r>
              <w:rPr>
                <w:rFonts w:hint="eastAsia" w:hAnsi="宋体"/>
              </w:rPr>
              <w:t>日内提出。</w:t>
            </w:r>
            <w:r>
              <w:rPr>
                <w:rFonts w:hAnsi="宋体"/>
              </w:rPr>
              <w:t xml:space="preserve"> </w:t>
            </w:r>
          </w:p>
          <w:p>
            <w:pPr>
              <w:spacing w:line="320" w:lineRule="exact"/>
              <w:rPr>
                <w:rFonts w:cs="宋体"/>
              </w:rPr>
            </w:pPr>
            <w:r>
              <w:rPr>
                <w:rFonts w:hint="eastAsia" w:hAnsi="宋体"/>
              </w:rPr>
              <w:t>多个供应商就工程采购的同一事项提出质疑的，建设单位可以公开作出统一答复。在截止日期后提出的质疑，不予受理。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971" w:type="dxa"/>
            <w:gridSpan w:val="3"/>
            <w:vAlign w:val="center"/>
          </w:tcPr>
          <w:p>
            <w:pPr>
              <w:spacing w:line="320" w:lineRule="exact"/>
              <w:jc w:val="center"/>
            </w:pPr>
            <w:r>
              <w:t>1.</w:t>
            </w:r>
            <w:r>
              <w:rPr>
                <w:rFonts w:hint="eastAsia"/>
              </w:rPr>
              <w:t>9</w:t>
            </w:r>
            <w:r>
              <w:t xml:space="preserve"> </w:t>
            </w:r>
            <w:r>
              <w:rPr>
                <w:rFonts w:hint="eastAsia" w:cs="宋体"/>
              </w:rPr>
              <w:t>特别要求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vAlign w:val="center"/>
          </w:tcPr>
          <w:p>
            <w:pPr>
              <w:spacing w:line="320" w:lineRule="exact"/>
              <w:jc w:val="center"/>
            </w:pPr>
            <w:r>
              <w:t>1</w:t>
            </w:r>
            <w:r>
              <w:rPr>
                <w:rFonts w:hint="eastAsia"/>
              </w:rPr>
              <w:t>.9.</w:t>
            </w:r>
            <w:r>
              <w:t>1</w:t>
            </w:r>
          </w:p>
        </w:tc>
        <w:tc>
          <w:tcPr>
            <w:tcW w:w="8088" w:type="dxa"/>
            <w:gridSpan w:val="2"/>
            <w:vAlign w:val="center"/>
          </w:tcPr>
          <w:p>
            <w:pPr>
              <w:spacing w:line="320" w:lineRule="exact"/>
              <w:jc w:val="left"/>
              <w:rPr>
                <w:rFonts w:cs="宋体"/>
              </w:rPr>
            </w:pPr>
            <w:r>
              <w:rPr>
                <w:rFonts w:hint="eastAsia" w:hAnsi="宋体"/>
              </w:rPr>
              <w:t>企业</w:t>
            </w:r>
            <w:r>
              <w:rPr>
                <w:rFonts w:hint="eastAsia"/>
              </w:rPr>
              <w:t>是否被限制投标</w:t>
            </w:r>
            <w:r>
              <w:rPr>
                <w:rFonts w:hint="eastAsia" w:hAnsi="宋体"/>
              </w:rPr>
              <w:t>以国家及省市建筑市场监管公共服务平台</w:t>
            </w:r>
            <w:r>
              <w:rPr>
                <w:rFonts w:hint="eastAsia"/>
              </w:rPr>
              <w:t>和军队采购网</w:t>
            </w:r>
            <w:r>
              <w:rPr>
                <w:rFonts w:hint="eastAsia" w:hAnsi="宋体"/>
              </w:rPr>
              <w:t>公布的处罚信息为准（提供证明及承诺）。</w:t>
            </w:r>
          </w:p>
        </w:tc>
      </w:tr>
    </w:tbl>
    <w:p>
      <w:pPr>
        <w:spacing w:line="460" w:lineRule="exact"/>
        <w:rPr>
          <w:rFonts w:ascii="黑体" w:eastAsia="黑体" w:cs="黑体"/>
          <w:bCs/>
          <w:sz w:val="24"/>
          <w:szCs w:val="32"/>
        </w:rPr>
      </w:pPr>
      <w:bookmarkStart w:id="26" w:name="_Toc10110"/>
    </w:p>
    <w:p>
      <w:pPr>
        <w:spacing w:line="460" w:lineRule="exact"/>
        <w:rPr>
          <w:rFonts w:ascii="黑体" w:eastAsia="黑体" w:cs="黑体"/>
          <w:bCs/>
          <w:sz w:val="24"/>
          <w:szCs w:val="32"/>
        </w:rPr>
      </w:pPr>
    </w:p>
    <w:p>
      <w:pPr>
        <w:spacing w:line="460" w:lineRule="exact"/>
        <w:rPr>
          <w:rFonts w:ascii="黑体" w:eastAsia="黑体" w:cs="黑体"/>
          <w:bCs/>
          <w:sz w:val="24"/>
          <w:szCs w:val="32"/>
        </w:rPr>
      </w:pPr>
    </w:p>
    <w:p>
      <w:pPr>
        <w:pStyle w:val="2"/>
        <w:ind w:firstLine="241"/>
        <w:rPr>
          <w:rFonts w:ascii="黑体" w:eastAsia="黑体" w:cs="黑体"/>
          <w:sz w:val="24"/>
        </w:rPr>
      </w:pPr>
    </w:p>
    <w:p>
      <w:pPr>
        <w:pStyle w:val="2"/>
        <w:ind w:firstLine="241"/>
        <w:rPr>
          <w:rFonts w:ascii="黑体" w:eastAsia="黑体" w:cs="黑体"/>
          <w:sz w:val="24"/>
        </w:rPr>
      </w:pPr>
    </w:p>
    <w:p>
      <w:pPr>
        <w:pStyle w:val="2"/>
        <w:ind w:firstLine="241"/>
        <w:rPr>
          <w:rFonts w:ascii="黑体" w:eastAsia="黑体" w:cs="黑体"/>
          <w:sz w:val="24"/>
        </w:rPr>
      </w:pPr>
    </w:p>
    <w:p>
      <w:pPr>
        <w:pStyle w:val="2"/>
        <w:ind w:firstLine="241"/>
        <w:rPr>
          <w:rFonts w:ascii="黑体" w:eastAsia="黑体" w:cs="黑体"/>
          <w:sz w:val="24"/>
        </w:rPr>
      </w:pPr>
    </w:p>
    <w:p>
      <w:pPr>
        <w:pStyle w:val="2"/>
        <w:ind w:firstLine="241"/>
        <w:rPr>
          <w:rFonts w:ascii="黑体" w:eastAsia="黑体" w:cs="黑体"/>
          <w:sz w:val="24"/>
        </w:rPr>
      </w:pPr>
    </w:p>
    <w:p>
      <w:pPr>
        <w:pStyle w:val="2"/>
        <w:ind w:firstLine="241"/>
        <w:rPr>
          <w:rFonts w:ascii="黑体" w:eastAsia="黑体" w:cs="黑体"/>
          <w:sz w:val="24"/>
        </w:rPr>
      </w:pPr>
    </w:p>
    <w:p>
      <w:pPr>
        <w:pStyle w:val="2"/>
        <w:ind w:firstLine="241"/>
        <w:rPr>
          <w:rFonts w:ascii="黑体" w:eastAsia="黑体" w:cs="黑体"/>
          <w:sz w:val="24"/>
        </w:rPr>
      </w:pPr>
    </w:p>
    <w:p>
      <w:pPr>
        <w:pStyle w:val="6"/>
        <w:spacing w:before="0" w:after="0" w:line="572" w:lineRule="exact"/>
      </w:pPr>
      <w:bookmarkStart w:id="27" w:name="_Toc184916530"/>
      <w:r>
        <w:rPr>
          <w:rFonts w:hint="eastAsia"/>
        </w:rPr>
        <w:t>二、投标人须知正文部分</w:t>
      </w:r>
      <w:bookmarkEnd w:id="5"/>
      <w:bookmarkEnd w:id="22"/>
      <w:bookmarkEnd w:id="23"/>
      <w:bookmarkEnd w:id="26"/>
      <w:bookmarkEnd w:id="27"/>
      <w:bookmarkStart w:id="28" w:name="_Toc431191330"/>
      <w:bookmarkStart w:id="29" w:name="_Toc431191568"/>
      <w:bookmarkStart w:id="30" w:name="_Toc431191326"/>
      <w:bookmarkStart w:id="31" w:name="_Toc431191564"/>
      <w:bookmarkStart w:id="32" w:name="_Toc431191327"/>
      <w:bookmarkStart w:id="33" w:name="_Toc431191565"/>
      <w:bookmarkStart w:id="34" w:name="_Toc183141605"/>
      <w:bookmarkStart w:id="35" w:name="_Toc145647410"/>
      <w:bookmarkStart w:id="36" w:name="_Toc144002952"/>
      <w:bookmarkStart w:id="37" w:name="_Toc81932870"/>
      <w:bookmarkStart w:id="38" w:name="_Toc259970267"/>
      <w:bookmarkStart w:id="39" w:name="_Toc142982822"/>
      <w:bookmarkStart w:id="40" w:name="_Toc202362168"/>
      <w:bookmarkStart w:id="41" w:name="_Toc183141738"/>
    </w:p>
    <w:p>
      <w:pPr>
        <w:pStyle w:val="6"/>
        <w:spacing w:before="120" w:beforeLines="50" w:after="120" w:afterLines="50" w:line="460" w:lineRule="exact"/>
        <w:rPr>
          <w:rFonts w:ascii="Times New Roman" w:hAnsi="Times New Roman" w:cs="宋体"/>
          <w:b w:val="0"/>
          <w:bCs/>
          <w:sz w:val="28"/>
          <w:szCs w:val="28"/>
        </w:rPr>
      </w:pPr>
      <w:bookmarkStart w:id="42" w:name="_Toc16844"/>
      <w:bookmarkStart w:id="43" w:name="_Toc184916531"/>
      <w:r>
        <w:rPr>
          <w:rFonts w:ascii="Times New Roman" w:hAnsi="Times New Roman" w:cs="宋体"/>
          <w:b w:val="0"/>
          <w:bCs/>
          <w:sz w:val="28"/>
          <w:szCs w:val="28"/>
        </w:rPr>
        <w:t xml:space="preserve">1. </w:t>
      </w:r>
      <w:r>
        <w:rPr>
          <w:rFonts w:hint="eastAsia" w:ascii="Times New Roman" w:hAnsi="Times New Roman" w:cs="宋体"/>
          <w:b w:val="0"/>
          <w:bCs/>
          <w:sz w:val="28"/>
          <w:szCs w:val="28"/>
        </w:rPr>
        <w:t>总则</w:t>
      </w:r>
      <w:bookmarkEnd w:id="42"/>
      <w:bookmarkEnd w:id="43"/>
    </w:p>
    <w:p>
      <w:pPr>
        <w:pStyle w:val="6"/>
        <w:spacing w:before="120" w:beforeLines="50" w:after="120" w:afterLines="50" w:line="460" w:lineRule="exact"/>
        <w:rPr>
          <w:rFonts w:ascii="Times New Roman" w:hAnsi="Times New Roman" w:cs="宋体"/>
          <w:b w:val="0"/>
          <w:bCs/>
          <w:sz w:val="28"/>
          <w:szCs w:val="28"/>
        </w:rPr>
      </w:pPr>
      <w:bookmarkStart w:id="44" w:name="_Toc144974498"/>
      <w:bookmarkStart w:id="45" w:name="_Toc152045530"/>
      <w:bookmarkStart w:id="46" w:name="_Toc179632547"/>
      <w:bookmarkStart w:id="47" w:name="_Toc152042306"/>
      <w:bookmarkStart w:id="48" w:name="_Toc12921"/>
      <w:bookmarkStart w:id="49" w:name="_Toc18986"/>
      <w:bookmarkStart w:id="50" w:name="_Toc347996703"/>
      <w:bookmarkStart w:id="51" w:name="_Toc448700492"/>
      <w:bookmarkStart w:id="52" w:name="_Toc184916532"/>
      <w:r>
        <w:rPr>
          <w:rFonts w:ascii="Times New Roman" w:hAnsi="Times New Roman" w:cs="宋体"/>
          <w:b w:val="0"/>
          <w:bCs/>
          <w:sz w:val="28"/>
          <w:szCs w:val="28"/>
        </w:rPr>
        <w:t xml:space="preserve">1.1 </w:t>
      </w:r>
      <w:r>
        <w:rPr>
          <w:rFonts w:hint="eastAsia" w:ascii="Times New Roman" w:hAnsi="Times New Roman" w:cs="宋体"/>
          <w:b w:val="0"/>
          <w:bCs/>
          <w:sz w:val="28"/>
          <w:szCs w:val="28"/>
        </w:rPr>
        <w:t>项目概况</w:t>
      </w:r>
      <w:bookmarkEnd w:id="44"/>
      <w:bookmarkEnd w:id="45"/>
      <w:bookmarkEnd w:id="46"/>
      <w:bookmarkEnd w:id="47"/>
      <w:bookmarkEnd w:id="48"/>
      <w:bookmarkEnd w:id="49"/>
      <w:bookmarkEnd w:id="50"/>
      <w:bookmarkEnd w:id="51"/>
      <w:bookmarkEnd w:id="52"/>
    </w:p>
    <w:p>
      <w:pPr>
        <w:spacing w:line="460" w:lineRule="exact"/>
        <w:ind w:firstLine="420" w:firstLineChars="200"/>
      </w:pPr>
      <w:r>
        <w:t>1.1.1</w:t>
      </w:r>
      <w:r>
        <w:rPr>
          <w:rFonts w:hint="eastAsia" w:cs="宋体"/>
        </w:rPr>
        <w:t>根据国家和军队有关法律、法规和规章的规定，本招标项目已具备招标条件，现进行招标。</w:t>
      </w:r>
    </w:p>
    <w:p>
      <w:pPr>
        <w:spacing w:line="460" w:lineRule="exact"/>
        <w:ind w:firstLine="420" w:firstLineChars="200"/>
        <w:rPr>
          <w:rFonts w:cs="宋体"/>
        </w:rPr>
      </w:pPr>
      <w:r>
        <w:t xml:space="preserve">1.1.2 </w:t>
      </w:r>
      <w:r>
        <w:rPr>
          <w:rFonts w:hint="eastAsia" w:cs="宋体"/>
        </w:rPr>
        <w:t>本招标项目招标人：见投标人须知前附表。</w:t>
      </w:r>
    </w:p>
    <w:p>
      <w:pPr>
        <w:spacing w:line="460" w:lineRule="exact"/>
        <w:ind w:firstLine="420" w:firstLineChars="200"/>
      </w:pPr>
      <w:r>
        <w:t>1.1.3</w:t>
      </w:r>
      <w:r>
        <w:rPr>
          <w:rFonts w:hint="eastAsia" w:cs="宋体"/>
        </w:rPr>
        <w:t>本招标项目名称</w:t>
      </w:r>
      <w:r>
        <w:rPr>
          <w:rFonts w:hint="eastAsia"/>
        </w:rPr>
        <w:t>（或工程编号）</w:t>
      </w:r>
      <w:r>
        <w:rPr>
          <w:rFonts w:hint="eastAsia" w:cs="宋体"/>
        </w:rPr>
        <w:t>：见投标人须知前附表。</w:t>
      </w:r>
    </w:p>
    <w:p>
      <w:pPr>
        <w:spacing w:line="460" w:lineRule="exact"/>
        <w:ind w:firstLine="420" w:firstLineChars="200"/>
      </w:pPr>
      <w:r>
        <w:rPr>
          <w:rFonts w:hint="eastAsia" w:cs="宋体"/>
        </w:rPr>
        <w:t>1.1.</w:t>
      </w:r>
      <w:r>
        <w:rPr>
          <w:rFonts w:cs="宋体"/>
        </w:rPr>
        <w:t>4</w:t>
      </w:r>
      <w:r>
        <w:rPr>
          <w:rFonts w:hint="eastAsia" w:cs="宋体"/>
        </w:rPr>
        <w:t>本招标项目建设地点：见投标人须知前附表。</w:t>
      </w:r>
    </w:p>
    <w:p>
      <w:pPr>
        <w:pStyle w:val="6"/>
        <w:spacing w:before="120" w:beforeLines="50" w:after="120" w:afterLines="50" w:line="460" w:lineRule="exact"/>
        <w:rPr>
          <w:rFonts w:ascii="Times New Roman" w:hAnsi="Times New Roman" w:cs="宋体"/>
          <w:b w:val="0"/>
          <w:bCs/>
          <w:sz w:val="28"/>
          <w:szCs w:val="28"/>
        </w:rPr>
      </w:pPr>
      <w:bookmarkStart w:id="53" w:name="_Toc144974499"/>
      <w:bookmarkStart w:id="54" w:name="_Toc23400"/>
      <w:bookmarkStart w:id="55" w:name="_Toc347996704"/>
      <w:bookmarkStart w:id="56" w:name="_Toc184916533"/>
      <w:bookmarkStart w:id="57" w:name="_Toc152042307"/>
      <w:bookmarkStart w:id="58" w:name="_Toc448700493"/>
      <w:bookmarkStart w:id="59" w:name="_Toc30445"/>
      <w:bookmarkStart w:id="60" w:name="_Toc152045531"/>
      <w:bookmarkStart w:id="61" w:name="_Toc179632548"/>
      <w:r>
        <w:rPr>
          <w:rFonts w:ascii="Times New Roman" w:hAnsi="Times New Roman" w:cs="宋体"/>
          <w:b w:val="0"/>
          <w:bCs/>
          <w:sz w:val="28"/>
          <w:szCs w:val="28"/>
        </w:rPr>
        <w:t xml:space="preserve">1.2 </w:t>
      </w:r>
      <w:r>
        <w:rPr>
          <w:rFonts w:hint="eastAsia" w:ascii="Times New Roman" w:hAnsi="Times New Roman" w:cs="宋体"/>
          <w:b w:val="0"/>
          <w:bCs/>
          <w:sz w:val="28"/>
          <w:szCs w:val="28"/>
        </w:rPr>
        <w:t>资金来源和落实情况</w:t>
      </w:r>
      <w:bookmarkEnd w:id="53"/>
      <w:bookmarkEnd w:id="54"/>
      <w:bookmarkEnd w:id="55"/>
      <w:bookmarkEnd w:id="56"/>
      <w:bookmarkEnd w:id="57"/>
      <w:bookmarkEnd w:id="58"/>
      <w:bookmarkEnd w:id="59"/>
      <w:bookmarkEnd w:id="60"/>
      <w:bookmarkEnd w:id="61"/>
    </w:p>
    <w:p>
      <w:pPr>
        <w:spacing w:line="460" w:lineRule="exact"/>
        <w:ind w:firstLine="420" w:firstLineChars="200"/>
      </w:pPr>
      <w:r>
        <w:t xml:space="preserve">1.2.1 </w:t>
      </w:r>
      <w:r>
        <w:rPr>
          <w:rFonts w:hint="eastAsia" w:cs="宋体"/>
        </w:rPr>
        <w:t>本招标项目的资金来源：见投标人须知前附表。</w:t>
      </w:r>
    </w:p>
    <w:p>
      <w:pPr>
        <w:spacing w:line="460" w:lineRule="exact"/>
        <w:ind w:firstLine="420" w:firstLineChars="200"/>
      </w:pPr>
      <w:r>
        <w:t xml:space="preserve">1.2.2 </w:t>
      </w:r>
      <w:r>
        <w:rPr>
          <w:rFonts w:hint="eastAsia" w:cs="宋体"/>
        </w:rPr>
        <w:t>本招标项目的资金落实情况：见投标人须知前附表。</w:t>
      </w:r>
    </w:p>
    <w:p>
      <w:pPr>
        <w:pStyle w:val="6"/>
        <w:spacing w:before="120" w:beforeLines="50" w:after="120" w:afterLines="50" w:line="460" w:lineRule="exact"/>
        <w:rPr>
          <w:rFonts w:ascii="Times New Roman" w:hAnsi="Times New Roman" w:cs="宋体"/>
          <w:b w:val="0"/>
          <w:bCs/>
          <w:sz w:val="28"/>
          <w:szCs w:val="28"/>
        </w:rPr>
      </w:pPr>
      <w:bookmarkStart w:id="62" w:name="_Toc184916534"/>
      <w:bookmarkStart w:id="63" w:name="_Toc31037"/>
      <w:bookmarkStart w:id="64" w:name="_Toc179632549"/>
      <w:bookmarkStart w:id="65" w:name="_Toc152042308"/>
      <w:bookmarkStart w:id="66" w:name="_Toc152045532"/>
      <w:bookmarkStart w:id="67" w:name="_Toc27750"/>
      <w:bookmarkStart w:id="68" w:name="_Toc448700494"/>
      <w:bookmarkStart w:id="69" w:name="_Toc144974500"/>
      <w:bookmarkStart w:id="70" w:name="_Toc347996705"/>
      <w:r>
        <w:rPr>
          <w:rFonts w:ascii="Times New Roman" w:hAnsi="Times New Roman" w:cs="宋体"/>
          <w:b w:val="0"/>
          <w:bCs/>
          <w:sz w:val="28"/>
          <w:szCs w:val="28"/>
        </w:rPr>
        <w:t xml:space="preserve">1.3 </w:t>
      </w:r>
      <w:r>
        <w:rPr>
          <w:rFonts w:hint="eastAsia" w:ascii="Times New Roman" w:hAnsi="Times New Roman" w:cs="宋体"/>
          <w:b w:val="0"/>
          <w:bCs/>
          <w:sz w:val="28"/>
          <w:szCs w:val="28"/>
        </w:rPr>
        <w:t>招标范围、计划工期和质量要求</w:t>
      </w:r>
      <w:bookmarkEnd w:id="62"/>
      <w:bookmarkEnd w:id="63"/>
      <w:bookmarkEnd w:id="64"/>
      <w:bookmarkEnd w:id="65"/>
      <w:bookmarkEnd w:id="66"/>
      <w:bookmarkEnd w:id="67"/>
      <w:bookmarkEnd w:id="68"/>
      <w:bookmarkEnd w:id="69"/>
      <w:bookmarkEnd w:id="70"/>
    </w:p>
    <w:p>
      <w:pPr>
        <w:spacing w:line="460" w:lineRule="exact"/>
        <w:ind w:firstLine="420" w:firstLineChars="200"/>
      </w:pPr>
      <w:r>
        <w:t xml:space="preserve">1.3.1 </w:t>
      </w:r>
      <w:r>
        <w:rPr>
          <w:rFonts w:hint="eastAsia" w:cs="宋体"/>
        </w:rPr>
        <w:t>本次招标范围：见投标人须知前附表。</w:t>
      </w:r>
    </w:p>
    <w:p>
      <w:pPr>
        <w:spacing w:line="460" w:lineRule="exact"/>
        <w:ind w:firstLine="420" w:firstLineChars="200"/>
      </w:pPr>
      <w:r>
        <w:t xml:space="preserve">1.3.2 </w:t>
      </w:r>
      <w:r>
        <w:rPr>
          <w:rFonts w:hint="eastAsia" w:cs="宋体"/>
        </w:rPr>
        <w:t>本招标项目的计划工期：见投标人须知前附表。</w:t>
      </w:r>
    </w:p>
    <w:p>
      <w:pPr>
        <w:spacing w:line="460" w:lineRule="exact"/>
        <w:ind w:firstLine="420" w:firstLineChars="200"/>
        <w:rPr>
          <w:rFonts w:cs="宋体"/>
        </w:rPr>
      </w:pPr>
      <w:r>
        <w:t xml:space="preserve">1.3.3 </w:t>
      </w:r>
      <w:r>
        <w:rPr>
          <w:rFonts w:hint="eastAsia" w:cs="宋体"/>
        </w:rPr>
        <w:t>本招标项目的质量要求：见投标人须知前附表。</w:t>
      </w:r>
    </w:p>
    <w:p>
      <w:pPr>
        <w:pStyle w:val="6"/>
        <w:spacing w:before="120" w:beforeLines="50" w:after="120" w:afterLines="50" w:line="460" w:lineRule="exact"/>
        <w:rPr>
          <w:rFonts w:ascii="Times New Roman" w:hAnsi="Times New Roman" w:cs="宋体"/>
          <w:b w:val="0"/>
          <w:bCs/>
          <w:sz w:val="28"/>
          <w:szCs w:val="28"/>
        </w:rPr>
      </w:pPr>
      <w:bookmarkStart w:id="71" w:name="_Toc24574"/>
      <w:bookmarkStart w:id="72" w:name="_Toc342296165"/>
      <w:bookmarkStart w:id="73" w:name="_Toc333587856"/>
      <w:bookmarkStart w:id="74" w:name="_Toc338943703"/>
      <w:bookmarkStart w:id="75" w:name="_Toc338944608"/>
      <w:bookmarkStart w:id="76" w:name="_Toc184916535"/>
      <w:bookmarkStart w:id="77" w:name="_Toc333599662"/>
      <w:bookmarkStart w:id="78" w:name="_Toc349730844"/>
      <w:bookmarkStart w:id="79" w:name="_Toc342294717"/>
      <w:bookmarkStart w:id="80" w:name="_Toc429569103"/>
      <w:bookmarkStart w:id="81" w:name="_Toc333600686"/>
      <w:r>
        <w:rPr>
          <w:rFonts w:hint="eastAsia" w:ascii="Times New Roman" w:hAnsi="Times New Roman" w:cs="宋体"/>
          <w:b w:val="0"/>
          <w:bCs/>
          <w:sz w:val="28"/>
          <w:szCs w:val="28"/>
        </w:rPr>
        <w:t>1.4 投标人资格要求</w:t>
      </w:r>
      <w:bookmarkEnd w:id="71"/>
      <w:bookmarkEnd w:id="72"/>
      <w:bookmarkEnd w:id="73"/>
      <w:bookmarkEnd w:id="74"/>
      <w:bookmarkEnd w:id="75"/>
      <w:bookmarkEnd w:id="76"/>
      <w:bookmarkEnd w:id="77"/>
      <w:bookmarkEnd w:id="78"/>
      <w:bookmarkEnd w:id="79"/>
      <w:bookmarkEnd w:id="80"/>
      <w:bookmarkEnd w:id="81"/>
    </w:p>
    <w:p>
      <w:pPr>
        <w:spacing w:line="460" w:lineRule="exact"/>
        <w:ind w:firstLine="420" w:firstLineChars="200"/>
      </w:pPr>
      <w:r>
        <w:rPr>
          <w:rFonts w:hint="eastAsia"/>
        </w:rPr>
        <w:t>投标人应符合招标文件中明确的投标人资格要求。</w:t>
      </w:r>
    </w:p>
    <w:p>
      <w:pPr>
        <w:pStyle w:val="6"/>
        <w:spacing w:before="120" w:beforeLines="50" w:after="120" w:afterLines="50" w:line="460" w:lineRule="exact"/>
        <w:rPr>
          <w:rFonts w:ascii="Times New Roman" w:hAnsi="Times New Roman" w:cs="宋体"/>
          <w:b w:val="0"/>
          <w:bCs/>
          <w:sz w:val="28"/>
          <w:szCs w:val="28"/>
        </w:rPr>
      </w:pPr>
      <w:bookmarkStart w:id="82" w:name="_Toc152042311"/>
      <w:bookmarkStart w:id="83" w:name="_Toc179632552"/>
      <w:bookmarkStart w:id="84" w:name="_Toc24216"/>
      <w:bookmarkStart w:id="85" w:name="_Toc152045535"/>
      <w:bookmarkStart w:id="86" w:name="_Toc448700496"/>
      <w:bookmarkStart w:id="87" w:name="_Toc347996707"/>
      <w:bookmarkStart w:id="88" w:name="_Toc184916536"/>
      <w:bookmarkStart w:id="89" w:name="_Toc144974503"/>
      <w:bookmarkStart w:id="90" w:name="_Toc29612"/>
      <w:r>
        <w:rPr>
          <w:rFonts w:ascii="Times New Roman" w:hAnsi="Times New Roman" w:cs="宋体"/>
          <w:b w:val="0"/>
          <w:bCs/>
          <w:sz w:val="28"/>
          <w:szCs w:val="28"/>
        </w:rPr>
        <w:t xml:space="preserve">1.5 </w:t>
      </w:r>
      <w:r>
        <w:rPr>
          <w:rFonts w:hint="eastAsia" w:ascii="Times New Roman" w:hAnsi="Times New Roman" w:cs="宋体"/>
          <w:b w:val="0"/>
          <w:bCs/>
          <w:sz w:val="28"/>
          <w:szCs w:val="28"/>
        </w:rPr>
        <w:t>费用承担</w:t>
      </w:r>
      <w:bookmarkEnd w:id="82"/>
      <w:bookmarkEnd w:id="83"/>
      <w:bookmarkEnd w:id="84"/>
      <w:bookmarkEnd w:id="85"/>
      <w:bookmarkEnd w:id="86"/>
      <w:bookmarkEnd w:id="87"/>
      <w:bookmarkEnd w:id="88"/>
      <w:bookmarkEnd w:id="89"/>
      <w:bookmarkEnd w:id="90"/>
    </w:p>
    <w:p>
      <w:pPr>
        <w:spacing w:line="460" w:lineRule="exact"/>
        <w:ind w:firstLine="420" w:firstLineChars="200"/>
      </w:pPr>
      <w:r>
        <w:rPr>
          <w:rFonts w:hint="eastAsia" w:cs="宋体"/>
        </w:rPr>
        <w:t>本项目开评标产生的招标代理费由招标单位支付。投标人准备和参加投标活动发生的费用自理。</w:t>
      </w:r>
    </w:p>
    <w:p>
      <w:pPr>
        <w:pStyle w:val="6"/>
        <w:spacing w:before="120" w:beforeLines="50" w:after="120" w:afterLines="50" w:line="460" w:lineRule="exact"/>
        <w:rPr>
          <w:rFonts w:ascii="Times New Roman" w:hAnsi="Times New Roman" w:cs="宋体"/>
          <w:b w:val="0"/>
          <w:bCs/>
          <w:sz w:val="28"/>
          <w:szCs w:val="28"/>
        </w:rPr>
      </w:pPr>
      <w:bookmarkStart w:id="91" w:name="_Toc448700497"/>
      <w:bookmarkStart w:id="92" w:name="_Toc144974504"/>
      <w:bookmarkStart w:id="93" w:name="_Toc1708"/>
      <w:bookmarkStart w:id="94" w:name="_Toc152045536"/>
      <w:bookmarkStart w:id="95" w:name="_Toc184916537"/>
      <w:bookmarkStart w:id="96" w:name="_Toc347996708"/>
      <w:bookmarkStart w:id="97" w:name="_Toc28611"/>
      <w:bookmarkStart w:id="98" w:name="_Toc179632553"/>
      <w:bookmarkStart w:id="99" w:name="_Toc152042312"/>
      <w:r>
        <w:rPr>
          <w:rFonts w:ascii="Times New Roman" w:hAnsi="Times New Roman" w:cs="宋体"/>
          <w:b w:val="0"/>
          <w:bCs/>
          <w:sz w:val="28"/>
          <w:szCs w:val="28"/>
        </w:rPr>
        <w:t xml:space="preserve">1.6 </w:t>
      </w:r>
      <w:r>
        <w:rPr>
          <w:rFonts w:hint="eastAsia" w:ascii="Times New Roman" w:hAnsi="Times New Roman" w:cs="宋体"/>
          <w:b w:val="0"/>
          <w:bCs/>
          <w:sz w:val="28"/>
          <w:szCs w:val="28"/>
        </w:rPr>
        <w:t>保密</w:t>
      </w:r>
      <w:bookmarkEnd w:id="91"/>
      <w:bookmarkEnd w:id="92"/>
      <w:bookmarkEnd w:id="93"/>
      <w:bookmarkEnd w:id="94"/>
      <w:bookmarkEnd w:id="95"/>
      <w:bookmarkEnd w:id="96"/>
      <w:bookmarkEnd w:id="97"/>
      <w:bookmarkEnd w:id="98"/>
      <w:bookmarkEnd w:id="99"/>
    </w:p>
    <w:p>
      <w:pPr>
        <w:spacing w:line="460" w:lineRule="exact"/>
        <w:ind w:firstLine="420" w:firstLineChars="200"/>
      </w:pPr>
      <w:r>
        <w:rPr>
          <w:rFonts w:hint="eastAsia" w:cs="宋体"/>
        </w:rPr>
        <w:t>参与招标投标活动的各方应对招标文件和投标文件中的军事、商业和技术等秘密保密，违者应对由此造成的后果承担法律责任。</w:t>
      </w:r>
    </w:p>
    <w:p>
      <w:pPr>
        <w:spacing w:line="460" w:lineRule="exact"/>
        <w:ind w:firstLine="420" w:firstLineChars="200"/>
        <w:rPr>
          <w:rFonts w:ascii="宋体"/>
        </w:rPr>
      </w:pPr>
      <w:r>
        <w:rPr>
          <w:rFonts w:hint="eastAsia" w:ascii="宋体" w:hAnsi="宋体" w:cs="宋体"/>
        </w:rPr>
        <w:t>对涉及工程文件、图纸、资料的人员要严格进行保密教育，严守国家和军队保密规定，各种文件、图纸、资料的传递转交要严格履行手续。对违反保密规定造成失泄密者，除追究当事人的责任外，还要追究法定代表人的责任，严重的移交司法机关处理。</w:t>
      </w:r>
    </w:p>
    <w:p>
      <w:pPr>
        <w:pStyle w:val="6"/>
        <w:spacing w:before="120" w:beforeLines="50" w:after="120" w:afterLines="50" w:line="460" w:lineRule="exact"/>
        <w:rPr>
          <w:rFonts w:ascii="Times New Roman" w:hAnsi="Times New Roman" w:cs="宋体"/>
          <w:b w:val="0"/>
          <w:bCs/>
          <w:sz w:val="28"/>
          <w:szCs w:val="28"/>
        </w:rPr>
      </w:pPr>
      <w:bookmarkStart w:id="100" w:name="_Toc144974505"/>
      <w:bookmarkStart w:id="101" w:name="_Toc25753"/>
      <w:bookmarkStart w:id="102" w:name="_Toc347996709"/>
      <w:bookmarkStart w:id="103" w:name="_Toc152045537"/>
      <w:bookmarkStart w:id="104" w:name="_Toc152042313"/>
      <w:bookmarkStart w:id="105" w:name="_Toc22337"/>
      <w:bookmarkStart w:id="106" w:name="_Toc179632554"/>
      <w:bookmarkStart w:id="107" w:name="_Toc184916538"/>
      <w:bookmarkStart w:id="108" w:name="_Toc448700498"/>
      <w:r>
        <w:rPr>
          <w:rFonts w:ascii="Times New Roman" w:hAnsi="Times New Roman" w:cs="宋体"/>
          <w:b w:val="0"/>
          <w:bCs/>
          <w:sz w:val="28"/>
          <w:szCs w:val="28"/>
        </w:rPr>
        <w:t xml:space="preserve">1.7 </w:t>
      </w:r>
      <w:r>
        <w:rPr>
          <w:rFonts w:hint="eastAsia" w:ascii="Times New Roman" w:hAnsi="Times New Roman" w:cs="宋体"/>
          <w:b w:val="0"/>
          <w:bCs/>
          <w:sz w:val="28"/>
          <w:szCs w:val="28"/>
        </w:rPr>
        <w:t>语言</w:t>
      </w:r>
      <w:bookmarkEnd w:id="100"/>
      <w:r>
        <w:rPr>
          <w:rFonts w:hint="eastAsia" w:ascii="Times New Roman" w:hAnsi="Times New Roman" w:cs="宋体"/>
          <w:b w:val="0"/>
          <w:bCs/>
          <w:sz w:val="28"/>
          <w:szCs w:val="28"/>
        </w:rPr>
        <w:t>文字</w:t>
      </w:r>
      <w:bookmarkEnd w:id="101"/>
      <w:bookmarkEnd w:id="102"/>
      <w:bookmarkEnd w:id="103"/>
      <w:bookmarkEnd w:id="104"/>
      <w:bookmarkEnd w:id="105"/>
      <w:bookmarkEnd w:id="106"/>
      <w:bookmarkEnd w:id="107"/>
      <w:bookmarkEnd w:id="108"/>
    </w:p>
    <w:p>
      <w:pPr>
        <w:spacing w:line="460" w:lineRule="exact"/>
        <w:ind w:firstLine="420" w:firstLineChars="200"/>
      </w:pPr>
      <w:r>
        <w:rPr>
          <w:rFonts w:hint="eastAsia" w:cs="宋体"/>
        </w:rPr>
        <w:t>除专用术语外，与招标投标有关的语言均使用中文。必要时专用术语应附有中文注释。</w:t>
      </w:r>
    </w:p>
    <w:p>
      <w:pPr>
        <w:pStyle w:val="6"/>
        <w:spacing w:before="120" w:beforeLines="50" w:after="120" w:afterLines="50" w:line="460" w:lineRule="exact"/>
        <w:rPr>
          <w:rFonts w:ascii="Times New Roman" w:hAnsi="Times New Roman" w:cs="宋体"/>
          <w:b w:val="0"/>
          <w:bCs/>
          <w:sz w:val="28"/>
          <w:szCs w:val="28"/>
        </w:rPr>
      </w:pPr>
      <w:bookmarkStart w:id="109" w:name="_Toc144974506"/>
      <w:bookmarkStart w:id="110" w:name="_Toc6472"/>
      <w:bookmarkStart w:id="111" w:name="_Toc448700499"/>
      <w:bookmarkStart w:id="112" w:name="_Toc347996710"/>
      <w:bookmarkStart w:id="113" w:name="_Toc184916539"/>
      <w:bookmarkStart w:id="114" w:name="_Toc11702"/>
      <w:bookmarkStart w:id="115" w:name="_Toc152045538"/>
      <w:bookmarkStart w:id="116" w:name="_Toc152042314"/>
      <w:bookmarkStart w:id="117" w:name="_Toc179632555"/>
      <w:r>
        <w:rPr>
          <w:rFonts w:ascii="Times New Roman" w:hAnsi="Times New Roman" w:cs="宋体"/>
          <w:b w:val="0"/>
          <w:bCs/>
          <w:sz w:val="28"/>
          <w:szCs w:val="28"/>
        </w:rPr>
        <w:t xml:space="preserve">1.8 </w:t>
      </w:r>
      <w:r>
        <w:rPr>
          <w:rFonts w:hint="eastAsia" w:ascii="Times New Roman" w:hAnsi="Times New Roman" w:cs="宋体"/>
          <w:b w:val="0"/>
          <w:bCs/>
          <w:sz w:val="28"/>
          <w:szCs w:val="28"/>
        </w:rPr>
        <w:t>计量单位</w:t>
      </w:r>
      <w:bookmarkEnd w:id="109"/>
      <w:bookmarkEnd w:id="110"/>
      <w:bookmarkEnd w:id="111"/>
      <w:bookmarkEnd w:id="112"/>
      <w:bookmarkEnd w:id="113"/>
      <w:bookmarkEnd w:id="114"/>
      <w:bookmarkEnd w:id="115"/>
      <w:bookmarkEnd w:id="116"/>
      <w:bookmarkEnd w:id="117"/>
    </w:p>
    <w:p>
      <w:pPr>
        <w:spacing w:line="460" w:lineRule="exact"/>
        <w:ind w:firstLine="420" w:firstLineChars="200"/>
      </w:pPr>
      <w:r>
        <w:rPr>
          <w:rFonts w:hint="eastAsia" w:cs="宋体"/>
        </w:rPr>
        <w:t>所有计量均采用中华人民共和国法定计量单位。</w:t>
      </w:r>
    </w:p>
    <w:p>
      <w:pPr>
        <w:pStyle w:val="6"/>
        <w:spacing w:before="120" w:beforeLines="50" w:after="120" w:afterLines="50" w:line="460" w:lineRule="exact"/>
        <w:rPr>
          <w:rFonts w:cs="宋体"/>
          <w:szCs w:val="28"/>
        </w:rPr>
      </w:pPr>
      <w:bookmarkStart w:id="118" w:name="_Toc144974507"/>
      <w:bookmarkStart w:id="119" w:name="_Toc184916540"/>
      <w:bookmarkStart w:id="120" w:name="_Toc23833"/>
      <w:bookmarkStart w:id="121" w:name="_Toc25327"/>
      <w:bookmarkStart w:id="122" w:name="_Toc347996711"/>
      <w:bookmarkStart w:id="123" w:name="_Toc179632556"/>
      <w:bookmarkStart w:id="124" w:name="_Toc152042315"/>
      <w:bookmarkStart w:id="125" w:name="_Toc152045539"/>
      <w:bookmarkStart w:id="126" w:name="_Toc448700500"/>
      <w:r>
        <w:rPr>
          <w:rFonts w:ascii="Times New Roman" w:hAnsi="Times New Roman" w:cs="宋体"/>
          <w:b w:val="0"/>
          <w:bCs/>
          <w:sz w:val="28"/>
          <w:szCs w:val="28"/>
        </w:rPr>
        <w:t xml:space="preserve">1.9 </w:t>
      </w:r>
      <w:r>
        <w:rPr>
          <w:rFonts w:hint="eastAsia" w:ascii="Times New Roman" w:hAnsi="Times New Roman" w:cs="宋体"/>
          <w:b w:val="0"/>
          <w:bCs/>
          <w:sz w:val="28"/>
          <w:szCs w:val="28"/>
        </w:rPr>
        <w:t>踏勘现场</w:t>
      </w:r>
      <w:bookmarkEnd w:id="118"/>
      <w:bookmarkEnd w:id="119"/>
      <w:bookmarkEnd w:id="120"/>
      <w:bookmarkEnd w:id="121"/>
      <w:bookmarkEnd w:id="122"/>
      <w:bookmarkEnd w:id="123"/>
      <w:bookmarkEnd w:id="124"/>
      <w:bookmarkEnd w:id="125"/>
      <w:bookmarkEnd w:id="126"/>
    </w:p>
    <w:p>
      <w:pPr>
        <w:spacing w:line="460" w:lineRule="exact"/>
        <w:ind w:firstLine="420" w:firstLineChars="200"/>
      </w:pPr>
      <w:r>
        <w:rPr>
          <w:rFonts w:hint="eastAsia"/>
        </w:rPr>
        <w:t>招标人不组织踏勘现场。</w:t>
      </w:r>
    </w:p>
    <w:p>
      <w:pPr>
        <w:pStyle w:val="6"/>
        <w:spacing w:before="120" w:beforeLines="50" w:after="120" w:afterLines="50" w:line="460" w:lineRule="exact"/>
        <w:rPr>
          <w:rFonts w:ascii="Times New Roman" w:hAnsi="Times New Roman" w:cs="宋体"/>
          <w:b w:val="0"/>
          <w:bCs/>
          <w:sz w:val="28"/>
          <w:szCs w:val="28"/>
        </w:rPr>
      </w:pPr>
      <w:bookmarkStart w:id="127" w:name="_Toc144974508"/>
      <w:bookmarkStart w:id="128" w:name="_Toc9707"/>
      <w:bookmarkStart w:id="129" w:name="_Toc152045540"/>
      <w:bookmarkStart w:id="130" w:name="_Toc184916541"/>
      <w:bookmarkStart w:id="131" w:name="_Toc347996712"/>
      <w:bookmarkStart w:id="132" w:name="_Toc152042316"/>
      <w:bookmarkStart w:id="133" w:name="_Toc179632557"/>
      <w:bookmarkStart w:id="134" w:name="_Toc22968"/>
      <w:bookmarkStart w:id="135" w:name="_Toc448700501"/>
      <w:r>
        <w:rPr>
          <w:rFonts w:ascii="Times New Roman" w:hAnsi="Times New Roman" w:cs="宋体"/>
          <w:b w:val="0"/>
          <w:bCs/>
          <w:sz w:val="28"/>
          <w:szCs w:val="28"/>
        </w:rPr>
        <w:t xml:space="preserve">1.10 </w:t>
      </w:r>
      <w:r>
        <w:rPr>
          <w:rFonts w:hint="eastAsia" w:ascii="Times New Roman" w:hAnsi="Times New Roman" w:cs="宋体"/>
          <w:b w:val="0"/>
          <w:bCs/>
          <w:sz w:val="28"/>
          <w:szCs w:val="28"/>
        </w:rPr>
        <w:t>投标预备会</w:t>
      </w:r>
      <w:bookmarkEnd w:id="127"/>
      <w:bookmarkEnd w:id="128"/>
      <w:bookmarkEnd w:id="129"/>
      <w:bookmarkEnd w:id="130"/>
      <w:bookmarkEnd w:id="131"/>
      <w:bookmarkEnd w:id="132"/>
      <w:bookmarkEnd w:id="133"/>
      <w:bookmarkEnd w:id="134"/>
      <w:bookmarkEnd w:id="135"/>
    </w:p>
    <w:p>
      <w:pPr>
        <w:spacing w:line="460" w:lineRule="exact"/>
        <w:ind w:firstLine="420" w:firstLineChars="200"/>
      </w:pPr>
      <w:r>
        <w:rPr>
          <w:rFonts w:hint="eastAsia"/>
        </w:rPr>
        <w:t>视情况召开，时间另行通知。</w:t>
      </w:r>
    </w:p>
    <w:p>
      <w:pPr>
        <w:pStyle w:val="6"/>
        <w:spacing w:before="120" w:beforeLines="50" w:after="120" w:afterLines="50" w:line="460" w:lineRule="exact"/>
        <w:rPr>
          <w:rFonts w:ascii="Times New Roman" w:hAnsi="Times New Roman" w:cs="宋体"/>
          <w:b w:val="0"/>
          <w:bCs/>
          <w:sz w:val="28"/>
          <w:szCs w:val="28"/>
        </w:rPr>
      </w:pPr>
      <w:bookmarkStart w:id="136" w:name="_Toc347996713"/>
      <w:bookmarkStart w:id="137" w:name="_Toc20401"/>
      <w:bookmarkStart w:id="138" w:name="_Toc179632558"/>
      <w:bookmarkStart w:id="139" w:name="_Toc663"/>
      <w:bookmarkStart w:id="140" w:name="_Toc152042317"/>
      <w:bookmarkStart w:id="141" w:name="_Toc448700502"/>
      <w:bookmarkStart w:id="142" w:name="_Toc144974509"/>
      <w:bookmarkStart w:id="143" w:name="_Toc184916542"/>
      <w:bookmarkStart w:id="144" w:name="_Toc152045541"/>
      <w:r>
        <w:rPr>
          <w:rFonts w:ascii="Times New Roman" w:hAnsi="Times New Roman" w:cs="宋体"/>
          <w:b w:val="0"/>
          <w:bCs/>
          <w:sz w:val="28"/>
          <w:szCs w:val="28"/>
        </w:rPr>
        <w:t xml:space="preserve">1.11 </w:t>
      </w:r>
      <w:r>
        <w:rPr>
          <w:rFonts w:hint="eastAsia" w:ascii="Times New Roman" w:hAnsi="Times New Roman" w:cs="宋体"/>
          <w:b w:val="0"/>
          <w:bCs/>
          <w:sz w:val="28"/>
          <w:szCs w:val="28"/>
        </w:rPr>
        <w:t>分包</w:t>
      </w:r>
      <w:bookmarkEnd w:id="136"/>
      <w:bookmarkEnd w:id="137"/>
      <w:bookmarkEnd w:id="138"/>
      <w:bookmarkEnd w:id="139"/>
      <w:bookmarkEnd w:id="140"/>
      <w:bookmarkEnd w:id="141"/>
      <w:bookmarkEnd w:id="142"/>
      <w:bookmarkEnd w:id="143"/>
      <w:bookmarkEnd w:id="144"/>
    </w:p>
    <w:p>
      <w:pPr>
        <w:spacing w:line="460" w:lineRule="exact"/>
        <w:ind w:firstLine="420" w:firstLineChars="200"/>
      </w:pPr>
      <w:bookmarkStart w:id="145" w:name="_Toc144974510"/>
      <w:bookmarkStart w:id="146" w:name="_Toc152045542"/>
      <w:bookmarkStart w:id="147" w:name="_Toc179632560"/>
      <w:bookmarkStart w:id="148" w:name="_Toc152042318"/>
      <w:r>
        <w:rPr>
          <w:rFonts w:hint="eastAsia"/>
          <w:szCs w:val="24"/>
        </w:rPr>
        <w:t>见投标人须知前附表</w:t>
      </w:r>
      <w:r>
        <w:rPr>
          <w:rFonts w:hint="eastAsia"/>
        </w:rPr>
        <w:t>。</w:t>
      </w:r>
    </w:p>
    <w:p>
      <w:pPr>
        <w:pStyle w:val="6"/>
        <w:spacing w:before="120" w:beforeLines="50" w:after="120" w:afterLines="50" w:line="460" w:lineRule="exact"/>
        <w:rPr>
          <w:rFonts w:ascii="Times New Roman" w:hAnsi="Times New Roman" w:cs="宋体"/>
          <w:b w:val="0"/>
          <w:bCs/>
          <w:sz w:val="28"/>
          <w:szCs w:val="28"/>
        </w:rPr>
      </w:pPr>
      <w:bookmarkStart w:id="149" w:name="_Toc247513965"/>
      <w:bookmarkStart w:id="150" w:name="_Toc184916543"/>
      <w:bookmarkStart w:id="151" w:name="_Toc247527566"/>
      <w:bookmarkStart w:id="152" w:name="_Toc300834962"/>
      <w:bookmarkStart w:id="153" w:name="_Toc27167"/>
      <w:r>
        <w:rPr>
          <w:rFonts w:hint="eastAsia" w:ascii="Times New Roman" w:hAnsi="Times New Roman" w:cs="宋体"/>
          <w:b w:val="0"/>
          <w:bCs/>
          <w:sz w:val="28"/>
          <w:szCs w:val="28"/>
        </w:rPr>
        <w:t>1.12 偏离</w:t>
      </w:r>
      <w:bookmarkEnd w:id="149"/>
      <w:bookmarkEnd w:id="150"/>
      <w:bookmarkEnd w:id="151"/>
      <w:bookmarkEnd w:id="152"/>
      <w:bookmarkEnd w:id="153"/>
    </w:p>
    <w:p>
      <w:pPr>
        <w:spacing w:line="460" w:lineRule="exact"/>
        <w:ind w:firstLine="359" w:firstLineChars="171"/>
        <w:rPr>
          <w:szCs w:val="24"/>
        </w:rPr>
      </w:pPr>
      <w:r>
        <w:rPr>
          <w:rFonts w:hint="eastAsia"/>
          <w:szCs w:val="24"/>
        </w:rPr>
        <w:t>见投标人须知前附表。</w:t>
      </w:r>
    </w:p>
    <w:p>
      <w:pPr>
        <w:pStyle w:val="6"/>
        <w:spacing w:before="120" w:beforeLines="50" w:after="120" w:afterLines="50" w:line="460" w:lineRule="exact"/>
        <w:rPr>
          <w:rFonts w:ascii="Times New Roman" w:hAnsi="Times New Roman" w:cs="宋体"/>
          <w:b w:val="0"/>
          <w:bCs/>
          <w:sz w:val="28"/>
          <w:szCs w:val="28"/>
        </w:rPr>
      </w:pPr>
      <w:bookmarkStart w:id="154" w:name="_Toc184916544"/>
      <w:bookmarkStart w:id="155" w:name="_Toc17353"/>
      <w:r>
        <w:rPr>
          <w:rFonts w:ascii="Times New Roman" w:hAnsi="Times New Roman" w:cs="宋体"/>
          <w:b w:val="0"/>
          <w:bCs/>
          <w:sz w:val="28"/>
          <w:szCs w:val="28"/>
        </w:rPr>
        <w:t xml:space="preserve">2. </w:t>
      </w:r>
      <w:r>
        <w:rPr>
          <w:rFonts w:hint="eastAsia" w:ascii="Times New Roman" w:hAnsi="Times New Roman" w:cs="宋体"/>
          <w:b w:val="0"/>
          <w:bCs/>
          <w:sz w:val="28"/>
          <w:szCs w:val="28"/>
        </w:rPr>
        <w:t>招标文件</w:t>
      </w:r>
      <w:bookmarkEnd w:id="145"/>
      <w:bookmarkEnd w:id="146"/>
      <w:bookmarkEnd w:id="147"/>
      <w:bookmarkEnd w:id="148"/>
      <w:bookmarkEnd w:id="154"/>
      <w:bookmarkEnd w:id="155"/>
    </w:p>
    <w:p>
      <w:pPr>
        <w:pStyle w:val="6"/>
        <w:spacing w:before="120" w:beforeLines="50" w:after="120" w:afterLines="50" w:line="460" w:lineRule="exact"/>
        <w:rPr>
          <w:rFonts w:ascii="Times New Roman" w:hAnsi="Times New Roman" w:cs="宋体"/>
          <w:b w:val="0"/>
          <w:bCs/>
          <w:sz w:val="28"/>
          <w:szCs w:val="28"/>
        </w:rPr>
      </w:pPr>
      <w:bookmarkStart w:id="156" w:name="_Toc144974511"/>
      <w:bookmarkStart w:id="157" w:name="_Toc179632561"/>
      <w:bookmarkStart w:id="158" w:name="_Toc152045543"/>
      <w:bookmarkStart w:id="159" w:name="_Toc448700504"/>
      <w:bookmarkStart w:id="160" w:name="_Toc152042319"/>
      <w:bookmarkStart w:id="161" w:name="_Toc11104"/>
      <w:bookmarkStart w:id="162" w:name="_Toc11098"/>
      <w:bookmarkStart w:id="163" w:name="_Toc184916545"/>
      <w:bookmarkStart w:id="164" w:name="_Toc347996716"/>
      <w:r>
        <w:rPr>
          <w:rFonts w:ascii="Times New Roman" w:hAnsi="Times New Roman" w:cs="宋体"/>
          <w:b w:val="0"/>
          <w:bCs/>
          <w:sz w:val="28"/>
          <w:szCs w:val="28"/>
        </w:rPr>
        <w:t xml:space="preserve">2.1 </w:t>
      </w:r>
      <w:r>
        <w:rPr>
          <w:rFonts w:hint="eastAsia" w:ascii="Times New Roman" w:hAnsi="Times New Roman" w:cs="宋体"/>
          <w:b w:val="0"/>
          <w:bCs/>
          <w:sz w:val="28"/>
          <w:szCs w:val="28"/>
        </w:rPr>
        <w:t>招标文件的组成</w:t>
      </w:r>
      <w:bookmarkEnd w:id="156"/>
      <w:bookmarkEnd w:id="157"/>
      <w:bookmarkEnd w:id="158"/>
      <w:bookmarkEnd w:id="159"/>
      <w:bookmarkEnd w:id="160"/>
      <w:bookmarkEnd w:id="161"/>
      <w:bookmarkEnd w:id="162"/>
      <w:bookmarkEnd w:id="163"/>
      <w:bookmarkEnd w:id="164"/>
    </w:p>
    <w:p>
      <w:pPr>
        <w:spacing w:line="460" w:lineRule="exact"/>
      </w:pPr>
      <w:r>
        <w:rPr>
          <w:rFonts w:hint="eastAsia" w:cs="宋体"/>
        </w:rPr>
        <w:t>　　本招标文件包括：</w:t>
      </w:r>
    </w:p>
    <w:p>
      <w:pPr>
        <w:spacing w:line="460" w:lineRule="exact"/>
        <w:ind w:firstLine="359" w:firstLineChars="171"/>
      </w:pPr>
      <w:r>
        <w:rPr>
          <w:rFonts w:hint="eastAsia" w:cs="宋体"/>
        </w:rPr>
        <w:t>（</w:t>
      </w:r>
      <w:r>
        <w:t>1</w:t>
      </w:r>
      <w:r>
        <w:rPr>
          <w:rFonts w:hint="eastAsia" w:cs="宋体"/>
        </w:rPr>
        <w:t>）招标公告；</w:t>
      </w:r>
    </w:p>
    <w:p>
      <w:pPr>
        <w:spacing w:line="460" w:lineRule="exact"/>
        <w:ind w:firstLine="359" w:firstLineChars="171"/>
        <w:rPr>
          <w:rFonts w:cs="宋体"/>
        </w:rPr>
      </w:pPr>
      <w:r>
        <w:rPr>
          <w:rFonts w:hint="eastAsia" w:cs="宋体"/>
        </w:rPr>
        <w:t>（</w:t>
      </w:r>
      <w:r>
        <w:rPr>
          <w:rFonts w:cs="宋体"/>
        </w:rPr>
        <w:t>2</w:t>
      </w:r>
      <w:r>
        <w:rPr>
          <w:rFonts w:hint="eastAsia" w:cs="宋体"/>
        </w:rPr>
        <w:t>）投标人须知；</w:t>
      </w:r>
    </w:p>
    <w:p>
      <w:pPr>
        <w:spacing w:line="460" w:lineRule="exact"/>
        <w:ind w:firstLine="359" w:firstLineChars="171"/>
        <w:rPr>
          <w:rFonts w:cs="宋体"/>
        </w:rPr>
      </w:pPr>
      <w:r>
        <w:rPr>
          <w:rFonts w:hint="eastAsia" w:cs="宋体"/>
        </w:rPr>
        <w:t>（</w:t>
      </w:r>
      <w:r>
        <w:rPr>
          <w:rFonts w:cs="宋体"/>
        </w:rPr>
        <w:t>3</w:t>
      </w:r>
      <w:r>
        <w:rPr>
          <w:rFonts w:hint="eastAsia" w:cs="宋体"/>
        </w:rPr>
        <w:t>）评标办法；</w:t>
      </w:r>
    </w:p>
    <w:p>
      <w:pPr>
        <w:spacing w:line="460" w:lineRule="exact"/>
        <w:ind w:firstLine="359" w:firstLineChars="171"/>
        <w:rPr>
          <w:rFonts w:cs="宋体"/>
        </w:rPr>
      </w:pPr>
      <w:r>
        <w:rPr>
          <w:rFonts w:hint="eastAsia" w:cs="宋体"/>
        </w:rPr>
        <w:t>（4）服务技术标准和要求；</w:t>
      </w:r>
    </w:p>
    <w:p>
      <w:pPr>
        <w:spacing w:line="460" w:lineRule="exact"/>
        <w:ind w:firstLine="359" w:firstLineChars="171"/>
        <w:rPr>
          <w:rFonts w:cs="宋体"/>
        </w:rPr>
      </w:pPr>
      <w:r>
        <w:rPr>
          <w:rFonts w:hint="eastAsia" w:cs="宋体"/>
        </w:rPr>
        <w:t>（5）合同条款及格式；</w:t>
      </w:r>
    </w:p>
    <w:p>
      <w:pPr>
        <w:spacing w:line="460" w:lineRule="exact"/>
        <w:ind w:firstLine="359" w:firstLineChars="171"/>
        <w:rPr>
          <w:rFonts w:cs="宋体"/>
        </w:rPr>
      </w:pPr>
      <w:r>
        <w:rPr>
          <w:rFonts w:hint="eastAsia" w:cs="宋体"/>
        </w:rPr>
        <w:t>（6）投标文件格式及要求。</w:t>
      </w:r>
    </w:p>
    <w:p>
      <w:pPr>
        <w:spacing w:line="460" w:lineRule="exact"/>
        <w:ind w:firstLine="420" w:firstLineChars="200"/>
      </w:pPr>
      <w:r>
        <w:rPr>
          <w:rFonts w:hint="eastAsia" w:cs="宋体"/>
        </w:rPr>
        <w:t>招标文件的澄清、修改，构成招标文件的组成部分。</w:t>
      </w:r>
    </w:p>
    <w:p>
      <w:pPr>
        <w:pStyle w:val="6"/>
        <w:spacing w:before="120" w:beforeLines="50" w:after="120" w:afterLines="50" w:line="460" w:lineRule="exact"/>
        <w:rPr>
          <w:rFonts w:ascii="Times New Roman" w:hAnsi="Times New Roman" w:cs="宋体"/>
          <w:b w:val="0"/>
          <w:bCs/>
          <w:sz w:val="28"/>
          <w:szCs w:val="28"/>
        </w:rPr>
      </w:pPr>
      <w:bookmarkStart w:id="165" w:name="_Toc8119"/>
      <w:bookmarkStart w:id="166" w:name="_Toc152042320"/>
      <w:bookmarkStart w:id="167" w:name="_Toc152045544"/>
      <w:bookmarkStart w:id="168" w:name="_Toc448700505"/>
      <w:bookmarkStart w:id="169" w:name="_Toc144974512"/>
      <w:bookmarkStart w:id="170" w:name="_Toc24125"/>
      <w:bookmarkStart w:id="171" w:name="_Toc184916546"/>
      <w:bookmarkStart w:id="172" w:name="_Toc179632562"/>
      <w:bookmarkStart w:id="173" w:name="_Toc347996717"/>
      <w:r>
        <w:rPr>
          <w:rFonts w:ascii="Times New Roman" w:hAnsi="Times New Roman" w:cs="宋体"/>
          <w:b w:val="0"/>
          <w:bCs/>
          <w:sz w:val="28"/>
          <w:szCs w:val="28"/>
        </w:rPr>
        <w:t xml:space="preserve">2.2 </w:t>
      </w:r>
      <w:r>
        <w:rPr>
          <w:rFonts w:hint="eastAsia" w:ascii="Times New Roman" w:hAnsi="Times New Roman" w:cs="宋体"/>
          <w:b w:val="0"/>
          <w:bCs/>
          <w:sz w:val="28"/>
          <w:szCs w:val="28"/>
        </w:rPr>
        <w:t>招标文件的澄清</w:t>
      </w:r>
      <w:bookmarkEnd w:id="165"/>
      <w:bookmarkEnd w:id="166"/>
      <w:bookmarkEnd w:id="167"/>
      <w:bookmarkEnd w:id="168"/>
      <w:bookmarkEnd w:id="169"/>
      <w:bookmarkEnd w:id="170"/>
      <w:bookmarkEnd w:id="171"/>
      <w:bookmarkEnd w:id="172"/>
      <w:bookmarkEnd w:id="173"/>
    </w:p>
    <w:p>
      <w:pPr>
        <w:spacing w:line="460" w:lineRule="exact"/>
        <w:ind w:firstLine="420" w:firstLineChars="200"/>
      </w:pPr>
      <w:r>
        <w:t>2.2.1</w:t>
      </w:r>
      <w:r>
        <w:rPr>
          <w:rFonts w:hint="eastAsia" w:cs="宋体"/>
        </w:rPr>
        <w:t>投标人应仔细阅读和检查招标文件的全部内容。</w:t>
      </w:r>
      <w:r>
        <w:rPr>
          <w:rFonts w:hint="eastAsia" w:ascii="宋体" w:hAnsi="宋体" w:cs="宋体"/>
        </w:rPr>
        <w:t>如发现缺页或附件不全，应及时向招标人提出，以便补齐。</w:t>
      </w:r>
      <w:r>
        <w:rPr>
          <w:rFonts w:hint="eastAsia" w:cs="宋体"/>
        </w:rPr>
        <w:t>如有疑问，应在投标人须知前附表规定的时间前以书面形式（包括信函、电报、传真等可以有形地表现所载内容的形式，下同），要求招标人对招标文件予以澄清。</w:t>
      </w:r>
    </w:p>
    <w:p>
      <w:pPr>
        <w:spacing w:line="460" w:lineRule="exact"/>
        <w:ind w:firstLine="420" w:firstLineChars="200"/>
      </w:pPr>
      <w:r>
        <w:t xml:space="preserve">2.2.2 </w:t>
      </w:r>
      <w:r>
        <w:rPr>
          <w:rFonts w:hint="eastAsia" w:cs="宋体"/>
        </w:rPr>
        <w:t>招标文件的澄清应在投标人须知前附表规定的</w:t>
      </w:r>
      <w:r>
        <w:rPr>
          <w:rFonts w:hint="eastAsia"/>
        </w:rPr>
        <w:t>时间前</w:t>
      </w:r>
      <w:r>
        <w:rPr>
          <w:rFonts w:hint="eastAsia" w:cs="宋体"/>
        </w:rPr>
        <w:t>，以书面形式发给所有购买招标文件的投标人，但不指明澄清问题的来源。如果澄清发出的时间距投标截止时间不足</w:t>
      </w:r>
      <w:r>
        <w:rPr>
          <w:rFonts w:hint="eastAsia"/>
        </w:rPr>
        <w:t>以上规定时间</w:t>
      </w:r>
      <w:r>
        <w:rPr>
          <w:rFonts w:hint="eastAsia" w:cs="宋体"/>
        </w:rPr>
        <w:t>且澄清的内容影响投标文件编制的，招标人应当相应延长投标截止时间。</w:t>
      </w:r>
    </w:p>
    <w:p>
      <w:pPr>
        <w:spacing w:line="460" w:lineRule="exact"/>
        <w:ind w:firstLine="420" w:firstLineChars="200"/>
      </w:pPr>
      <w:r>
        <w:t xml:space="preserve">2.2.3 </w:t>
      </w:r>
      <w:r>
        <w:rPr>
          <w:rFonts w:hint="eastAsia" w:cs="宋体"/>
        </w:rPr>
        <w:t>投标人在收到澄清后，应在投标人须知前附表规定的时间内以</w:t>
      </w:r>
      <w:r>
        <w:rPr>
          <w:rFonts w:hint="eastAsia"/>
        </w:rPr>
        <w:t>传真、电子邮件、电话等形式</w:t>
      </w:r>
      <w:r>
        <w:rPr>
          <w:rFonts w:hint="eastAsia" w:cs="宋体"/>
        </w:rPr>
        <w:t>通知招标人，确认已收到该澄清。</w:t>
      </w:r>
    </w:p>
    <w:p>
      <w:pPr>
        <w:pStyle w:val="6"/>
        <w:spacing w:before="120" w:beforeLines="50" w:after="120" w:afterLines="50" w:line="460" w:lineRule="exact"/>
        <w:rPr>
          <w:rFonts w:ascii="Times New Roman" w:hAnsi="Times New Roman" w:cs="宋体"/>
          <w:b w:val="0"/>
          <w:bCs/>
          <w:sz w:val="28"/>
          <w:szCs w:val="28"/>
        </w:rPr>
      </w:pPr>
      <w:bookmarkStart w:id="174" w:name="_Toc448700506"/>
      <w:bookmarkStart w:id="175" w:name="_Toc184916547"/>
      <w:bookmarkStart w:id="176" w:name="_Toc152042321"/>
      <w:bookmarkStart w:id="177" w:name="_Toc347996718"/>
      <w:bookmarkStart w:id="178" w:name="_Toc179632563"/>
      <w:bookmarkStart w:id="179" w:name="_Toc152045545"/>
      <w:bookmarkStart w:id="180" w:name="_Toc19666"/>
      <w:bookmarkStart w:id="181" w:name="_Toc144974513"/>
      <w:bookmarkStart w:id="182" w:name="_Toc1848"/>
      <w:r>
        <w:rPr>
          <w:rFonts w:ascii="Times New Roman" w:hAnsi="Times New Roman" w:cs="宋体"/>
          <w:b w:val="0"/>
          <w:bCs/>
          <w:sz w:val="28"/>
          <w:szCs w:val="28"/>
        </w:rPr>
        <w:t xml:space="preserve">2.3 </w:t>
      </w:r>
      <w:r>
        <w:rPr>
          <w:rFonts w:hint="eastAsia" w:ascii="Times New Roman" w:hAnsi="Times New Roman" w:cs="宋体"/>
          <w:b w:val="0"/>
          <w:bCs/>
          <w:sz w:val="28"/>
          <w:szCs w:val="28"/>
        </w:rPr>
        <w:t>招标文件的修改</w:t>
      </w:r>
      <w:bookmarkEnd w:id="174"/>
      <w:bookmarkEnd w:id="175"/>
      <w:bookmarkEnd w:id="176"/>
      <w:bookmarkEnd w:id="177"/>
      <w:bookmarkEnd w:id="178"/>
      <w:bookmarkEnd w:id="179"/>
      <w:bookmarkEnd w:id="180"/>
      <w:bookmarkEnd w:id="181"/>
      <w:bookmarkEnd w:id="182"/>
    </w:p>
    <w:p>
      <w:pPr>
        <w:spacing w:line="460" w:lineRule="exact"/>
        <w:ind w:firstLine="420" w:firstLineChars="200"/>
      </w:pPr>
      <w:r>
        <w:t xml:space="preserve">2.3.1 </w:t>
      </w:r>
      <w:r>
        <w:rPr>
          <w:rFonts w:hint="eastAsia" w:cs="宋体"/>
        </w:rPr>
        <w:t>在投标人须知前附表规定的时间前，招标人可以书面形式修改招标文件，并通知所有已购买招标文件的投标人。如果修改招标文件的时间距投标截止时间不足</w:t>
      </w:r>
      <w:r>
        <w:rPr>
          <w:rFonts w:hint="eastAsia"/>
        </w:rPr>
        <w:t>以上规定时间</w:t>
      </w:r>
      <w:r>
        <w:rPr>
          <w:rFonts w:hint="eastAsia" w:cs="宋体"/>
        </w:rPr>
        <w:t>且澄清的内容影响投标文件编制的，相应延长投标截止时间。</w:t>
      </w:r>
      <w:r>
        <w:t xml:space="preserve"> </w:t>
      </w:r>
    </w:p>
    <w:p>
      <w:pPr>
        <w:spacing w:line="460" w:lineRule="exact"/>
        <w:ind w:firstLine="420" w:firstLineChars="200"/>
      </w:pPr>
      <w:r>
        <w:t xml:space="preserve">2.3.2 </w:t>
      </w:r>
      <w:r>
        <w:rPr>
          <w:rFonts w:hint="eastAsia" w:cs="宋体"/>
        </w:rPr>
        <w:t>投标人收到修改内容后，应在投标人须知前附表规定的时间内以</w:t>
      </w:r>
      <w:r>
        <w:rPr>
          <w:rFonts w:hint="eastAsia"/>
        </w:rPr>
        <w:t>传真、电子邮件、电话等形式通知</w:t>
      </w:r>
      <w:r>
        <w:rPr>
          <w:rFonts w:hint="eastAsia" w:cs="宋体"/>
        </w:rPr>
        <w:t>招标人，确认已收到该修改。</w:t>
      </w:r>
    </w:p>
    <w:p>
      <w:pPr>
        <w:pStyle w:val="6"/>
        <w:spacing w:before="120" w:beforeLines="50" w:after="120" w:afterLines="50" w:line="460" w:lineRule="exact"/>
        <w:rPr>
          <w:rFonts w:ascii="Times New Roman" w:hAnsi="Times New Roman" w:cs="宋体"/>
          <w:b w:val="0"/>
          <w:bCs/>
          <w:sz w:val="28"/>
          <w:szCs w:val="28"/>
        </w:rPr>
      </w:pPr>
      <w:bookmarkStart w:id="183" w:name="_Toc144974514"/>
      <w:bookmarkStart w:id="184" w:name="_Toc184916548"/>
      <w:bookmarkStart w:id="185" w:name="_Toc179632564"/>
      <w:bookmarkStart w:id="186" w:name="_Toc152045546"/>
      <w:bookmarkStart w:id="187" w:name="_Toc12553"/>
      <w:bookmarkStart w:id="188" w:name="_Toc152042322"/>
      <w:r>
        <w:rPr>
          <w:rFonts w:ascii="Times New Roman" w:hAnsi="Times New Roman" w:cs="宋体"/>
          <w:b w:val="0"/>
          <w:bCs/>
          <w:sz w:val="28"/>
          <w:szCs w:val="28"/>
        </w:rPr>
        <w:t xml:space="preserve">3. </w:t>
      </w:r>
      <w:r>
        <w:rPr>
          <w:rFonts w:hint="eastAsia" w:ascii="Times New Roman" w:hAnsi="Times New Roman" w:cs="宋体"/>
          <w:b w:val="0"/>
          <w:bCs/>
          <w:sz w:val="28"/>
          <w:szCs w:val="28"/>
        </w:rPr>
        <w:t>投标文件</w:t>
      </w:r>
      <w:bookmarkEnd w:id="183"/>
      <w:bookmarkEnd w:id="184"/>
      <w:bookmarkEnd w:id="185"/>
      <w:bookmarkEnd w:id="186"/>
      <w:bookmarkEnd w:id="187"/>
      <w:bookmarkEnd w:id="188"/>
    </w:p>
    <w:p>
      <w:pPr>
        <w:pStyle w:val="6"/>
        <w:spacing w:before="120" w:beforeLines="50" w:after="120" w:afterLines="50" w:line="460" w:lineRule="exact"/>
        <w:rPr>
          <w:rFonts w:ascii="Times New Roman" w:hAnsi="Times New Roman" w:cs="宋体"/>
          <w:b w:val="0"/>
          <w:bCs/>
          <w:sz w:val="28"/>
          <w:szCs w:val="28"/>
        </w:rPr>
      </w:pPr>
      <w:bookmarkStart w:id="189" w:name="_Toc17172"/>
      <w:bookmarkStart w:id="190" w:name="_Toc179632565"/>
      <w:bookmarkStart w:id="191" w:name="_Toc152042323"/>
      <w:bookmarkStart w:id="192" w:name="_Toc347996720"/>
      <w:bookmarkStart w:id="193" w:name="_Toc14977"/>
      <w:bookmarkStart w:id="194" w:name="_Toc184916549"/>
      <w:bookmarkStart w:id="195" w:name="_Toc448700508"/>
      <w:bookmarkStart w:id="196" w:name="_Toc144974515"/>
      <w:bookmarkStart w:id="197" w:name="_Toc152045547"/>
      <w:r>
        <w:rPr>
          <w:rFonts w:ascii="Times New Roman" w:hAnsi="Times New Roman" w:cs="宋体"/>
          <w:b w:val="0"/>
          <w:bCs/>
          <w:sz w:val="28"/>
          <w:szCs w:val="28"/>
        </w:rPr>
        <w:t xml:space="preserve">3.1 </w:t>
      </w:r>
      <w:r>
        <w:rPr>
          <w:rFonts w:hint="eastAsia" w:ascii="Times New Roman" w:hAnsi="Times New Roman" w:cs="宋体"/>
          <w:b w:val="0"/>
          <w:bCs/>
          <w:sz w:val="28"/>
          <w:szCs w:val="28"/>
        </w:rPr>
        <w:t>投标文件的组成</w:t>
      </w:r>
      <w:bookmarkEnd w:id="189"/>
      <w:bookmarkEnd w:id="190"/>
      <w:bookmarkEnd w:id="191"/>
      <w:bookmarkEnd w:id="192"/>
      <w:bookmarkEnd w:id="193"/>
      <w:bookmarkEnd w:id="194"/>
      <w:bookmarkEnd w:id="195"/>
      <w:bookmarkEnd w:id="196"/>
      <w:bookmarkEnd w:id="197"/>
    </w:p>
    <w:p>
      <w:pPr>
        <w:spacing w:line="460" w:lineRule="exact"/>
      </w:pPr>
      <w:r>
        <w:t>3.1.1</w:t>
      </w:r>
      <w:r>
        <w:rPr>
          <w:rFonts w:hint="eastAsia" w:cs="宋体"/>
        </w:rPr>
        <w:t>投标文件应包括下列内容：</w:t>
      </w:r>
    </w:p>
    <w:p>
      <w:pPr>
        <w:spacing w:line="460" w:lineRule="exact"/>
        <w:rPr>
          <w:rFonts w:ascii="宋体" w:hAnsi="宋体" w:cs="华文中宋"/>
        </w:rPr>
      </w:pPr>
      <w:r>
        <w:rPr>
          <w:rFonts w:hint="eastAsia" w:ascii="宋体" w:hAnsi="宋体" w:cs="华文中宋"/>
        </w:rPr>
        <w:t>第一部分  价格部分</w:t>
      </w:r>
    </w:p>
    <w:p>
      <w:pPr>
        <w:spacing w:line="460" w:lineRule="exact"/>
        <w:rPr>
          <w:rFonts w:ascii="宋体" w:hAnsi="宋体" w:cs="华文中宋"/>
        </w:rPr>
      </w:pPr>
      <w:r>
        <w:rPr>
          <w:rFonts w:hint="eastAsia" w:ascii="宋体" w:hAnsi="宋体" w:cs="华文中宋"/>
        </w:rPr>
        <w:t>（1）投标报价函</w:t>
      </w:r>
    </w:p>
    <w:p>
      <w:pPr>
        <w:spacing w:line="460" w:lineRule="exact"/>
        <w:rPr>
          <w:rFonts w:ascii="宋体" w:hAnsi="宋体" w:cs="华文中宋"/>
        </w:rPr>
      </w:pPr>
      <w:r>
        <w:rPr>
          <w:rFonts w:hint="eastAsia" w:ascii="宋体" w:hAnsi="宋体" w:cs="华文中宋"/>
        </w:rPr>
        <w:t>（2）法定代表人身份证明书</w:t>
      </w:r>
    </w:p>
    <w:p>
      <w:pPr>
        <w:spacing w:line="460" w:lineRule="exact"/>
        <w:rPr>
          <w:rFonts w:ascii="宋体" w:hAnsi="宋体" w:cs="华文中宋"/>
        </w:rPr>
      </w:pPr>
      <w:r>
        <w:rPr>
          <w:rFonts w:hint="eastAsia" w:ascii="宋体" w:hAnsi="宋体" w:cs="华文中宋"/>
        </w:rPr>
        <w:t>（3）授权委托书</w:t>
      </w:r>
    </w:p>
    <w:p>
      <w:pPr>
        <w:spacing w:line="460" w:lineRule="exact"/>
        <w:rPr>
          <w:rFonts w:ascii="宋体" w:hAnsi="宋体" w:cs="华文中宋"/>
        </w:rPr>
      </w:pPr>
      <w:r>
        <w:rPr>
          <w:rFonts w:hint="eastAsia" w:ascii="宋体" w:hAnsi="宋体" w:cs="华文中宋"/>
        </w:rPr>
        <w:t>（4）投标保证金</w:t>
      </w:r>
    </w:p>
    <w:p>
      <w:pPr>
        <w:spacing w:line="460" w:lineRule="exact"/>
        <w:rPr>
          <w:rFonts w:ascii="宋体" w:hAnsi="宋体" w:cs="华文中宋"/>
        </w:rPr>
      </w:pPr>
      <w:r>
        <w:rPr>
          <w:rFonts w:hint="eastAsia" w:ascii="宋体" w:hAnsi="宋体" w:cs="华文中宋"/>
        </w:rPr>
        <w:t>第二部分</w:t>
      </w:r>
      <w:r>
        <w:rPr>
          <w:rFonts w:ascii="宋体" w:hAnsi="宋体" w:cs="华文中宋"/>
        </w:rPr>
        <w:t xml:space="preserve">  </w:t>
      </w:r>
      <w:r>
        <w:rPr>
          <w:rFonts w:hint="eastAsia" w:ascii="宋体" w:hAnsi="宋体" w:cs="华文中宋"/>
        </w:rPr>
        <w:t>技术部分</w:t>
      </w:r>
    </w:p>
    <w:p>
      <w:pPr>
        <w:spacing w:line="460" w:lineRule="exact"/>
        <w:rPr>
          <w:rFonts w:ascii="宋体" w:hAnsi="宋体" w:cs="华文中宋"/>
        </w:rPr>
      </w:pPr>
      <w:r>
        <w:rPr>
          <w:rFonts w:hint="eastAsia" w:ascii="宋体" w:hAnsi="宋体" w:cs="华文中宋"/>
        </w:rPr>
        <w:t>（</w:t>
      </w:r>
      <w:r>
        <w:rPr>
          <w:rFonts w:ascii="宋体" w:hAnsi="宋体" w:cs="华文中宋"/>
        </w:rPr>
        <w:t>1</w:t>
      </w:r>
      <w:r>
        <w:rPr>
          <w:rFonts w:hint="eastAsia" w:ascii="宋体" w:hAnsi="宋体" w:cs="华文中宋"/>
        </w:rPr>
        <w:t>）总体实施方案</w:t>
      </w:r>
    </w:p>
    <w:p>
      <w:pPr>
        <w:spacing w:line="460" w:lineRule="exact"/>
        <w:rPr>
          <w:rFonts w:ascii="宋体" w:hAnsi="宋体" w:cs="华文中宋"/>
        </w:rPr>
      </w:pPr>
      <w:r>
        <w:rPr>
          <w:rFonts w:hint="eastAsia" w:ascii="宋体" w:hAnsi="宋体" w:cs="华文中宋"/>
        </w:rPr>
        <w:t>第三部分</w:t>
      </w:r>
      <w:r>
        <w:rPr>
          <w:rFonts w:ascii="宋体" w:hAnsi="宋体" w:cs="华文中宋"/>
        </w:rPr>
        <w:t xml:space="preserve">  </w:t>
      </w:r>
      <w:r>
        <w:rPr>
          <w:rFonts w:hint="eastAsia" w:ascii="宋体" w:hAnsi="宋体" w:cs="华文中宋"/>
        </w:rPr>
        <w:t>商务部分</w:t>
      </w:r>
    </w:p>
    <w:p>
      <w:pPr>
        <w:spacing w:line="460" w:lineRule="exact"/>
        <w:rPr>
          <w:rFonts w:ascii="宋体" w:hAnsi="宋体" w:cs="华文中宋"/>
        </w:rPr>
      </w:pPr>
      <w:r>
        <w:rPr>
          <w:rFonts w:hint="eastAsia" w:ascii="宋体" w:hAnsi="宋体" w:cs="华文中宋"/>
        </w:rPr>
        <w:t>（</w:t>
      </w:r>
      <w:r>
        <w:rPr>
          <w:rFonts w:ascii="宋体" w:hAnsi="宋体" w:cs="华文中宋"/>
        </w:rPr>
        <w:t>1</w:t>
      </w:r>
      <w:r>
        <w:rPr>
          <w:rFonts w:hint="eastAsia" w:ascii="宋体" w:hAnsi="宋体" w:cs="华文中宋"/>
        </w:rPr>
        <w:t>）资格审查材料</w:t>
      </w:r>
    </w:p>
    <w:p>
      <w:pPr>
        <w:spacing w:line="460" w:lineRule="exact"/>
        <w:rPr>
          <w:rFonts w:ascii="宋体" w:hAnsi="宋体" w:cs="华文中宋"/>
        </w:rPr>
      </w:pPr>
      <w:r>
        <w:rPr>
          <w:rFonts w:hint="eastAsia" w:ascii="宋体" w:hAnsi="宋体" w:cs="华文中宋"/>
        </w:rPr>
        <w:t>（</w:t>
      </w:r>
      <w:r>
        <w:rPr>
          <w:rFonts w:ascii="宋体" w:hAnsi="宋体" w:cs="华文中宋"/>
        </w:rPr>
        <w:t>2</w:t>
      </w:r>
      <w:r>
        <w:rPr>
          <w:rFonts w:hint="eastAsia" w:ascii="宋体" w:hAnsi="宋体" w:cs="华文中宋"/>
        </w:rPr>
        <w:t>）近三年不良记录</w:t>
      </w:r>
    </w:p>
    <w:p>
      <w:pPr>
        <w:spacing w:line="460" w:lineRule="exact"/>
        <w:rPr>
          <w:rFonts w:ascii="宋体" w:hAnsi="宋体" w:cs="华文中宋"/>
        </w:rPr>
      </w:pPr>
      <w:r>
        <w:rPr>
          <w:rFonts w:hint="eastAsia" w:ascii="宋体" w:hAnsi="宋体" w:cs="华文中宋"/>
        </w:rPr>
        <w:t>（</w:t>
      </w:r>
      <w:r>
        <w:rPr>
          <w:rFonts w:ascii="宋体" w:hAnsi="宋体" w:cs="华文中宋"/>
        </w:rPr>
        <w:t>3</w:t>
      </w:r>
      <w:r>
        <w:rPr>
          <w:rFonts w:hint="eastAsia" w:ascii="宋体" w:hAnsi="宋体" w:cs="华文中宋"/>
        </w:rPr>
        <w:t>）特殊资质材料</w:t>
      </w:r>
    </w:p>
    <w:p>
      <w:pPr>
        <w:spacing w:line="460" w:lineRule="exact"/>
        <w:rPr>
          <w:rFonts w:ascii="宋体" w:hAnsi="宋体" w:cs="华文中宋"/>
        </w:rPr>
      </w:pPr>
      <w:r>
        <w:rPr>
          <w:rFonts w:hint="eastAsia" w:ascii="宋体" w:hAnsi="宋体" w:cs="华文中宋"/>
        </w:rPr>
        <w:t>（</w:t>
      </w:r>
      <w:r>
        <w:rPr>
          <w:rFonts w:ascii="宋体" w:hAnsi="宋体" w:cs="华文中宋"/>
        </w:rPr>
        <w:t>4</w:t>
      </w:r>
      <w:r>
        <w:rPr>
          <w:rFonts w:hint="eastAsia" w:ascii="宋体" w:hAnsi="宋体" w:cs="华文中宋"/>
        </w:rPr>
        <w:t>）近五年相关业绩</w:t>
      </w:r>
    </w:p>
    <w:p>
      <w:pPr>
        <w:spacing w:line="460" w:lineRule="exact"/>
        <w:rPr>
          <w:rFonts w:ascii="宋体" w:hAnsi="宋体" w:cs="华文中宋"/>
        </w:rPr>
      </w:pPr>
      <w:r>
        <w:rPr>
          <w:rFonts w:hint="eastAsia" w:ascii="宋体" w:hAnsi="宋体" w:cs="华文中宋"/>
        </w:rPr>
        <w:t>（</w:t>
      </w:r>
      <w:r>
        <w:rPr>
          <w:rFonts w:ascii="宋体" w:hAnsi="宋体" w:cs="华文中宋"/>
        </w:rPr>
        <w:t>5</w:t>
      </w:r>
      <w:r>
        <w:rPr>
          <w:rFonts w:hint="eastAsia" w:ascii="宋体" w:hAnsi="宋体" w:cs="华文中宋"/>
        </w:rPr>
        <w:t>）人员实力</w:t>
      </w:r>
    </w:p>
    <w:p>
      <w:pPr>
        <w:spacing w:line="460" w:lineRule="exact"/>
        <w:rPr>
          <w:rFonts w:ascii="宋体" w:hAnsi="宋体" w:cs="华文中宋"/>
        </w:rPr>
      </w:pPr>
      <w:r>
        <w:rPr>
          <w:rFonts w:hint="eastAsia" w:ascii="宋体" w:hAnsi="宋体" w:cs="华文中宋"/>
        </w:rPr>
        <w:t>（</w:t>
      </w:r>
      <w:r>
        <w:rPr>
          <w:rFonts w:ascii="宋体" w:hAnsi="宋体" w:cs="华文中宋"/>
        </w:rPr>
        <w:t>6</w:t>
      </w:r>
      <w:r>
        <w:rPr>
          <w:rFonts w:hint="eastAsia" w:ascii="宋体" w:hAnsi="宋体" w:cs="华文中宋"/>
        </w:rPr>
        <w:t>）项目管理机构</w:t>
      </w:r>
    </w:p>
    <w:p>
      <w:pPr>
        <w:spacing w:line="460" w:lineRule="exact"/>
        <w:rPr>
          <w:rFonts w:ascii="宋体" w:hAnsi="宋体" w:cs="华文中宋"/>
        </w:rPr>
      </w:pPr>
      <w:r>
        <w:rPr>
          <w:rFonts w:hint="eastAsia" w:ascii="宋体" w:hAnsi="宋体" w:cs="华文中宋"/>
        </w:rPr>
        <w:t>（</w:t>
      </w:r>
      <w:r>
        <w:rPr>
          <w:rFonts w:ascii="宋体" w:hAnsi="宋体" w:cs="华文中宋"/>
        </w:rPr>
        <w:t>7</w:t>
      </w:r>
      <w:r>
        <w:rPr>
          <w:rFonts w:hint="eastAsia" w:ascii="宋体" w:hAnsi="宋体" w:cs="华文中宋"/>
        </w:rPr>
        <w:t>）其他资料</w:t>
      </w:r>
    </w:p>
    <w:p>
      <w:pPr>
        <w:pStyle w:val="6"/>
        <w:spacing w:before="120" w:beforeLines="50" w:after="120" w:afterLines="50" w:line="460" w:lineRule="exact"/>
        <w:rPr>
          <w:rFonts w:ascii="Times New Roman" w:hAnsi="Times New Roman" w:cs="宋体"/>
          <w:b w:val="0"/>
          <w:bCs/>
          <w:sz w:val="28"/>
          <w:szCs w:val="28"/>
        </w:rPr>
      </w:pPr>
      <w:bookmarkStart w:id="198" w:name="_Toc347996721"/>
      <w:bookmarkStart w:id="199" w:name="_Toc20915"/>
      <w:bookmarkStart w:id="200" w:name="_Toc448700509"/>
      <w:bookmarkStart w:id="201" w:name="_Toc144974516"/>
      <w:bookmarkStart w:id="202" w:name="_Toc152042324"/>
      <w:bookmarkStart w:id="203" w:name="_Toc184916550"/>
      <w:bookmarkStart w:id="204" w:name="_Toc179632566"/>
      <w:bookmarkStart w:id="205" w:name="_Toc14323"/>
      <w:bookmarkStart w:id="206" w:name="_Toc152045548"/>
      <w:r>
        <w:rPr>
          <w:rFonts w:ascii="Times New Roman" w:hAnsi="Times New Roman" w:cs="宋体"/>
          <w:b w:val="0"/>
          <w:bCs/>
          <w:sz w:val="28"/>
          <w:szCs w:val="28"/>
        </w:rPr>
        <w:t xml:space="preserve">3.2 </w:t>
      </w:r>
      <w:r>
        <w:rPr>
          <w:rFonts w:hint="eastAsia" w:ascii="Times New Roman" w:hAnsi="Times New Roman" w:cs="宋体"/>
          <w:b w:val="0"/>
          <w:bCs/>
          <w:sz w:val="28"/>
          <w:szCs w:val="28"/>
        </w:rPr>
        <w:t>投标报价</w:t>
      </w:r>
      <w:bookmarkEnd w:id="198"/>
      <w:bookmarkEnd w:id="199"/>
      <w:bookmarkEnd w:id="200"/>
      <w:bookmarkEnd w:id="201"/>
      <w:bookmarkEnd w:id="202"/>
      <w:bookmarkEnd w:id="203"/>
      <w:bookmarkEnd w:id="204"/>
      <w:bookmarkEnd w:id="205"/>
      <w:bookmarkEnd w:id="206"/>
    </w:p>
    <w:p>
      <w:pPr>
        <w:spacing w:line="460" w:lineRule="exact"/>
        <w:ind w:firstLine="420" w:firstLineChars="200"/>
        <w:rPr>
          <w:szCs w:val="24"/>
        </w:rPr>
      </w:pPr>
      <w:r>
        <w:rPr>
          <w:rFonts w:hint="eastAsia"/>
          <w:szCs w:val="24"/>
        </w:rPr>
        <w:t>投标报价要求见投标人须知前附表。</w:t>
      </w:r>
    </w:p>
    <w:p>
      <w:pPr>
        <w:pStyle w:val="6"/>
        <w:spacing w:before="120" w:beforeLines="50" w:after="120" w:afterLines="50" w:line="460" w:lineRule="exact"/>
        <w:rPr>
          <w:rFonts w:ascii="Times New Roman" w:hAnsi="Times New Roman" w:cs="宋体"/>
          <w:b w:val="0"/>
          <w:bCs/>
          <w:sz w:val="28"/>
          <w:szCs w:val="28"/>
        </w:rPr>
      </w:pPr>
      <w:bookmarkStart w:id="207" w:name="_Toc12157"/>
      <w:bookmarkStart w:id="208" w:name="_Toc152042325"/>
      <w:bookmarkStart w:id="209" w:name="_Toc144974517"/>
      <w:bookmarkStart w:id="210" w:name="_Toc152045549"/>
      <w:bookmarkStart w:id="211" w:name="_Toc3045"/>
      <w:bookmarkStart w:id="212" w:name="_Toc347996722"/>
      <w:bookmarkStart w:id="213" w:name="_Toc184916551"/>
      <w:bookmarkStart w:id="214" w:name="_Toc448700510"/>
      <w:bookmarkStart w:id="215" w:name="_Toc179632567"/>
      <w:r>
        <w:rPr>
          <w:rFonts w:ascii="Times New Roman" w:hAnsi="Times New Roman" w:cs="宋体"/>
          <w:b w:val="0"/>
          <w:bCs/>
          <w:sz w:val="28"/>
          <w:szCs w:val="28"/>
        </w:rPr>
        <w:t xml:space="preserve">3.3 </w:t>
      </w:r>
      <w:r>
        <w:rPr>
          <w:rFonts w:hint="eastAsia" w:ascii="Times New Roman" w:hAnsi="Times New Roman" w:cs="宋体"/>
          <w:b w:val="0"/>
          <w:bCs/>
          <w:sz w:val="28"/>
          <w:szCs w:val="28"/>
        </w:rPr>
        <w:t>投标有效期</w:t>
      </w:r>
      <w:bookmarkEnd w:id="207"/>
      <w:bookmarkEnd w:id="208"/>
      <w:bookmarkEnd w:id="209"/>
      <w:bookmarkEnd w:id="210"/>
      <w:bookmarkEnd w:id="211"/>
      <w:bookmarkEnd w:id="212"/>
      <w:bookmarkEnd w:id="213"/>
      <w:bookmarkEnd w:id="214"/>
      <w:bookmarkEnd w:id="215"/>
    </w:p>
    <w:p>
      <w:pPr>
        <w:spacing w:line="460" w:lineRule="exact"/>
        <w:ind w:firstLine="420" w:firstLineChars="200"/>
      </w:pPr>
      <w:r>
        <w:t xml:space="preserve">3.3.1 </w:t>
      </w:r>
      <w:r>
        <w:rPr>
          <w:rFonts w:hint="eastAsia" w:cs="宋体"/>
        </w:rPr>
        <w:t>在投标人须知前附表规定的投标有效期内，投标人不得要求撤销或修改其投标文件。投标有效期</w:t>
      </w:r>
      <w:r>
        <w:rPr>
          <w:rFonts w:hint="eastAsia"/>
        </w:rPr>
        <w:t>除投标人须知前附表另有规定外，一般为90天。</w:t>
      </w:r>
    </w:p>
    <w:p>
      <w:pPr>
        <w:spacing w:line="460" w:lineRule="exact"/>
        <w:ind w:firstLine="420" w:firstLineChars="200"/>
      </w:pPr>
      <w:r>
        <w:t>3.3.2</w:t>
      </w:r>
      <w:r>
        <w:rPr>
          <w:rFonts w:hint="eastAsia" w:cs="宋体"/>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r>
        <w:t xml:space="preserve"> </w:t>
      </w:r>
    </w:p>
    <w:p>
      <w:pPr>
        <w:pStyle w:val="6"/>
        <w:spacing w:before="120" w:beforeLines="50" w:after="120" w:afterLines="50" w:line="460" w:lineRule="exact"/>
        <w:rPr>
          <w:rFonts w:ascii="Times New Roman" w:hAnsi="Times New Roman" w:cs="宋体"/>
          <w:b w:val="0"/>
          <w:bCs/>
          <w:sz w:val="28"/>
          <w:szCs w:val="28"/>
        </w:rPr>
      </w:pPr>
      <w:bookmarkStart w:id="216" w:name="_Toc152045550"/>
      <w:bookmarkStart w:id="217" w:name="_Toc184916552"/>
      <w:bookmarkStart w:id="218" w:name="_Toc152042326"/>
      <w:bookmarkStart w:id="219" w:name="_Toc397"/>
      <w:bookmarkStart w:id="220" w:name="_Toc12648"/>
      <w:bookmarkStart w:id="221" w:name="_Toc144974518"/>
      <w:bookmarkStart w:id="222" w:name="_Toc448700511"/>
      <w:bookmarkStart w:id="223" w:name="_Toc347996723"/>
      <w:bookmarkStart w:id="224" w:name="_Toc179632568"/>
      <w:r>
        <w:rPr>
          <w:rFonts w:ascii="Times New Roman" w:hAnsi="Times New Roman" w:cs="宋体"/>
          <w:b w:val="0"/>
          <w:bCs/>
          <w:sz w:val="28"/>
          <w:szCs w:val="28"/>
        </w:rPr>
        <w:t xml:space="preserve">3.4 </w:t>
      </w:r>
      <w:r>
        <w:rPr>
          <w:rFonts w:hint="eastAsia" w:ascii="Times New Roman" w:hAnsi="Times New Roman" w:cs="宋体"/>
          <w:b w:val="0"/>
          <w:bCs/>
          <w:sz w:val="28"/>
          <w:szCs w:val="28"/>
        </w:rPr>
        <w:t>投标保证金</w:t>
      </w:r>
      <w:bookmarkEnd w:id="216"/>
      <w:bookmarkEnd w:id="217"/>
      <w:bookmarkEnd w:id="218"/>
      <w:bookmarkEnd w:id="219"/>
      <w:bookmarkEnd w:id="220"/>
      <w:bookmarkEnd w:id="221"/>
      <w:bookmarkEnd w:id="222"/>
      <w:bookmarkEnd w:id="223"/>
      <w:bookmarkEnd w:id="224"/>
    </w:p>
    <w:p>
      <w:pPr>
        <w:spacing w:line="460" w:lineRule="exact"/>
        <w:ind w:firstLine="420" w:firstLineChars="200"/>
        <w:rPr>
          <w:rFonts w:cs="宋体"/>
        </w:rPr>
      </w:pPr>
      <w:r>
        <w:t xml:space="preserve">3.4.1 </w:t>
      </w:r>
      <w:r>
        <w:rPr>
          <w:rFonts w:hint="eastAsia" w:cs="宋体"/>
        </w:rPr>
        <w:t>投标人应按投标人须知前附表规定的时间、金额</w:t>
      </w:r>
      <w:r>
        <w:rPr>
          <w:rFonts w:hint="eastAsia"/>
        </w:rPr>
        <w:t>和第六章“投标文件格式及要求”规定的投标保证金格式递交投标保证金，并将递交投标保证金证明材料作为其投标文件的组成部分。</w:t>
      </w:r>
      <w:r>
        <w:rPr>
          <w:rFonts w:hint="eastAsia" w:cs="宋体"/>
        </w:rPr>
        <w:t>保证金应从投标人基本账户转出。</w:t>
      </w:r>
    </w:p>
    <w:p>
      <w:pPr>
        <w:spacing w:line="460" w:lineRule="exact"/>
        <w:ind w:firstLine="420" w:firstLineChars="200"/>
      </w:pPr>
      <w:r>
        <w:t xml:space="preserve">3.4.2 </w:t>
      </w:r>
      <w:r>
        <w:rPr>
          <w:rFonts w:hint="eastAsia"/>
        </w:rPr>
        <w:t>投标人不按本章第3.4.1项要求提交投标保证金的，评标委员会应当判定投标文件无效。</w:t>
      </w:r>
    </w:p>
    <w:p>
      <w:pPr>
        <w:spacing w:line="460" w:lineRule="exact"/>
        <w:ind w:firstLine="420" w:firstLineChars="200"/>
      </w:pPr>
      <w:r>
        <w:t xml:space="preserve">3.4.3 </w:t>
      </w:r>
      <w:r>
        <w:rPr>
          <w:rFonts w:hint="eastAsia" w:cs="宋体"/>
        </w:rPr>
        <w:t>招标人与中标人签订合同后</w:t>
      </w:r>
      <w:r>
        <w:rPr>
          <w:rFonts w:hint="eastAsia"/>
        </w:rPr>
        <w:t>5</w:t>
      </w:r>
      <w:r>
        <w:rPr>
          <w:rFonts w:hint="eastAsia" w:cs="宋体"/>
        </w:rPr>
        <w:t>个工作日内，向未中标的投标人和中标人退还投标保证金。</w:t>
      </w:r>
    </w:p>
    <w:p>
      <w:pPr>
        <w:spacing w:line="460" w:lineRule="exact"/>
        <w:ind w:firstLine="420" w:firstLineChars="200"/>
      </w:pPr>
      <w:r>
        <w:rPr>
          <w:rFonts w:hint="eastAsia" w:cs="宋体"/>
        </w:rPr>
        <w:t>3.4.4有下列情形之一的，投标保证金将不予退还：</w:t>
      </w:r>
      <w:r>
        <w:t xml:space="preserve"> </w:t>
      </w:r>
    </w:p>
    <w:p>
      <w:pPr>
        <w:spacing w:line="460" w:lineRule="exact"/>
        <w:rPr>
          <w:rFonts w:cs="宋体"/>
        </w:rPr>
      </w:pPr>
      <w:bookmarkStart w:id="225" w:name="_Toc333599681"/>
      <w:bookmarkStart w:id="226" w:name="_Toc342294736"/>
      <w:bookmarkStart w:id="227" w:name="_Toc152045551"/>
      <w:bookmarkStart w:id="228" w:name="_Toc144974519"/>
      <w:bookmarkStart w:id="229" w:name="_Toc152042327"/>
      <w:bookmarkStart w:id="230" w:name="_Toc338943722"/>
      <w:bookmarkStart w:id="231" w:name="_Toc429569122"/>
      <w:bookmarkStart w:id="232" w:name="_Toc349730863"/>
      <w:bookmarkStart w:id="233" w:name="_Toc338944627"/>
      <w:bookmarkStart w:id="234" w:name="_Toc333587875"/>
      <w:bookmarkStart w:id="235" w:name="_Toc333600705"/>
      <w:bookmarkStart w:id="236" w:name="_Toc342296184"/>
      <w:bookmarkStart w:id="237" w:name="_Toc179632569"/>
      <w:bookmarkStart w:id="238" w:name="_Toc152042330"/>
      <w:bookmarkStart w:id="239" w:name="_Toc347996726"/>
      <w:bookmarkStart w:id="240" w:name="_Toc28811"/>
      <w:bookmarkStart w:id="241" w:name="_Toc179632572"/>
      <w:bookmarkStart w:id="242" w:name="_Toc144974522"/>
      <w:bookmarkStart w:id="243" w:name="_Toc448700512"/>
      <w:bookmarkStart w:id="244" w:name="_Toc152045554"/>
      <w:r>
        <w:rPr>
          <w:rFonts w:hint="eastAsia" w:cs="宋体"/>
        </w:rPr>
        <w:t xml:space="preserve">    （1）投标人在规定的投标有效期内撤销或修改其投标文件的；</w:t>
      </w:r>
    </w:p>
    <w:p>
      <w:pPr>
        <w:spacing w:line="460" w:lineRule="exact"/>
      </w:pPr>
      <w:r>
        <w:rPr>
          <w:rFonts w:hint="eastAsia" w:cs="宋体"/>
        </w:rPr>
        <w:t xml:space="preserve">    （</w:t>
      </w:r>
      <w:r>
        <w:t>2</w:t>
      </w:r>
      <w:r>
        <w:rPr>
          <w:rFonts w:hint="eastAsia" w:cs="宋体"/>
        </w:rPr>
        <w:t>）在招标过程中，干扰招标活动造成严重影响和后果，虚假投标、串通投标的；</w:t>
      </w:r>
    </w:p>
    <w:p>
      <w:pPr>
        <w:spacing w:line="460" w:lineRule="exact"/>
        <w:rPr>
          <w:rFonts w:cs="宋体"/>
        </w:rPr>
      </w:pPr>
      <w:r>
        <w:rPr>
          <w:rFonts w:hint="eastAsia" w:cs="宋体"/>
        </w:rPr>
        <w:t xml:space="preserve">    （3）中标人在收到中标通知书后，无正当理由不与招标人订立合同，在签订合同时向招标人提出附加条件，或未按招标文件要求提交履约保证金的；</w:t>
      </w:r>
    </w:p>
    <w:p>
      <w:pPr>
        <w:spacing w:line="460" w:lineRule="exact"/>
      </w:pPr>
      <w:r>
        <w:rPr>
          <w:rFonts w:hint="eastAsia" w:cs="宋体"/>
        </w:rPr>
        <w:t xml:space="preserve">    （4）其他违反国家和军队法律法规的。</w:t>
      </w:r>
    </w:p>
    <w:p>
      <w:pPr>
        <w:pStyle w:val="6"/>
        <w:spacing w:before="120" w:beforeLines="50" w:after="120" w:afterLines="50" w:line="460" w:lineRule="exact"/>
        <w:rPr>
          <w:rFonts w:ascii="Times New Roman" w:hAnsi="Times New Roman" w:cs="宋体"/>
          <w:b w:val="0"/>
          <w:bCs/>
          <w:sz w:val="28"/>
          <w:szCs w:val="28"/>
        </w:rPr>
      </w:pPr>
      <w:bookmarkStart w:id="245" w:name="_Toc6304"/>
      <w:bookmarkStart w:id="246" w:name="_Toc184916553"/>
      <w:r>
        <w:rPr>
          <w:rFonts w:hint="eastAsia" w:ascii="Times New Roman" w:hAnsi="Times New Roman" w:cs="宋体"/>
          <w:b w:val="0"/>
          <w:bCs/>
          <w:sz w:val="28"/>
          <w:szCs w:val="28"/>
        </w:rPr>
        <w:t>3.5 资格审查资料</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45"/>
      <w:bookmarkEnd w:id="246"/>
    </w:p>
    <w:p>
      <w:pPr>
        <w:spacing w:line="460" w:lineRule="exact"/>
        <w:ind w:firstLine="420" w:firstLineChars="200"/>
        <w:rPr>
          <w:szCs w:val="24"/>
        </w:rPr>
      </w:pPr>
      <w:r>
        <w:rPr>
          <w:rFonts w:hint="eastAsia"/>
          <w:szCs w:val="24"/>
        </w:rPr>
        <w:t>3.5.1投标人应具备承担本标段的资质条件和信誉。</w:t>
      </w:r>
    </w:p>
    <w:p>
      <w:pPr>
        <w:spacing w:line="460" w:lineRule="exact"/>
        <w:ind w:left="718" w:leftChars="342"/>
        <w:rPr>
          <w:szCs w:val="24"/>
        </w:rPr>
      </w:pPr>
      <w:r>
        <w:rPr>
          <w:rFonts w:hint="eastAsia"/>
          <w:szCs w:val="24"/>
        </w:rPr>
        <w:t>（1）资质条件：见投标人须知前附表；</w:t>
      </w:r>
    </w:p>
    <w:p>
      <w:pPr>
        <w:spacing w:line="460" w:lineRule="exact"/>
        <w:ind w:left="718" w:leftChars="342"/>
        <w:rPr>
          <w:szCs w:val="24"/>
        </w:rPr>
      </w:pPr>
      <w:r>
        <w:rPr>
          <w:rFonts w:hint="eastAsia"/>
          <w:szCs w:val="24"/>
        </w:rPr>
        <w:t>（2）财务要求：见投标人须知前附表；</w:t>
      </w:r>
    </w:p>
    <w:p>
      <w:pPr>
        <w:spacing w:line="460" w:lineRule="exact"/>
        <w:ind w:left="718" w:leftChars="342"/>
        <w:rPr>
          <w:szCs w:val="24"/>
        </w:rPr>
      </w:pPr>
      <w:r>
        <w:rPr>
          <w:rFonts w:hint="eastAsia"/>
          <w:szCs w:val="24"/>
        </w:rPr>
        <w:t>（3）业绩要求：见投标人须知前附表；</w:t>
      </w:r>
    </w:p>
    <w:p>
      <w:pPr>
        <w:spacing w:line="460" w:lineRule="exact"/>
        <w:ind w:left="718" w:leftChars="342"/>
        <w:rPr>
          <w:szCs w:val="24"/>
        </w:rPr>
      </w:pPr>
      <w:r>
        <w:rPr>
          <w:rFonts w:hint="eastAsia"/>
          <w:szCs w:val="24"/>
        </w:rPr>
        <w:t>（4）信誉要求：见投标人须知前附表；</w:t>
      </w:r>
    </w:p>
    <w:p>
      <w:pPr>
        <w:spacing w:line="460" w:lineRule="exact"/>
        <w:ind w:left="718" w:leftChars="342"/>
        <w:rPr>
          <w:szCs w:val="24"/>
        </w:rPr>
      </w:pPr>
      <w:r>
        <w:rPr>
          <w:rFonts w:hint="eastAsia"/>
          <w:szCs w:val="24"/>
        </w:rPr>
        <w:t>（5）团队人员资格：见投标人须知前附表；</w:t>
      </w:r>
    </w:p>
    <w:p>
      <w:pPr>
        <w:spacing w:line="460" w:lineRule="exact"/>
        <w:ind w:left="718" w:leftChars="342"/>
        <w:rPr>
          <w:szCs w:val="24"/>
        </w:rPr>
      </w:pPr>
      <w:r>
        <w:rPr>
          <w:rFonts w:hint="eastAsia"/>
          <w:szCs w:val="24"/>
        </w:rPr>
        <w:t>（6）其他要求：见投标人须知前附表。</w:t>
      </w:r>
    </w:p>
    <w:p>
      <w:pPr>
        <w:spacing w:line="460" w:lineRule="exact"/>
        <w:ind w:firstLine="420" w:firstLineChars="200"/>
        <w:rPr>
          <w:szCs w:val="24"/>
        </w:rPr>
      </w:pPr>
      <w:r>
        <w:rPr>
          <w:rFonts w:hint="eastAsia"/>
          <w:szCs w:val="24"/>
        </w:rPr>
        <w:t>3.5.3 投标人不得存在下列情形之一：</w:t>
      </w:r>
    </w:p>
    <w:p>
      <w:pPr>
        <w:spacing w:line="460" w:lineRule="exact"/>
        <w:ind w:left="525" w:leftChars="250" w:firstLine="210" w:firstLineChars="100"/>
        <w:rPr>
          <w:rFonts w:ascii="宋体" w:hAnsi="宋体"/>
        </w:rPr>
      </w:pPr>
      <w:r>
        <w:rPr>
          <w:rFonts w:hint="eastAsia"/>
          <w:szCs w:val="24"/>
        </w:rPr>
        <w:t>（1）投标人的</w:t>
      </w:r>
      <w:r>
        <w:rPr>
          <w:rFonts w:hint="eastAsia" w:ascii="宋体" w:hAnsi="宋体"/>
        </w:rPr>
        <w:t>法定代表人或授权委托人与招标人主要</w:t>
      </w:r>
      <w:r>
        <w:rPr>
          <w:rFonts w:hint="eastAsia"/>
        </w:rPr>
        <w:t>（分管）</w:t>
      </w:r>
      <w:r>
        <w:rPr>
          <w:rFonts w:hint="eastAsia" w:ascii="宋体" w:hAnsi="宋体"/>
        </w:rPr>
        <w:t>领导及招标项目（标段）管理部门主要领导存在直系亲属关系的；</w:t>
      </w:r>
    </w:p>
    <w:p>
      <w:pPr>
        <w:spacing w:line="460" w:lineRule="exact"/>
        <w:ind w:left="718" w:leftChars="342"/>
        <w:rPr>
          <w:rFonts w:ascii="宋体" w:hAnsi="宋体"/>
        </w:rPr>
      </w:pPr>
      <w:r>
        <w:rPr>
          <w:rFonts w:hint="eastAsia" w:ascii="宋体" w:hAnsi="宋体"/>
        </w:rPr>
        <w:t>（2）被责令停业的；</w:t>
      </w:r>
    </w:p>
    <w:p>
      <w:pPr>
        <w:spacing w:line="460" w:lineRule="exact"/>
        <w:ind w:left="718" w:leftChars="342"/>
        <w:rPr>
          <w:rFonts w:ascii="宋体" w:hAnsi="宋体"/>
        </w:rPr>
      </w:pPr>
      <w:r>
        <w:rPr>
          <w:rFonts w:hint="eastAsia" w:ascii="宋体" w:hAnsi="宋体"/>
        </w:rPr>
        <w:t>（</w:t>
      </w:r>
      <w:r>
        <w:rPr>
          <w:rFonts w:ascii="宋体" w:hAnsi="宋体"/>
        </w:rPr>
        <w:t>3</w:t>
      </w:r>
      <w:r>
        <w:rPr>
          <w:rFonts w:hint="eastAsia" w:ascii="宋体" w:hAnsi="宋体"/>
        </w:rPr>
        <w:t>）被暂停或取消投标资格的；</w:t>
      </w:r>
    </w:p>
    <w:p>
      <w:pPr>
        <w:spacing w:line="460" w:lineRule="exact"/>
        <w:ind w:left="718" w:leftChars="342"/>
        <w:rPr>
          <w:rFonts w:ascii="宋体" w:hAnsi="宋体"/>
        </w:rPr>
      </w:pPr>
      <w:r>
        <w:rPr>
          <w:rFonts w:hint="eastAsia" w:ascii="宋体" w:hAnsi="宋体"/>
        </w:rPr>
        <w:t>（</w:t>
      </w:r>
      <w:r>
        <w:rPr>
          <w:rFonts w:ascii="宋体" w:hAnsi="宋体"/>
        </w:rPr>
        <w:t>4</w:t>
      </w:r>
      <w:r>
        <w:rPr>
          <w:rFonts w:hint="eastAsia" w:ascii="宋体" w:hAnsi="宋体"/>
        </w:rPr>
        <w:t>）财产被接管或冻结的；</w:t>
      </w:r>
    </w:p>
    <w:p>
      <w:pPr>
        <w:spacing w:line="460" w:lineRule="exact"/>
        <w:ind w:left="718" w:leftChars="342"/>
        <w:rPr>
          <w:rFonts w:ascii="宋体" w:hAnsi="宋体"/>
        </w:rPr>
      </w:pPr>
      <w:r>
        <w:rPr>
          <w:rFonts w:hint="eastAsia" w:ascii="宋体" w:hAnsi="宋体"/>
        </w:rPr>
        <w:t>（</w:t>
      </w:r>
      <w:r>
        <w:rPr>
          <w:rFonts w:ascii="宋体" w:hAnsi="宋体"/>
        </w:rPr>
        <w:t>5</w:t>
      </w:r>
      <w:r>
        <w:rPr>
          <w:rFonts w:hint="eastAsia" w:ascii="宋体" w:hAnsi="宋体"/>
        </w:rPr>
        <w:t>）在最近三年内有骗取中标或严重违约或重大工程质量问题等不良记录的。</w:t>
      </w:r>
    </w:p>
    <w:bookmarkEnd w:id="238"/>
    <w:bookmarkEnd w:id="239"/>
    <w:bookmarkEnd w:id="240"/>
    <w:bookmarkEnd w:id="241"/>
    <w:bookmarkEnd w:id="242"/>
    <w:bookmarkEnd w:id="243"/>
    <w:bookmarkEnd w:id="244"/>
    <w:p>
      <w:pPr>
        <w:pStyle w:val="6"/>
        <w:spacing w:before="120" w:beforeLines="50" w:after="120" w:afterLines="50" w:line="460" w:lineRule="exact"/>
        <w:rPr>
          <w:rFonts w:ascii="Times New Roman" w:hAnsi="Times New Roman" w:cs="宋体"/>
          <w:b w:val="0"/>
          <w:bCs/>
          <w:sz w:val="28"/>
          <w:szCs w:val="28"/>
        </w:rPr>
      </w:pPr>
      <w:bookmarkStart w:id="247" w:name="_Toc144974521"/>
      <w:bookmarkStart w:id="248" w:name="_Toc152042329"/>
      <w:bookmarkStart w:id="249" w:name="_Toc300834974"/>
      <w:bookmarkStart w:id="250" w:name="_Toc247513977"/>
      <w:bookmarkStart w:id="251" w:name="_Toc247527578"/>
      <w:bookmarkStart w:id="252" w:name="_Toc184916554"/>
      <w:bookmarkStart w:id="253" w:name="_Toc152045553"/>
      <w:bookmarkStart w:id="254" w:name="_Toc21046"/>
      <w:bookmarkStart w:id="255" w:name="_Toc347905957"/>
      <w:bookmarkStart w:id="256" w:name="_Toc1635"/>
      <w:bookmarkStart w:id="257" w:name="_Toc448700513"/>
      <w:r>
        <w:rPr>
          <w:rFonts w:hint="eastAsia" w:ascii="Times New Roman" w:hAnsi="Times New Roman" w:cs="宋体"/>
          <w:b w:val="0"/>
          <w:bCs/>
          <w:sz w:val="28"/>
          <w:szCs w:val="28"/>
        </w:rPr>
        <w:t>3.6 备选投标方案</w:t>
      </w:r>
      <w:bookmarkEnd w:id="247"/>
      <w:bookmarkEnd w:id="248"/>
      <w:bookmarkEnd w:id="249"/>
      <w:bookmarkEnd w:id="250"/>
      <w:bookmarkEnd w:id="251"/>
      <w:bookmarkEnd w:id="252"/>
      <w:bookmarkEnd w:id="253"/>
      <w:bookmarkEnd w:id="254"/>
    </w:p>
    <w:p>
      <w:pPr>
        <w:spacing w:line="460" w:lineRule="exact"/>
        <w:ind w:firstLine="420" w:firstLineChars="200"/>
      </w:pPr>
      <w:r>
        <w:rPr>
          <w:rFonts w:hint="eastAsia"/>
        </w:rPr>
        <w:t>投标人不得递交备选投标方案。</w:t>
      </w:r>
    </w:p>
    <w:p>
      <w:pPr>
        <w:pStyle w:val="6"/>
        <w:spacing w:before="120" w:beforeLines="50" w:after="120" w:afterLines="50" w:line="460" w:lineRule="exact"/>
        <w:rPr>
          <w:rFonts w:ascii="Times New Roman" w:hAnsi="Times New Roman" w:cs="宋体"/>
          <w:b w:val="0"/>
          <w:bCs/>
          <w:sz w:val="28"/>
          <w:szCs w:val="28"/>
        </w:rPr>
      </w:pPr>
      <w:bookmarkStart w:id="258" w:name="_Toc10505"/>
      <w:bookmarkStart w:id="259" w:name="_Toc184916555"/>
      <w:r>
        <w:rPr>
          <w:rFonts w:ascii="Times New Roman" w:hAnsi="Times New Roman" w:cs="宋体"/>
          <w:b w:val="0"/>
          <w:bCs/>
          <w:sz w:val="28"/>
          <w:szCs w:val="28"/>
        </w:rPr>
        <w:t>3.</w:t>
      </w:r>
      <w:r>
        <w:rPr>
          <w:rFonts w:hint="eastAsia" w:ascii="Times New Roman" w:hAnsi="Times New Roman" w:cs="宋体"/>
          <w:b w:val="0"/>
          <w:bCs/>
          <w:sz w:val="28"/>
          <w:szCs w:val="28"/>
        </w:rPr>
        <w:t>7</w:t>
      </w:r>
      <w:r>
        <w:rPr>
          <w:rFonts w:ascii="Times New Roman" w:hAnsi="Times New Roman" w:cs="宋体"/>
          <w:b w:val="0"/>
          <w:bCs/>
          <w:sz w:val="28"/>
          <w:szCs w:val="28"/>
        </w:rPr>
        <w:t xml:space="preserve"> </w:t>
      </w:r>
      <w:r>
        <w:rPr>
          <w:rFonts w:hint="eastAsia" w:ascii="Times New Roman" w:hAnsi="Times New Roman" w:cs="宋体"/>
          <w:b w:val="0"/>
          <w:bCs/>
          <w:sz w:val="28"/>
          <w:szCs w:val="28"/>
        </w:rPr>
        <w:t>投标文件的编制</w:t>
      </w:r>
      <w:bookmarkEnd w:id="255"/>
      <w:bookmarkEnd w:id="256"/>
      <w:bookmarkEnd w:id="257"/>
      <w:bookmarkEnd w:id="258"/>
      <w:bookmarkEnd w:id="259"/>
    </w:p>
    <w:p>
      <w:pPr>
        <w:spacing w:line="460" w:lineRule="exact"/>
        <w:ind w:firstLine="420" w:firstLineChars="200"/>
      </w:pPr>
      <w:r>
        <w:t>3.</w:t>
      </w:r>
      <w:r>
        <w:rPr>
          <w:rFonts w:hint="eastAsia"/>
        </w:rPr>
        <w:t>7</w:t>
      </w:r>
      <w:r>
        <w:t>.1</w:t>
      </w:r>
      <w:r>
        <w:rPr>
          <w:rFonts w:hint="eastAsia" w:cs="宋体"/>
        </w:rPr>
        <w:t>投标文件应按第六章“投标文件格式及要求”进行编写，如有必要，可以增加附页，作为投标文件的组成部分。其中，投标函附录在满足招标文件实质性要求的基础上，可以提出比招标文件要求更有利于招标人的承诺。</w:t>
      </w:r>
    </w:p>
    <w:p>
      <w:pPr>
        <w:spacing w:line="460" w:lineRule="exact"/>
        <w:ind w:firstLine="420" w:firstLineChars="200"/>
      </w:pPr>
      <w:r>
        <w:t>3.</w:t>
      </w:r>
      <w:r>
        <w:rPr>
          <w:rFonts w:hint="eastAsia"/>
        </w:rPr>
        <w:t>7</w:t>
      </w:r>
      <w:r>
        <w:t xml:space="preserve">.2 </w:t>
      </w:r>
      <w:r>
        <w:rPr>
          <w:rFonts w:hint="eastAsia" w:cs="宋体"/>
        </w:rPr>
        <w:t>投标文件应当对招标文件有关工期、投标有效期、质量要求、技术标准和要求、招标范围等实质性内容作出响应。</w:t>
      </w:r>
    </w:p>
    <w:p>
      <w:pPr>
        <w:spacing w:line="460" w:lineRule="exact"/>
        <w:ind w:firstLine="420" w:firstLineChars="200"/>
      </w:pPr>
      <w:r>
        <w:rPr>
          <w:rFonts w:hint="eastAsia"/>
        </w:rPr>
        <w:t>3.7.3 投标文件的制作应满足以下规定：</w:t>
      </w:r>
    </w:p>
    <w:p>
      <w:pPr>
        <w:spacing w:line="460" w:lineRule="exact"/>
        <w:ind w:firstLine="420" w:firstLineChars="200"/>
      </w:pPr>
      <w:r>
        <w:rPr>
          <w:rFonts w:hint="eastAsia"/>
        </w:rPr>
        <w:t>（1）投标文件由投标人使用电子交易系统提供的“投标文件制作工具”制作生成。“投标文件制作工具”可以通过电子交易系统下载。</w:t>
      </w:r>
    </w:p>
    <w:p>
      <w:pPr>
        <w:spacing w:line="460" w:lineRule="exact"/>
        <w:ind w:firstLine="420" w:firstLineChars="200"/>
      </w:pPr>
      <w:r>
        <w:rPr>
          <w:rFonts w:hint="eastAsia"/>
        </w:rPr>
        <w:t>（2）在第六章“投标文件格式及要求”中要求盖单位章和（或）签字处，投标人应加盖投标人单位电子印章和（或）法定代表人的个人电子印章/电子签名章。联合体投标的，除联合体协议书外，投标文件由联合体牵头人按照上述规定加盖联合体牵头人单位电子印章和（或）法定代表人的个人电子印章/电子签名章。</w:t>
      </w:r>
    </w:p>
    <w:p>
      <w:pPr>
        <w:spacing w:line="460" w:lineRule="exact"/>
        <w:ind w:firstLine="420" w:firstLineChars="200"/>
      </w:pPr>
      <w:r>
        <w:rPr>
          <w:rFonts w:hint="eastAsia"/>
        </w:rPr>
        <w:t>（3）投标文件制作完成后，投标人应对投标文件进行文件加密，形成加密的投标文件。采用数字证书加密的，加密时投标文件的所有内容均只能使用同一把数字证书进行加密，否则引起的解密失败责任由投标人自行承担。</w:t>
      </w:r>
    </w:p>
    <w:p>
      <w:pPr>
        <w:spacing w:line="460" w:lineRule="exact"/>
        <w:ind w:firstLine="420" w:firstLineChars="200"/>
      </w:pPr>
      <w:r>
        <w:rPr>
          <w:rFonts w:hint="eastAsia"/>
        </w:rPr>
        <w:t>（4）投标文件中的证明材料接受扫描件（包括电子证照等电子件）形式。</w:t>
      </w:r>
    </w:p>
    <w:p>
      <w:pPr>
        <w:spacing w:line="460" w:lineRule="exact"/>
        <w:ind w:firstLine="420" w:firstLineChars="200"/>
      </w:pPr>
      <w:r>
        <w:rPr>
          <w:rFonts w:hint="eastAsia"/>
        </w:rPr>
        <w:t>（</w:t>
      </w:r>
      <w:r>
        <w:t>5</w:t>
      </w:r>
      <w:r>
        <w:rPr>
          <w:rFonts w:hint="eastAsia"/>
        </w:rPr>
        <w:t>）投标文件制作的具体方法见“投标文件制作工具”中的帮助文档。</w:t>
      </w:r>
    </w:p>
    <w:p>
      <w:pPr>
        <w:spacing w:line="460" w:lineRule="exact"/>
        <w:ind w:firstLine="420" w:firstLineChars="200"/>
      </w:pPr>
      <w:r>
        <w:rPr>
          <w:rFonts w:hint="eastAsia"/>
        </w:rPr>
        <w:t>3.7.4 “投标文件制作工具”生成加密投标文件时，同时生成非加密投标文件，作为加密投标文件无法解密、导入时的补救措施。非加密投标文件递交要求见投标人须知前附表。</w:t>
      </w:r>
    </w:p>
    <w:p>
      <w:pPr>
        <w:spacing w:line="460" w:lineRule="exact"/>
        <w:ind w:firstLine="420" w:firstLineChars="200"/>
      </w:pPr>
      <w:r>
        <w:rPr>
          <w:rFonts w:hint="eastAsia"/>
        </w:rPr>
        <w:t>3.7.5 因投标人自身原因而导致投标文件（指解密后的投标文件或启用补救措施下的非加密投标文件）无法导入电子交易系统电子开标、评标系统，该投标视为无效投标，投标人自行承担由此导致的全部责任。</w:t>
      </w:r>
    </w:p>
    <w:p>
      <w:pPr>
        <w:pStyle w:val="6"/>
        <w:spacing w:before="120" w:beforeLines="50" w:after="120" w:afterLines="50" w:line="460" w:lineRule="exact"/>
        <w:rPr>
          <w:rFonts w:ascii="Times New Roman" w:hAnsi="Times New Roman" w:cs="宋体"/>
          <w:b w:val="0"/>
          <w:bCs/>
          <w:sz w:val="28"/>
          <w:szCs w:val="28"/>
        </w:rPr>
      </w:pPr>
      <w:bookmarkStart w:id="260" w:name="_Toc152045555"/>
      <w:bookmarkStart w:id="261" w:name="_Toc184916556"/>
      <w:bookmarkStart w:id="262" w:name="_Toc179632573"/>
      <w:bookmarkStart w:id="263" w:name="_Toc152042331"/>
      <w:bookmarkStart w:id="264" w:name="_Toc144974523"/>
      <w:bookmarkStart w:id="265" w:name="_Toc12413"/>
      <w:r>
        <w:rPr>
          <w:rFonts w:ascii="Times New Roman" w:hAnsi="Times New Roman" w:cs="宋体"/>
          <w:b w:val="0"/>
          <w:bCs/>
          <w:sz w:val="28"/>
          <w:szCs w:val="28"/>
        </w:rPr>
        <w:t xml:space="preserve">4. </w:t>
      </w:r>
      <w:r>
        <w:rPr>
          <w:rFonts w:hint="eastAsia" w:ascii="Times New Roman" w:hAnsi="Times New Roman" w:cs="宋体"/>
          <w:b w:val="0"/>
          <w:bCs/>
          <w:sz w:val="28"/>
          <w:szCs w:val="28"/>
        </w:rPr>
        <w:t>投标</w:t>
      </w:r>
      <w:bookmarkEnd w:id="260"/>
      <w:bookmarkEnd w:id="261"/>
      <w:bookmarkEnd w:id="262"/>
      <w:bookmarkEnd w:id="263"/>
      <w:bookmarkEnd w:id="264"/>
      <w:bookmarkEnd w:id="265"/>
    </w:p>
    <w:p>
      <w:pPr>
        <w:spacing w:line="460" w:lineRule="exact"/>
        <w:ind w:firstLine="420" w:firstLineChars="200"/>
        <w:rPr>
          <w:szCs w:val="22"/>
        </w:rPr>
      </w:pPr>
      <w:bookmarkStart w:id="266" w:name="_Toc179632574"/>
      <w:bookmarkStart w:id="267" w:name="_Toc21559"/>
      <w:bookmarkStart w:id="268" w:name="_Toc144974524"/>
      <w:bookmarkStart w:id="269" w:name="_Toc448700515"/>
      <w:bookmarkStart w:id="270" w:name="_Toc152045556"/>
      <w:bookmarkStart w:id="271" w:name="_Toc152042332"/>
      <w:bookmarkStart w:id="272" w:name="_Toc347996728"/>
      <w:bookmarkStart w:id="273" w:name="_Toc29254"/>
      <w:r>
        <w:rPr>
          <w:rFonts w:hint="eastAsia"/>
          <w:szCs w:val="22"/>
        </w:rPr>
        <w:t>4.1 投标文件的密封和标记</w:t>
      </w:r>
      <w:bookmarkEnd w:id="266"/>
      <w:bookmarkEnd w:id="267"/>
      <w:bookmarkEnd w:id="268"/>
      <w:bookmarkEnd w:id="269"/>
      <w:bookmarkEnd w:id="270"/>
      <w:bookmarkEnd w:id="271"/>
      <w:bookmarkEnd w:id="272"/>
      <w:bookmarkEnd w:id="273"/>
    </w:p>
    <w:p>
      <w:pPr>
        <w:spacing w:line="460" w:lineRule="exact"/>
        <w:ind w:firstLine="420" w:firstLineChars="200"/>
        <w:rPr>
          <w:szCs w:val="22"/>
        </w:rPr>
      </w:pPr>
      <w:bookmarkStart w:id="274" w:name="_Toc144974525"/>
      <w:bookmarkStart w:id="275" w:name="_Toc28373"/>
      <w:bookmarkStart w:id="276" w:name="_Toc28845"/>
      <w:bookmarkStart w:id="277" w:name="_Toc347996729"/>
      <w:bookmarkStart w:id="278" w:name="_Toc448700516"/>
      <w:bookmarkStart w:id="279" w:name="_Toc152042333"/>
      <w:bookmarkStart w:id="280" w:name="_Toc179632575"/>
      <w:bookmarkStart w:id="281" w:name="_Toc152045557"/>
      <w:r>
        <w:rPr>
          <w:rFonts w:hint="eastAsia"/>
          <w:szCs w:val="22"/>
        </w:rPr>
        <w:t>4.1.1 投标文件应按照本章第3.7.3项要求制作并加密，未按照要求加密的投标文件将被拒绝接收。</w:t>
      </w:r>
    </w:p>
    <w:p>
      <w:pPr>
        <w:pStyle w:val="6"/>
        <w:spacing w:before="120" w:beforeLines="50" w:after="120" w:afterLines="50" w:line="460" w:lineRule="exact"/>
        <w:rPr>
          <w:rFonts w:ascii="Times New Roman" w:hAnsi="Times New Roman" w:cs="宋体"/>
          <w:b w:val="0"/>
          <w:bCs/>
          <w:sz w:val="28"/>
          <w:szCs w:val="28"/>
        </w:rPr>
      </w:pPr>
      <w:bookmarkStart w:id="282" w:name="_Toc184916557"/>
      <w:r>
        <w:rPr>
          <w:rFonts w:ascii="Times New Roman" w:hAnsi="Times New Roman" w:cs="宋体"/>
          <w:b w:val="0"/>
          <w:bCs/>
          <w:sz w:val="28"/>
          <w:szCs w:val="28"/>
        </w:rPr>
        <w:t xml:space="preserve">4.2 </w:t>
      </w:r>
      <w:r>
        <w:rPr>
          <w:rFonts w:hint="eastAsia" w:ascii="Times New Roman" w:hAnsi="Times New Roman" w:cs="宋体"/>
          <w:b w:val="0"/>
          <w:bCs/>
          <w:sz w:val="28"/>
          <w:szCs w:val="28"/>
        </w:rPr>
        <w:t>投标文件的递交</w:t>
      </w:r>
      <w:bookmarkEnd w:id="274"/>
      <w:bookmarkEnd w:id="275"/>
      <w:bookmarkEnd w:id="276"/>
      <w:bookmarkEnd w:id="277"/>
      <w:bookmarkEnd w:id="278"/>
      <w:bookmarkEnd w:id="279"/>
      <w:bookmarkEnd w:id="280"/>
      <w:bookmarkEnd w:id="281"/>
      <w:bookmarkEnd w:id="282"/>
    </w:p>
    <w:p>
      <w:pPr>
        <w:spacing w:line="460" w:lineRule="exact"/>
        <w:ind w:firstLine="420" w:firstLineChars="200"/>
        <w:rPr>
          <w:szCs w:val="22"/>
        </w:rPr>
      </w:pPr>
      <w:bookmarkStart w:id="283" w:name="_Toc1447"/>
      <w:bookmarkStart w:id="284" w:name="_Toc347996730"/>
      <w:bookmarkStart w:id="285" w:name="_Toc152042334"/>
      <w:bookmarkStart w:id="286" w:name="_Toc2543"/>
      <w:bookmarkStart w:id="287" w:name="_Toc179632576"/>
      <w:bookmarkStart w:id="288" w:name="_Toc448700517"/>
      <w:bookmarkStart w:id="289" w:name="_Toc152045558"/>
      <w:bookmarkStart w:id="290" w:name="_Toc144974526"/>
      <w:r>
        <w:rPr>
          <w:rFonts w:hint="eastAsia"/>
          <w:szCs w:val="22"/>
        </w:rPr>
        <w:t>4.2.1 投标人应当在第一章“招标公告”规定的投标截止时间前，将加密投标文件在电子交易系统上传。</w:t>
      </w:r>
    </w:p>
    <w:p>
      <w:pPr>
        <w:spacing w:line="460" w:lineRule="exact"/>
        <w:ind w:firstLine="420" w:firstLineChars="200"/>
        <w:rPr>
          <w:szCs w:val="22"/>
        </w:rPr>
      </w:pPr>
      <w:r>
        <w:rPr>
          <w:rFonts w:hint="eastAsia"/>
          <w:szCs w:val="22"/>
        </w:rPr>
        <w:t>4.2.2 投标人递交非加密投标文件的地点：见投标人须知前附表。招标人收到非加密投标文件后由投标人代表登记或向投标人出具签收凭证。</w:t>
      </w:r>
    </w:p>
    <w:p>
      <w:pPr>
        <w:spacing w:line="460" w:lineRule="exact"/>
        <w:ind w:firstLine="420" w:firstLineChars="200"/>
        <w:rPr>
          <w:szCs w:val="22"/>
        </w:rPr>
      </w:pPr>
      <w:r>
        <w:rPr>
          <w:rFonts w:hint="eastAsia"/>
          <w:szCs w:val="22"/>
        </w:rPr>
        <w:t>4.2.3 除投标人须知前附表另有规定外，投标人所递交的投标文件不予退还。</w:t>
      </w:r>
    </w:p>
    <w:p>
      <w:pPr>
        <w:spacing w:line="460" w:lineRule="exact"/>
        <w:ind w:firstLine="420" w:firstLineChars="200"/>
        <w:rPr>
          <w:szCs w:val="22"/>
        </w:rPr>
      </w:pPr>
      <w:r>
        <w:rPr>
          <w:rFonts w:hint="eastAsia"/>
          <w:szCs w:val="22"/>
        </w:rPr>
        <w:t>4.2.4 投标人应当在投标截止时间前完成投标文件的传输递交（以接收到电子签收凭证为准），并可以补充、修改或者撤回投标文件。投标截止时间前未完成投标文件传输的，视为撤回投标文件。未按照规定加密或投标截止时间后送达的投标文件，电子交易系统应当拒收。</w:t>
      </w:r>
    </w:p>
    <w:p>
      <w:pPr>
        <w:spacing w:line="460" w:lineRule="exact"/>
        <w:ind w:firstLine="420" w:firstLineChars="200"/>
        <w:rPr>
          <w:szCs w:val="22"/>
        </w:rPr>
      </w:pPr>
      <w:r>
        <w:rPr>
          <w:rFonts w:hint="eastAsia"/>
          <w:szCs w:val="22"/>
        </w:rPr>
        <w:t>4.2.5 如投标人须知前附表允许递交非加密投标文件，投标人逾期送达的或者未送达指定地点的非加密投标文件，招标人不予接收，但不影响其已按照招标文件要求从电子交易系统递交的加密投标文件的有效性。未从电子交易系统递交加密投标文件的，投标人递交的非加密投标文件将被视为无效。</w:t>
      </w:r>
    </w:p>
    <w:p>
      <w:pPr>
        <w:spacing w:line="460" w:lineRule="exact"/>
        <w:ind w:firstLine="420" w:firstLineChars="200"/>
        <w:rPr>
          <w:szCs w:val="22"/>
        </w:rPr>
      </w:pPr>
      <w:r>
        <w:rPr>
          <w:rFonts w:hint="eastAsia"/>
          <w:szCs w:val="22"/>
        </w:rPr>
        <w:t>4.2.6 投标人在本章第5.2款规定的解密开始规定时间（以电子交易系统解密倒计时为准）内完成投标文件的解密工作，未能成功解密的投标人，如投标人须知前附表允许使用非加密投标文件作为备份，并且投标人在投标截止时间之前到达开标现场并递交非加密投标文件，则可导入非加密投标文件继续开标。若电子交易系统识别出非加密投标文件和加密投标文件识别码不一致，电子交易系统将拒绝导入。</w:t>
      </w:r>
    </w:p>
    <w:p>
      <w:pPr>
        <w:pStyle w:val="6"/>
        <w:spacing w:before="120" w:beforeLines="50" w:after="120" w:afterLines="50" w:line="460" w:lineRule="exact"/>
        <w:rPr>
          <w:rFonts w:ascii="Times New Roman" w:hAnsi="Times New Roman" w:cs="宋体"/>
          <w:b w:val="0"/>
          <w:bCs/>
          <w:sz w:val="28"/>
          <w:szCs w:val="28"/>
        </w:rPr>
      </w:pPr>
      <w:bookmarkStart w:id="291" w:name="_Toc184916558"/>
      <w:r>
        <w:rPr>
          <w:rFonts w:ascii="Times New Roman" w:hAnsi="Times New Roman" w:cs="宋体"/>
          <w:b w:val="0"/>
          <w:bCs/>
          <w:sz w:val="28"/>
          <w:szCs w:val="28"/>
        </w:rPr>
        <w:t xml:space="preserve">4.3 </w:t>
      </w:r>
      <w:r>
        <w:rPr>
          <w:rFonts w:hint="eastAsia" w:ascii="Times New Roman" w:hAnsi="Times New Roman" w:cs="宋体"/>
          <w:b w:val="0"/>
          <w:bCs/>
          <w:sz w:val="28"/>
          <w:szCs w:val="28"/>
        </w:rPr>
        <w:t>投标文件的修改与撤回</w:t>
      </w:r>
      <w:bookmarkEnd w:id="283"/>
      <w:bookmarkEnd w:id="284"/>
      <w:bookmarkEnd w:id="285"/>
      <w:bookmarkEnd w:id="286"/>
      <w:bookmarkEnd w:id="287"/>
      <w:bookmarkEnd w:id="288"/>
      <w:bookmarkEnd w:id="289"/>
      <w:bookmarkEnd w:id="290"/>
      <w:bookmarkEnd w:id="291"/>
    </w:p>
    <w:p>
      <w:pPr>
        <w:spacing w:line="460" w:lineRule="exact"/>
        <w:ind w:firstLine="420" w:firstLineChars="200"/>
        <w:rPr>
          <w:szCs w:val="22"/>
        </w:rPr>
      </w:pPr>
      <w:bookmarkStart w:id="292" w:name="_Toc152045559"/>
      <w:bookmarkStart w:id="293" w:name="_Toc17369"/>
      <w:bookmarkStart w:id="294" w:name="_Toc144974527"/>
      <w:bookmarkStart w:id="295" w:name="_Toc179632577"/>
      <w:bookmarkStart w:id="296" w:name="_Toc152042335"/>
      <w:r>
        <w:rPr>
          <w:rFonts w:hint="eastAsia"/>
          <w:szCs w:val="22"/>
        </w:rPr>
        <w:t>4.3.1 在第一章“招标公告”规定的投标截止时间前，投标人可以修改或撤回已递交的投标文件。投标人对加密投标文件进行撤回的，应在电子交易系统直接进行撤回操作；投标人对加密投标文件进行修改的，应在投标截止时间前完成上传。投标人修改投标文件的，应使用“投标文件制作工具”制作成完整的投标文件，并按照本章第 3 条、第 4 条规定进行编制、加密和递交。</w:t>
      </w:r>
    </w:p>
    <w:p>
      <w:pPr>
        <w:spacing w:line="460" w:lineRule="exact"/>
        <w:ind w:firstLine="420" w:firstLineChars="200"/>
        <w:rPr>
          <w:szCs w:val="22"/>
        </w:rPr>
      </w:pPr>
      <w:r>
        <w:rPr>
          <w:rFonts w:hint="eastAsia"/>
          <w:szCs w:val="22"/>
        </w:rPr>
        <w:t>4.3.2 投标人修改或撤回已递交的非加密投标文件的，应当以书面形式通知招标人，书面通知应由法定代表人（或代理人）签字或盖单位章。招标人收到书面通知后，向投标人出具签收凭证。</w:t>
      </w:r>
    </w:p>
    <w:p>
      <w:pPr>
        <w:pStyle w:val="6"/>
        <w:spacing w:before="120" w:beforeLines="50" w:after="120" w:afterLines="50" w:line="460" w:lineRule="exact"/>
        <w:rPr>
          <w:rFonts w:ascii="Times New Roman" w:hAnsi="Times New Roman" w:cs="宋体"/>
          <w:b w:val="0"/>
          <w:bCs/>
          <w:sz w:val="28"/>
          <w:szCs w:val="28"/>
        </w:rPr>
      </w:pPr>
      <w:bookmarkStart w:id="297" w:name="_Toc184916559"/>
      <w:r>
        <w:rPr>
          <w:rFonts w:ascii="Times New Roman" w:hAnsi="Times New Roman" w:cs="宋体"/>
          <w:b w:val="0"/>
          <w:bCs/>
          <w:sz w:val="28"/>
          <w:szCs w:val="28"/>
        </w:rPr>
        <w:t xml:space="preserve">5. </w:t>
      </w:r>
      <w:r>
        <w:rPr>
          <w:rFonts w:hint="eastAsia" w:ascii="Times New Roman" w:hAnsi="Times New Roman" w:cs="宋体"/>
          <w:b w:val="0"/>
          <w:bCs/>
          <w:sz w:val="28"/>
          <w:szCs w:val="28"/>
        </w:rPr>
        <w:t>开标</w:t>
      </w:r>
      <w:bookmarkEnd w:id="292"/>
      <w:bookmarkEnd w:id="293"/>
      <w:bookmarkEnd w:id="294"/>
      <w:bookmarkEnd w:id="295"/>
      <w:bookmarkEnd w:id="296"/>
      <w:bookmarkEnd w:id="297"/>
    </w:p>
    <w:p>
      <w:pPr>
        <w:pStyle w:val="6"/>
        <w:spacing w:before="120" w:beforeLines="50" w:after="120" w:afterLines="50" w:line="460" w:lineRule="exact"/>
        <w:rPr>
          <w:rFonts w:ascii="Times New Roman" w:hAnsi="Times New Roman" w:cs="宋体"/>
          <w:b w:val="0"/>
          <w:bCs/>
          <w:sz w:val="28"/>
          <w:szCs w:val="28"/>
        </w:rPr>
      </w:pPr>
      <w:bookmarkStart w:id="298" w:name="_Toc18641"/>
      <w:bookmarkStart w:id="299" w:name="_Toc184916560"/>
      <w:r>
        <w:rPr>
          <w:rFonts w:ascii="Times New Roman" w:hAnsi="Times New Roman" w:cs="宋体"/>
          <w:b w:val="0"/>
          <w:bCs/>
          <w:sz w:val="28"/>
          <w:szCs w:val="28"/>
        </w:rPr>
        <w:t xml:space="preserve">5.1 </w:t>
      </w:r>
      <w:r>
        <w:rPr>
          <w:rFonts w:hint="eastAsia" w:ascii="Times New Roman" w:hAnsi="Times New Roman" w:cs="宋体"/>
          <w:b w:val="0"/>
          <w:bCs/>
          <w:sz w:val="28"/>
          <w:szCs w:val="28"/>
        </w:rPr>
        <w:t>开标时间和地点</w:t>
      </w:r>
      <w:bookmarkEnd w:id="298"/>
      <w:bookmarkEnd w:id="299"/>
    </w:p>
    <w:p>
      <w:pPr>
        <w:spacing w:line="460" w:lineRule="exact"/>
        <w:ind w:firstLine="420" w:firstLineChars="200"/>
        <w:rPr>
          <w:szCs w:val="22"/>
        </w:rPr>
      </w:pPr>
      <w:bookmarkStart w:id="300" w:name="_Toc5745"/>
      <w:r>
        <w:rPr>
          <w:rFonts w:hint="eastAsia"/>
          <w:szCs w:val="22"/>
        </w:rPr>
        <w:t>招标人在投标人须知前附表规定的开标时间和地点通过电子交易系统开标，所有投标人的法定代表人或其委托代理人应当准时参加。</w:t>
      </w:r>
    </w:p>
    <w:p>
      <w:pPr>
        <w:spacing w:line="460" w:lineRule="exact"/>
        <w:ind w:firstLine="420" w:firstLineChars="200"/>
        <w:rPr>
          <w:szCs w:val="22"/>
        </w:rPr>
      </w:pPr>
      <w:r>
        <w:rPr>
          <w:rFonts w:hint="eastAsia"/>
          <w:szCs w:val="22"/>
        </w:rPr>
        <w:t>投标人若未派法定代表人或其委托代理人出席开标活动，视为该投标人默认开标结果。</w:t>
      </w:r>
    </w:p>
    <w:p>
      <w:pPr>
        <w:pStyle w:val="6"/>
        <w:spacing w:before="120" w:beforeLines="50" w:after="120" w:afterLines="50" w:line="460" w:lineRule="exact"/>
        <w:rPr>
          <w:rFonts w:ascii="Times New Roman" w:hAnsi="Times New Roman" w:cs="宋体"/>
          <w:b w:val="0"/>
          <w:bCs/>
          <w:sz w:val="28"/>
          <w:szCs w:val="28"/>
        </w:rPr>
      </w:pPr>
      <w:bookmarkStart w:id="301" w:name="_Toc184916561"/>
      <w:r>
        <w:rPr>
          <w:rFonts w:ascii="Times New Roman" w:hAnsi="Times New Roman" w:cs="宋体"/>
          <w:b w:val="0"/>
          <w:bCs/>
          <w:sz w:val="28"/>
          <w:szCs w:val="28"/>
        </w:rPr>
        <w:t xml:space="preserve">5.2 </w:t>
      </w:r>
      <w:r>
        <w:rPr>
          <w:rFonts w:hint="eastAsia" w:ascii="Times New Roman" w:hAnsi="Times New Roman" w:cs="宋体"/>
          <w:b w:val="0"/>
          <w:bCs/>
          <w:sz w:val="28"/>
          <w:szCs w:val="28"/>
        </w:rPr>
        <w:t>开标程序</w:t>
      </w:r>
      <w:bookmarkEnd w:id="300"/>
      <w:bookmarkEnd w:id="301"/>
    </w:p>
    <w:p>
      <w:pPr>
        <w:spacing w:line="460" w:lineRule="exact"/>
        <w:ind w:firstLine="420" w:firstLineChars="200"/>
        <w:rPr>
          <w:szCs w:val="22"/>
        </w:rPr>
      </w:pPr>
      <w:bookmarkStart w:id="302" w:name="_Toc179632584"/>
      <w:bookmarkStart w:id="303" w:name="_Toc144974534"/>
      <w:bookmarkStart w:id="304" w:name="_Toc152042342"/>
      <w:bookmarkStart w:id="305" w:name="_Toc152045566"/>
      <w:r>
        <w:rPr>
          <w:rFonts w:hint="eastAsia"/>
          <w:szCs w:val="22"/>
        </w:rPr>
        <w:t>除投标人须知前附表另有规定外，主持人按照下列程序进行开标：</w:t>
      </w:r>
    </w:p>
    <w:p>
      <w:pPr>
        <w:spacing w:line="460" w:lineRule="exact"/>
        <w:ind w:firstLine="420" w:firstLineChars="200"/>
        <w:rPr>
          <w:szCs w:val="22"/>
        </w:rPr>
      </w:pPr>
      <w:r>
        <w:rPr>
          <w:rFonts w:hint="eastAsia"/>
          <w:szCs w:val="22"/>
        </w:rPr>
        <w:t>（1）公布在投标截止时间前通过电子交易系统完成投标文件递交的投标人名称；</w:t>
      </w:r>
    </w:p>
    <w:p>
      <w:pPr>
        <w:spacing w:line="460" w:lineRule="exact"/>
        <w:ind w:firstLine="420" w:firstLineChars="200"/>
        <w:rPr>
          <w:szCs w:val="22"/>
        </w:rPr>
      </w:pPr>
      <w:r>
        <w:rPr>
          <w:rFonts w:hint="eastAsia"/>
          <w:szCs w:val="22"/>
        </w:rPr>
        <w:t>（2）由投标人推选的代表检查非加密投标文件的密封情况（如有）；</w:t>
      </w:r>
    </w:p>
    <w:p>
      <w:pPr>
        <w:spacing w:line="460" w:lineRule="exact"/>
        <w:ind w:firstLine="420" w:firstLineChars="200"/>
        <w:rPr>
          <w:szCs w:val="22"/>
        </w:rPr>
      </w:pPr>
      <w:r>
        <w:rPr>
          <w:rFonts w:hint="eastAsia"/>
          <w:szCs w:val="22"/>
        </w:rPr>
        <w:t>（3）投标人在投标截止时间后在投标人须知前附表规定的解密时间内完成投标文件的解密工作；</w:t>
      </w:r>
    </w:p>
    <w:p>
      <w:pPr>
        <w:spacing w:line="460" w:lineRule="exact"/>
        <w:ind w:firstLine="420" w:firstLineChars="200"/>
        <w:rPr>
          <w:szCs w:val="22"/>
        </w:rPr>
      </w:pPr>
      <w:r>
        <w:rPr>
          <w:rFonts w:hint="eastAsia"/>
          <w:szCs w:val="22"/>
        </w:rPr>
        <w:t>（4）招标人完成解密工作，导入并读取所有成功解密的投标文件，或招标人成功导入现场递交的非加密投标文件；</w:t>
      </w:r>
    </w:p>
    <w:p>
      <w:pPr>
        <w:spacing w:line="460" w:lineRule="exact"/>
        <w:ind w:firstLine="420" w:firstLineChars="200"/>
        <w:rPr>
          <w:szCs w:val="22"/>
        </w:rPr>
      </w:pPr>
      <w:r>
        <w:rPr>
          <w:rFonts w:hint="eastAsia"/>
          <w:szCs w:val="22"/>
        </w:rPr>
        <w:t>（5）按照投标人须知前附表规定公布投标文件相应内容；</w:t>
      </w:r>
    </w:p>
    <w:p>
      <w:pPr>
        <w:spacing w:line="460" w:lineRule="exact"/>
        <w:ind w:firstLine="420" w:firstLineChars="200"/>
        <w:rPr>
          <w:rFonts w:ascii="仿宋_GB2312"/>
        </w:rPr>
      </w:pPr>
      <w:r>
        <w:rPr>
          <w:rFonts w:hint="eastAsia" w:ascii="仿宋_GB2312" w:cs="宋体"/>
        </w:rPr>
        <w:t>（6）</w:t>
      </w:r>
      <w:r>
        <w:rPr>
          <w:rFonts w:hint="eastAsia" w:ascii="仿宋_GB2312" w:cs="宋体"/>
          <w:szCs w:val="21"/>
        </w:rPr>
        <w:t>由招标人随机抽取招标</w:t>
      </w:r>
      <w:r>
        <w:rPr>
          <w:rFonts w:ascii="仿宋_GB2312" w:cs="宋体"/>
          <w:szCs w:val="21"/>
        </w:rPr>
        <w:t>文件规定的</w:t>
      </w:r>
      <w:r>
        <w:rPr>
          <w:rFonts w:hint="eastAsia" w:ascii="仿宋_GB2312" w:cs="宋体"/>
          <w:szCs w:val="21"/>
        </w:rPr>
        <w:t>浮动</w:t>
      </w:r>
      <w:r>
        <w:rPr>
          <w:rFonts w:ascii="仿宋_GB2312" w:cs="宋体"/>
          <w:szCs w:val="21"/>
        </w:rPr>
        <w:t>系数</w:t>
      </w:r>
      <w:r>
        <w:rPr>
          <w:rFonts w:hint="eastAsia" w:ascii="仿宋_GB2312" w:cs="宋体"/>
          <w:szCs w:val="21"/>
        </w:rPr>
        <w:t>，方法为：由投标人从“3.5%、3%、2.5%、2%、1.5%、1%、0.5%”中随机抽取1个浮动系数，作为本次招标的浮动系数。</w:t>
      </w:r>
    </w:p>
    <w:p>
      <w:pPr>
        <w:spacing w:line="460" w:lineRule="exact"/>
        <w:ind w:firstLine="420" w:firstLineChars="200"/>
        <w:rPr>
          <w:rFonts w:ascii="仿宋_GB2312"/>
        </w:rPr>
      </w:pPr>
      <w:r>
        <w:rPr>
          <w:rFonts w:hint="eastAsia" w:ascii="仿宋_GB2312" w:cs="宋体"/>
        </w:rPr>
        <w:t>（7）招标人工作人员对开标情况进行记录；</w:t>
      </w:r>
    </w:p>
    <w:p>
      <w:pPr>
        <w:spacing w:line="460" w:lineRule="exact"/>
        <w:ind w:firstLine="420" w:firstLineChars="200"/>
        <w:rPr>
          <w:rFonts w:ascii="仿宋_GB2312" w:cs="宋体"/>
        </w:rPr>
      </w:pPr>
      <w:r>
        <w:rPr>
          <w:rFonts w:hint="eastAsia" w:ascii="仿宋_GB2312" w:cs="宋体"/>
        </w:rPr>
        <w:t>（8）投标人</w:t>
      </w:r>
      <w:r>
        <w:rPr>
          <w:rFonts w:hint="eastAsia" w:ascii="宋体" w:hAnsi="宋体" w:cs="宋体"/>
        </w:rPr>
        <w:t>法定代表人或其委托代理人</w:t>
      </w:r>
      <w:r>
        <w:rPr>
          <w:rFonts w:hint="eastAsia" w:ascii="仿宋_GB2312" w:cs="宋体"/>
        </w:rPr>
        <w:t>及</w:t>
      </w:r>
      <w:r>
        <w:rPr>
          <w:rFonts w:hint="eastAsia"/>
        </w:rPr>
        <w:t>招标人代表、监标人、记录人</w:t>
      </w:r>
      <w:r>
        <w:rPr>
          <w:rFonts w:hint="eastAsia" w:ascii="仿宋_GB2312" w:cs="宋体"/>
        </w:rPr>
        <w:t>对开标记录表签字确认，开标会结束。</w:t>
      </w:r>
    </w:p>
    <w:p>
      <w:pPr>
        <w:pStyle w:val="6"/>
        <w:spacing w:before="120" w:beforeLines="50" w:after="120" w:afterLines="50" w:line="460" w:lineRule="exact"/>
        <w:rPr>
          <w:rFonts w:ascii="Times New Roman" w:hAnsi="Times New Roman" w:cs="宋体"/>
          <w:b w:val="0"/>
          <w:bCs/>
          <w:sz w:val="28"/>
          <w:szCs w:val="28"/>
        </w:rPr>
      </w:pPr>
      <w:bookmarkStart w:id="306" w:name="_Toc1640"/>
      <w:bookmarkStart w:id="307" w:name="_Toc184916562"/>
      <w:r>
        <w:rPr>
          <w:rFonts w:hint="eastAsia" w:ascii="Times New Roman" w:hAnsi="Times New Roman" w:cs="宋体"/>
          <w:b w:val="0"/>
          <w:bCs/>
          <w:sz w:val="28"/>
          <w:szCs w:val="28"/>
        </w:rPr>
        <w:t>5.3 开标</w:t>
      </w:r>
      <w:bookmarkEnd w:id="306"/>
      <w:r>
        <w:rPr>
          <w:rFonts w:hint="eastAsia" w:ascii="Times New Roman" w:hAnsi="Times New Roman" w:cs="宋体"/>
          <w:b w:val="0"/>
          <w:bCs/>
          <w:sz w:val="28"/>
          <w:szCs w:val="28"/>
        </w:rPr>
        <w:t>质疑</w:t>
      </w:r>
      <w:bookmarkEnd w:id="307"/>
    </w:p>
    <w:p>
      <w:pPr>
        <w:spacing w:line="460" w:lineRule="exact"/>
        <w:ind w:firstLine="359" w:firstLineChars="171"/>
      </w:pPr>
      <w:r>
        <w:rPr>
          <w:rFonts w:hint="eastAsia"/>
        </w:rPr>
        <w:t>投标人对开标有质疑的，应当在开标现场提出，招标人当场作出答复，并如实记录。</w:t>
      </w:r>
    </w:p>
    <w:p>
      <w:pPr>
        <w:pStyle w:val="6"/>
        <w:spacing w:before="120" w:beforeLines="50" w:after="120" w:afterLines="50" w:line="460" w:lineRule="exact"/>
        <w:rPr>
          <w:rFonts w:ascii="Times New Roman" w:hAnsi="Times New Roman" w:cs="宋体"/>
          <w:b w:val="0"/>
          <w:bCs/>
          <w:sz w:val="28"/>
          <w:szCs w:val="28"/>
        </w:rPr>
      </w:pPr>
      <w:bookmarkStart w:id="308" w:name="_Toc152045562"/>
      <w:bookmarkStart w:id="309" w:name="_Toc152042338"/>
      <w:bookmarkStart w:id="310" w:name="_Toc8371"/>
      <w:bookmarkStart w:id="311" w:name="_Toc144974530"/>
      <w:bookmarkStart w:id="312" w:name="_Toc184916563"/>
      <w:bookmarkStart w:id="313" w:name="_Toc179632580"/>
      <w:r>
        <w:rPr>
          <w:rFonts w:ascii="Times New Roman" w:hAnsi="Times New Roman" w:cs="宋体"/>
          <w:b w:val="0"/>
          <w:bCs/>
          <w:sz w:val="28"/>
          <w:szCs w:val="28"/>
        </w:rPr>
        <w:t xml:space="preserve">6. </w:t>
      </w:r>
      <w:r>
        <w:rPr>
          <w:rFonts w:hint="eastAsia" w:ascii="Times New Roman" w:hAnsi="Times New Roman" w:cs="宋体"/>
          <w:b w:val="0"/>
          <w:bCs/>
          <w:sz w:val="28"/>
          <w:szCs w:val="28"/>
        </w:rPr>
        <w:t>评标</w:t>
      </w:r>
      <w:bookmarkEnd w:id="308"/>
      <w:bookmarkEnd w:id="309"/>
      <w:bookmarkEnd w:id="310"/>
      <w:bookmarkEnd w:id="311"/>
      <w:bookmarkEnd w:id="312"/>
      <w:bookmarkEnd w:id="313"/>
    </w:p>
    <w:p>
      <w:pPr>
        <w:pStyle w:val="6"/>
        <w:spacing w:before="120" w:beforeLines="50" w:after="120" w:afterLines="50" w:line="460" w:lineRule="exact"/>
        <w:rPr>
          <w:rFonts w:ascii="Times New Roman" w:hAnsi="Times New Roman" w:cs="宋体"/>
          <w:b w:val="0"/>
          <w:bCs/>
          <w:sz w:val="28"/>
          <w:szCs w:val="28"/>
        </w:rPr>
      </w:pPr>
      <w:bookmarkStart w:id="314" w:name="_Toc184916564"/>
      <w:bookmarkStart w:id="315" w:name="_Toc10176"/>
      <w:bookmarkStart w:id="316" w:name="_Toc448700522"/>
      <w:bookmarkStart w:id="317" w:name="_Toc144974531"/>
      <w:bookmarkStart w:id="318" w:name="_Toc152045563"/>
      <w:bookmarkStart w:id="319" w:name="_Toc14074"/>
      <w:bookmarkStart w:id="320" w:name="_Toc179632581"/>
      <w:bookmarkStart w:id="321" w:name="_Toc152042339"/>
      <w:r>
        <w:rPr>
          <w:rFonts w:ascii="Times New Roman" w:hAnsi="Times New Roman" w:cs="宋体"/>
          <w:b w:val="0"/>
          <w:bCs/>
          <w:sz w:val="28"/>
          <w:szCs w:val="28"/>
        </w:rPr>
        <w:t>6.</w:t>
      </w:r>
      <w:r>
        <w:rPr>
          <w:rFonts w:hint="eastAsia" w:ascii="Times New Roman" w:hAnsi="Times New Roman" w:cs="宋体"/>
          <w:b w:val="0"/>
          <w:bCs/>
          <w:sz w:val="28"/>
          <w:szCs w:val="28"/>
        </w:rPr>
        <w:t>1评标委员会</w:t>
      </w:r>
      <w:bookmarkEnd w:id="314"/>
      <w:bookmarkEnd w:id="315"/>
      <w:bookmarkEnd w:id="316"/>
      <w:bookmarkEnd w:id="317"/>
      <w:bookmarkEnd w:id="318"/>
      <w:bookmarkEnd w:id="319"/>
      <w:bookmarkEnd w:id="320"/>
      <w:bookmarkEnd w:id="321"/>
    </w:p>
    <w:p>
      <w:pPr>
        <w:spacing w:line="400" w:lineRule="exact"/>
        <w:ind w:firstLine="420" w:firstLineChars="200"/>
        <w:rPr>
          <w:szCs w:val="21"/>
        </w:rPr>
      </w:pPr>
      <w:r>
        <w:rPr>
          <w:rFonts w:hint="eastAsia"/>
        </w:rPr>
        <w:t>6.1.1</w:t>
      </w:r>
      <w:r>
        <w:rPr>
          <w:rFonts w:hint="eastAsia" w:ascii="仿宋_GB2312" w:hAnsi="仿宋"/>
          <w:szCs w:val="32"/>
        </w:rPr>
        <w:t>评标委员会评审专家抽取见投标人须知前附表。评标委员会成员由招标人从军队评审专家库中随机抽取（</w:t>
      </w:r>
      <w:r>
        <w:rPr>
          <w:rFonts w:hint="eastAsia"/>
          <w:szCs w:val="21"/>
        </w:rPr>
        <w:t>招标人抽取候补评审专家及抽取人数</w:t>
      </w:r>
      <w:r>
        <w:rPr>
          <w:rFonts w:hint="eastAsia"/>
          <w:szCs w:val="21"/>
          <w:u w:val="single"/>
        </w:rPr>
        <w:t>2</w:t>
      </w:r>
      <w:r>
        <w:rPr>
          <w:rFonts w:hint="eastAsia"/>
          <w:szCs w:val="21"/>
        </w:rPr>
        <w:t>人</w:t>
      </w:r>
      <w:r>
        <w:rPr>
          <w:rFonts w:hint="eastAsia" w:ascii="仿宋_GB2312" w:hAnsi="仿宋"/>
          <w:szCs w:val="32"/>
        </w:rPr>
        <w:t>），军队评审专家力量不足的，可以从地方有关部门评审专家库中随机抽取</w:t>
      </w:r>
      <w:r>
        <w:rPr>
          <w:rFonts w:hint="eastAsia" w:ascii="宋体" w:hAnsi="宋体" w:cs="宋体"/>
          <w:szCs w:val="21"/>
        </w:rPr>
        <w:t>，评标委员会成员为7人，</w:t>
      </w:r>
      <w:r>
        <w:rPr>
          <w:rFonts w:hint="eastAsia"/>
          <w:szCs w:val="21"/>
        </w:rPr>
        <w:t>具体人数、组成方案由招标人根据项目具体情况确定并在投标人须知前附表中明确。</w:t>
      </w:r>
    </w:p>
    <w:p>
      <w:pPr>
        <w:spacing w:line="400" w:lineRule="exact"/>
        <w:ind w:firstLine="420" w:firstLineChars="200"/>
      </w:pPr>
      <w:bookmarkStart w:id="322" w:name="_Toc144974532"/>
      <w:bookmarkStart w:id="323" w:name="_Toc152045564"/>
      <w:bookmarkStart w:id="324" w:name="_Toc179632582"/>
      <w:bookmarkStart w:id="325" w:name="_Toc448700523"/>
      <w:bookmarkStart w:id="326" w:name="_Toc152042340"/>
      <w:bookmarkStart w:id="327" w:name="_Toc15374"/>
      <w:r>
        <w:rPr>
          <w:rFonts w:hint="eastAsia"/>
        </w:rPr>
        <w:t>6.1.2 评标委员会成员有下列情形之一的，应当回避：</w:t>
      </w:r>
    </w:p>
    <w:p>
      <w:pPr>
        <w:spacing w:line="460" w:lineRule="exact"/>
        <w:ind w:firstLine="718" w:firstLineChars="342"/>
      </w:pPr>
      <w:r>
        <w:rPr>
          <w:rFonts w:hint="eastAsia"/>
        </w:rPr>
        <w:t>（1）投标人或投标人主要负责人的近亲属；</w:t>
      </w:r>
    </w:p>
    <w:p>
      <w:pPr>
        <w:spacing w:line="460" w:lineRule="exact"/>
        <w:ind w:firstLine="718" w:firstLineChars="342"/>
      </w:pPr>
      <w:r>
        <w:rPr>
          <w:rFonts w:hint="eastAsia"/>
        </w:rPr>
        <w:t>（2）项目主管部门或者行政监督部门的人员；</w:t>
      </w:r>
    </w:p>
    <w:p>
      <w:pPr>
        <w:spacing w:line="460" w:lineRule="exact"/>
        <w:ind w:firstLine="718" w:firstLineChars="342"/>
      </w:pPr>
      <w:r>
        <w:rPr>
          <w:rFonts w:hint="eastAsia"/>
        </w:rPr>
        <w:t>（3）与投标人有经济利益关系，可能影响对投标公正评审的；</w:t>
      </w:r>
    </w:p>
    <w:p>
      <w:pPr>
        <w:spacing w:line="460" w:lineRule="exact"/>
        <w:ind w:firstLine="718" w:firstLineChars="342"/>
      </w:pPr>
      <w:r>
        <w:rPr>
          <w:rFonts w:hint="eastAsia"/>
        </w:rPr>
        <w:t>（4）曾因在招标、评标以及其他与招标投标有关活动中受到处罚尚在处罚期内的；</w:t>
      </w:r>
    </w:p>
    <w:p>
      <w:pPr>
        <w:spacing w:line="460" w:lineRule="exact"/>
        <w:ind w:firstLine="718" w:firstLineChars="342"/>
      </w:pPr>
      <w:r>
        <w:rPr>
          <w:rFonts w:hint="eastAsia"/>
        </w:rPr>
        <w:t>（5）与投标人有其他利害关系的。</w:t>
      </w:r>
    </w:p>
    <w:p>
      <w:pPr>
        <w:pStyle w:val="6"/>
        <w:spacing w:before="120" w:beforeLines="50" w:after="120" w:afterLines="50" w:line="460" w:lineRule="exact"/>
        <w:rPr>
          <w:rFonts w:ascii="Times New Roman" w:hAnsi="Times New Roman" w:cs="宋体"/>
          <w:b w:val="0"/>
          <w:bCs/>
          <w:sz w:val="28"/>
          <w:szCs w:val="28"/>
        </w:rPr>
      </w:pPr>
      <w:bookmarkStart w:id="328" w:name="_Toc29023"/>
      <w:bookmarkStart w:id="329" w:name="_Toc184916565"/>
      <w:r>
        <w:rPr>
          <w:rFonts w:ascii="Times New Roman" w:hAnsi="Times New Roman" w:cs="宋体"/>
          <w:b w:val="0"/>
          <w:bCs/>
          <w:sz w:val="28"/>
          <w:szCs w:val="28"/>
        </w:rPr>
        <w:t>6.</w:t>
      </w:r>
      <w:r>
        <w:rPr>
          <w:rFonts w:hint="eastAsia" w:ascii="Times New Roman" w:hAnsi="Times New Roman" w:cs="宋体"/>
          <w:b w:val="0"/>
          <w:bCs/>
          <w:sz w:val="28"/>
          <w:szCs w:val="28"/>
        </w:rPr>
        <w:t>2</w:t>
      </w:r>
      <w:r>
        <w:rPr>
          <w:rFonts w:ascii="Times New Roman" w:hAnsi="Times New Roman" w:cs="宋体"/>
          <w:b w:val="0"/>
          <w:bCs/>
          <w:sz w:val="28"/>
          <w:szCs w:val="28"/>
        </w:rPr>
        <w:t xml:space="preserve"> </w:t>
      </w:r>
      <w:r>
        <w:rPr>
          <w:rFonts w:hint="eastAsia" w:ascii="Times New Roman" w:hAnsi="Times New Roman" w:cs="宋体"/>
          <w:b w:val="0"/>
          <w:bCs/>
          <w:sz w:val="28"/>
          <w:szCs w:val="28"/>
        </w:rPr>
        <w:t>评标原则</w:t>
      </w:r>
      <w:bookmarkEnd w:id="322"/>
      <w:bookmarkEnd w:id="323"/>
      <w:bookmarkEnd w:id="324"/>
      <w:bookmarkEnd w:id="325"/>
      <w:bookmarkEnd w:id="326"/>
      <w:bookmarkEnd w:id="327"/>
      <w:bookmarkEnd w:id="328"/>
      <w:bookmarkEnd w:id="329"/>
      <w:r>
        <w:rPr>
          <w:rFonts w:ascii="Times New Roman" w:hAnsi="Times New Roman" w:cs="宋体"/>
          <w:b w:val="0"/>
          <w:bCs/>
          <w:sz w:val="28"/>
          <w:szCs w:val="28"/>
        </w:rPr>
        <w:tab/>
      </w:r>
    </w:p>
    <w:p>
      <w:pPr>
        <w:spacing w:line="460" w:lineRule="exact"/>
        <w:ind w:firstLine="420" w:firstLineChars="200"/>
      </w:pPr>
      <w:r>
        <w:rPr>
          <w:rFonts w:hint="eastAsia" w:cs="宋体"/>
        </w:rPr>
        <w:t>评标活动遵循公平、公正、科学和择优的原则。</w:t>
      </w:r>
    </w:p>
    <w:p>
      <w:pPr>
        <w:pStyle w:val="6"/>
        <w:spacing w:before="120" w:beforeLines="50" w:after="120" w:afterLines="50" w:line="460" w:lineRule="exact"/>
        <w:rPr>
          <w:rFonts w:ascii="Times New Roman" w:hAnsi="Times New Roman" w:cs="宋体"/>
          <w:b w:val="0"/>
          <w:bCs/>
          <w:sz w:val="28"/>
          <w:szCs w:val="28"/>
        </w:rPr>
      </w:pPr>
      <w:bookmarkStart w:id="330" w:name="_Toc23645"/>
      <w:bookmarkStart w:id="331" w:name="_Toc152042341"/>
      <w:bookmarkStart w:id="332" w:name="_Toc144974533"/>
      <w:bookmarkStart w:id="333" w:name="_Toc448700524"/>
      <w:bookmarkStart w:id="334" w:name="_Toc179632583"/>
      <w:bookmarkStart w:id="335" w:name="_Toc184916566"/>
      <w:bookmarkStart w:id="336" w:name="_Toc152045565"/>
      <w:bookmarkStart w:id="337" w:name="_Toc2186"/>
      <w:r>
        <w:rPr>
          <w:rFonts w:ascii="Times New Roman" w:hAnsi="Times New Roman" w:cs="宋体"/>
          <w:b w:val="0"/>
          <w:bCs/>
          <w:sz w:val="28"/>
          <w:szCs w:val="28"/>
        </w:rPr>
        <w:t>6.</w:t>
      </w:r>
      <w:r>
        <w:rPr>
          <w:rFonts w:hint="eastAsia" w:ascii="Times New Roman" w:hAnsi="Times New Roman" w:cs="宋体"/>
          <w:b w:val="0"/>
          <w:bCs/>
          <w:sz w:val="28"/>
          <w:szCs w:val="28"/>
        </w:rPr>
        <w:t>3</w:t>
      </w:r>
      <w:r>
        <w:rPr>
          <w:rFonts w:ascii="Times New Roman" w:hAnsi="Times New Roman" w:cs="宋体"/>
          <w:b w:val="0"/>
          <w:bCs/>
          <w:sz w:val="28"/>
          <w:szCs w:val="28"/>
        </w:rPr>
        <w:t xml:space="preserve"> </w:t>
      </w:r>
      <w:r>
        <w:rPr>
          <w:rFonts w:hint="eastAsia" w:ascii="Times New Roman" w:hAnsi="Times New Roman" w:cs="宋体"/>
          <w:b w:val="0"/>
          <w:bCs/>
          <w:sz w:val="28"/>
          <w:szCs w:val="28"/>
        </w:rPr>
        <w:t>评标</w:t>
      </w:r>
      <w:bookmarkEnd w:id="330"/>
      <w:bookmarkEnd w:id="331"/>
      <w:bookmarkEnd w:id="332"/>
      <w:bookmarkEnd w:id="333"/>
      <w:bookmarkEnd w:id="334"/>
      <w:bookmarkEnd w:id="335"/>
      <w:bookmarkEnd w:id="336"/>
      <w:bookmarkEnd w:id="337"/>
    </w:p>
    <w:p>
      <w:pPr>
        <w:spacing w:line="460" w:lineRule="exact"/>
        <w:ind w:firstLine="420" w:firstLineChars="200"/>
        <w:rPr>
          <w:rFonts w:cs="宋体"/>
          <w:szCs w:val="22"/>
        </w:rPr>
      </w:pPr>
      <w:r>
        <w:rPr>
          <w:rFonts w:hint="eastAsia" w:cs="宋体"/>
          <w:szCs w:val="22"/>
        </w:rPr>
        <w:t>6.3.1 评标委员会按照第三章“评标办法”规定的方法、评审因素、标准和程序对投标文件进行评审。第三章“评标办法”没有规定的方法、评审因素和标准，不得作为评标依据。开标后满足评标要求的投标文件不足3个的，不得评标。</w:t>
      </w:r>
    </w:p>
    <w:p>
      <w:pPr>
        <w:spacing w:line="460" w:lineRule="exact"/>
        <w:ind w:firstLine="420" w:firstLineChars="200"/>
        <w:rPr>
          <w:rFonts w:cs="宋体"/>
          <w:szCs w:val="22"/>
        </w:rPr>
      </w:pPr>
      <w:r>
        <w:rPr>
          <w:rFonts w:hint="eastAsia" w:cs="宋体"/>
          <w:szCs w:val="22"/>
        </w:rPr>
        <w:t>6.3.2 评标完成后，评标委员会应向招标人提交书面评标报告和中标候选人名单。评标委员会推荐中标</w:t>
      </w:r>
      <w:bookmarkStart w:id="338" w:name="_Toc12259"/>
      <w:bookmarkStart w:id="339" w:name="_Toc352691502"/>
      <w:bookmarkStart w:id="340" w:name="_Toc361508615"/>
      <w:bookmarkStart w:id="341" w:name="_Toc300834979"/>
      <w:bookmarkStart w:id="342" w:name="_Toc369531546"/>
      <w:bookmarkStart w:id="343" w:name="_Toc247513982"/>
      <w:bookmarkStart w:id="344" w:name="_Toc384308240"/>
      <w:bookmarkStart w:id="345" w:name="_Toc247527583"/>
      <w:r>
        <w:rPr>
          <w:rFonts w:hint="eastAsia" w:cs="宋体"/>
          <w:szCs w:val="22"/>
        </w:rPr>
        <w:t>候选人的数量见投标人须知前附</w:t>
      </w:r>
      <w:bookmarkEnd w:id="338"/>
      <w:bookmarkEnd w:id="339"/>
      <w:bookmarkEnd w:id="340"/>
      <w:bookmarkEnd w:id="341"/>
      <w:bookmarkEnd w:id="342"/>
      <w:bookmarkEnd w:id="343"/>
      <w:bookmarkEnd w:id="344"/>
      <w:bookmarkEnd w:id="345"/>
      <w:r>
        <w:rPr>
          <w:rFonts w:hint="eastAsia" w:cs="宋体"/>
          <w:szCs w:val="22"/>
        </w:rPr>
        <w:t>表。</w:t>
      </w:r>
    </w:p>
    <w:p>
      <w:pPr>
        <w:pStyle w:val="6"/>
        <w:spacing w:before="120" w:beforeLines="50" w:after="120" w:afterLines="50" w:line="460" w:lineRule="exact"/>
        <w:rPr>
          <w:rFonts w:ascii="Times New Roman" w:hAnsi="Times New Roman" w:cs="宋体"/>
          <w:b w:val="0"/>
          <w:bCs/>
          <w:sz w:val="28"/>
          <w:szCs w:val="28"/>
        </w:rPr>
      </w:pPr>
      <w:bookmarkStart w:id="346" w:name="_Toc184916567"/>
      <w:r>
        <w:rPr>
          <w:rFonts w:hint="eastAsia" w:ascii="Times New Roman" w:hAnsi="Times New Roman" w:cs="宋体"/>
          <w:b w:val="0"/>
          <w:bCs/>
          <w:sz w:val="28"/>
          <w:szCs w:val="28"/>
        </w:rPr>
        <w:t>6.4 中标候选人公示</w:t>
      </w:r>
      <w:bookmarkEnd w:id="346"/>
    </w:p>
    <w:p>
      <w:pPr>
        <w:spacing w:line="460" w:lineRule="exact"/>
        <w:ind w:firstLine="420" w:firstLineChars="200"/>
        <w:rPr>
          <w:rFonts w:cs="宋体"/>
          <w:szCs w:val="22"/>
        </w:rPr>
      </w:pPr>
      <w:r>
        <w:rPr>
          <w:rFonts w:hint="eastAsia" w:cs="宋体"/>
          <w:szCs w:val="22"/>
        </w:rPr>
        <w:t>招标人在收到评标报告之日起3日内，按照投标人须知前附表规定的公示媒介和期限依法公示中标候选人，公示期不得少于3日。其他要求见投标人须知前附表。</w:t>
      </w:r>
    </w:p>
    <w:p>
      <w:pPr>
        <w:pStyle w:val="6"/>
        <w:spacing w:before="120" w:beforeLines="50" w:after="120" w:afterLines="50" w:line="460" w:lineRule="exact"/>
        <w:rPr>
          <w:rFonts w:ascii="Times New Roman" w:hAnsi="Times New Roman" w:cs="宋体"/>
          <w:b w:val="0"/>
          <w:bCs/>
          <w:sz w:val="28"/>
          <w:szCs w:val="28"/>
        </w:rPr>
      </w:pPr>
      <w:bookmarkStart w:id="347" w:name="_Toc184916568"/>
      <w:r>
        <w:rPr>
          <w:rFonts w:hint="eastAsia" w:ascii="Times New Roman" w:hAnsi="Times New Roman" w:cs="宋体"/>
          <w:b w:val="0"/>
          <w:bCs/>
          <w:sz w:val="28"/>
          <w:szCs w:val="28"/>
        </w:rPr>
        <w:t>6.5 评标结果质疑</w:t>
      </w:r>
      <w:bookmarkEnd w:id="347"/>
    </w:p>
    <w:p>
      <w:pPr>
        <w:spacing w:line="460" w:lineRule="exact"/>
        <w:ind w:firstLine="420" w:firstLineChars="200"/>
        <w:rPr>
          <w:rFonts w:cs="宋体"/>
          <w:szCs w:val="22"/>
        </w:rPr>
      </w:pPr>
      <w:r>
        <w:rPr>
          <w:rFonts w:hint="eastAsia" w:cs="宋体"/>
          <w:szCs w:val="22"/>
        </w:rPr>
        <w:t>投标人或者其他利害关系人对评标结果有质疑的，应在中标候选人公示期间通过电子交易系统在线提出或以其他书面形式提出。招标人将在收到质疑之日起3日内作出答复；作出答复前，将暂停招标投标活动。</w:t>
      </w:r>
    </w:p>
    <w:p>
      <w:pPr>
        <w:pStyle w:val="2"/>
        <w:ind w:firstLine="280"/>
      </w:pPr>
    </w:p>
    <w:p>
      <w:pPr>
        <w:pStyle w:val="6"/>
        <w:spacing w:before="120" w:beforeLines="50" w:after="120" w:afterLines="50" w:line="460" w:lineRule="exact"/>
        <w:rPr>
          <w:rFonts w:ascii="Times New Roman" w:hAnsi="Times New Roman" w:cs="宋体"/>
          <w:b w:val="0"/>
          <w:bCs/>
          <w:sz w:val="28"/>
          <w:szCs w:val="28"/>
        </w:rPr>
      </w:pPr>
      <w:bookmarkStart w:id="348" w:name="_Toc184916569"/>
      <w:bookmarkStart w:id="349" w:name="_Toc16580"/>
      <w:r>
        <w:rPr>
          <w:rFonts w:ascii="Times New Roman" w:hAnsi="Times New Roman" w:cs="宋体"/>
          <w:b w:val="0"/>
          <w:bCs/>
          <w:sz w:val="28"/>
          <w:szCs w:val="28"/>
        </w:rPr>
        <w:t xml:space="preserve">7. </w:t>
      </w:r>
      <w:r>
        <w:rPr>
          <w:rFonts w:hint="eastAsia" w:ascii="Times New Roman" w:hAnsi="Times New Roman" w:cs="宋体"/>
          <w:b w:val="0"/>
          <w:bCs/>
          <w:sz w:val="28"/>
          <w:szCs w:val="28"/>
        </w:rPr>
        <w:t>中标</w:t>
      </w:r>
      <w:bookmarkEnd w:id="348"/>
      <w:bookmarkEnd w:id="349"/>
    </w:p>
    <w:p>
      <w:pPr>
        <w:pStyle w:val="6"/>
        <w:spacing w:before="120" w:beforeLines="50" w:after="120" w:afterLines="50" w:line="460" w:lineRule="exact"/>
        <w:rPr>
          <w:rFonts w:ascii="Times New Roman" w:hAnsi="Times New Roman" w:cs="宋体"/>
          <w:b w:val="0"/>
          <w:bCs/>
          <w:sz w:val="28"/>
          <w:szCs w:val="28"/>
        </w:rPr>
      </w:pPr>
      <w:bookmarkStart w:id="350" w:name="_Toc184916570"/>
      <w:r>
        <w:rPr>
          <w:rFonts w:ascii="Times New Roman" w:hAnsi="Times New Roman" w:cs="宋体"/>
          <w:b w:val="0"/>
          <w:bCs/>
          <w:sz w:val="28"/>
          <w:szCs w:val="28"/>
        </w:rPr>
        <w:t>7.1</w:t>
      </w:r>
      <w:r>
        <w:rPr>
          <w:rFonts w:hint="eastAsia" w:ascii="Times New Roman" w:hAnsi="Times New Roman" w:cs="宋体"/>
          <w:b w:val="0"/>
          <w:bCs/>
          <w:sz w:val="28"/>
          <w:szCs w:val="28"/>
        </w:rPr>
        <w:t>中标结果</w:t>
      </w:r>
      <w:bookmarkEnd w:id="350"/>
    </w:p>
    <w:p>
      <w:pPr>
        <w:spacing w:line="460" w:lineRule="exact"/>
        <w:ind w:firstLine="420" w:firstLineChars="200"/>
        <w:rPr>
          <w:rFonts w:cs="宋体"/>
        </w:rPr>
      </w:pPr>
      <w:r>
        <w:rPr>
          <w:rFonts w:hint="eastAsia" w:cs="宋体"/>
        </w:rPr>
        <w:t>招标人自收到评标报告之日起后3日内，将中标或未中标情况书面告知投标人。</w:t>
      </w:r>
    </w:p>
    <w:p>
      <w:pPr>
        <w:pStyle w:val="6"/>
        <w:spacing w:before="120" w:beforeLines="50" w:after="120" w:afterLines="50" w:line="460" w:lineRule="exact"/>
        <w:rPr>
          <w:rFonts w:ascii="Times New Roman" w:hAnsi="Times New Roman" w:cs="宋体"/>
          <w:b w:val="0"/>
          <w:bCs/>
          <w:sz w:val="28"/>
          <w:szCs w:val="28"/>
        </w:rPr>
      </w:pPr>
      <w:bookmarkStart w:id="351" w:name="_Toc184916571"/>
      <w:r>
        <w:rPr>
          <w:rFonts w:hint="eastAsia" w:ascii="Times New Roman" w:hAnsi="Times New Roman" w:cs="宋体"/>
          <w:b w:val="0"/>
          <w:bCs/>
          <w:sz w:val="28"/>
          <w:szCs w:val="28"/>
        </w:rPr>
        <w:t>7.2推荐中标人</w:t>
      </w:r>
      <w:bookmarkEnd w:id="351"/>
    </w:p>
    <w:p>
      <w:pPr>
        <w:spacing w:line="460" w:lineRule="exact"/>
        <w:ind w:firstLine="420" w:firstLineChars="200"/>
        <w:rPr>
          <w:rFonts w:cs="宋体"/>
        </w:rPr>
      </w:pPr>
      <w:r>
        <w:rPr>
          <w:rFonts w:hint="eastAsia" w:cs="宋体"/>
        </w:rPr>
        <w:t>评标结果公示无质疑后，招标人应当确定排名第一的中标候选人为中标人，报采购服务机构备案。</w:t>
      </w:r>
    </w:p>
    <w:p>
      <w:pPr>
        <w:spacing w:line="460" w:lineRule="exact"/>
        <w:ind w:firstLine="420" w:firstLineChars="200"/>
      </w:pPr>
      <w:r>
        <w:rPr>
          <w:rFonts w:hint="eastAsia" w:cs="宋体"/>
        </w:rPr>
        <w:t>排名第一的中标候选人放弃中标、因不可抗力提出不能履行合同或者招标文件规定应当提交履约保证担保而在规定的期限内未能提交的，或者被查实存在影响中标结果的违法违规行为等情形的，</w:t>
      </w:r>
      <w:r>
        <w:rPr>
          <w:rFonts w:hint="eastAsia" w:ascii="宋体" w:hAnsi="宋体" w:cs="宋体"/>
        </w:rPr>
        <w:t>招标人可以按照评标委员会提出的中标候选人名单排序依次确定其他中标候选人为中标人，也可按相关规定重新组织招标</w:t>
      </w:r>
      <w:r>
        <w:rPr>
          <w:rFonts w:hint="eastAsia" w:cs="宋体"/>
        </w:rPr>
        <w:t>。</w:t>
      </w:r>
    </w:p>
    <w:p>
      <w:pPr>
        <w:pStyle w:val="6"/>
        <w:spacing w:before="120" w:beforeLines="50" w:after="120" w:afterLines="50" w:line="460" w:lineRule="exact"/>
        <w:rPr>
          <w:rFonts w:ascii="Times New Roman" w:hAnsi="Times New Roman" w:cs="宋体"/>
          <w:b w:val="0"/>
          <w:bCs/>
          <w:sz w:val="28"/>
          <w:szCs w:val="28"/>
        </w:rPr>
      </w:pPr>
      <w:bookmarkStart w:id="352" w:name="_Toc10795"/>
      <w:bookmarkStart w:id="353" w:name="_Toc144974536"/>
      <w:bookmarkStart w:id="354" w:name="_Toc152045568"/>
      <w:bookmarkStart w:id="355" w:name="_Toc32510"/>
      <w:bookmarkStart w:id="356" w:name="_Toc152042344"/>
      <w:bookmarkStart w:id="357" w:name="_Toc184916572"/>
      <w:bookmarkStart w:id="358" w:name="_Toc179632586"/>
      <w:bookmarkStart w:id="359" w:name="_Toc448700527"/>
      <w:r>
        <w:rPr>
          <w:rFonts w:ascii="Times New Roman" w:hAnsi="Times New Roman" w:cs="宋体"/>
          <w:b w:val="0"/>
          <w:bCs/>
          <w:sz w:val="28"/>
          <w:szCs w:val="28"/>
        </w:rPr>
        <w:t>7.</w:t>
      </w:r>
      <w:r>
        <w:rPr>
          <w:rFonts w:hint="eastAsia" w:ascii="Times New Roman" w:hAnsi="Times New Roman" w:cs="宋体"/>
          <w:b w:val="0"/>
          <w:bCs/>
          <w:sz w:val="28"/>
          <w:szCs w:val="28"/>
        </w:rPr>
        <w:t>3</w:t>
      </w:r>
      <w:r>
        <w:rPr>
          <w:rFonts w:ascii="Times New Roman" w:hAnsi="Times New Roman" w:cs="宋体"/>
          <w:b w:val="0"/>
          <w:bCs/>
          <w:sz w:val="28"/>
          <w:szCs w:val="28"/>
        </w:rPr>
        <w:t xml:space="preserve"> </w:t>
      </w:r>
      <w:r>
        <w:rPr>
          <w:rFonts w:hint="eastAsia" w:ascii="Times New Roman" w:hAnsi="Times New Roman" w:cs="宋体"/>
          <w:b w:val="0"/>
          <w:bCs/>
          <w:sz w:val="28"/>
          <w:szCs w:val="28"/>
        </w:rPr>
        <w:t>中标通知</w:t>
      </w:r>
      <w:bookmarkEnd w:id="352"/>
      <w:bookmarkEnd w:id="353"/>
      <w:bookmarkEnd w:id="354"/>
      <w:bookmarkEnd w:id="355"/>
      <w:bookmarkEnd w:id="356"/>
      <w:bookmarkEnd w:id="357"/>
      <w:bookmarkEnd w:id="358"/>
      <w:bookmarkEnd w:id="359"/>
    </w:p>
    <w:p>
      <w:pPr>
        <w:spacing w:line="460" w:lineRule="exact"/>
        <w:ind w:firstLine="420" w:firstLineChars="200"/>
      </w:pPr>
      <w:r>
        <w:rPr>
          <w:rFonts w:hint="eastAsia" w:cs="宋体"/>
        </w:rPr>
        <w:t>在投标有效期内，招标人以书面形式向中标人发出中标通知书。</w:t>
      </w:r>
    </w:p>
    <w:p>
      <w:pPr>
        <w:pStyle w:val="6"/>
        <w:spacing w:before="120" w:beforeLines="50" w:after="120" w:afterLines="50" w:line="460" w:lineRule="exact"/>
        <w:rPr>
          <w:rFonts w:ascii="Times New Roman" w:hAnsi="Times New Roman" w:cs="宋体"/>
          <w:b w:val="0"/>
          <w:bCs/>
          <w:sz w:val="28"/>
          <w:szCs w:val="28"/>
        </w:rPr>
      </w:pPr>
      <w:bookmarkStart w:id="360" w:name="_Toc26956"/>
      <w:bookmarkStart w:id="361" w:name="_Toc184916573"/>
      <w:bookmarkStart w:id="362" w:name="_Toc21028"/>
      <w:r>
        <w:rPr>
          <w:rFonts w:ascii="Times New Roman" w:hAnsi="Times New Roman" w:cs="宋体"/>
          <w:b w:val="0"/>
          <w:bCs/>
          <w:sz w:val="28"/>
          <w:szCs w:val="28"/>
        </w:rPr>
        <w:t xml:space="preserve">8. </w:t>
      </w:r>
      <w:r>
        <w:rPr>
          <w:rFonts w:hint="eastAsia" w:ascii="Times New Roman" w:hAnsi="Times New Roman" w:cs="宋体"/>
          <w:b w:val="0"/>
          <w:bCs/>
          <w:sz w:val="28"/>
          <w:szCs w:val="28"/>
        </w:rPr>
        <w:t>合同授予</w:t>
      </w:r>
      <w:bookmarkEnd w:id="302"/>
      <w:bookmarkEnd w:id="303"/>
      <w:bookmarkEnd w:id="304"/>
      <w:bookmarkEnd w:id="305"/>
      <w:bookmarkEnd w:id="360"/>
      <w:bookmarkEnd w:id="361"/>
      <w:bookmarkEnd w:id="362"/>
    </w:p>
    <w:p>
      <w:pPr>
        <w:pStyle w:val="6"/>
        <w:spacing w:before="120" w:beforeLines="50" w:after="120" w:afterLines="50" w:line="460" w:lineRule="exact"/>
        <w:rPr>
          <w:rFonts w:ascii="Times New Roman" w:hAnsi="Times New Roman" w:cs="宋体"/>
          <w:b w:val="0"/>
          <w:bCs/>
          <w:sz w:val="28"/>
          <w:szCs w:val="28"/>
        </w:rPr>
      </w:pPr>
      <w:bookmarkStart w:id="363" w:name="_Toc152042345"/>
      <w:bookmarkStart w:id="364" w:name="_Toc184916574"/>
      <w:bookmarkStart w:id="365" w:name="_Toc9701"/>
      <w:bookmarkStart w:id="366" w:name="_Toc14025"/>
      <w:bookmarkStart w:id="367" w:name="_Toc179632587"/>
      <w:bookmarkStart w:id="368" w:name="_Toc152045569"/>
      <w:bookmarkStart w:id="369" w:name="_Toc448700529"/>
      <w:bookmarkStart w:id="370" w:name="_Toc144974537"/>
      <w:r>
        <w:rPr>
          <w:rFonts w:ascii="Times New Roman" w:hAnsi="Times New Roman" w:cs="宋体"/>
          <w:b w:val="0"/>
          <w:bCs/>
          <w:sz w:val="28"/>
          <w:szCs w:val="28"/>
        </w:rPr>
        <w:t xml:space="preserve">8.1 </w:t>
      </w:r>
      <w:r>
        <w:rPr>
          <w:rFonts w:hint="eastAsia" w:ascii="Times New Roman" w:hAnsi="Times New Roman" w:cs="宋体"/>
          <w:b w:val="0"/>
          <w:bCs/>
          <w:sz w:val="28"/>
          <w:szCs w:val="28"/>
        </w:rPr>
        <w:t>履约担保</w:t>
      </w:r>
      <w:bookmarkEnd w:id="363"/>
      <w:bookmarkEnd w:id="364"/>
      <w:bookmarkEnd w:id="365"/>
      <w:bookmarkEnd w:id="366"/>
      <w:bookmarkEnd w:id="367"/>
      <w:bookmarkEnd w:id="368"/>
      <w:bookmarkEnd w:id="369"/>
      <w:bookmarkEnd w:id="370"/>
    </w:p>
    <w:p>
      <w:pPr>
        <w:spacing w:line="460" w:lineRule="exact"/>
        <w:ind w:firstLine="420" w:firstLineChars="200"/>
      </w:pPr>
      <w:r>
        <w:t>8.1.1</w:t>
      </w:r>
      <w:r>
        <w:rPr>
          <w:rFonts w:hint="eastAsia" w:cs="宋体"/>
        </w:rPr>
        <w:t>在签订合同前，中标人应按投标人须知前附表规定的金额及履约担保格式向招标人提交履约担保。</w:t>
      </w:r>
    </w:p>
    <w:p>
      <w:pPr>
        <w:spacing w:line="460" w:lineRule="exact"/>
        <w:ind w:firstLine="420" w:firstLineChars="200"/>
      </w:pPr>
      <w:r>
        <w:t xml:space="preserve">8.1.2 </w:t>
      </w:r>
      <w:r>
        <w:rPr>
          <w:rFonts w:hint="eastAsia" w:cs="宋体"/>
        </w:rPr>
        <w:t>中标人不按要求提交履约担保的，视为放弃中标，其投标保证金不予退还，给招标人造成的损失超过投标保证金数额的，中标人还应当对超过部分予以赔偿。</w:t>
      </w:r>
    </w:p>
    <w:p>
      <w:pPr>
        <w:pStyle w:val="6"/>
        <w:spacing w:before="120" w:beforeLines="50" w:after="120" w:afterLines="50" w:line="460" w:lineRule="exact"/>
        <w:rPr>
          <w:rFonts w:ascii="Times New Roman" w:hAnsi="Times New Roman" w:cs="宋体"/>
          <w:b w:val="0"/>
          <w:bCs/>
          <w:sz w:val="28"/>
          <w:szCs w:val="28"/>
        </w:rPr>
      </w:pPr>
      <w:bookmarkStart w:id="371" w:name="_Toc152045570"/>
      <w:bookmarkStart w:id="372" w:name="_Toc144974538"/>
      <w:bookmarkStart w:id="373" w:name="_Toc448700530"/>
      <w:bookmarkStart w:id="374" w:name="_Toc184916575"/>
      <w:bookmarkStart w:id="375" w:name="_Toc20860"/>
      <w:bookmarkStart w:id="376" w:name="_Toc179632588"/>
      <w:bookmarkStart w:id="377" w:name="_Toc152042346"/>
      <w:bookmarkStart w:id="378" w:name="_Toc23774"/>
      <w:r>
        <w:rPr>
          <w:rFonts w:ascii="Times New Roman" w:hAnsi="Times New Roman" w:cs="宋体"/>
          <w:b w:val="0"/>
          <w:bCs/>
          <w:sz w:val="28"/>
          <w:szCs w:val="28"/>
        </w:rPr>
        <w:t xml:space="preserve">8.2 </w:t>
      </w:r>
      <w:r>
        <w:rPr>
          <w:rFonts w:hint="eastAsia" w:ascii="Times New Roman" w:hAnsi="Times New Roman" w:cs="宋体"/>
          <w:b w:val="0"/>
          <w:bCs/>
          <w:sz w:val="28"/>
          <w:szCs w:val="28"/>
        </w:rPr>
        <w:t>签订协议或合同</w:t>
      </w:r>
      <w:bookmarkEnd w:id="371"/>
      <w:bookmarkEnd w:id="372"/>
      <w:bookmarkEnd w:id="373"/>
      <w:bookmarkEnd w:id="374"/>
      <w:bookmarkEnd w:id="375"/>
      <w:bookmarkEnd w:id="376"/>
      <w:bookmarkEnd w:id="377"/>
      <w:bookmarkEnd w:id="378"/>
    </w:p>
    <w:p>
      <w:pPr>
        <w:spacing w:line="460" w:lineRule="exact"/>
        <w:ind w:firstLine="420" w:firstLineChars="200"/>
      </w:pPr>
      <w:r>
        <w:t>8.2.1</w:t>
      </w:r>
      <w:r>
        <w:rPr>
          <w:rFonts w:hint="eastAsia" w:cs="宋体"/>
        </w:rPr>
        <w:t>招标人应当在中标通知书发出</w:t>
      </w:r>
      <w:r>
        <w:t>30</w:t>
      </w:r>
      <w:r>
        <w:rPr>
          <w:rFonts w:hint="eastAsia" w:cs="宋体"/>
        </w:rPr>
        <w:t>日内与中标人依据招标文件和投标文件订立合作协议或工程建设项目施工书面合同，</w:t>
      </w:r>
      <w:r>
        <w:rPr>
          <w:rFonts w:hint="eastAsia"/>
          <w:kern w:val="0"/>
          <w:szCs w:val="32"/>
        </w:rPr>
        <w:t>同时</w:t>
      </w:r>
      <w:r>
        <w:rPr>
          <w:rFonts w:hint="eastAsia" w:cs="宋体"/>
        </w:rPr>
        <w:t>将合同副本送</w:t>
      </w:r>
      <w:r>
        <w:rPr>
          <w:rFonts w:hint="eastAsia"/>
          <w:kern w:val="0"/>
          <w:szCs w:val="32"/>
        </w:rPr>
        <w:t>采购服务机构备案，并</w:t>
      </w:r>
      <w:r>
        <w:rPr>
          <w:rFonts w:hint="eastAsia" w:cs="宋体"/>
        </w:rPr>
        <w:t>报本级采购管理部门、财务部门、纪检部门</w:t>
      </w:r>
      <w:r>
        <w:rPr>
          <w:rFonts w:hint="eastAsia"/>
          <w:kern w:val="0"/>
          <w:szCs w:val="32"/>
        </w:rPr>
        <w:t>备案</w:t>
      </w:r>
      <w:r>
        <w:rPr>
          <w:rFonts w:hint="eastAsia" w:cs="宋体"/>
        </w:rPr>
        <w:t>。</w:t>
      </w:r>
      <w:r>
        <w:t xml:space="preserve"> </w:t>
      </w:r>
    </w:p>
    <w:p>
      <w:pPr>
        <w:spacing w:line="460" w:lineRule="exact"/>
        <w:ind w:firstLine="420" w:firstLineChars="200"/>
      </w:pPr>
      <w:r>
        <w:t>8.2.2</w:t>
      </w:r>
      <w:r>
        <w:rPr>
          <w:rFonts w:hint="eastAsia" w:cs="宋体"/>
        </w:rPr>
        <w:t>中标人无正当理由拒签合同的，招标人取消其中标资格，其投标保证金不予退还。招标人无正当理由拒签合同的，招标人向中标人退还投标保证金；给中标人造成损失的，还应当赔偿损失。</w:t>
      </w:r>
    </w:p>
    <w:p>
      <w:pPr>
        <w:pStyle w:val="6"/>
        <w:spacing w:before="120" w:beforeLines="50" w:after="120" w:afterLines="50" w:line="460" w:lineRule="exact"/>
        <w:rPr>
          <w:rFonts w:ascii="Times New Roman" w:hAnsi="Times New Roman" w:cs="宋体"/>
          <w:b w:val="0"/>
          <w:bCs/>
          <w:sz w:val="28"/>
          <w:szCs w:val="28"/>
        </w:rPr>
      </w:pPr>
      <w:bookmarkStart w:id="379" w:name="_Toc179632589"/>
      <w:bookmarkStart w:id="380" w:name="_Toc29058"/>
      <w:bookmarkStart w:id="381" w:name="_Toc184916576"/>
      <w:bookmarkStart w:id="382" w:name="_Toc152042347"/>
      <w:bookmarkStart w:id="383" w:name="_Toc152045571"/>
      <w:bookmarkStart w:id="384" w:name="_Toc144974539"/>
      <w:r>
        <w:rPr>
          <w:rFonts w:ascii="Times New Roman" w:hAnsi="Times New Roman" w:cs="宋体"/>
          <w:b w:val="0"/>
          <w:bCs/>
          <w:sz w:val="28"/>
          <w:szCs w:val="28"/>
        </w:rPr>
        <w:t xml:space="preserve">9. </w:t>
      </w:r>
      <w:r>
        <w:rPr>
          <w:rFonts w:hint="eastAsia" w:ascii="Times New Roman" w:hAnsi="Times New Roman" w:cs="宋体"/>
          <w:b w:val="0"/>
          <w:bCs/>
          <w:sz w:val="28"/>
          <w:szCs w:val="28"/>
        </w:rPr>
        <w:t>重新招标</w:t>
      </w:r>
      <w:bookmarkEnd w:id="379"/>
      <w:bookmarkEnd w:id="380"/>
      <w:bookmarkEnd w:id="381"/>
      <w:bookmarkEnd w:id="382"/>
      <w:bookmarkEnd w:id="383"/>
      <w:bookmarkEnd w:id="384"/>
    </w:p>
    <w:p>
      <w:pPr>
        <w:spacing w:line="400" w:lineRule="exact"/>
        <w:rPr>
          <w:szCs w:val="21"/>
        </w:rPr>
      </w:pPr>
      <w:bookmarkStart w:id="385" w:name="_Toc179632592"/>
      <w:bookmarkStart w:id="386" w:name="_Toc152042350"/>
      <w:bookmarkStart w:id="387" w:name="_Toc144974542"/>
      <w:bookmarkStart w:id="388" w:name="_Toc152045574"/>
      <w:r>
        <w:rPr>
          <w:rFonts w:hint="eastAsia"/>
        </w:rPr>
        <w:t xml:space="preserve">    </w:t>
      </w:r>
      <w:bookmarkStart w:id="389" w:name="_Toc22043"/>
      <w:r>
        <w:rPr>
          <w:rFonts w:hint="eastAsia"/>
          <w:szCs w:val="21"/>
        </w:rPr>
        <w:t>有下列情形之一的，招标人将重新招标或经批准采用其他采购方式组织：</w:t>
      </w:r>
    </w:p>
    <w:p>
      <w:pPr>
        <w:spacing w:line="400" w:lineRule="exact"/>
        <w:ind w:firstLine="420" w:firstLineChars="200"/>
        <w:rPr>
          <w:szCs w:val="21"/>
        </w:rPr>
      </w:pPr>
      <w:r>
        <w:rPr>
          <w:rFonts w:hint="eastAsia" w:cs="宋体"/>
          <w:szCs w:val="21"/>
        </w:rPr>
        <w:t>（一）在提交投标文件截止时间后接收投标文件并组织开标、评标的；</w:t>
      </w:r>
    </w:p>
    <w:p>
      <w:pPr>
        <w:spacing w:line="400" w:lineRule="exact"/>
        <w:ind w:firstLine="420" w:firstLineChars="200"/>
        <w:rPr>
          <w:rFonts w:cs="宋体"/>
          <w:szCs w:val="21"/>
        </w:rPr>
      </w:pPr>
      <w:r>
        <w:rPr>
          <w:rFonts w:hint="eastAsia" w:cs="宋体"/>
          <w:szCs w:val="21"/>
        </w:rPr>
        <w:t>（二）接收的投标文件少于4个的；</w:t>
      </w:r>
    </w:p>
    <w:p>
      <w:pPr>
        <w:spacing w:line="400" w:lineRule="exact"/>
        <w:ind w:firstLine="420" w:firstLineChars="200"/>
        <w:rPr>
          <w:strike/>
          <w:szCs w:val="21"/>
        </w:rPr>
      </w:pPr>
      <w:r>
        <w:rPr>
          <w:rFonts w:hint="eastAsia" w:cs="宋体"/>
          <w:szCs w:val="21"/>
        </w:rPr>
        <w:t>（三）开标后满足评标要求的投标文件少于</w:t>
      </w:r>
      <w:r>
        <w:rPr>
          <w:rFonts w:cs="宋体"/>
          <w:szCs w:val="21"/>
        </w:rPr>
        <w:t>3</w:t>
      </w:r>
      <w:r>
        <w:rPr>
          <w:rFonts w:hint="eastAsia" w:cs="宋体"/>
          <w:szCs w:val="21"/>
        </w:rPr>
        <w:t>个的；</w:t>
      </w:r>
    </w:p>
    <w:p>
      <w:pPr>
        <w:spacing w:line="400" w:lineRule="exact"/>
        <w:ind w:firstLine="420" w:firstLineChars="200"/>
        <w:rPr>
          <w:rFonts w:cs="宋体"/>
          <w:szCs w:val="21"/>
        </w:rPr>
      </w:pPr>
      <w:r>
        <w:rPr>
          <w:rFonts w:hint="eastAsia" w:cs="宋体"/>
          <w:szCs w:val="21"/>
        </w:rPr>
        <w:t>（四）经评标委员会评审，所有投标均不符合招标文件要求或者经初步评审有效投标少于</w:t>
      </w:r>
      <w:r>
        <w:rPr>
          <w:rFonts w:cs="宋体"/>
          <w:szCs w:val="21"/>
        </w:rPr>
        <w:t>3</w:t>
      </w:r>
      <w:r>
        <w:rPr>
          <w:rFonts w:hint="eastAsia" w:cs="宋体"/>
          <w:szCs w:val="21"/>
        </w:rPr>
        <w:t>个的；</w:t>
      </w:r>
    </w:p>
    <w:p>
      <w:pPr>
        <w:spacing w:line="400" w:lineRule="exact"/>
        <w:ind w:firstLine="420" w:firstLineChars="200"/>
        <w:rPr>
          <w:szCs w:val="21"/>
        </w:rPr>
      </w:pPr>
      <w:r>
        <w:rPr>
          <w:rFonts w:hint="eastAsia" w:cs="宋体"/>
          <w:szCs w:val="21"/>
        </w:rPr>
        <w:t>（五）未按规定对投标人提出的质疑作出答复继续组织招标投标活动，对中标结果造成实质性影响且不能采取补救措施予以纠正的；</w:t>
      </w:r>
    </w:p>
    <w:p>
      <w:pPr>
        <w:spacing w:line="400" w:lineRule="exact"/>
        <w:ind w:firstLine="420" w:firstLineChars="200"/>
        <w:rPr>
          <w:szCs w:val="21"/>
        </w:rPr>
      </w:pPr>
      <w:r>
        <w:rPr>
          <w:rFonts w:hint="eastAsia" w:cs="宋体"/>
          <w:szCs w:val="21"/>
        </w:rPr>
        <w:t>（六）投标人有串通投标、弄虚作假、行贿等违法行为，或者招标人与投标人串通投标，或者经查实存在影响中标结果的违法行为的。</w:t>
      </w:r>
    </w:p>
    <w:p>
      <w:pPr>
        <w:spacing w:line="400" w:lineRule="exact"/>
        <w:ind w:firstLine="420" w:firstLineChars="200"/>
        <w:rPr>
          <w:rFonts w:cs="宋体"/>
          <w:szCs w:val="21"/>
        </w:rPr>
      </w:pPr>
      <w:r>
        <w:rPr>
          <w:rFonts w:hint="eastAsia" w:cs="宋体"/>
          <w:szCs w:val="21"/>
        </w:rPr>
        <w:t>在招投标活动中有违法违规行为被否决的投标人，不得参加重新组织的招标。重新开标后有效标少于</w:t>
      </w:r>
      <w:r>
        <w:rPr>
          <w:rFonts w:cs="宋体"/>
          <w:szCs w:val="21"/>
        </w:rPr>
        <w:t>3</w:t>
      </w:r>
      <w:r>
        <w:rPr>
          <w:rFonts w:hint="eastAsia" w:cs="宋体"/>
          <w:szCs w:val="21"/>
        </w:rPr>
        <w:t>个，经招标人上级主管部门批准后不再组织公开招标，采用其他方式确定合作单位。</w:t>
      </w:r>
    </w:p>
    <w:p>
      <w:pPr>
        <w:spacing w:line="460" w:lineRule="exact"/>
        <w:rPr>
          <w:rFonts w:cs="宋体"/>
          <w:b/>
          <w:bCs/>
          <w:sz w:val="28"/>
          <w:szCs w:val="28"/>
        </w:rPr>
      </w:pPr>
      <w:r>
        <w:rPr>
          <w:rFonts w:cs="宋体"/>
          <w:b/>
          <w:bCs/>
          <w:sz w:val="28"/>
          <w:szCs w:val="28"/>
        </w:rPr>
        <w:t xml:space="preserve">10. </w:t>
      </w:r>
      <w:r>
        <w:rPr>
          <w:rFonts w:hint="eastAsia" w:cs="宋体"/>
          <w:b/>
          <w:bCs/>
          <w:sz w:val="28"/>
          <w:szCs w:val="28"/>
        </w:rPr>
        <w:t>纪律和监督</w:t>
      </w:r>
      <w:bookmarkEnd w:id="385"/>
      <w:bookmarkEnd w:id="386"/>
      <w:bookmarkEnd w:id="387"/>
      <w:bookmarkEnd w:id="388"/>
      <w:bookmarkEnd w:id="389"/>
    </w:p>
    <w:p>
      <w:pPr>
        <w:pStyle w:val="6"/>
        <w:spacing w:before="120" w:beforeLines="50" w:after="120" w:afterLines="50" w:line="460" w:lineRule="exact"/>
        <w:rPr>
          <w:rFonts w:ascii="Times New Roman" w:hAnsi="Times New Roman" w:cs="宋体"/>
          <w:b w:val="0"/>
          <w:bCs/>
          <w:sz w:val="28"/>
          <w:szCs w:val="28"/>
        </w:rPr>
      </w:pPr>
      <w:bookmarkStart w:id="390" w:name="_Toc448700533"/>
      <w:bookmarkStart w:id="391" w:name="_Toc8998"/>
      <w:bookmarkStart w:id="392" w:name="_Toc152045575"/>
      <w:bookmarkStart w:id="393" w:name="_Toc184916577"/>
      <w:bookmarkStart w:id="394" w:name="_Toc179632593"/>
      <w:bookmarkStart w:id="395" w:name="_Toc23349"/>
      <w:bookmarkStart w:id="396" w:name="_Toc144974543"/>
      <w:bookmarkStart w:id="397" w:name="_Toc152042351"/>
      <w:r>
        <w:rPr>
          <w:rFonts w:ascii="Times New Roman" w:hAnsi="Times New Roman" w:cs="宋体"/>
          <w:b w:val="0"/>
          <w:bCs/>
          <w:sz w:val="28"/>
          <w:szCs w:val="28"/>
        </w:rPr>
        <w:t xml:space="preserve">10.1 </w:t>
      </w:r>
      <w:r>
        <w:rPr>
          <w:rFonts w:hint="eastAsia" w:ascii="Times New Roman" w:hAnsi="Times New Roman" w:cs="宋体"/>
          <w:b w:val="0"/>
          <w:bCs/>
          <w:sz w:val="28"/>
          <w:szCs w:val="28"/>
        </w:rPr>
        <w:t>对招标人的纪律要求</w:t>
      </w:r>
      <w:bookmarkEnd w:id="390"/>
      <w:bookmarkEnd w:id="391"/>
      <w:bookmarkEnd w:id="392"/>
      <w:bookmarkEnd w:id="393"/>
      <w:bookmarkEnd w:id="394"/>
      <w:bookmarkEnd w:id="395"/>
      <w:bookmarkEnd w:id="396"/>
      <w:bookmarkEnd w:id="397"/>
    </w:p>
    <w:p>
      <w:pPr>
        <w:spacing w:line="460" w:lineRule="exact"/>
        <w:ind w:firstLine="420" w:firstLineChars="200"/>
      </w:pPr>
      <w:r>
        <w:rPr>
          <w:rFonts w:hint="eastAsia" w:cs="宋体"/>
        </w:rPr>
        <w:t>招标人不得泄漏招标投标活动中应当保密的情况和资料，不得与投标人串通损害国家和军队利益、社会公共利益或者他人合法权益。</w:t>
      </w:r>
    </w:p>
    <w:p>
      <w:pPr>
        <w:pStyle w:val="6"/>
        <w:spacing w:before="120" w:beforeLines="50" w:after="120" w:afterLines="50" w:line="460" w:lineRule="exact"/>
        <w:rPr>
          <w:rFonts w:ascii="Times New Roman" w:hAnsi="Times New Roman" w:cs="宋体"/>
          <w:b w:val="0"/>
          <w:bCs/>
          <w:sz w:val="28"/>
          <w:szCs w:val="28"/>
        </w:rPr>
      </w:pPr>
      <w:bookmarkStart w:id="398" w:name="_Toc152042352"/>
      <w:bookmarkStart w:id="399" w:name="_Toc448700534"/>
      <w:bookmarkStart w:id="400" w:name="_Toc184916578"/>
      <w:bookmarkStart w:id="401" w:name="_Toc152045576"/>
      <w:bookmarkStart w:id="402" w:name="_Toc144974544"/>
      <w:bookmarkStart w:id="403" w:name="_Toc9193"/>
      <w:bookmarkStart w:id="404" w:name="_Toc179632594"/>
      <w:bookmarkStart w:id="405" w:name="_Toc17633"/>
      <w:r>
        <w:rPr>
          <w:rFonts w:ascii="Times New Roman" w:hAnsi="Times New Roman" w:cs="宋体"/>
          <w:b w:val="0"/>
          <w:bCs/>
          <w:sz w:val="28"/>
          <w:szCs w:val="28"/>
        </w:rPr>
        <w:t xml:space="preserve">10.2 </w:t>
      </w:r>
      <w:r>
        <w:rPr>
          <w:rFonts w:hint="eastAsia" w:ascii="Times New Roman" w:hAnsi="Times New Roman" w:cs="宋体"/>
          <w:b w:val="0"/>
          <w:bCs/>
          <w:sz w:val="28"/>
          <w:szCs w:val="28"/>
        </w:rPr>
        <w:t>对投标人的纪律要求</w:t>
      </w:r>
      <w:bookmarkEnd w:id="398"/>
      <w:bookmarkEnd w:id="399"/>
      <w:bookmarkEnd w:id="400"/>
      <w:bookmarkEnd w:id="401"/>
      <w:bookmarkEnd w:id="402"/>
      <w:bookmarkEnd w:id="403"/>
      <w:bookmarkEnd w:id="404"/>
      <w:bookmarkEnd w:id="405"/>
    </w:p>
    <w:p>
      <w:pPr>
        <w:spacing w:line="460" w:lineRule="exact"/>
        <w:ind w:firstLine="420" w:firstLineChars="200"/>
      </w:pPr>
      <w:r>
        <w:rPr>
          <w:rFonts w:hint="eastAsia" w:cs="宋体"/>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6"/>
        <w:spacing w:before="120" w:beforeLines="50" w:after="120" w:afterLines="50" w:line="460" w:lineRule="exact"/>
        <w:rPr>
          <w:rFonts w:ascii="Times New Roman" w:hAnsi="Times New Roman" w:cs="宋体"/>
          <w:b w:val="0"/>
          <w:bCs/>
          <w:sz w:val="28"/>
          <w:szCs w:val="28"/>
        </w:rPr>
      </w:pPr>
      <w:bookmarkStart w:id="406" w:name="_Toc184916579"/>
      <w:bookmarkStart w:id="407" w:name="_Toc448700535"/>
      <w:bookmarkStart w:id="408" w:name="_Toc152045577"/>
      <w:bookmarkStart w:id="409" w:name="_Toc20063"/>
      <w:bookmarkStart w:id="410" w:name="_Toc179632595"/>
      <w:bookmarkStart w:id="411" w:name="_Toc152042353"/>
      <w:bookmarkStart w:id="412" w:name="_Toc144974545"/>
      <w:bookmarkStart w:id="413" w:name="_Toc12213"/>
      <w:r>
        <w:rPr>
          <w:rFonts w:ascii="Times New Roman" w:hAnsi="Times New Roman" w:cs="宋体"/>
          <w:b w:val="0"/>
          <w:bCs/>
          <w:sz w:val="28"/>
          <w:szCs w:val="28"/>
        </w:rPr>
        <w:t xml:space="preserve">10.3 </w:t>
      </w:r>
      <w:r>
        <w:rPr>
          <w:rFonts w:hint="eastAsia" w:ascii="Times New Roman" w:hAnsi="Times New Roman" w:cs="宋体"/>
          <w:b w:val="0"/>
          <w:bCs/>
          <w:sz w:val="28"/>
          <w:szCs w:val="28"/>
        </w:rPr>
        <w:t>对评标委员会成员的纪律要求</w:t>
      </w:r>
      <w:bookmarkEnd w:id="406"/>
      <w:bookmarkEnd w:id="407"/>
      <w:bookmarkEnd w:id="408"/>
      <w:bookmarkEnd w:id="409"/>
      <w:bookmarkEnd w:id="410"/>
      <w:bookmarkEnd w:id="411"/>
      <w:bookmarkEnd w:id="412"/>
      <w:bookmarkEnd w:id="413"/>
    </w:p>
    <w:p>
      <w:pPr>
        <w:spacing w:line="460" w:lineRule="exact"/>
        <w:ind w:firstLine="420" w:firstLineChars="200"/>
      </w:pPr>
      <w:r>
        <w:rPr>
          <w:rFonts w:hint="eastAsia" w:cs="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6"/>
        <w:spacing w:before="120" w:beforeLines="50" w:after="120" w:afterLines="50" w:line="460" w:lineRule="exact"/>
        <w:rPr>
          <w:rFonts w:ascii="Times New Roman" w:hAnsi="Times New Roman" w:cs="宋体"/>
          <w:b w:val="0"/>
          <w:bCs/>
          <w:sz w:val="28"/>
          <w:szCs w:val="28"/>
        </w:rPr>
      </w:pPr>
      <w:bookmarkStart w:id="414" w:name="_Toc184916580"/>
      <w:bookmarkStart w:id="415" w:name="_Toc152045578"/>
      <w:bookmarkStart w:id="416" w:name="_Toc179632596"/>
      <w:bookmarkStart w:id="417" w:name="_Toc152042354"/>
      <w:bookmarkStart w:id="418" w:name="_Toc27719"/>
      <w:bookmarkStart w:id="419" w:name="_Toc448700536"/>
      <w:bookmarkStart w:id="420" w:name="_Toc20681"/>
      <w:bookmarkStart w:id="421" w:name="_Toc144974546"/>
      <w:r>
        <w:rPr>
          <w:rFonts w:ascii="Times New Roman" w:hAnsi="Times New Roman" w:cs="宋体"/>
          <w:b w:val="0"/>
          <w:bCs/>
          <w:sz w:val="28"/>
          <w:szCs w:val="28"/>
        </w:rPr>
        <w:t xml:space="preserve">10.4 </w:t>
      </w:r>
      <w:r>
        <w:rPr>
          <w:rFonts w:hint="eastAsia" w:ascii="Times New Roman" w:hAnsi="Times New Roman" w:cs="宋体"/>
          <w:b w:val="0"/>
          <w:bCs/>
          <w:sz w:val="28"/>
          <w:szCs w:val="28"/>
        </w:rPr>
        <w:t>对与评标活动有关的工作人员的纪律要求</w:t>
      </w:r>
      <w:bookmarkEnd w:id="414"/>
      <w:bookmarkEnd w:id="415"/>
      <w:bookmarkEnd w:id="416"/>
      <w:bookmarkEnd w:id="417"/>
      <w:bookmarkEnd w:id="418"/>
      <w:bookmarkEnd w:id="419"/>
      <w:bookmarkEnd w:id="420"/>
    </w:p>
    <w:p>
      <w:pPr>
        <w:spacing w:line="460" w:lineRule="exact"/>
        <w:ind w:firstLine="420" w:firstLineChars="200"/>
      </w:pPr>
      <w:bookmarkStart w:id="422" w:name="_Toc152042355"/>
      <w:r>
        <w:rPr>
          <w:rFonts w:hint="eastAsia" w:cs="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422"/>
    </w:p>
    <w:p>
      <w:pPr>
        <w:pStyle w:val="6"/>
        <w:spacing w:before="120" w:beforeLines="50" w:after="120" w:afterLines="50" w:line="460" w:lineRule="exact"/>
        <w:rPr>
          <w:rFonts w:ascii="Times New Roman" w:hAnsi="Times New Roman" w:cs="宋体"/>
          <w:b w:val="0"/>
          <w:bCs/>
          <w:sz w:val="28"/>
          <w:szCs w:val="28"/>
        </w:rPr>
      </w:pPr>
      <w:bookmarkStart w:id="423" w:name="_Toc184916581"/>
      <w:bookmarkStart w:id="424" w:name="_Toc32147"/>
      <w:bookmarkStart w:id="425" w:name="_Toc152042356"/>
      <w:bookmarkStart w:id="426" w:name="_Toc448700537"/>
      <w:bookmarkStart w:id="427" w:name="_Toc4117"/>
      <w:bookmarkStart w:id="428" w:name="_Toc152045579"/>
      <w:bookmarkStart w:id="429" w:name="_Toc179632597"/>
      <w:r>
        <w:rPr>
          <w:rFonts w:ascii="Times New Roman" w:hAnsi="Times New Roman" w:cs="宋体"/>
          <w:b w:val="0"/>
          <w:bCs/>
          <w:sz w:val="28"/>
          <w:szCs w:val="28"/>
        </w:rPr>
        <w:t xml:space="preserve">10.5 </w:t>
      </w:r>
      <w:r>
        <w:rPr>
          <w:rFonts w:hint="eastAsia" w:ascii="Times New Roman" w:hAnsi="Times New Roman" w:cs="宋体"/>
          <w:b w:val="0"/>
          <w:bCs/>
          <w:sz w:val="28"/>
          <w:szCs w:val="28"/>
        </w:rPr>
        <w:t>投诉</w:t>
      </w:r>
      <w:bookmarkEnd w:id="421"/>
      <w:bookmarkEnd w:id="423"/>
      <w:bookmarkEnd w:id="424"/>
      <w:bookmarkEnd w:id="425"/>
      <w:bookmarkEnd w:id="426"/>
      <w:bookmarkEnd w:id="427"/>
      <w:bookmarkEnd w:id="428"/>
      <w:bookmarkEnd w:id="429"/>
    </w:p>
    <w:p>
      <w:pPr>
        <w:spacing w:line="460" w:lineRule="exact"/>
        <w:ind w:firstLine="420" w:firstLineChars="200"/>
        <w:rPr>
          <w:rFonts w:cs="宋体"/>
        </w:rPr>
      </w:pPr>
      <w:r>
        <w:rPr>
          <w:rFonts w:hint="eastAsia" w:cs="宋体"/>
        </w:rPr>
        <w:t>投标人或者其他利害关系人在规定期限内未收到质疑答复，或者对质疑答复不满意的，可以在答复期满后15个工作日内向下达采购任务的采购管理部门，或采购服务机构上一级采购管理部门书面提起投诉，投诉应当有明确的请求和必要的证明材料。</w:t>
      </w:r>
      <w:bookmarkStart w:id="430" w:name="_Toc144974547"/>
      <w:bookmarkStart w:id="431" w:name="_Toc152045580"/>
      <w:bookmarkStart w:id="432" w:name="_Toc152042357"/>
      <w:bookmarkStart w:id="433" w:name="_Toc179632598"/>
    </w:p>
    <w:p>
      <w:pPr>
        <w:pStyle w:val="6"/>
        <w:spacing w:before="120" w:beforeLines="50" w:after="120" w:afterLines="50" w:line="460" w:lineRule="exact"/>
        <w:rPr>
          <w:rFonts w:ascii="Times New Roman" w:hAnsi="Times New Roman" w:cs="宋体"/>
          <w:b w:val="0"/>
          <w:bCs/>
          <w:sz w:val="28"/>
          <w:szCs w:val="28"/>
        </w:rPr>
      </w:pPr>
      <w:bookmarkStart w:id="434" w:name="_Toc184916582"/>
      <w:r>
        <w:rPr>
          <w:rFonts w:hint="eastAsia" w:ascii="Times New Roman" w:hAnsi="Times New Roman" w:cs="宋体"/>
          <w:b w:val="0"/>
          <w:bCs/>
          <w:sz w:val="28"/>
          <w:szCs w:val="28"/>
        </w:rPr>
        <w:t>11.</w:t>
      </w:r>
      <w:r>
        <w:rPr>
          <w:rFonts w:ascii="Times New Roman" w:hAnsi="Times New Roman" w:cs="宋体"/>
          <w:b w:val="0"/>
          <w:bCs/>
          <w:sz w:val="28"/>
          <w:szCs w:val="28"/>
        </w:rPr>
        <w:t>军队工程建设项目参建企业行为负面清单</w:t>
      </w:r>
      <w:bookmarkEnd w:id="434"/>
    </w:p>
    <w:p>
      <w:pPr>
        <w:spacing w:line="460" w:lineRule="exact"/>
        <w:ind w:firstLine="420" w:firstLineChars="200"/>
        <w:rPr>
          <w:rFonts w:cs="宋体"/>
        </w:rPr>
      </w:pPr>
      <w:r>
        <w:rPr>
          <w:rFonts w:cs="宋体"/>
        </w:rPr>
        <w:t>11.1在军队工程发包活动中组织或者参与围标串标的；</w:t>
      </w:r>
    </w:p>
    <w:p>
      <w:pPr>
        <w:spacing w:line="460" w:lineRule="exact"/>
        <w:ind w:firstLine="420" w:firstLineChars="200"/>
        <w:rPr>
          <w:rFonts w:cs="宋体"/>
        </w:rPr>
      </w:pPr>
      <w:r>
        <w:rPr>
          <w:rFonts w:cs="宋体"/>
        </w:rPr>
        <w:t>11.2在军队工程发包活动中采取操纵评标委员会成员等违规手段谋取中标的；</w:t>
      </w:r>
    </w:p>
    <w:p>
      <w:pPr>
        <w:spacing w:line="460" w:lineRule="exact"/>
        <w:ind w:firstLine="420" w:firstLineChars="200"/>
        <w:rPr>
          <w:rFonts w:cs="宋体"/>
        </w:rPr>
      </w:pPr>
      <w:r>
        <w:rPr>
          <w:rFonts w:cs="宋体"/>
        </w:rPr>
        <w:t>11.3在军队工程发包活动中诬告乱告、恶意申述，扰乱军队工程发包活动的；</w:t>
      </w:r>
    </w:p>
    <w:p>
      <w:pPr>
        <w:spacing w:line="460" w:lineRule="exact"/>
        <w:ind w:firstLine="420" w:firstLineChars="200"/>
        <w:rPr>
          <w:rFonts w:cs="宋体"/>
        </w:rPr>
      </w:pPr>
      <w:r>
        <w:rPr>
          <w:rFonts w:cs="宋体"/>
        </w:rPr>
        <w:t>11.4挂靠借用其他单位资质证书，或者以其他弄虚作假方式承揽工程的；</w:t>
      </w:r>
    </w:p>
    <w:p>
      <w:pPr>
        <w:spacing w:line="460" w:lineRule="exact"/>
        <w:ind w:firstLine="420" w:firstLineChars="200"/>
        <w:rPr>
          <w:rFonts w:cs="宋体"/>
        </w:rPr>
      </w:pPr>
      <w:r>
        <w:rPr>
          <w:rFonts w:cs="宋体"/>
        </w:rPr>
        <w:t>11.5转让、出借企业资质证书或者以其他方式允许他人以本企业名义承揽工程的；</w:t>
      </w:r>
    </w:p>
    <w:p>
      <w:pPr>
        <w:spacing w:line="460" w:lineRule="exact"/>
        <w:ind w:firstLine="420" w:firstLineChars="200"/>
        <w:rPr>
          <w:rFonts w:cs="宋体"/>
        </w:rPr>
      </w:pPr>
      <w:r>
        <w:rPr>
          <w:rFonts w:cs="宋体"/>
        </w:rPr>
        <w:t>11.6将承包的全部工程转包，或者肢解后以分包名义分别转包的；</w:t>
      </w:r>
    </w:p>
    <w:p>
      <w:pPr>
        <w:spacing w:line="460" w:lineRule="exact"/>
        <w:ind w:firstLine="420" w:firstLineChars="200"/>
        <w:rPr>
          <w:rFonts w:cs="宋体"/>
        </w:rPr>
      </w:pPr>
      <w:r>
        <w:rPr>
          <w:rFonts w:cs="宋体"/>
        </w:rPr>
        <w:t>11.7将承包的工程进行违法分包，情节严重的；</w:t>
      </w:r>
    </w:p>
    <w:p>
      <w:pPr>
        <w:spacing w:line="460" w:lineRule="exact"/>
        <w:ind w:firstLine="420" w:firstLineChars="200"/>
        <w:rPr>
          <w:rFonts w:cs="宋体"/>
        </w:rPr>
      </w:pPr>
      <w:r>
        <w:rPr>
          <w:rFonts w:cs="宋体"/>
        </w:rPr>
        <w:t>11.8擅自更换项目主要管理人员，或者主要管理人员未经批准擅自职守，情节严重的；</w:t>
      </w:r>
    </w:p>
    <w:p>
      <w:pPr>
        <w:spacing w:line="460" w:lineRule="exact"/>
        <w:ind w:firstLine="420" w:firstLineChars="200"/>
        <w:rPr>
          <w:rFonts w:cs="宋体"/>
        </w:rPr>
      </w:pPr>
      <w:r>
        <w:rPr>
          <w:rFonts w:cs="宋体"/>
        </w:rPr>
        <w:t>11.9使用假冒伪劣产品、设备材料，或者施工中偷工减料、以次充好，情节严重的；</w:t>
      </w:r>
    </w:p>
    <w:p>
      <w:pPr>
        <w:spacing w:line="460" w:lineRule="exact"/>
        <w:ind w:firstLine="420" w:firstLineChars="200"/>
        <w:rPr>
          <w:rFonts w:cs="宋体"/>
        </w:rPr>
      </w:pPr>
      <w:r>
        <w:rPr>
          <w:rFonts w:cs="宋体"/>
        </w:rPr>
        <w:t>11.10未按工程质量管理要求进行检验检测，或者在检验检测中弄虚作假，指使或者肢解伪造鉴定结论，出具虚假检测数据、报告或者证明材料，情节严重的；</w:t>
      </w:r>
    </w:p>
    <w:p>
      <w:pPr>
        <w:spacing w:line="460" w:lineRule="exact"/>
        <w:ind w:firstLine="420" w:firstLineChars="200"/>
        <w:rPr>
          <w:rFonts w:cs="宋体"/>
        </w:rPr>
      </w:pPr>
      <w:r>
        <w:rPr>
          <w:rFonts w:cs="宋体"/>
        </w:rPr>
        <w:t>11.11监理企业与建设单位或者施工企业串通，弄虚作假、降低工程质量，或者将不合格的建设工程、建筑材料、建筑构配件和设备按照合格签字的；</w:t>
      </w:r>
    </w:p>
    <w:p>
      <w:pPr>
        <w:spacing w:line="460" w:lineRule="exact"/>
        <w:ind w:firstLine="420" w:firstLineChars="200"/>
        <w:rPr>
          <w:rFonts w:cs="宋体"/>
        </w:rPr>
      </w:pPr>
      <w:r>
        <w:rPr>
          <w:rFonts w:cs="宋体"/>
        </w:rPr>
        <w:t>11.12因承包人违法违规，导致发生劳资纠纷、劳务纠纷、商务纠纷或者群体性事件造成不良社会影响的；</w:t>
      </w:r>
    </w:p>
    <w:p>
      <w:pPr>
        <w:spacing w:line="460" w:lineRule="exact"/>
        <w:ind w:firstLine="422" w:firstLineChars="200"/>
        <w:rPr>
          <w:rFonts w:cs="宋体"/>
          <w:b/>
          <w:bCs/>
          <w:szCs w:val="22"/>
        </w:rPr>
      </w:pPr>
      <w:r>
        <w:rPr>
          <w:rFonts w:hint="eastAsia" w:cs="宋体"/>
          <w:b/>
          <w:bCs/>
          <w:szCs w:val="22"/>
          <w:u w:val="single"/>
        </w:rPr>
        <w:t>其中，对于直接涉事企业，给予禁止参加军队采购活动等处罚；对于项目相关责任人，情节严重、性质恶劣的，列入军队项目“黑名单”，实施行业禁入。处罚决定在军队采购网发布公告、列入“军队采购失信名单”，全军范围内生效。直接涉事企业违法违规问题，同步函告属地政府有关负责部门，并协调依法进行处理。</w:t>
      </w:r>
    </w:p>
    <w:p>
      <w:pPr>
        <w:pStyle w:val="6"/>
        <w:spacing w:before="120" w:beforeLines="50" w:after="120" w:afterLines="50" w:line="460" w:lineRule="exact"/>
        <w:rPr>
          <w:rFonts w:ascii="Times New Roman" w:hAnsi="Times New Roman" w:cs="宋体"/>
          <w:b w:val="0"/>
          <w:bCs/>
          <w:sz w:val="28"/>
          <w:szCs w:val="28"/>
        </w:rPr>
      </w:pPr>
      <w:bookmarkStart w:id="435" w:name="_Toc184916583"/>
      <w:bookmarkStart w:id="436" w:name="_Toc28371"/>
      <w:r>
        <w:rPr>
          <w:rFonts w:hint="eastAsia" w:ascii="Times New Roman" w:hAnsi="Times New Roman" w:cs="宋体"/>
          <w:b w:val="0"/>
          <w:bCs/>
          <w:sz w:val="28"/>
          <w:szCs w:val="28"/>
        </w:rPr>
        <w:t>12.需要补充的其他内容</w:t>
      </w:r>
      <w:bookmarkEnd w:id="430"/>
      <w:bookmarkEnd w:id="431"/>
      <w:bookmarkEnd w:id="432"/>
      <w:bookmarkEnd w:id="433"/>
      <w:bookmarkEnd w:id="435"/>
      <w:bookmarkEnd w:id="436"/>
    </w:p>
    <w:p>
      <w:pPr>
        <w:spacing w:line="400" w:lineRule="exact"/>
        <w:ind w:firstLine="420" w:firstLineChars="200"/>
        <w:rPr>
          <w:rFonts w:ascii="宋体" w:hAnsi="宋体" w:cs="宋体"/>
          <w:szCs w:val="21"/>
        </w:rPr>
      </w:pPr>
      <w:r>
        <w:rPr>
          <w:rFonts w:hint="eastAsia" w:ascii="宋体" w:hAnsi="宋体" w:cs="宋体"/>
          <w:szCs w:val="21"/>
        </w:rPr>
        <w:t>12.1在资信业绩部分评审时，投标人</w:t>
      </w:r>
      <w:r>
        <w:rPr>
          <w:rFonts w:hint="eastAsia" w:ascii="宋体" w:hAnsi="宋体" w:cs="宋体"/>
          <w:szCs w:val="21"/>
          <w:lang w:val="zh-CN"/>
        </w:rPr>
        <w:t>所属子公司、</w:t>
      </w:r>
      <w:r>
        <w:rPr>
          <w:rFonts w:hint="eastAsia" w:ascii="宋体" w:hAnsi="宋体" w:cs="宋体"/>
          <w:szCs w:val="21"/>
        </w:rPr>
        <w:t>分公司</w:t>
      </w:r>
      <w:r>
        <w:rPr>
          <w:rFonts w:hint="eastAsia" w:ascii="宋体" w:hAnsi="宋体" w:cs="宋体"/>
          <w:szCs w:val="21"/>
          <w:lang w:val="zh-CN"/>
        </w:rPr>
        <w:t>的资质、业绩等均不认定为投标人的资信业绩。</w:t>
      </w:r>
    </w:p>
    <w:p>
      <w:pPr>
        <w:spacing w:line="400" w:lineRule="exact"/>
        <w:ind w:firstLine="420" w:firstLineChars="200"/>
        <w:rPr>
          <w:rFonts w:ascii="宋体" w:hAnsi="宋体" w:cs="宋体"/>
          <w:szCs w:val="21"/>
        </w:rPr>
      </w:pPr>
      <w:r>
        <w:rPr>
          <w:rFonts w:hint="eastAsia" w:ascii="宋体" w:hAnsi="宋体" w:cs="宋体"/>
          <w:szCs w:val="21"/>
        </w:rPr>
        <w:t>12.2处于地方或军队禁止投标期内的投标人，按否决投标处理。</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投标人提供企业资质、业绩等证明材料时，需同时提供相关企业全国建筑市场监管公共服务平台、中国裁判文书网、军队采购网、信用中国网和省部级以上行业监管平台与诚信信息发布平台（与本企业相关，含公共资源交易中心平台）在线查询（确保内容真实、齐全、完整）、资信业绩承诺。对于无法通过在线查询的业绩，投标人须提供内容真实、齐全、完整的证明材料。</w:t>
      </w:r>
    </w:p>
    <w:p>
      <w:pPr>
        <w:spacing w:line="400" w:lineRule="exact"/>
        <w:ind w:firstLine="420" w:firstLineChars="200"/>
        <w:rPr>
          <w:rFonts w:ascii="宋体" w:hAnsi="宋体" w:cs="宋体"/>
          <w:szCs w:val="21"/>
          <w:lang w:val="zh-CN"/>
        </w:rPr>
      </w:pPr>
      <w:r>
        <w:rPr>
          <w:rFonts w:hint="eastAsia" w:ascii="宋体" w:hAnsi="宋体" w:cs="宋体"/>
          <w:szCs w:val="21"/>
        </w:rPr>
        <w:t xml:space="preserve">12.3 投标人在本次招标活动中被证实存在串通投标或提供虚假材料或有恶意投诉情形的，招标人将报上级主管部门，列入企业黑名单，并知会投标人行业主管部门进行处罚。 </w:t>
      </w:r>
    </w:p>
    <w:p>
      <w:pPr>
        <w:spacing w:line="400" w:lineRule="exact"/>
        <w:ind w:firstLine="420" w:firstLineChars="200"/>
        <w:rPr>
          <w:rFonts w:ascii="宋体" w:hAnsi="宋体" w:cs="宋体"/>
          <w:szCs w:val="21"/>
        </w:rPr>
      </w:pPr>
      <w:r>
        <w:rPr>
          <w:rFonts w:hint="eastAsia" w:ascii="宋体" w:hAnsi="宋体" w:cs="宋体"/>
          <w:szCs w:val="21"/>
        </w:rPr>
        <w:t>12.4 中标人不得因造价争议、进度款支付延误工程进度，及支付下游单位或个人工程款项。</w:t>
      </w:r>
    </w:p>
    <w:p>
      <w:pPr>
        <w:spacing w:line="400" w:lineRule="exact"/>
        <w:ind w:firstLine="420" w:firstLineChars="200"/>
        <w:rPr>
          <w:rFonts w:ascii="宋体" w:hAnsi="宋体" w:cs="宋体"/>
          <w:szCs w:val="21"/>
        </w:rPr>
      </w:pPr>
      <w:bookmarkStart w:id="437" w:name="_Toc8739009"/>
      <w:r>
        <w:rPr>
          <w:rFonts w:hint="eastAsia" w:ascii="宋体" w:hAnsi="宋体" w:cs="宋体"/>
          <w:szCs w:val="21"/>
        </w:rPr>
        <w:t>12.5 其他未尽事宜，按照国家、军队有关法律、法规执行。</w:t>
      </w:r>
      <w:bookmarkEnd w:id="437"/>
    </w:p>
    <w:p>
      <w:pPr>
        <w:spacing w:line="400" w:lineRule="exact"/>
        <w:ind w:firstLine="420" w:firstLineChars="200"/>
        <w:rPr>
          <w:rFonts w:ascii="宋体" w:hAnsi="宋体" w:cs="宋体"/>
          <w:szCs w:val="21"/>
        </w:rPr>
      </w:pPr>
      <w:bookmarkStart w:id="438" w:name="_Toc8739010"/>
      <w:r>
        <w:rPr>
          <w:rFonts w:hint="eastAsia" w:ascii="宋体" w:hAnsi="宋体" w:cs="宋体"/>
          <w:szCs w:val="21"/>
        </w:rPr>
        <w:t>12.6 本招标文件的解释权在招标人。</w:t>
      </w:r>
      <w:bookmarkEnd w:id="438"/>
    </w:p>
    <w:p>
      <w:pPr>
        <w:spacing w:line="460" w:lineRule="exact"/>
        <w:rPr>
          <w:rFonts w:ascii="黑体" w:hAnsi="黑体" w:eastAsia="黑体"/>
          <w:sz w:val="24"/>
          <w:szCs w:val="24"/>
        </w:rPr>
      </w:pPr>
      <w:r>
        <w:rPr>
          <w:rFonts w:ascii="宋体" w:hAnsi="宋体" w:cs="宋体"/>
          <w:szCs w:val="21"/>
        </w:rPr>
        <w:br w:type="page"/>
      </w:r>
      <w:bookmarkEnd w:id="28"/>
      <w:bookmarkEnd w:id="29"/>
    </w:p>
    <w:p>
      <w:pPr>
        <w:spacing w:line="460" w:lineRule="exact"/>
        <w:rPr>
          <w:rFonts w:ascii="黑体" w:hAnsi="黑体" w:eastAsia="黑体"/>
          <w:sz w:val="24"/>
          <w:szCs w:val="24"/>
        </w:rPr>
      </w:pPr>
      <w:r>
        <w:rPr>
          <w:rFonts w:hint="eastAsia" w:ascii="黑体" w:hAnsi="黑体" w:eastAsia="黑体"/>
          <w:sz w:val="24"/>
          <w:szCs w:val="24"/>
        </w:rPr>
        <w:t>附件</w:t>
      </w:r>
      <w:bookmarkEnd w:id="30"/>
      <w:bookmarkEnd w:id="31"/>
      <w:r>
        <w:rPr>
          <w:rFonts w:ascii="黑体" w:hAnsi="黑体" w:eastAsia="黑体"/>
          <w:sz w:val="24"/>
          <w:szCs w:val="24"/>
        </w:rPr>
        <w:t>1</w:t>
      </w:r>
    </w:p>
    <w:p>
      <w:pPr>
        <w:spacing w:line="460" w:lineRule="exact"/>
        <w:jc w:val="center"/>
        <w:rPr>
          <w:rFonts w:ascii="微软雅黑" w:hAnsi="微软雅黑" w:eastAsia="微软雅黑" w:cs="微软雅黑"/>
          <w:sz w:val="24"/>
          <w:szCs w:val="24"/>
        </w:rPr>
      </w:pPr>
      <w:r>
        <w:rPr>
          <w:rFonts w:hint="eastAsia" w:ascii="微软雅黑" w:hAnsi="微软雅黑" w:eastAsia="微软雅黑" w:cs="微软雅黑"/>
          <w:sz w:val="24"/>
          <w:szCs w:val="24"/>
        </w:rPr>
        <w:t>问题澄清通知</w:t>
      </w:r>
    </w:p>
    <w:p>
      <w:pPr>
        <w:spacing w:line="460" w:lineRule="exact"/>
        <w:ind w:firstLine="6120" w:firstLineChars="2550"/>
        <w:rPr>
          <w:rFonts w:ascii="仿宋_GB2312" w:eastAsia="仿宋_GB2312"/>
          <w:sz w:val="24"/>
          <w:szCs w:val="24"/>
          <w:u w:val="single"/>
        </w:rPr>
      </w:pPr>
      <w:r>
        <w:rPr>
          <w:rFonts w:hint="eastAsia" w:ascii="仿宋_GB2312" w:eastAsia="仿宋_GB2312"/>
          <w:sz w:val="24"/>
          <w:szCs w:val="24"/>
        </w:rPr>
        <w:t>编号：</w:t>
      </w:r>
      <w:r>
        <w:rPr>
          <w:rFonts w:hint="eastAsia" w:ascii="仿宋_GB2312" w:eastAsia="仿宋_GB2312"/>
          <w:sz w:val="24"/>
          <w:szCs w:val="24"/>
          <w:u w:val="single"/>
        </w:rPr>
        <w:t xml:space="preserve">                 </w:t>
      </w:r>
    </w:p>
    <w:p>
      <w:pPr>
        <w:spacing w:line="460" w:lineRule="exact"/>
        <w:rPr>
          <w:rFonts w:ascii="楷体_GB2312" w:eastAsia="楷体_GB2312"/>
          <w:sz w:val="24"/>
          <w:szCs w:val="24"/>
          <w:u w:val="single"/>
        </w:rPr>
      </w:pPr>
    </w:p>
    <w:p>
      <w:pPr>
        <w:spacing w:line="460" w:lineRule="exact"/>
        <w:rPr>
          <w:rFonts w:ascii="楷体_GB2312" w:eastAsia="楷体_GB2312"/>
          <w:sz w:val="24"/>
          <w:szCs w:val="24"/>
        </w:rPr>
      </w:pPr>
      <w:r>
        <w:rPr>
          <w:rFonts w:hint="eastAsia" w:ascii="楷体_GB2312" w:eastAsia="楷体_GB2312"/>
          <w:sz w:val="24"/>
          <w:szCs w:val="24"/>
          <w:u w:val="single"/>
        </w:rPr>
        <w:t xml:space="preserve">   </w:t>
      </w:r>
      <w:r>
        <w:rPr>
          <w:rFonts w:hint="eastAsia" w:ascii="宋体" w:hAnsi="宋体"/>
          <w:sz w:val="24"/>
          <w:szCs w:val="24"/>
          <w:u w:val="single"/>
        </w:rPr>
        <w:t xml:space="preserve"> </w:t>
      </w:r>
      <w:r>
        <w:rPr>
          <w:rFonts w:hint="eastAsia" w:ascii="楷体_GB2312" w:hAnsi="宋体" w:eastAsia="楷体_GB2312"/>
          <w:sz w:val="24"/>
          <w:szCs w:val="24"/>
          <w:u w:val="single"/>
        </w:rPr>
        <w:t xml:space="preserve">   </w:t>
      </w:r>
      <w:r>
        <w:rPr>
          <w:rFonts w:hint="eastAsia" w:ascii="楷体_GB2312" w:eastAsia="楷体_GB2312"/>
          <w:sz w:val="24"/>
          <w:szCs w:val="24"/>
          <w:u w:val="single"/>
        </w:rPr>
        <w:t xml:space="preserve">      </w:t>
      </w:r>
      <w:r>
        <w:rPr>
          <w:rFonts w:hint="eastAsia" w:ascii="楷体_GB2312" w:eastAsia="楷体_GB2312"/>
          <w:sz w:val="24"/>
          <w:szCs w:val="24"/>
        </w:rPr>
        <w:t>（投标人名称）：</w:t>
      </w:r>
    </w:p>
    <w:p>
      <w:pPr>
        <w:spacing w:line="460" w:lineRule="exact"/>
        <w:rPr>
          <w:rFonts w:ascii="楷体_GB2312" w:eastAsia="楷体_GB2312"/>
          <w:sz w:val="24"/>
          <w:szCs w:val="24"/>
        </w:rPr>
      </w:pPr>
    </w:p>
    <w:p>
      <w:pPr>
        <w:spacing w:line="460" w:lineRule="exact"/>
        <w:ind w:firstLine="480" w:firstLineChars="200"/>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（项目名称）评标委员会，对你方的投标文件进行了认真的审查，现需你方以书面形式对以下问题予以澄清、说明、补正或承诺。</w:t>
      </w:r>
    </w:p>
    <w:p>
      <w:pPr>
        <w:spacing w:line="460" w:lineRule="exact"/>
        <w:ind w:firstLine="480" w:firstLineChars="200"/>
        <w:rPr>
          <w:rFonts w:ascii="宋体" w:hAnsi="宋体"/>
          <w:sz w:val="24"/>
          <w:szCs w:val="24"/>
        </w:rPr>
      </w:pPr>
      <w:r>
        <w:rPr>
          <w:rFonts w:hint="eastAsia" w:ascii="宋体" w:hAnsi="宋体"/>
          <w:sz w:val="24"/>
          <w:szCs w:val="24"/>
        </w:rPr>
        <w:t>1.</w:t>
      </w:r>
    </w:p>
    <w:p>
      <w:pPr>
        <w:spacing w:line="460" w:lineRule="exact"/>
        <w:ind w:firstLine="480" w:firstLineChars="200"/>
        <w:rPr>
          <w:rFonts w:ascii="宋体" w:hAnsi="宋体"/>
          <w:sz w:val="24"/>
          <w:szCs w:val="24"/>
        </w:rPr>
      </w:pPr>
      <w:r>
        <w:rPr>
          <w:rFonts w:hint="eastAsia" w:ascii="宋体" w:hAnsi="宋体"/>
          <w:sz w:val="24"/>
          <w:szCs w:val="24"/>
        </w:rPr>
        <w:t>2.</w:t>
      </w:r>
    </w:p>
    <w:p>
      <w:pPr>
        <w:spacing w:line="460" w:lineRule="exact"/>
        <w:ind w:firstLine="480" w:firstLineChars="200"/>
        <w:rPr>
          <w:rFonts w:ascii="宋体" w:hAnsi="宋体"/>
          <w:sz w:val="24"/>
          <w:szCs w:val="24"/>
        </w:rPr>
      </w:pPr>
      <w:r>
        <w:rPr>
          <w:rFonts w:hint="eastAsia" w:ascii="宋体" w:hAnsi="宋体"/>
          <w:sz w:val="24"/>
          <w:szCs w:val="24"/>
        </w:rPr>
        <w:t>……</w:t>
      </w: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r>
        <w:rPr>
          <w:rFonts w:hint="eastAsia" w:ascii="宋体" w:hAnsi="宋体"/>
          <w:sz w:val="24"/>
          <w:szCs w:val="24"/>
        </w:rPr>
        <w:t>请于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r>
        <w:rPr>
          <w:rFonts w:hint="eastAsia" w:ascii="宋体" w:hAnsi="宋体"/>
          <w:sz w:val="24"/>
          <w:szCs w:val="24"/>
          <w:u w:val="single"/>
        </w:rPr>
        <w:t xml:space="preserve">     </w:t>
      </w:r>
      <w:r>
        <w:rPr>
          <w:rFonts w:hint="eastAsia" w:ascii="宋体" w:hAnsi="宋体"/>
          <w:sz w:val="24"/>
          <w:szCs w:val="24"/>
        </w:rPr>
        <w:t>时前将上述问题的澄清、说明、补正、承诺递交至招标会议现场。</w:t>
      </w: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right="420" w:firstLine="4920" w:firstLineChars="2050"/>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（项目名称）评标委员会</w:t>
      </w:r>
    </w:p>
    <w:p>
      <w:pPr>
        <w:spacing w:line="460" w:lineRule="exact"/>
        <w:ind w:firstLine="3000" w:firstLineChars="1250"/>
        <w:rPr>
          <w:rFonts w:ascii="宋体" w:hAnsi="宋体"/>
          <w:sz w:val="24"/>
          <w:szCs w:val="24"/>
        </w:rPr>
      </w:pPr>
      <w:r>
        <w:rPr>
          <w:rFonts w:hint="eastAsia" w:ascii="宋体" w:hAnsi="宋体"/>
          <w:sz w:val="24"/>
          <w:szCs w:val="24"/>
        </w:rPr>
        <w:t>（评标委员会组长或招标人代表签字）：</w:t>
      </w:r>
    </w:p>
    <w:p>
      <w:pPr>
        <w:spacing w:line="460" w:lineRule="exact"/>
        <w:ind w:right="480" w:firstLine="5640" w:firstLineChars="2350"/>
        <w:rPr>
          <w:rFonts w:ascii="宋体" w:hAnsi="宋体"/>
          <w:sz w:val="24"/>
          <w:szCs w:val="24"/>
        </w:rPr>
      </w:pPr>
      <w:r>
        <w:rPr>
          <w:rFonts w:hint="eastAsia" w:ascii="宋体" w:hAnsi="宋体" w:cs="仿宋_GB2312"/>
          <w:sz w:val="24"/>
          <w:szCs w:val="24"/>
        </w:rPr>
        <w:t xml:space="preserve">年    月    </w:t>
      </w:r>
      <w:r>
        <w:rPr>
          <w:rFonts w:hint="eastAsia" w:ascii="宋体" w:hAnsi="宋体"/>
          <w:sz w:val="24"/>
          <w:szCs w:val="24"/>
        </w:rPr>
        <w:t>日</w:t>
      </w:r>
    </w:p>
    <w:p>
      <w:pPr>
        <w:spacing w:line="460" w:lineRule="exact"/>
        <w:rPr>
          <w:rFonts w:ascii="仿宋_GB2312" w:eastAsia="仿宋_GB2312"/>
          <w:sz w:val="24"/>
          <w:szCs w:val="24"/>
        </w:rPr>
      </w:pPr>
      <w:r>
        <w:rPr>
          <w:rFonts w:ascii="宋体" w:hAnsi="宋体"/>
          <w:sz w:val="24"/>
          <w:szCs w:val="24"/>
        </w:rPr>
        <w:br w:type="page"/>
      </w:r>
      <w:bookmarkEnd w:id="32"/>
      <w:bookmarkEnd w:id="33"/>
      <w:r>
        <w:rPr>
          <w:rFonts w:hint="eastAsia" w:ascii="黑体" w:hAnsi="黑体" w:eastAsia="黑体"/>
          <w:sz w:val="24"/>
          <w:szCs w:val="24"/>
        </w:rPr>
        <w:t>附件</w:t>
      </w:r>
      <w:r>
        <w:rPr>
          <w:rFonts w:ascii="黑体" w:hAnsi="黑体" w:eastAsia="黑体"/>
          <w:sz w:val="24"/>
          <w:szCs w:val="24"/>
        </w:rPr>
        <w:t>2</w:t>
      </w:r>
    </w:p>
    <w:p>
      <w:pPr>
        <w:spacing w:line="460" w:lineRule="exact"/>
        <w:jc w:val="center"/>
        <w:rPr>
          <w:rFonts w:ascii="微软雅黑" w:hAnsi="微软雅黑" w:eastAsia="微软雅黑" w:cs="微软雅黑"/>
          <w:sz w:val="24"/>
          <w:szCs w:val="24"/>
        </w:rPr>
      </w:pPr>
      <w:r>
        <w:rPr>
          <w:rFonts w:hint="eastAsia" w:ascii="微软雅黑" w:hAnsi="微软雅黑" w:eastAsia="微软雅黑" w:cs="微软雅黑"/>
          <w:sz w:val="24"/>
          <w:szCs w:val="24"/>
        </w:rPr>
        <w:t>问题的澄清、说明、补正或承诺</w:t>
      </w:r>
    </w:p>
    <w:p>
      <w:pPr>
        <w:spacing w:line="460" w:lineRule="exact"/>
        <w:ind w:firstLine="6120" w:firstLineChars="2550"/>
        <w:rPr>
          <w:rFonts w:ascii="仿宋_GB2312" w:eastAsia="仿宋_GB2312"/>
          <w:sz w:val="24"/>
          <w:szCs w:val="24"/>
        </w:rPr>
      </w:pPr>
    </w:p>
    <w:p>
      <w:pPr>
        <w:spacing w:line="460" w:lineRule="exact"/>
        <w:ind w:firstLine="6120" w:firstLineChars="2550"/>
        <w:rPr>
          <w:rFonts w:ascii="仿宋_GB2312" w:eastAsia="仿宋_GB2312"/>
          <w:sz w:val="24"/>
          <w:szCs w:val="24"/>
          <w:u w:val="single"/>
        </w:rPr>
      </w:pPr>
      <w:r>
        <w:rPr>
          <w:rFonts w:hint="eastAsia" w:ascii="仿宋_GB2312" w:eastAsia="仿宋_GB2312"/>
          <w:sz w:val="24"/>
          <w:szCs w:val="24"/>
        </w:rPr>
        <w:t>编号：</w:t>
      </w:r>
      <w:r>
        <w:rPr>
          <w:rFonts w:hint="eastAsia" w:ascii="仿宋_GB2312" w:eastAsia="仿宋_GB2312"/>
          <w:sz w:val="24"/>
          <w:szCs w:val="24"/>
          <w:u w:val="single"/>
        </w:rPr>
        <w:t xml:space="preserve">                 </w:t>
      </w:r>
    </w:p>
    <w:p>
      <w:pPr>
        <w:spacing w:line="460" w:lineRule="exact"/>
        <w:rPr>
          <w:rFonts w:ascii="楷体_GB2312" w:eastAsia="楷体_GB2312"/>
          <w:sz w:val="24"/>
          <w:szCs w:val="24"/>
          <w:u w:val="single"/>
        </w:rPr>
      </w:pPr>
    </w:p>
    <w:p>
      <w:pPr>
        <w:spacing w:line="460" w:lineRule="exact"/>
        <w:rPr>
          <w:rFonts w:ascii="楷体_GB2312" w:eastAsia="楷体_GB2312"/>
          <w:sz w:val="24"/>
          <w:szCs w:val="24"/>
        </w:rPr>
      </w:pPr>
      <w:r>
        <w:rPr>
          <w:rFonts w:hint="eastAsia" w:asciiTheme="minorEastAsia" w:hAnsiTheme="minorEastAsia" w:eastAsiaTheme="minorEastAsia"/>
          <w:sz w:val="24"/>
          <w:szCs w:val="24"/>
          <w:u w:val="single"/>
          <w:lang w:val="en-US" w:eastAsia="zh-CN"/>
        </w:rPr>
        <w:t xml:space="preserve">                             </w:t>
      </w:r>
      <w:r>
        <w:rPr>
          <w:rFonts w:hint="eastAsia" w:ascii="楷体_GB2312" w:eastAsia="楷体_GB2312"/>
          <w:sz w:val="24"/>
          <w:szCs w:val="24"/>
          <w:u w:val="single"/>
        </w:rPr>
        <w:t xml:space="preserve"> </w:t>
      </w:r>
      <w:r>
        <w:rPr>
          <w:rFonts w:hint="eastAsia" w:ascii="楷体_GB2312" w:eastAsia="楷体_GB2312"/>
          <w:sz w:val="24"/>
          <w:szCs w:val="24"/>
        </w:rPr>
        <w:t>（项目名称）评标委员会：</w:t>
      </w:r>
    </w:p>
    <w:p>
      <w:pPr>
        <w:spacing w:line="460" w:lineRule="exact"/>
        <w:ind w:firstLine="480" w:firstLineChars="200"/>
        <w:rPr>
          <w:rFonts w:ascii="宋体" w:hAnsi="宋体"/>
          <w:sz w:val="24"/>
          <w:szCs w:val="24"/>
        </w:rPr>
      </w:pPr>
      <w:r>
        <w:rPr>
          <w:rFonts w:hint="eastAsia" w:ascii="宋体" w:hAnsi="宋体"/>
          <w:sz w:val="24"/>
          <w:szCs w:val="24"/>
        </w:rPr>
        <w:t>问题澄清通知（编号：</w:t>
      </w:r>
      <w:r>
        <w:rPr>
          <w:rFonts w:hint="eastAsia" w:ascii="宋体" w:hAnsi="宋体"/>
          <w:sz w:val="24"/>
          <w:szCs w:val="24"/>
          <w:u w:val="single"/>
        </w:rPr>
        <w:t xml:space="preserve">      </w:t>
      </w:r>
      <w:r>
        <w:rPr>
          <w:rFonts w:hint="eastAsia" w:ascii="宋体" w:hAnsi="宋体"/>
          <w:sz w:val="24"/>
          <w:szCs w:val="24"/>
        </w:rPr>
        <w:t>）已收悉，现澄清、说明、补正或承诺如下：</w:t>
      </w:r>
    </w:p>
    <w:p>
      <w:pPr>
        <w:spacing w:line="460" w:lineRule="exact"/>
        <w:ind w:firstLine="480" w:firstLineChars="200"/>
        <w:rPr>
          <w:rFonts w:ascii="宋体" w:hAnsi="宋体"/>
          <w:sz w:val="24"/>
          <w:szCs w:val="24"/>
        </w:rPr>
      </w:pPr>
      <w:r>
        <w:rPr>
          <w:rFonts w:hint="eastAsia" w:ascii="宋体" w:hAnsi="宋体"/>
          <w:sz w:val="24"/>
          <w:szCs w:val="24"/>
        </w:rPr>
        <w:t>1.</w:t>
      </w:r>
    </w:p>
    <w:p>
      <w:pPr>
        <w:spacing w:line="460" w:lineRule="exact"/>
        <w:ind w:firstLine="480" w:firstLineChars="200"/>
        <w:rPr>
          <w:rFonts w:ascii="宋体" w:hAnsi="宋体"/>
          <w:sz w:val="24"/>
          <w:szCs w:val="24"/>
        </w:rPr>
      </w:pPr>
      <w:r>
        <w:rPr>
          <w:rFonts w:hint="eastAsia" w:ascii="宋体" w:hAnsi="宋体"/>
          <w:sz w:val="24"/>
          <w:szCs w:val="24"/>
        </w:rPr>
        <w:t>2.</w:t>
      </w:r>
    </w:p>
    <w:p>
      <w:pPr>
        <w:spacing w:line="460" w:lineRule="exact"/>
        <w:ind w:firstLine="480" w:firstLineChars="200"/>
        <w:rPr>
          <w:rFonts w:ascii="宋体" w:hAnsi="宋体"/>
          <w:sz w:val="24"/>
          <w:szCs w:val="24"/>
        </w:rPr>
      </w:pPr>
      <w:r>
        <w:rPr>
          <w:rFonts w:hint="eastAsia" w:ascii="宋体" w:hAnsi="宋体"/>
          <w:sz w:val="24"/>
          <w:szCs w:val="24"/>
        </w:rPr>
        <w:t>……</w:t>
      </w: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right="1080"/>
        <w:rPr>
          <w:rFonts w:ascii="宋体" w:hAnsi="宋体"/>
          <w:sz w:val="24"/>
          <w:szCs w:val="24"/>
        </w:rPr>
      </w:pPr>
    </w:p>
    <w:p>
      <w:pPr>
        <w:spacing w:line="460" w:lineRule="exact"/>
        <w:ind w:right="1080" w:firstLine="4440" w:firstLineChars="1850"/>
        <w:rPr>
          <w:rFonts w:ascii="宋体" w:hAnsi="宋体"/>
          <w:sz w:val="24"/>
          <w:szCs w:val="24"/>
        </w:rPr>
      </w:pPr>
      <w:r>
        <w:rPr>
          <w:rFonts w:hint="eastAsia" w:ascii="宋体" w:hAnsi="宋体"/>
          <w:sz w:val="24"/>
          <w:szCs w:val="24"/>
        </w:rPr>
        <w:t>投标人：</w:t>
      </w:r>
      <w:r>
        <w:rPr>
          <w:rFonts w:hint="eastAsia" w:ascii="宋体" w:hAnsi="宋体"/>
          <w:sz w:val="24"/>
          <w:szCs w:val="24"/>
          <w:u w:val="single"/>
        </w:rPr>
        <w:t xml:space="preserve">              </w:t>
      </w:r>
    </w:p>
    <w:p>
      <w:pPr>
        <w:spacing w:line="460" w:lineRule="exact"/>
        <w:ind w:right="690"/>
        <w:rPr>
          <w:rFonts w:ascii="宋体" w:hAnsi="宋体"/>
          <w:sz w:val="24"/>
          <w:szCs w:val="24"/>
        </w:rPr>
      </w:pPr>
    </w:p>
    <w:p>
      <w:pPr>
        <w:spacing w:line="460" w:lineRule="exact"/>
        <w:ind w:right="690" w:firstLine="4440" w:firstLineChars="1850"/>
        <w:rPr>
          <w:rFonts w:ascii="宋体" w:hAnsi="宋体"/>
          <w:sz w:val="24"/>
          <w:szCs w:val="24"/>
        </w:rPr>
      </w:pPr>
      <w:r>
        <w:rPr>
          <w:rFonts w:hint="eastAsia" w:ascii="宋体" w:hAnsi="宋体"/>
          <w:sz w:val="24"/>
          <w:szCs w:val="24"/>
        </w:rPr>
        <w:t>法定代表人</w:t>
      </w:r>
    </w:p>
    <w:p>
      <w:pPr>
        <w:spacing w:line="460" w:lineRule="exact"/>
        <w:ind w:right="690" w:firstLine="4440" w:firstLineChars="1850"/>
        <w:rPr>
          <w:rFonts w:ascii="宋体" w:hAnsi="宋体"/>
          <w:sz w:val="24"/>
          <w:szCs w:val="24"/>
        </w:rPr>
      </w:pPr>
      <w:r>
        <w:rPr>
          <w:rFonts w:hint="eastAsia" w:ascii="宋体" w:hAnsi="宋体"/>
          <w:sz w:val="24"/>
          <w:szCs w:val="24"/>
        </w:rPr>
        <w:t>或其委托代理人（签字）：</w:t>
      </w:r>
    </w:p>
    <w:p>
      <w:pPr>
        <w:spacing w:line="460" w:lineRule="exact"/>
        <w:ind w:right="480"/>
        <w:rPr>
          <w:rFonts w:ascii="宋体" w:hAnsi="宋体"/>
          <w:sz w:val="24"/>
          <w:szCs w:val="24"/>
        </w:rPr>
      </w:pPr>
      <w:r>
        <w:rPr>
          <w:rFonts w:hint="eastAsia" w:ascii="宋体" w:hAnsi="宋体"/>
          <w:sz w:val="24"/>
          <w:szCs w:val="24"/>
        </w:rPr>
        <w:t xml:space="preserve">                                         </w:t>
      </w:r>
      <w:r>
        <w:rPr>
          <w:rFonts w:hint="eastAsia" w:ascii="宋体" w:hAnsi="宋体" w:cs="仿宋_GB2312"/>
          <w:sz w:val="24"/>
          <w:szCs w:val="24"/>
        </w:rPr>
        <w:t xml:space="preserve">年    月    </w:t>
      </w:r>
      <w:r>
        <w:rPr>
          <w:rFonts w:hint="eastAsia" w:ascii="宋体" w:hAnsi="宋体"/>
          <w:sz w:val="24"/>
          <w:szCs w:val="24"/>
        </w:rPr>
        <w:t>日</w:t>
      </w:r>
    </w:p>
    <w:p>
      <w:pPr>
        <w:spacing w:line="460" w:lineRule="exact"/>
        <w:rPr>
          <w:rFonts w:ascii="仿宋_GB2312" w:eastAsia="仿宋_GB2312"/>
          <w:sz w:val="24"/>
          <w:szCs w:val="24"/>
        </w:rPr>
      </w:pPr>
      <w:r>
        <w:rPr>
          <w:rFonts w:ascii="宋体" w:hAnsi="宋体"/>
          <w:sz w:val="24"/>
          <w:szCs w:val="24"/>
        </w:rPr>
        <w:br w:type="page"/>
      </w:r>
      <w:r>
        <w:rPr>
          <w:rFonts w:hint="eastAsia" w:ascii="黑体" w:hAnsi="黑体" w:eastAsia="黑体"/>
          <w:sz w:val="24"/>
          <w:szCs w:val="24"/>
        </w:rPr>
        <w:t>附件</w:t>
      </w:r>
      <w:r>
        <w:rPr>
          <w:rFonts w:ascii="黑体" w:hAnsi="黑体" w:eastAsia="黑体"/>
          <w:sz w:val="24"/>
          <w:szCs w:val="24"/>
        </w:rPr>
        <w:t>3</w:t>
      </w:r>
    </w:p>
    <w:p>
      <w:pPr>
        <w:spacing w:line="460" w:lineRule="exact"/>
        <w:jc w:val="center"/>
        <w:rPr>
          <w:rFonts w:ascii="微软雅黑" w:hAnsi="微软雅黑" w:eastAsia="微软雅黑" w:cs="微软雅黑"/>
          <w:sz w:val="24"/>
          <w:szCs w:val="24"/>
        </w:rPr>
      </w:pPr>
      <w:r>
        <w:rPr>
          <w:rFonts w:hint="eastAsia" w:ascii="微软雅黑" w:hAnsi="微软雅黑" w:eastAsia="微软雅黑" w:cs="微软雅黑"/>
          <w:sz w:val="24"/>
          <w:szCs w:val="24"/>
        </w:rPr>
        <w:t>全过程工程咨询中标通知书</w:t>
      </w:r>
    </w:p>
    <w:p>
      <w:pPr>
        <w:spacing w:line="460" w:lineRule="exact"/>
        <w:ind w:right="-315" w:rightChars="-150"/>
        <w:rPr>
          <w:rFonts w:ascii="楷体_GB2312" w:hAnsi="宋体" w:eastAsia="楷体_GB2312"/>
          <w:sz w:val="24"/>
          <w:u w:val="single"/>
        </w:rPr>
      </w:pPr>
    </w:p>
    <w:p>
      <w:pPr>
        <w:spacing w:line="460" w:lineRule="exact"/>
        <w:ind w:right="-315" w:rightChars="-150"/>
        <w:rPr>
          <w:rFonts w:ascii="楷体_GB2312" w:hAnsi="宋体" w:eastAsia="楷体_GB2312"/>
          <w:b/>
          <w:bCs/>
          <w:sz w:val="24"/>
        </w:rPr>
      </w:pPr>
      <w:r>
        <w:rPr>
          <w:rFonts w:hint="eastAsia" w:ascii="楷体_GB2312" w:hAnsi="宋体" w:eastAsia="楷体_GB2312"/>
          <w:sz w:val="24"/>
          <w:u w:val="single"/>
        </w:rPr>
        <w:t xml:space="preserve">             </w:t>
      </w:r>
      <w:r>
        <w:rPr>
          <w:rFonts w:hint="eastAsia" w:ascii="楷体_GB2312" w:hAnsi="宋体" w:eastAsia="楷体_GB2312"/>
          <w:sz w:val="24"/>
        </w:rPr>
        <w:t>：</w:t>
      </w:r>
    </w:p>
    <w:p>
      <w:pPr>
        <w:spacing w:line="460" w:lineRule="exact"/>
        <w:ind w:right="-34" w:rightChars="-16" w:firstLine="480" w:firstLineChars="200"/>
        <w:rPr>
          <w:rFonts w:ascii="宋体" w:hAnsi="宋体"/>
          <w:sz w:val="24"/>
        </w:rPr>
      </w:pPr>
      <w:r>
        <w:rPr>
          <w:rFonts w:hint="eastAsia" w:ascii="宋体" w:hAnsi="宋体"/>
          <w:sz w:val="24"/>
        </w:rPr>
        <w:t>根据评标委员会提交的评标情况报告和推荐的中标候选人情况，以及招标文件中规定的原则和方法，现确定你单位为下述项目的中标人。主要内容如下：</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Align w:val="center"/>
          </w:tcPr>
          <w:p>
            <w:pPr>
              <w:jc w:val="center"/>
              <w:rPr>
                <w:rFonts w:ascii="宋体" w:hAnsi="宋体"/>
                <w:sz w:val="24"/>
              </w:rPr>
            </w:pPr>
            <w:r>
              <w:rPr>
                <w:rFonts w:hint="eastAsia" w:ascii="宋体" w:hAnsi="宋体"/>
                <w:sz w:val="24"/>
              </w:rPr>
              <w:t>项目名称</w:t>
            </w:r>
          </w:p>
        </w:tc>
        <w:tc>
          <w:tcPr>
            <w:tcW w:w="753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Align w:val="center"/>
          </w:tcPr>
          <w:p>
            <w:pPr>
              <w:jc w:val="center"/>
              <w:rPr>
                <w:rFonts w:ascii="宋体" w:hAnsi="宋体"/>
                <w:sz w:val="24"/>
              </w:rPr>
            </w:pPr>
            <w:r>
              <w:rPr>
                <w:rFonts w:hint="eastAsia" w:ascii="宋体" w:hAnsi="宋体"/>
                <w:sz w:val="24"/>
              </w:rPr>
              <w:t>服务范围</w:t>
            </w:r>
          </w:p>
        </w:tc>
        <w:tc>
          <w:tcPr>
            <w:tcW w:w="7534" w:type="dxa"/>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Align w:val="center"/>
          </w:tcPr>
          <w:p>
            <w:pPr>
              <w:jc w:val="center"/>
              <w:rPr>
                <w:rFonts w:ascii="宋体" w:hAnsi="宋体"/>
                <w:sz w:val="24"/>
              </w:rPr>
            </w:pPr>
            <w:r>
              <w:rPr>
                <w:rFonts w:hint="eastAsia" w:ascii="宋体" w:hAnsi="宋体"/>
                <w:sz w:val="24"/>
              </w:rPr>
              <w:t>服务期限</w:t>
            </w:r>
          </w:p>
        </w:tc>
        <w:tc>
          <w:tcPr>
            <w:tcW w:w="7534" w:type="dxa"/>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Align w:val="center"/>
          </w:tcPr>
          <w:p>
            <w:pPr>
              <w:jc w:val="center"/>
              <w:rPr>
                <w:rFonts w:ascii="宋体" w:hAnsi="宋体"/>
                <w:sz w:val="24"/>
              </w:rPr>
            </w:pPr>
            <w:r>
              <w:rPr>
                <w:rFonts w:hint="eastAsia" w:ascii="宋体" w:hAnsi="宋体"/>
                <w:sz w:val="24"/>
              </w:rPr>
              <w:t>中标费率</w:t>
            </w:r>
          </w:p>
        </w:tc>
        <w:tc>
          <w:tcPr>
            <w:tcW w:w="753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Align w:val="center"/>
          </w:tcPr>
          <w:p>
            <w:pPr>
              <w:jc w:val="center"/>
              <w:rPr>
                <w:rFonts w:ascii="宋体" w:hAnsi="宋体"/>
                <w:sz w:val="24"/>
              </w:rPr>
            </w:pPr>
            <w:r>
              <w:rPr>
                <w:rFonts w:hint="eastAsia" w:ascii="宋体" w:hAnsi="宋体"/>
                <w:sz w:val="24"/>
              </w:rPr>
              <w:t>总咨询师</w:t>
            </w:r>
          </w:p>
        </w:tc>
        <w:tc>
          <w:tcPr>
            <w:tcW w:w="753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Align w:val="center"/>
          </w:tcPr>
          <w:p>
            <w:pPr>
              <w:jc w:val="center"/>
              <w:rPr>
                <w:rFonts w:ascii="宋体" w:hAnsi="宋体"/>
                <w:sz w:val="24"/>
              </w:rPr>
            </w:pPr>
            <w:r>
              <w:rPr>
                <w:rFonts w:hint="eastAsia" w:ascii="宋体" w:hAnsi="宋体"/>
                <w:sz w:val="24"/>
              </w:rPr>
              <w:t>备注</w:t>
            </w:r>
          </w:p>
        </w:tc>
        <w:tc>
          <w:tcPr>
            <w:tcW w:w="7534" w:type="dxa"/>
            <w:vAlign w:val="center"/>
          </w:tcPr>
          <w:p>
            <w:pPr>
              <w:jc w:val="left"/>
              <w:rPr>
                <w:rFonts w:ascii="宋体" w:hAnsi="宋体"/>
                <w:sz w:val="24"/>
              </w:rPr>
            </w:pPr>
            <w:r>
              <w:rPr>
                <w:rFonts w:hint="eastAsia" w:ascii="宋体" w:hAnsi="宋体"/>
                <w:sz w:val="24"/>
              </w:rPr>
              <w:t>后附的澄清、说明、补正事项纪要共</w:t>
            </w:r>
            <w:r>
              <w:rPr>
                <w:rFonts w:hint="eastAsia" w:ascii="宋体" w:hAnsi="宋体"/>
                <w:sz w:val="24"/>
                <w:u w:val="single"/>
              </w:rPr>
              <w:t xml:space="preserve">  </w:t>
            </w:r>
            <w:r>
              <w:rPr>
                <w:rFonts w:hint="eastAsia" w:ascii="宋体" w:hAnsi="宋体"/>
                <w:sz w:val="24"/>
              </w:rPr>
              <w:t>份，是本中标通知书的组成部分。</w:t>
            </w:r>
          </w:p>
        </w:tc>
      </w:tr>
    </w:tbl>
    <w:p>
      <w:pPr>
        <w:spacing w:line="460" w:lineRule="exact"/>
        <w:ind w:firstLine="480" w:firstLineChars="200"/>
        <w:rPr>
          <w:rFonts w:ascii="宋体" w:hAnsi="宋体"/>
          <w:sz w:val="24"/>
        </w:rPr>
      </w:pPr>
      <w:r>
        <w:rPr>
          <w:rFonts w:hint="eastAsia" w:ascii="宋体" w:hAnsi="宋体"/>
          <w:sz w:val="24"/>
        </w:rPr>
        <w:t>请你方在接到本通知书后的30日内到与我方签订全过程工程咨询协议或合同。</w:t>
      </w:r>
    </w:p>
    <w:tbl>
      <w:tblPr>
        <w:tblStyle w:val="88"/>
        <w:tblW w:w="9060" w:type="dxa"/>
        <w:tblInd w:w="0" w:type="dxa"/>
        <w:tblLayout w:type="fixed"/>
        <w:tblCellMar>
          <w:top w:w="0" w:type="dxa"/>
          <w:left w:w="108" w:type="dxa"/>
          <w:bottom w:w="0" w:type="dxa"/>
          <w:right w:w="108" w:type="dxa"/>
        </w:tblCellMar>
      </w:tblPr>
      <w:tblGrid>
        <w:gridCol w:w="4530"/>
        <w:gridCol w:w="4530"/>
      </w:tblGrid>
      <w:tr>
        <w:tblPrEx>
          <w:tblCellMar>
            <w:top w:w="0" w:type="dxa"/>
            <w:left w:w="108" w:type="dxa"/>
            <w:bottom w:w="0" w:type="dxa"/>
            <w:right w:w="108" w:type="dxa"/>
          </w:tblCellMar>
        </w:tblPrEx>
        <w:trPr>
          <w:trHeight w:val="3265" w:hRule="atLeast"/>
        </w:trPr>
        <w:tc>
          <w:tcPr>
            <w:tcW w:w="4530" w:type="dxa"/>
            <w:vAlign w:val="center"/>
          </w:tcPr>
          <w:p>
            <w:pPr>
              <w:spacing w:line="460" w:lineRule="exact"/>
              <w:ind w:left="424" w:leftChars="202" w:right="-34" w:rightChars="-16"/>
              <w:rPr>
                <w:rFonts w:ascii="宋体" w:hAnsi="宋体"/>
                <w:sz w:val="24"/>
              </w:rPr>
            </w:pPr>
            <w:r>
              <w:rPr>
                <w:rFonts w:hint="eastAsia" w:ascii="宋体" w:hAnsi="宋体"/>
                <w:sz w:val="24"/>
              </w:rPr>
              <w:t>特此通知。</w:t>
            </w:r>
          </w:p>
          <w:p>
            <w:pPr>
              <w:spacing w:line="460" w:lineRule="exact"/>
              <w:ind w:left="424" w:leftChars="202" w:right="-34" w:rightChars="-16"/>
              <w:rPr>
                <w:rFonts w:ascii="宋体" w:hAnsi="宋体"/>
                <w:sz w:val="24"/>
              </w:rPr>
            </w:pPr>
            <w:r>
              <w:rPr>
                <w:rFonts w:hint="eastAsia" w:ascii="宋体" w:hAnsi="宋体"/>
                <w:sz w:val="24"/>
              </w:rPr>
              <w:t>招标人：（盖章）</w:t>
            </w:r>
          </w:p>
          <w:p>
            <w:pPr>
              <w:spacing w:line="460" w:lineRule="exact"/>
              <w:ind w:left="424" w:leftChars="202" w:right="-34" w:rightChars="-16"/>
              <w:rPr>
                <w:rFonts w:ascii="宋体" w:hAnsi="宋体"/>
                <w:sz w:val="24"/>
              </w:rPr>
            </w:pPr>
          </w:p>
          <w:p>
            <w:pPr>
              <w:spacing w:line="460" w:lineRule="exact"/>
              <w:ind w:left="424" w:leftChars="202" w:right="-34" w:rightChars="-16"/>
              <w:rPr>
                <w:rFonts w:ascii="宋体" w:hAnsi="宋体"/>
                <w:sz w:val="24"/>
              </w:rPr>
            </w:pPr>
            <w:r>
              <w:rPr>
                <w:rFonts w:hint="eastAsia" w:ascii="宋体" w:hAnsi="宋体"/>
                <w:sz w:val="24"/>
              </w:rPr>
              <w:t>法定代表人或其委托代理人：</w:t>
            </w:r>
          </w:p>
          <w:p>
            <w:pPr>
              <w:spacing w:line="460" w:lineRule="exact"/>
              <w:ind w:left="1134" w:leftChars="540" w:right="-34" w:rightChars="-16"/>
              <w:rPr>
                <w:rFonts w:ascii="宋体" w:hAnsi="宋体"/>
                <w:sz w:val="24"/>
              </w:rPr>
            </w:pPr>
            <w:r>
              <w:rPr>
                <w:rFonts w:hint="eastAsia" w:ascii="宋体" w:hAnsi="宋体"/>
                <w:sz w:val="24"/>
              </w:rPr>
              <w:t>（签字或盖章）</w:t>
            </w:r>
          </w:p>
          <w:p>
            <w:pPr>
              <w:spacing w:line="460" w:lineRule="exact"/>
              <w:ind w:left="424" w:leftChars="202" w:right="815" w:rightChars="388"/>
              <w:jc w:val="right"/>
              <w:rPr>
                <w:rFonts w:ascii="宋体" w:hAnsi="宋体"/>
                <w:sz w:val="24"/>
              </w:rPr>
            </w:pPr>
            <w:r>
              <w:rPr>
                <w:rFonts w:hint="eastAsia" w:ascii="宋体" w:hAnsi="宋体"/>
                <w:sz w:val="24"/>
              </w:rPr>
              <w:t>年      月     日</w:t>
            </w:r>
          </w:p>
        </w:tc>
        <w:tc>
          <w:tcPr>
            <w:tcW w:w="4530" w:type="dxa"/>
            <w:vAlign w:val="center"/>
          </w:tcPr>
          <w:p>
            <w:pPr>
              <w:spacing w:line="460" w:lineRule="exact"/>
              <w:ind w:left="424" w:leftChars="202" w:right="-34" w:rightChars="-16"/>
              <w:rPr>
                <w:rFonts w:ascii="宋体" w:hAnsi="宋体"/>
                <w:sz w:val="24"/>
              </w:rPr>
            </w:pPr>
          </w:p>
          <w:p>
            <w:pPr>
              <w:spacing w:line="460" w:lineRule="exact"/>
              <w:ind w:left="424" w:leftChars="202" w:right="-34" w:rightChars="-16"/>
              <w:rPr>
                <w:rFonts w:ascii="宋体" w:hAnsi="宋体"/>
                <w:sz w:val="24"/>
              </w:rPr>
            </w:pPr>
            <w:r>
              <w:rPr>
                <w:rFonts w:hint="eastAsia" w:ascii="宋体" w:hAnsi="宋体"/>
                <w:sz w:val="24"/>
              </w:rPr>
              <w:t>采购机构：（公章或专用章）</w:t>
            </w:r>
          </w:p>
          <w:p>
            <w:pPr>
              <w:spacing w:line="460" w:lineRule="exact"/>
              <w:ind w:left="424" w:leftChars="202" w:right="-34" w:rightChars="-16"/>
              <w:rPr>
                <w:rFonts w:ascii="宋体" w:hAnsi="宋体"/>
                <w:sz w:val="24"/>
              </w:rPr>
            </w:pPr>
          </w:p>
          <w:p>
            <w:pPr>
              <w:spacing w:line="460" w:lineRule="exact"/>
              <w:ind w:left="424" w:leftChars="202" w:right="-34" w:rightChars="-16"/>
              <w:rPr>
                <w:rFonts w:ascii="宋体" w:hAnsi="宋体"/>
                <w:sz w:val="24"/>
              </w:rPr>
            </w:pPr>
          </w:p>
          <w:p>
            <w:pPr>
              <w:spacing w:line="460" w:lineRule="exact"/>
              <w:ind w:left="424" w:leftChars="202" w:right="-34" w:rightChars="-16"/>
              <w:rPr>
                <w:rFonts w:ascii="宋体" w:hAnsi="宋体"/>
                <w:sz w:val="24"/>
              </w:rPr>
            </w:pPr>
          </w:p>
          <w:p>
            <w:pPr>
              <w:spacing w:line="460" w:lineRule="exact"/>
              <w:ind w:left="424" w:leftChars="202" w:right="815" w:rightChars="388"/>
              <w:jc w:val="right"/>
              <w:rPr>
                <w:rFonts w:ascii="宋体" w:hAnsi="宋体"/>
                <w:sz w:val="24"/>
              </w:rPr>
            </w:pPr>
            <w:r>
              <w:rPr>
                <w:rFonts w:hint="eastAsia" w:ascii="宋体" w:hAnsi="宋体"/>
                <w:sz w:val="24"/>
              </w:rPr>
              <w:t>年      月     日</w:t>
            </w:r>
          </w:p>
        </w:tc>
      </w:tr>
    </w:tbl>
    <w:p>
      <w:pPr>
        <w:pStyle w:val="5"/>
        <w:spacing w:after="120" w:line="360" w:lineRule="auto"/>
        <w:jc w:val="center"/>
      </w:pPr>
      <w:r>
        <w:rPr>
          <w:rFonts w:ascii="黑体" w:hAnsi="黑体" w:eastAsia="黑体"/>
          <w:sz w:val="32"/>
        </w:rPr>
        <w:br w:type="page"/>
      </w:r>
      <w:bookmarkStart w:id="439" w:name="_Toc184916584"/>
      <w:r>
        <w:rPr>
          <w:rFonts w:hint="eastAsia"/>
        </w:rPr>
        <w:t>第三章  评标办法</w:t>
      </w:r>
      <w:bookmarkEnd w:id="439"/>
    </w:p>
    <w:p>
      <w:pPr>
        <w:pStyle w:val="6"/>
        <w:spacing w:before="0" w:after="0"/>
      </w:pPr>
      <w:bookmarkStart w:id="440" w:name="_Toc184916585"/>
      <w:r>
        <w:rPr>
          <w:rFonts w:hint="eastAsia"/>
        </w:rPr>
        <w:t>一、评标办法前附表</w:t>
      </w:r>
      <w:bookmarkEnd w:id="440"/>
    </w:p>
    <w:tbl>
      <w:tblPr>
        <w:tblStyle w:val="88"/>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1"/>
        <w:gridCol w:w="1074"/>
        <w:gridCol w:w="1986"/>
        <w:gridCol w:w="5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351" w:type="dxa"/>
            <w:gridSpan w:val="3"/>
            <w:vAlign w:val="center"/>
          </w:tcPr>
          <w:p>
            <w:pPr>
              <w:spacing w:line="440" w:lineRule="exact"/>
              <w:jc w:val="center"/>
              <w:rPr>
                <w:rFonts w:ascii="宋体" w:hAnsi="宋体"/>
                <w:b/>
              </w:rPr>
            </w:pPr>
            <w:bookmarkStart w:id="441" w:name="_Toc23722"/>
            <w:bookmarkStart w:id="442" w:name="_Toc27964"/>
            <w:bookmarkStart w:id="443" w:name="_Toc6938"/>
            <w:bookmarkStart w:id="444" w:name="_Toc448911822"/>
            <w:bookmarkStart w:id="445" w:name="_Toc29988"/>
            <w:bookmarkStart w:id="446" w:name="_Toc5788"/>
            <w:bookmarkStart w:id="447" w:name="_Toc14377"/>
            <w:bookmarkStart w:id="448" w:name="_Toc29279"/>
            <w:bookmarkStart w:id="449" w:name="_Toc31959"/>
            <w:bookmarkStart w:id="450" w:name="_Toc9126"/>
            <w:r>
              <w:rPr>
                <w:rFonts w:hint="eastAsia" w:ascii="宋体" w:hAnsi="宋体"/>
                <w:b/>
              </w:rPr>
              <w:t>条款号</w:t>
            </w:r>
          </w:p>
        </w:tc>
        <w:tc>
          <w:tcPr>
            <w:tcW w:w="1986" w:type="dxa"/>
            <w:vAlign w:val="center"/>
          </w:tcPr>
          <w:p>
            <w:pPr>
              <w:spacing w:line="440" w:lineRule="exact"/>
              <w:jc w:val="center"/>
              <w:rPr>
                <w:rFonts w:ascii="宋体" w:hAnsi="宋体"/>
                <w:b/>
              </w:rPr>
            </w:pPr>
            <w:r>
              <w:rPr>
                <w:rFonts w:hint="eastAsia" w:ascii="宋体" w:hAnsi="宋体"/>
                <w:b/>
              </w:rPr>
              <w:t>评审因素</w:t>
            </w:r>
          </w:p>
        </w:tc>
        <w:tc>
          <w:tcPr>
            <w:tcW w:w="5303" w:type="dxa"/>
            <w:vAlign w:val="center"/>
          </w:tcPr>
          <w:p>
            <w:pPr>
              <w:spacing w:line="440" w:lineRule="exact"/>
              <w:jc w:val="center"/>
              <w:rPr>
                <w:rFonts w:ascii="宋体" w:hAnsi="宋体"/>
                <w:b/>
              </w:rPr>
            </w:pPr>
            <w:r>
              <w:rPr>
                <w:rFonts w:hint="eastAsia" w:ascii="宋体" w:hAnsi="宋体"/>
                <w:b/>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Merge w:val="restart"/>
            <w:vAlign w:val="center"/>
          </w:tcPr>
          <w:p>
            <w:r>
              <w:rPr>
                <w:rFonts w:hint="eastAsia"/>
              </w:rPr>
              <w:t>初步评审</w:t>
            </w:r>
          </w:p>
        </w:tc>
        <w:tc>
          <w:tcPr>
            <w:tcW w:w="851" w:type="dxa"/>
            <w:vMerge w:val="restart"/>
            <w:vAlign w:val="center"/>
          </w:tcPr>
          <w:p>
            <w:pPr>
              <w:jc w:val="center"/>
              <w:rPr>
                <w:rFonts w:ascii="宋体" w:hAnsi="宋体"/>
              </w:rPr>
            </w:pPr>
            <w:r>
              <w:rPr>
                <w:rFonts w:hint="eastAsia" w:ascii="宋体" w:hAnsi="宋体"/>
              </w:rPr>
              <w:t>2.1.1</w:t>
            </w:r>
          </w:p>
        </w:tc>
        <w:tc>
          <w:tcPr>
            <w:tcW w:w="1074" w:type="dxa"/>
            <w:vMerge w:val="restart"/>
            <w:vAlign w:val="center"/>
          </w:tcPr>
          <w:p>
            <w:pPr>
              <w:rPr>
                <w:rFonts w:ascii="宋体" w:hAnsi="宋体"/>
              </w:rPr>
            </w:pPr>
            <w:r>
              <w:rPr>
                <w:rFonts w:hint="eastAsia" w:ascii="宋体" w:hAnsi="宋体"/>
              </w:rPr>
              <w:t>形式评审标准</w:t>
            </w:r>
          </w:p>
        </w:tc>
        <w:tc>
          <w:tcPr>
            <w:tcW w:w="1986" w:type="dxa"/>
            <w:vAlign w:val="center"/>
          </w:tcPr>
          <w:p>
            <w:pPr>
              <w:spacing w:line="320" w:lineRule="exact"/>
              <w:rPr>
                <w:rFonts w:ascii="宋体" w:hAnsi="宋体"/>
              </w:rPr>
            </w:pPr>
            <w:r>
              <w:rPr>
                <w:rFonts w:hint="eastAsia" w:ascii="宋体" w:hAnsi="宋体"/>
              </w:rPr>
              <w:t>投标人名称</w:t>
            </w:r>
          </w:p>
        </w:tc>
        <w:tc>
          <w:tcPr>
            <w:tcW w:w="5303" w:type="dxa"/>
            <w:vAlign w:val="center"/>
          </w:tcPr>
          <w:p>
            <w:pPr>
              <w:spacing w:line="320" w:lineRule="exact"/>
              <w:rPr>
                <w:rFonts w:ascii="宋体" w:hAnsi="宋体"/>
              </w:rPr>
            </w:pPr>
            <w:r>
              <w:rPr>
                <w:rFonts w:hint="eastAsia" w:ascii="宋体" w:hAnsi="宋体"/>
              </w:rPr>
              <w:t>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投标报价函签字盖章</w:t>
            </w:r>
          </w:p>
        </w:tc>
        <w:tc>
          <w:tcPr>
            <w:tcW w:w="5303" w:type="dxa"/>
            <w:vAlign w:val="center"/>
          </w:tcPr>
          <w:p>
            <w:pPr>
              <w:spacing w:line="320" w:lineRule="exact"/>
              <w:rPr>
                <w:rFonts w:ascii="宋体" w:hAnsi="宋体"/>
              </w:rPr>
            </w:pPr>
            <w:r>
              <w:rPr>
                <w:rFonts w:hint="eastAsia" w:ascii="宋体" w:hAnsi="宋体"/>
              </w:rPr>
              <w:t>加盖投标人公章，并由法定代表人签字或加盖其姓名章。法定代表人不能签字或加盖其姓名章的，可由委托代理人签字。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cs="宋体"/>
                <w:szCs w:val="24"/>
              </w:rPr>
              <w:t>联合体投标人</w:t>
            </w:r>
          </w:p>
        </w:tc>
        <w:tc>
          <w:tcPr>
            <w:tcW w:w="5303" w:type="dxa"/>
            <w:vAlign w:val="center"/>
          </w:tcPr>
          <w:p>
            <w:pPr>
              <w:spacing w:line="320" w:lineRule="exact"/>
              <w:rPr>
                <w:rFonts w:ascii="宋体" w:hAnsi="宋体"/>
              </w:rPr>
            </w:pPr>
            <w:r>
              <w:rPr>
                <w:rFonts w:hint="eastAsia" w:cs="宋体"/>
                <w:szCs w:val="24"/>
              </w:rPr>
              <w:t>提交符合招标文件要求的联合体协议书，明确各方承担连带责任，并明确联合体牵头人。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rPr>
              <w:t>未出现异常情形</w:t>
            </w:r>
          </w:p>
        </w:tc>
        <w:tc>
          <w:tcPr>
            <w:tcW w:w="5303" w:type="dxa"/>
          </w:tcPr>
          <w:p>
            <w:pPr>
              <w:spacing w:line="320" w:lineRule="exact"/>
              <w:rPr>
                <w:rFonts w:ascii="宋体" w:hAnsi="宋体"/>
              </w:rPr>
            </w:pPr>
            <w:r>
              <w:rPr>
                <w:rFonts w:hint="eastAsia"/>
              </w:rPr>
              <w:t>不同投标人未出现使用相同的投标文件制作机器码进行投标的情形。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投标文件格式</w:t>
            </w:r>
          </w:p>
        </w:tc>
        <w:tc>
          <w:tcPr>
            <w:tcW w:w="5303" w:type="dxa"/>
            <w:vAlign w:val="center"/>
          </w:tcPr>
          <w:p>
            <w:pPr>
              <w:spacing w:line="320" w:lineRule="exact"/>
              <w:rPr>
                <w:rFonts w:ascii="宋体" w:hAnsi="宋体"/>
              </w:rPr>
            </w:pPr>
            <w:r>
              <w:rPr>
                <w:rFonts w:hint="eastAsia" w:ascii="宋体" w:hAnsi="宋体"/>
              </w:rPr>
              <w:t>投标文件主要内容完整、齐全，无实质性影响投标文件有效性的评审和合同履行。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报价唯一</w:t>
            </w:r>
          </w:p>
        </w:tc>
        <w:tc>
          <w:tcPr>
            <w:tcW w:w="5303" w:type="dxa"/>
            <w:vAlign w:val="center"/>
          </w:tcPr>
          <w:p>
            <w:pPr>
              <w:spacing w:line="320" w:lineRule="exact"/>
              <w:rPr>
                <w:rFonts w:ascii="宋体" w:hAnsi="宋体"/>
              </w:rPr>
            </w:pPr>
            <w:r>
              <w:rPr>
                <w:rFonts w:hint="eastAsia" w:ascii="宋体" w:hAnsi="宋体"/>
              </w:rPr>
              <w:t>报价有效且唯一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continue"/>
            <w:vAlign w:val="center"/>
          </w:tcPr>
          <w:p>
            <w:pPr>
              <w:rPr>
                <w:rFonts w:ascii="宋体" w:hAnsi="宋体"/>
              </w:rPr>
            </w:pPr>
          </w:p>
        </w:tc>
        <w:tc>
          <w:tcPr>
            <w:tcW w:w="851" w:type="dxa"/>
            <w:vMerge w:val="restart"/>
            <w:vAlign w:val="center"/>
          </w:tcPr>
          <w:p>
            <w:pPr>
              <w:jc w:val="center"/>
              <w:rPr>
                <w:rFonts w:ascii="宋体" w:hAnsi="宋体"/>
              </w:rPr>
            </w:pPr>
            <w:r>
              <w:rPr>
                <w:rFonts w:hint="eastAsia" w:ascii="宋体" w:hAnsi="宋体"/>
              </w:rPr>
              <w:t>2.1.2</w:t>
            </w:r>
          </w:p>
        </w:tc>
        <w:tc>
          <w:tcPr>
            <w:tcW w:w="1074" w:type="dxa"/>
            <w:vMerge w:val="restart"/>
            <w:vAlign w:val="center"/>
          </w:tcPr>
          <w:p>
            <w:pPr>
              <w:rPr>
                <w:rFonts w:ascii="宋体" w:hAnsi="宋体"/>
              </w:rPr>
            </w:pPr>
            <w:r>
              <w:rPr>
                <w:rFonts w:hint="eastAsia" w:ascii="宋体" w:hAnsi="宋体"/>
              </w:rPr>
              <w:t>资格性评审标准</w:t>
            </w:r>
          </w:p>
        </w:tc>
        <w:tc>
          <w:tcPr>
            <w:tcW w:w="1986" w:type="dxa"/>
            <w:vAlign w:val="center"/>
          </w:tcPr>
          <w:p>
            <w:pPr>
              <w:spacing w:line="320" w:lineRule="exact"/>
              <w:rPr>
                <w:rFonts w:ascii="宋体" w:hAnsi="宋体"/>
                <w:highlight w:val="yellow"/>
              </w:rPr>
            </w:pPr>
            <w:r>
              <w:rPr>
                <w:rFonts w:hint="eastAsia" w:ascii="宋体" w:hAnsi="宋体"/>
              </w:rPr>
              <w:t>营业执照</w:t>
            </w:r>
          </w:p>
        </w:tc>
        <w:tc>
          <w:tcPr>
            <w:tcW w:w="5303" w:type="dxa"/>
            <w:vAlign w:val="center"/>
          </w:tcPr>
          <w:p>
            <w:pPr>
              <w:spacing w:line="320" w:lineRule="exact"/>
              <w:rPr>
                <w:rFonts w:ascii="宋体" w:hAnsi="宋体"/>
              </w:rPr>
            </w:pPr>
            <w:r>
              <w:rPr>
                <w:rFonts w:hint="eastAsia" w:ascii="宋体" w:hAnsi="宋体" w:cs="宋体"/>
                <w:szCs w:val="21"/>
              </w:rPr>
              <w:t>具备有效的营业执照/事业单位法人证书，如为联合体投标，联合体各方均须提供。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资质等级</w:t>
            </w:r>
          </w:p>
        </w:tc>
        <w:tc>
          <w:tcPr>
            <w:tcW w:w="5303" w:type="dxa"/>
            <w:vAlign w:val="center"/>
          </w:tcPr>
          <w:p>
            <w:pPr>
              <w:spacing w:line="320" w:lineRule="exact"/>
              <w:rPr>
                <w:rFonts w:ascii="宋体" w:hAnsi="宋体"/>
              </w:rPr>
            </w:pPr>
            <w:r>
              <w:rPr>
                <w:rFonts w:hint="eastAsia" w:ascii="宋体" w:hAnsi="宋体"/>
              </w:rPr>
              <w:t>符合第一章“招标公告”4.1投标人资质要求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独立性要求</w:t>
            </w:r>
          </w:p>
        </w:tc>
        <w:tc>
          <w:tcPr>
            <w:tcW w:w="5303" w:type="dxa"/>
            <w:vAlign w:val="center"/>
          </w:tcPr>
          <w:p>
            <w:pPr>
              <w:spacing w:line="320" w:lineRule="exact"/>
              <w:rPr>
                <w:rFonts w:ascii="宋体" w:hAnsi="宋体" w:cs="宋体"/>
                <w:szCs w:val="21"/>
              </w:rPr>
            </w:pPr>
            <w:r>
              <w:rPr>
                <w:rFonts w:hint="eastAsia" w:ascii="宋体" w:hAnsi="宋体" w:cs="宋体"/>
              </w:rPr>
              <w:t>符合</w:t>
            </w:r>
            <w:r>
              <w:rPr>
                <w:rFonts w:hint="eastAsia" w:ascii="宋体" w:hAnsi="宋体"/>
              </w:rPr>
              <w:t>第一章“招标公告”</w:t>
            </w:r>
            <w:r>
              <w:rPr>
                <w:rFonts w:hint="eastAsia" w:ascii="宋体" w:hAnsi="宋体" w:cs="宋体"/>
              </w:rPr>
              <w:t>4.3要求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财务状况</w:t>
            </w:r>
          </w:p>
        </w:tc>
        <w:tc>
          <w:tcPr>
            <w:tcW w:w="5303" w:type="dxa"/>
            <w:vAlign w:val="center"/>
          </w:tcPr>
          <w:p>
            <w:pPr>
              <w:spacing w:line="320" w:lineRule="exact"/>
              <w:rPr>
                <w:rFonts w:ascii="宋体" w:hAnsi="宋体"/>
              </w:rPr>
            </w:pPr>
            <w:r>
              <w:rPr>
                <w:rFonts w:hint="eastAsia" w:ascii="宋体" w:hAnsi="宋体" w:cs="宋体"/>
                <w:szCs w:val="21"/>
              </w:rPr>
              <w:t>符合第一章“招标公告”4.4财务要求，</w:t>
            </w:r>
            <w:r>
              <w:rPr>
                <w:rFonts w:hint="eastAsia" w:ascii="宋体" w:hAnsi="宋体" w:cs="宋体"/>
              </w:rPr>
              <w:t>提供近1年任意</w:t>
            </w:r>
            <w:r>
              <w:rPr>
                <w:rFonts w:ascii="宋体" w:hAnsi="宋体" w:cs="宋体"/>
              </w:rPr>
              <w:t>6</w:t>
            </w:r>
            <w:r>
              <w:rPr>
                <w:rFonts w:hint="eastAsia" w:ascii="宋体" w:hAnsi="宋体" w:cs="宋体"/>
              </w:rPr>
              <w:t>个月纳税和缴纳社保的完税凭证或证明材料，并提供近3年（202</w:t>
            </w:r>
            <w:r>
              <w:rPr>
                <w:rFonts w:hint="eastAsia" w:ascii="宋体" w:hAnsi="宋体" w:cs="宋体"/>
                <w:lang w:val="en-US" w:eastAsia="zh-CN"/>
              </w:rPr>
              <w:t>2</w:t>
            </w:r>
            <w:r>
              <w:rPr>
                <w:rFonts w:hint="eastAsia" w:ascii="宋体" w:hAnsi="宋体" w:cs="宋体"/>
              </w:rPr>
              <w:t>年、202</w:t>
            </w:r>
            <w:r>
              <w:rPr>
                <w:rFonts w:hint="eastAsia" w:ascii="宋体" w:hAnsi="宋体" w:cs="宋体"/>
                <w:lang w:val="en-US" w:eastAsia="zh-CN"/>
              </w:rPr>
              <w:t>3</w:t>
            </w:r>
            <w:r>
              <w:rPr>
                <w:rFonts w:hint="eastAsia" w:ascii="宋体" w:hAnsi="宋体" w:cs="宋体"/>
              </w:rPr>
              <w:t>年、202</w:t>
            </w:r>
            <w:r>
              <w:rPr>
                <w:rFonts w:hint="eastAsia" w:ascii="宋体" w:hAnsi="宋体" w:cs="宋体"/>
                <w:lang w:val="en-US" w:eastAsia="zh-CN"/>
              </w:rPr>
              <w:t>4</w:t>
            </w:r>
            <w:r>
              <w:rPr>
                <w:rFonts w:hint="eastAsia" w:ascii="宋体" w:hAnsi="宋体" w:cs="宋体"/>
              </w:rPr>
              <w:t>年）的审计报告或银行出具的资信证明。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诚信记录</w:t>
            </w:r>
          </w:p>
        </w:tc>
        <w:tc>
          <w:tcPr>
            <w:tcW w:w="5303" w:type="dxa"/>
            <w:vAlign w:val="center"/>
          </w:tcPr>
          <w:p>
            <w:pPr>
              <w:spacing w:line="320" w:lineRule="exact"/>
              <w:rPr>
                <w:rFonts w:ascii="宋体" w:hAnsi="宋体"/>
                <w:highlight w:val="yellow"/>
              </w:rPr>
            </w:pPr>
            <w:r>
              <w:rPr>
                <w:rFonts w:hint="eastAsia" w:ascii="宋体" w:hAnsi="宋体" w:cs="宋体"/>
                <w:szCs w:val="21"/>
              </w:rPr>
              <w:t>符合第一章“招标公告”4.5信誉要求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hint="eastAsia" w:ascii="宋体" w:hAnsi="宋体" w:eastAsia="宋体" w:cs="Times New Roman"/>
                <w:color w:val="auto"/>
              </w:rPr>
            </w:pPr>
            <w:r>
              <w:rPr>
                <w:rFonts w:hint="eastAsia" w:ascii="宋体" w:hAnsi="宋体" w:eastAsia="宋体"/>
                <w:u w:val="none"/>
              </w:rPr>
              <w:t>类似项目业绩</w:t>
            </w:r>
          </w:p>
        </w:tc>
        <w:tc>
          <w:tcPr>
            <w:tcW w:w="5303" w:type="dxa"/>
            <w:vAlign w:val="center"/>
          </w:tcPr>
          <w:p>
            <w:pPr>
              <w:spacing w:line="320" w:lineRule="exact"/>
              <w:rPr>
                <w:rFonts w:hint="eastAsia" w:ascii="宋体" w:hAnsi="宋体" w:eastAsia="宋体" w:cs="Times New Roman"/>
                <w:color w:val="auto"/>
              </w:rPr>
            </w:pPr>
            <w:r>
              <w:rPr>
                <w:rFonts w:hint="eastAsia" w:ascii="宋体" w:hAnsi="宋体" w:eastAsia="宋体" w:cs="Times New Roman"/>
                <w:color w:val="auto"/>
              </w:rPr>
              <w:t>符合第一章“招标公告”4.6业绩要求</w:t>
            </w:r>
          </w:p>
          <w:p>
            <w:pPr>
              <w:spacing w:line="320" w:lineRule="exact"/>
              <w:rPr>
                <w:rFonts w:hint="eastAsia" w:ascii="宋体" w:hAnsi="宋体" w:eastAsia="宋体" w:cs="Times New Roman"/>
                <w:color w:val="auto"/>
              </w:rPr>
            </w:pPr>
            <w:r>
              <w:rPr>
                <w:rFonts w:hint="eastAsia" w:ascii="宋体" w:hAnsi="宋体" w:eastAsia="宋体" w:cs="Times New Roman"/>
                <w:color w:val="auto"/>
              </w:rPr>
              <w:t>投标人提供开标前近5年同类项目业绩</w:t>
            </w:r>
            <w:r>
              <w:rPr>
                <w:rFonts w:hint="eastAsia" w:ascii="宋体" w:hAnsi="宋体" w:eastAsia="宋体" w:cs="宋体"/>
                <w:b w:val="0"/>
                <w:bCs w:val="0"/>
                <w:color w:val="auto"/>
                <w:kern w:val="2"/>
                <w:sz w:val="21"/>
                <w:szCs w:val="20"/>
              </w:rPr>
              <w:t>（全过程工程咨询</w:t>
            </w:r>
            <w:r>
              <w:rPr>
                <w:rFonts w:hint="eastAsia" w:ascii="宋体" w:hAnsi="宋体" w:eastAsia="宋体" w:cs="宋体"/>
                <w:b w:val="0"/>
                <w:bCs w:val="0"/>
                <w:color w:val="auto"/>
                <w:kern w:val="2"/>
                <w:sz w:val="21"/>
                <w:szCs w:val="20"/>
                <w:lang w:val="en-US" w:eastAsia="zh-CN"/>
              </w:rPr>
              <w:t>130</w:t>
            </w:r>
            <w:r>
              <w:rPr>
                <w:rFonts w:hint="eastAsia" w:ascii="宋体" w:hAnsi="宋体" w:eastAsia="宋体" w:cs="宋体"/>
                <w:b w:val="0"/>
                <w:bCs w:val="0"/>
                <w:color w:val="auto"/>
                <w:kern w:val="2"/>
                <w:sz w:val="21"/>
                <w:szCs w:val="20"/>
              </w:rPr>
              <w:t>万元及以上业绩合同或提供单个项目“勘察设计”金额</w:t>
            </w:r>
            <w:r>
              <w:rPr>
                <w:rFonts w:hint="eastAsia" w:ascii="宋体" w:hAnsi="宋体" w:eastAsia="宋体" w:cs="宋体"/>
                <w:b w:val="0"/>
                <w:bCs w:val="0"/>
                <w:color w:val="auto"/>
                <w:kern w:val="2"/>
                <w:sz w:val="21"/>
                <w:szCs w:val="20"/>
                <w:lang w:val="en-US" w:eastAsia="zh-CN"/>
              </w:rPr>
              <w:t>70</w:t>
            </w:r>
            <w:r>
              <w:rPr>
                <w:rFonts w:hint="eastAsia" w:ascii="宋体" w:hAnsi="宋体" w:eastAsia="宋体" w:cs="宋体"/>
                <w:b w:val="0"/>
                <w:bCs w:val="0"/>
                <w:color w:val="auto"/>
                <w:kern w:val="2"/>
                <w:sz w:val="21"/>
                <w:szCs w:val="20"/>
              </w:rPr>
              <w:t>万元、“监理合同”金额</w:t>
            </w:r>
            <w:r>
              <w:rPr>
                <w:rFonts w:hint="eastAsia" w:ascii="宋体" w:hAnsi="宋体" w:eastAsia="宋体" w:cs="宋体"/>
                <w:b w:val="0"/>
                <w:bCs w:val="0"/>
                <w:color w:val="auto"/>
                <w:kern w:val="2"/>
                <w:sz w:val="21"/>
                <w:szCs w:val="20"/>
                <w:lang w:val="en-US" w:eastAsia="zh-CN"/>
              </w:rPr>
              <w:t>56</w:t>
            </w:r>
            <w:r>
              <w:rPr>
                <w:rFonts w:hint="eastAsia" w:ascii="宋体" w:hAnsi="宋体" w:eastAsia="宋体" w:cs="宋体"/>
                <w:b w:val="0"/>
                <w:bCs w:val="0"/>
                <w:color w:val="auto"/>
                <w:kern w:val="2"/>
                <w:sz w:val="21"/>
                <w:szCs w:val="20"/>
              </w:rPr>
              <w:t>万元及以上业绩合同或提供总投资</w:t>
            </w:r>
            <w:r>
              <w:rPr>
                <w:rFonts w:hint="eastAsia" w:ascii="宋体" w:hAnsi="宋体" w:eastAsia="宋体" w:cs="宋体"/>
                <w:b w:val="0"/>
                <w:bCs w:val="0"/>
                <w:color w:val="auto"/>
                <w:kern w:val="2"/>
                <w:sz w:val="21"/>
                <w:szCs w:val="20"/>
                <w:lang w:val="en-US" w:eastAsia="zh-CN"/>
              </w:rPr>
              <w:t>2200</w:t>
            </w:r>
            <w:r>
              <w:rPr>
                <w:rFonts w:hint="eastAsia" w:ascii="宋体" w:hAnsi="宋体" w:eastAsia="宋体" w:cs="宋体"/>
                <w:b w:val="0"/>
                <w:bCs w:val="0"/>
                <w:color w:val="auto"/>
                <w:kern w:val="2"/>
                <w:sz w:val="21"/>
                <w:szCs w:val="20"/>
              </w:rPr>
              <w:t>万元以上业绩合同）</w:t>
            </w:r>
            <w:r>
              <w:rPr>
                <w:rFonts w:hint="eastAsia" w:ascii="宋体" w:hAnsi="宋体" w:eastAsia="宋体" w:cs="Times New Roman"/>
                <w:color w:val="auto"/>
              </w:rPr>
              <w:t>，业绩以合同签订日期为准</w:t>
            </w:r>
            <w:r>
              <w:rPr>
                <w:rFonts w:hint="eastAsia" w:ascii="宋体" w:hAnsi="宋体" w:eastAsia="宋体" w:cs="Times New Roman"/>
                <w:color w:val="auto"/>
                <w:lang w:eastAsia="zh-CN"/>
              </w:rPr>
              <w:t>；</w:t>
            </w:r>
            <w:r>
              <w:rPr>
                <w:rFonts w:hint="eastAsia" w:ascii="宋体" w:hAnsi="宋体" w:eastAsia="宋体" w:cs="宋体"/>
                <w:b w:val="0"/>
                <w:bCs w:val="0"/>
                <w:color w:val="auto"/>
                <w:kern w:val="2"/>
                <w:sz w:val="21"/>
                <w:szCs w:val="20"/>
              </w:rPr>
              <w:t>业绩以合同签订日期为准。类似工程业绩（指与房屋建筑相关的项目，其中房屋建筑工程占比达到50%以上）是指承担完</w:t>
            </w:r>
            <w:r>
              <w:rPr>
                <w:rFonts w:hint="eastAsia" w:ascii="宋体" w:hAnsi="宋体" w:eastAsia="宋体" w:cs="Times New Roman"/>
                <w:color w:val="auto"/>
              </w:rPr>
              <w:t xml:space="preserve">成过与本招标项目结构、用途类似，达到或超过本招标项目投资和规模的工程项目。   </w:t>
            </w:r>
          </w:p>
          <w:p>
            <w:pPr>
              <w:spacing w:line="320" w:lineRule="exact"/>
              <w:rPr>
                <w:rFonts w:hint="eastAsia" w:ascii="宋体" w:hAnsi="宋体" w:eastAsia="宋体" w:cs="Times New Roman"/>
                <w:color w:val="auto"/>
              </w:rPr>
            </w:pPr>
            <w:r>
              <w:rPr>
                <w:rFonts w:hint="eastAsia" w:ascii="宋体" w:hAnsi="宋体" w:eastAsia="宋体" w:cs="Times New Roman"/>
                <w:color w:val="auto"/>
              </w:rPr>
              <w:t>全过程工程咨询业绩认定：业绩合同中至少包含“项目</w:t>
            </w:r>
            <w:r>
              <w:rPr>
                <w:rFonts w:hint="eastAsia" w:ascii="宋体" w:hAnsi="宋体" w:eastAsia="宋体" w:cs="Times New Roman"/>
                <w:color w:val="auto"/>
                <w:u w:val="single"/>
              </w:rPr>
              <w:t>管理、决策咨询、勘察测绘、工程设计（设计咨询）、工程监理、造价咨询、BIM咨询”内容的任意4项（其中，至少含项目管理、勘察测绘、工程设计、工程监理、造价咨询中的3项）。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保密要求</w:t>
            </w:r>
          </w:p>
        </w:tc>
        <w:tc>
          <w:tcPr>
            <w:tcW w:w="5303" w:type="dxa"/>
            <w:vAlign w:val="center"/>
          </w:tcPr>
          <w:p>
            <w:pPr>
              <w:spacing w:line="320" w:lineRule="exact"/>
              <w:rPr>
                <w:rFonts w:ascii="宋体" w:hAnsi="宋体" w:cs="宋体"/>
                <w:szCs w:val="21"/>
              </w:rPr>
            </w:pPr>
            <w:r>
              <w:rPr>
                <w:rFonts w:hint="eastAsia" w:ascii="宋体" w:hAnsi="宋体" w:cs="宋体"/>
                <w:szCs w:val="21"/>
              </w:rPr>
              <w:t>符合第一章“招标公告”4.7保密要求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pPr>
            <w:r>
              <w:rPr>
                <w:rFonts w:hint="eastAsia"/>
              </w:rPr>
              <w:t>人员要求</w:t>
            </w:r>
          </w:p>
        </w:tc>
        <w:tc>
          <w:tcPr>
            <w:tcW w:w="5303" w:type="dxa"/>
            <w:vAlign w:val="center"/>
          </w:tcPr>
          <w:p>
            <w:pPr>
              <w:spacing w:line="320" w:lineRule="exact"/>
              <w:rPr>
                <w:rFonts w:ascii="宋体" w:hAnsi="宋体" w:cs="宋体"/>
                <w:szCs w:val="21"/>
              </w:rPr>
            </w:pPr>
            <w:r>
              <w:rPr>
                <w:rFonts w:hint="eastAsia" w:ascii="宋体" w:hAnsi="宋体" w:cs="宋体"/>
                <w:szCs w:val="21"/>
              </w:rPr>
              <w:t>符合第一章“招标公告”</w:t>
            </w:r>
            <w:r>
              <w:rPr>
                <w:rFonts w:hint="eastAsia" w:ascii="宋体" w:hAnsi="宋体" w:cs="宋体"/>
              </w:rPr>
              <w:t>4.8服务团队要求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rPr>
              <w:t>联合体投标人</w:t>
            </w:r>
          </w:p>
        </w:tc>
        <w:tc>
          <w:tcPr>
            <w:tcW w:w="5303" w:type="dxa"/>
            <w:vAlign w:val="center"/>
          </w:tcPr>
          <w:p>
            <w:pPr>
              <w:spacing w:line="320" w:lineRule="exact"/>
              <w:rPr>
                <w:rFonts w:ascii="宋体" w:hAnsi="宋体" w:cs="宋体"/>
                <w:szCs w:val="21"/>
              </w:rPr>
            </w:pPr>
            <w:r>
              <w:rPr>
                <w:rFonts w:hint="eastAsia" w:ascii="宋体" w:hAnsi="宋体" w:cs="宋体"/>
                <w:szCs w:val="21"/>
              </w:rPr>
              <w:t>符合第一章“招标公告”</w:t>
            </w:r>
            <w:r>
              <w:rPr>
                <w:rFonts w:hint="eastAsia" w:ascii="宋体" w:hAnsi="宋体" w:cs="宋体"/>
              </w:rPr>
              <w:t>4.2要求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6" w:type="dxa"/>
            <w:vMerge w:val="restart"/>
            <w:vAlign w:val="center"/>
          </w:tcPr>
          <w:p>
            <w:r>
              <w:rPr>
                <w:rFonts w:hint="eastAsia"/>
              </w:rPr>
              <w:t>初步评审</w:t>
            </w:r>
          </w:p>
        </w:tc>
        <w:tc>
          <w:tcPr>
            <w:tcW w:w="851" w:type="dxa"/>
            <w:vMerge w:val="restart"/>
            <w:vAlign w:val="center"/>
          </w:tcPr>
          <w:p>
            <w:pPr>
              <w:jc w:val="center"/>
              <w:rPr>
                <w:rFonts w:ascii="宋体" w:hAnsi="宋体"/>
              </w:rPr>
            </w:pPr>
            <w:r>
              <w:rPr>
                <w:rFonts w:hint="eastAsia" w:ascii="宋体" w:hAnsi="宋体"/>
              </w:rPr>
              <w:t>2.1.3</w:t>
            </w:r>
          </w:p>
        </w:tc>
        <w:tc>
          <w:tcPr>
            <w:tcW w:w="1074" w:type="dxa"/>
            <w:vMerge w:val="restart"/>
            <w:vAlign w:val="center"/>
          </w:tcPr>
          <w:p>
            <w:pPr>
              <w:rPr>
                <w:rFonts w:ascii="宋体" w:hAnsi="宋体"/>
              </w:rPr>
            </w:pPr>
            <w:r>
              <w:rPr>
                <w:rFonts w:hint="eastAsia" w:ascii="宋体" w:hAnsi="宋体"/>
              </w:rPr>
              <w:t>响应性评审标准</w:t>
            </w:r>
          </w:p>
        </w:tc>
        <w:tc>
          <w:tcPr>
            <w:tcW w:w="1986" w:type="dxa"/>
            <w:vAlign w:val="center"/>
          </w:tcPr>
          <w:p>
            <w:pPr>
              <w:spacing w:line="320" w:lineRule="exact"/>
              <w:rPr>
                <w:rFonts w:ascii="宋体" w:hAnsi="宋体"/>
              </w:rPr>
            </w:pPr>
            <w:r>
              <w:rPr>
                <w:rFonts w:hint="eastAsia" w:ascii="宋体" w:hAnsi="宋体"/>
              </w:rPr>
              <w:t xml:space="preserve">投标范围 </w:t>
            </w:r>
          </w:p>
        </w:tc>
        <w:tc>
          <w:tcPr>
            <w:tcW w:w="5303" w:type="dxa"/>
            <w:vAlign w:val="center"/>
          </w:tcPr>
          <w:p>
            <w:pPr>
              <w:spacing w:line="320" w:lineRule="exact"/>
              <w:rPr>
                <w:rFonts w:ascii="宋体" w:hAnsi="宋体"/>
              </w:rPr>
            </w:pPr>
            <w:r>
              <w:rPr>
                <w:rFonts w:hint="eastAsia" w:ascii="宋体" w:hAnsi="宋体" w:cs="宋体"/>
                <w:szCs w:val="22"/>
              </w:rPr>
              <w:t>符合</w:t>
            </w:r>
            <w:r>
              <w:rPr>
                <w:rFonts w:hint="eastAsia" w:ascii="宋体" w:hAnsi="宋体" w:cs="宋体"/>
                <w:szCs w:val="21"/>
              </w:rPr>
              <w:t>第一章“招标公告”</w:t>
            </w:r>
            <w:r>
              <w:rPr>
                <w:rFonts w:hint="eastAsia" w:ascii="宋体" w:hAnsi="宋体" w:cs="宋体"/>
                <w:szCs w:val="22"/>
              </w:rPr>
              <w:t>3.4主要服务内容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服务期限</w:t>
            </w:r>
          </w:p>
        </w:tc>
        <w:tc>
          <w:tcPr>
            <w:tcW w:w="5303" w:type="dxa"/>
            <w:vAlign w:val="center"/>
          </w:tcPr>
          <w:p>
            <w:pPr>
              <w:spacing w:line="320" w:lineRule="exact"/>
              <w:rPr>
                <w:rFonts w:ascii="宋体" w:hAnsi="宋体"/>
              </w:rPr>
            </w:pPr>
            <w:r>
              <w:rPr>
                <w:rFonts w:hint="eastAsia" w:ascii="宋体" w:hAnsi="宋体" w:cs="宋体"/>
                <w:szCs w:val="22"/>
              </w:rPr>
              <w:t>符合</w:t>
            </w:r>
            <w:r>
              <w:rPr>
                <w:rFonts w:hint="eastAsia" w:ascii="宋体" w:hAnsi="宋体" w:cs="宋体"/>
                <w:szCs w:val="21"/>
              </w:rPr>
              <w:t>第一章“招标公告”</w:t>
            </w:r>
            <w:r>
              <w:rPr>
                <w:rFonts w:hint="eastAsia" w:ascii="宋体" w:hAnsi="宋体" w:cs="宋体"/>
                <w:szCs w:val="22"/>
              </w:rPr>
              <w:t>3.1服务期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投标有效期</w:t>
            </w:r>
          </w:p>
        </w:tc>
        <w:tc>
          <w:tcPr>
            <w:tcW w:w="5303" w:type="dxa"/>
            <w:vAlign w:val="center"/>
          </w:tcPr>
          <w:p>
            <w:pPr>
              <w:spacing w:line="320" w:lineRule="exact"/>
              <w:rPr>
                <w:rFonts w:ascii="宋体" w:hAnsi="宋体"/>
              </w:rPr>
            </w:pPr>
            <w:r>
              <w:rPr>
                <w:rFonts w:hint="eastAsia" w:ascii="宋体" w:hAnsi="宋体" w:cs="宋体"/>
                <w:szCs w:val="22"/>
              </w:rPr>
              <w:t>符合</w:t>
            </w:r>
            <w:r>
              <w:rPr>
                <w:rFonts w:hint="eastAsia" w:ascii="宋体" w:hAnsi="宋体" w:cs="宋体"/>
                <w:szCs w:val="21"/>
              </w:rPr>
              <w:t>第二章“投标人须知”投标人须知前附表</w:t>
            </w:r>
            <w:r>
              <w:rPr>
                <w:rFonts w:ascii="宋体" w:hAnsi="宋体" w:cs="宋体"/>
                <w:szCs w:val="22"/>
              </w:rPr>
              <w:t>1.3.1</w:t>
            </w:r>
            <w:r>
              <w:rPr>
                <w:rFonts w:hint="eastAsia" w:ascii="宋体" w:hAnsi="宋体" w:cs="宋体"/>
                <w:szCs w:val="2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dxa"/>
            <w:vMerge w:val="continue"/>
            <w:vAlign w:val="center"/>
          </w:tcPr>
          <w:p>
            <w:pPr>
              <w:rPr>
                <w:rFonts w:ascii="宋体" w:hAnsi="宋体"/>
              </w:rPr>
            </w:pPr>
          </w:p>
        </w:tc>
        <w:tc>
          <w:tcPr>
            <w:tcW w:w="851" w:type="dxa"/>
            <w:vMerge w:val="continue"/>
            <w:vAlign w:val="center"/>
          </w:tcPr>
          <w:p>
            <w:pPr>
              <w:jc w:val="center"/>
              <w:rPr>
                <w:rFonts w:ascii="宋体" w:hAnsi="宋体"/>
                <w:b/>
                <w:bCs/>
              </w:rPr>
            </w:pPr>
          </w:p>
        </w:tc>
        <w:tc>
          <w:tcPr>
            <w:tcW w:w="1074" w:type="dxa"/>
            <w:vMerge w:val="continue"/>
            <w:vAlign w:val="center"/>
          </w:tcPr>
          <w:p>
            <w:pPr>
              <w:rPr>
                <w:rFonts w:ascii="宋体" w:hAnsi="宋体"/>
                <w:b/>
                <w:bCs/>
              </w:rPr>
            </w:pPr>
          </w:p>
        </w:tc>
        <w:tc>
          <w:tcPr>
            <w:tcW w:w="1986" w:type="dxa"/>
            <w:vAlign w:val="center"/>
          </w:tcPr>
          <w:p>
            <w:pPr>
              <w:spacing w:line="320" w:lineRule="exact"/>
              <w:rPr>
                <w:rFonts w:ascii="宋体" w:hAnsi="宋体"/>
              </w:rPr>
            </w:pPr>
            <w:r>
              <w:rPr>
                <w:rFonts w:hint="eastAsia" w:ascii="宋体" w:hAnsi="宋体"/>
              </w:rPr>
              <w:t>投标保证金</w:t>
            </w:r>
          </w:p>
        </w:tc>
        <w:tc>
          <w:tcPr>
            <w:tcW w:w="5303" w:type="dxa"/>
            <w:vAlign w:val="center"/>
          </w:tcPr>
          <w:p>
            <w:pPr>
              <w:spacing w:line="320" w:lineRule="exact"/>
              <w:rPr>
                <w:rFonts w:ascii="宋体" w:hAnsi="宋体"/>
              </w:rPr>
            </w:pPr>
            <w:r>
              <w:rPr>
                <w:rFonts w:hint="eastAsia" w:ascii="宋体" w:hAnsi="宋体"/>
              </w:rPr>
              <w:t>符合第二章“投标人须知”第3.4.1项规定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6" w:type="dxa"/>
            <w:vMerge w:val="continue"/>
            <w:vAlign w:val="center"/>
          </w:tcPr>
          <w:p>
            <w:pPr>
              <w:rPr>
                <w:rFonts w:ascii="宋体" w:hAnsi="宋体"/>
              </w:rPr>
            </w:pPr>
          </w:p>
        </w:tc>
        <w:tc>
          <w:tcPr>
            <w:tcW w:w="851" w:type="dxa"/>
            <w:vMerge w:val="continue"/>
            <w:vAlign w:val="center"/>
          </w:tcPr>
          <w:p>
            <w:pP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分包计划</w:t>
            </w:r>
          </w:p>
        </w:tc>
        <w:tc>
          <w:tcPr>
            <w:tcW w:w="5303" w:type="dxa"/>
            <w:vAlign w:val="center"/>
          </w:tcPr>
          <w:p>
            <w:pPr>
              <w:spacing w:line="300" w:lineRule="exact"/>
              <w:rPr>
                <w:rFonts w:ascii="宋体" w:hAnsi="宋体" w:cs="宋体"/>
                <w:szCs w:val="21"/>
              </w:rPr>
            </w:pPr>
            <w:r>
              <w:rPr>
                <w:rFonts w:hint="eastAsia" w:ascii="宋体" w:hAnsi="宋体" w:cs="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6" w:type="dxa"/>
            <w:vMerge w:val="continue"/>
            <w:vAlign w:val="center"/>
          </w:tcPr>
          <w:p>
            <w:pPr>
              <w:rPr>
                <w:rFonts w:ascii="宋体" w:hAnsi="宋体"/>
              </w:rPr>
            </w:pPr>
          </w:p>
        </w:tc>
        <w:tc>
          <w:tcPr>
            <w:tcW w:w="851" w:type="dxa"/>
            <w:vMerge w:val="continue"/>
            <w:vAlign w:val="center"/>
          </w:tcPr>
          <w:p>
            <w:pP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投标价格</w:t>
            </w:r>
          </w:p>
        </w:tc>
        <w:tc>
          <w:tcPr>
            <w:tcW w:w="5303" w:type="dxa"/>
            <w:vAlign w:val="center"/>
          </w:tcPr>
          <w:p>
            <w:pPr>
              <w:spacing w:line="300" w:lineRule="exact"/>
              <w:rPr>
                <w:rFonts w:ascii="宋体" w:hAnsi="宋体" w:cs="宋体"/>
                <w:szCs w:val="21"/>
              </w:rPr>
            </w:pPr>
            <w:r>
              <w:rPr>
                <w:rFonts w:hint="eastAsia" w:ascii="宋体" w:hAnsi="宋体" w:cs="宋体"/>
                <w:szCs w:val="22"/>
              </w:rPr>
              <w:t>符合</w:t>
            </w:r>
            <w:r>
              <w:rPr>
                <w:rFonts w:hint="eastAsia" w:ascii="宋体" w:hAnsi="宋体" w:cs="宋体"/>
                <w:szCs w:val="21"/>
              </w:rPr>
              <w:t>第二章“投标人须知”投标人须知前附表</w:t>
            </w:r>
            <w:r>
              <w:rPr>
                <w:rFonts w:hint="eastAsia" w:ascii="宋体" w:hAnsi="宋体" w:cs="宋体"/>
                <w:szCs w:val="22"/>
              </w:rPr>
              <w:t>1.1.9最高投标限价要求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6" w:type="dxa"/>
            <w:vMerge w:val="continue"/>
            <w:vAlign w:val="center"/>
          </w:tcPr>
          <w:p>
            <w:pPr>
              <w:rPr>
                <w:rFonts w:ascii="宋体" w:hAnsi="宋体"/>
              </w:rPr>
            </w:pPr>
          </w:p>
        </w:tc>
        <w:tc>
          <w:tcPr>
            <w:tcW w:w="851" w:type="dxa"/>
            <w:vMerge w:val="continue"/>
            <w:vAlign w:val="center"/>
          </w:tcPr>
          <w:p>
            <w:pPr>
              <w:rPr>
                <w:rFonts w:ascii="宋体" w:hAnsi="宋体"/>
              </w:rPr>
            </w:pPr>
          </w:p>
        </w:tc>
        <w:tc>
          <w:tcPr>
            <w:tcW w:w="1074" w:type="dxa"/>
            <w:vMerge w:val="continue"/>
            <w:vAlign w:val="center"/>
          </w:tcPr>
          <w:p>
            <w:pPr>
              <w:rPr>
                <w:rFonts w:ascii="宋体" w:hAnsi="宋体"/>
              </w:rPr>
            </w:pPr>
          </w:p>
        </w:tc>
        <w:tc>
          <w:tcPr>
            <w:tcW w:w="1986" w:type="dxa"/>
            <w:vAlign w:val="center"/>
          </w:tcPr>
          <w:p>
            <w:pPr>
              <w:spacing w:line="320" w:lineRule="exact"/>
              <w:rPr>
                <w:rFonts w:ascii="宋体" w:hAnsi="宋体"/>
              </w:rPr>
            </w:pPr>
            <w:r>
              <w:rPr>
                <w:rFonts w:hint="eastAsia" w:ascii="宋体" w:hAnsi="宋体"/>
              </w:rPr>
              <w:t>其他实质性要求</w:t>
            </w:r>
          </w:p>
        </w:tc>
        <w:tc>
          <w:tcPr>
            <w:tcW w:w="5303" w:type="dxa"/>
            <w:vAlign w:val="center"/>
          </w:tcPr>
          <w:p>
            <w:pPr>
              <w:spacing w:line="300" w:lineRule="exact"/>
              <w:rPr>
                <w:rFonts w:ascii="宋体" w:hAnsi="宋体"/>
              </w:rPr>
            </w:pPr>
            <w:r>
              <w:rPr>
                <w:rFonts w:hint="eastAsia" w:ascii="宋体" w:hAnsi="宋体"/>
              </w:rPr>
              <w:t>投标文件对招标文件的其他实质性要求和条件作出响应。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426" w:type="dxa"/>
            <w:vMerge w:val="restart"/>
            <w:vAlign w:val="center"/>
          </w:tcPr>
          <w:p>
            <w:pPr>
              <w:rPr>
                <w:rFonts w:ascii="宋体" w:hAnsi="宋体"/>
              </w:rPr>
            </w:pPr>
            <w:r>
              <w:rPr>
                <w:rFonts w:hint="eastAsia" w:ascii="宋体" w:hAnsi="宋体"/>
              </w:rPr>
              <w:t>详细评审</w:t>
            </w:r>
          </w:p>
        </w:tc>
        <w:tc>
          <w:tcPr>
            <w:tcW w:w="851" w:type="dxa"/>
            <w:vAlign w:val="center"/>
          </w:tcPr>
          <w:p>
            <w:pPr>
              <w:jc w:val="center"/>
              <w:rPr>
                <w:rFonts w:ascii="宋体" w:hAnsi="宋体"/>
              </w:rPr>
            </w:pPr>
            <w:r>
              <w:rPr>
                <w:rFonts w:hint="eastAsia" w:ascii="宋体" w:hAnsi="宋体"/>
              </w:rPr>
              <w:t>2.2.1</w:t>
            </w:r>
          </w:p>
        </w:tc>
        <w:tc>
          <w:tcPr>
            <w:tcW w:w="1074" w:type="dxa"/>
            <w:vAlign w:val="center"/>
          </w:tcPr>
          <w:p>
            <w:pPr>
              <w:rPr>
                <w:rFonts w:ascii="宋体" w:hAnsi="宋体"/>
              </w:rPr>
            </w:pPr>
            <w:r>
              <w:rPr>
                <w:rFonts w:hint="eastAsia" w:ascii="宋体" w:hAnsi="宋体"/>
              </w:rPr>
              <w:t>分值构成（总分</w:t>
            </w:r>
          </w:p>
          <w:p>
            <w:pPr>
              <w:rPr>
                <w:rFonts w:ascii="宋体" w:hAnsi="宋体"/>
              </w:rPr>
            </w:pPr>
            <w:r>
              <w:rPr>
                <w:rFonts w:hint="eastAsia" w:ascii="宋体" w:hAnsi="宋体"/>
              </w:rPr>
              <w:t>100分）</w:t>
            </w:r>
          </w:p>
        </w:tc>
        <w:tc>
          <w:tcPr>
            <w:tcW w:w="7289" w:type="dxa"/>
            <w:gridSpan w:val="2"/>
            <w:vAlign w:val="center"/>
          </w:tcPr>
          <w:p>
            <w:pPr>
              <w:spacing w:line="320" w:lineRule="exact"/>
              <w:rPr>
                <w:rFonts w:ascii="宋体" w:hAnsi="宋体" w:cs="宋体"/>
                <w:szCs w:val="21"/>
                <w:u w:val="single"/>
              </w:rPr>
            </w:pPr>
            <w:r>
              <w:rPr>
                <w:rFonts w:hint="eastAsia" w:ascii="宋体" w:hAnsi="宋体" w:cs="宋体"/>
                <w:szCs w:val="21"/>
              </w:rPr>
              <w:t>价格部分：</w:t>
            </w:r>
            <w:r>
              <w:rPr>
                <w:rFonts w:ascii="宋体" w:hAnsi="宋体" w:cs="宋体"/>
                <w:szCs w:val="21"/>
                <w:u w:val="single"/>
              </w:rPr>
              <w:t>100分，权重0.50</w:t>
            </w:r>
          </w:p>
          <w:p>
            <w:pPr>
              <w:spacing w:line="320" w:lineRule="exact"/>
              <w:rPr>
                <w:rFonts w:ascii="宋体" w:hAnsi="宋体" w:cs="宋体"/>
                <w:szCs w:val="21"/>
              </w:rPr>
            </w:pPr>
            <w:r>
              <w:rPr>
                <w:rFonts w:hint="eastAsia" w:ascii="宋体" w:hAnsi="宋体" w:cs="宋体"/>
                <w:szCs w:val="21"/>
              </w:rPr>
              <w:t>技术部分：</w:t>
            </w:r>
            <w:r>
              <w:rPr>
                <w:rFonts w:ascii="宋体" w:hAnsi="宋体" w:cs="宋体"/>
                <w:szCs w:val="21"/>
                <w:u w:val="single"/>
              </w:rPr>
              <w:t>100分，权重0.25</w:t>
            </w:r>
            <w:r>
              <w:rPr>
                <w:rFonts w:ascii="宋体" w:hAnsi="宋体" w:cs="宋体"/>
                <w:szCs w:val="21"/>
              </w:rPr>
              <w:t xml:space="preserve"> </w:t>
            </w:r>
          </w:p>
          <w:p>
            <w:pPr>
              <w:spacing w:line="320" w:lineRule="exact"/>
              <w:rPr>
                <w:rFonts w:ascii="宋体" w:hAnsi="宋体" w:cs="宋体"/>
                <w:szCs w:val="21"/>
              </w:rPr>
            </w:pPr>
            <w:r>
              <w:rPr>
                <w:rFonts w:hint="eastAsia" w:ascii="宋体" w:hAnsi="宋体" w:cs="宋体"/>
                <w:szCs w:val="21"/>
              </w:rPr>
              <w:t>商务部分：</w:t>
            </w:r>
            <w:r>
              <w:rPr>
                <w:rFonts w:ascii="宋体" w:hAnsi="宋体" w:cs="宋体"/>
                <w:szCs w:val="21"/>
                <w:u w:val="single"/>
              </w:rPr>
              <w:t>100分，权重0.25</w:t>
            </w:r>
          </w:p>
          <w:p>
            <w:pPr>
              <w:spacing w:line="320" w:lineRule="exact"/>
              <w:rPr>
                <w:rFonts w:ascii="宋体" w:hAnsi="宋体" w:cs="宋体"/>
                <w:highlight w:val="yellow"/>
                <w:u w:val="single"/>
              </w:rPr>
            </w:pPr>
            <w:r>
              <w:rPr>
                <w:rFonts w:hint="eastAsia" w:ascii="宋体" w:hAnsi="宋体" w:cs="宋体"/>
                <w:bCs/>
                <w:u w:val="single"/>
              </w:rPr>
              <w:t>各类计算结果保留小数点后三位，按照四舍五入法取值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trPr>
        <w:tc>
          <w:tcPr>
            <w:tcW w:w="426" w:type="dxa"/>
            <w:vMerge w:val="continue"/>
            <w:vAlign w:val="center"/>
          </w:tcPr>
          <w:p>
            <w:pPr>
              <w:rPr>
                <w:rFonts w:ascii="宋体" w:hAnsi="宋体"/>
              </w:rPr>
            </w:pPr>
          </w:p>
        </w:tc>
        <w:tc>
          <w:tcPr>
            <w:tcW w:w="851" w:type="dxa"/>
            <w:vAlign w:val="center"/>
          </w:tcPr>
          <w:p>
            <w:pPr>
              <w:jc w:val="center"/>
              <w:rPr>
                <w:rFonts w:ascii="宋体" w:hAnsi="宋体"/>
              </w:rPr>
            </w:pPr>
            <w:r>
              <w:rPr>
                <w:rFonts w:hint="eastAsia" w:ascii="宋体" w:hAnsi="宋体"/>
              </w:rPr>
              <w:t>2.2.2</w:t>
            </w:r>
          </w:p>
        </w:tc>
        <w:tc>
          <w:tcPr>
            <w:tcW w:w="1074" w:type="dxa"/>
            <w:vAlign w:val="center"/>
          </w:tcPr>
          <w:p>
            <w:pPr>
              <w:rPr>
                <w:rFonts w:ascii="宋体" w:hAnsi="宋体"/>
              </w:rPr>
            </w:pPr>
            <w:r>
              <w:rPr>
                <w:rFonts w:hint="eastAsia" w:ascii="宋体" w:hAnsi="宋体"/>
              </w:rPr>
              <w:t>评标基准价计算方法</w:t>
            </w:r>
          </w:p>
        </w:tc>
        <w:tc>
          <w:tcPr>
            <w:tcW w:w="7289" w:type="dxa"/>
            <w:gridSpan w:val="2"/>
            <w:vAlign w:val="bottom"/>
          </w:tcPr>
          <w:p>
            <w:pPr>
              <w:spacing w:line="320" w:lineRule="exact"/>
              <w:rPr>
                <w:rFonts w:ascii="宋体" w:hAnsi="宋体" w:cs="宋体"/>
              </w:rPr>
            </w:pPr>
            <w:r>
              <w:rPr>
                <w:rFonts w:hint="eastAsia" w:ascii="宋体" w:hAnsi="宋体" w:cs="宋体"/>
              </w:rPr>
              <w:t>投标人所报全过程工程咨询中的勘察设计、工程监理、造价咨询服务的投标费率为P，基准值为T；唱标结束后，由招标人从“3.5%、3%、2.5%、2%、1.5%、1%、0.5%”中抽取1个浮动系数N，商务得分为F。</w:t>
            </w:r>
          </w:p>
          <w:p>
            <w:pPr>
              <w:spacing w:line="320" w:lineRule="exact"/>
              <w:rPr>
                <w:rFonts w:ascii="宋体" w:hAnsi="宋体" w:cs="宋体"/>
              </w:rPr>
            </w:pPr>
            <w:r>
              <w:rPr>
                <w:rFonts w:hint="eastAsia" w:ascii="宋体" w:hAnsi="宋体" w:cs="宋体"/>
              </w:rPr>
              <w:t>1.基准值。有效投标人数量≥7个，T=去除1个最高、1个最低费率（若最高、最低有相同的一并去掉）后的算术平均值×（1-N）；当有效投标人数量＜7个，T=各有效投标人费率的算术平均值×（1</w:t>
            </w:r>
            <w:r>
              <w:rPr>
                <w:rFonts w:ascii="宋体" w:hAnsi="宋体" w:cs="宋体"/>
              </w:rPr>
              <w:t>-N</w:t>
            </w:r>
            <w:r>
              <w:rPr>
                <w:rFonts w:hint="eastAsia" w:ascii="宋体" w:hAnsi="宋体" w:cs="宋体"/>
              </w:rPr>
              <w:t>）。</w:t>
            </w:r>
          </w:p>
          <w:p>
            <w:pPr>
              <w:spacing w:line="320" w:lineRule="exact"/>
              <w:rPr>
                <w:rFonts w:ascii="宋体" w:hAnsi="宋体" w:cs="宋体"/>
              </w:rPr>
            </w:pPr>
            <w:r>
              <w:rPr>
                <w:rFonts w:hint="eastAsia" w:ascii="宋体" w:hAnsi="宋体" w:cs="宋体"/>
              </w:rPr>
              <w:t>2.偏差率公式为S=(P-T)/T，保留4位小数。每高于基准值1%，扣</w:t>
            </w:r>
            <w:r>
              <w:rPr>
                <w:rFonts w:ascii="宋体" w:hAnsi="宋体" w:cs="宋体"/>
              </w:rPr>
              <w:t>1</w:t>
            </w:r>
            <w:r>
              <w:rPr>
                <w:rFonts w:hint="eastAsia" w:ascii="宋体" w:hAnsi="宋体" w:cs="宋体"/>
              </w:rPr>
              <w:t>分；每低于基准值1%，扣</w:t>
            </w:r>
            <w:r>
              <w:rPr>
                <w:rFonts w:ascii="宋体" w:hAnsi="宋体" w:cs="宋体"/>
              </w:rPr>
              <w:t>0.5</w:t>
            </w:r>
            <w:r>
              <w:rPr>
                <w:rFonts w:hint="eastAsia" w:ascii="宋体" w:hAnsi="宋体" w:cs="宋体"/>
              </w:rPr>
              <w:t>分；中间用插入法，扣完为止。</w:t>
            </w:r>
          </w:p>
          <w:p>
            <w:pPr>
              <w:spacing w:line="240" w:lineRule="auto"/>
              <w:ind w:firstLine="0" w:firstLineChars="0"/>
              <w:jc w:val="left"/>
              <w:rPr>
                <w:rFonts w:ascii="宋体" w:hAnsi="宋体"/>
                <w:szCs w:val="21"/>
                <w:highlight w:val="yellow"/>
              </w:rPr>
            </w:pPr>
            <w:r>
              <w:rPr>
                <w:rFonts w:hint="eastAsia" w:ascii="宋体" w:hAnsi="宋体" w:cs="宋体"/>
              </w:rPr>
              <w:t>3.F=F1*权重+F2*权重+F3*权重，计算结果均保留3位小数。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26" w:type="dxa"/>
            <w:vMerge w:val="continue"/>
            <w:vAlign w:val="center"/>
          </w:tcPr>
          <w:p>
            <w:pPr>
              <w:spacing w:line="440" w:lineRule="exact"/>
              <w:rPr>
                <w:rFonts w:ascii="宋体" w:hAnsi="宋体"/>
              </w:rPr>
            </w:pPr>
          </w:p>
        </w:tc>
        <w:tc>
          <w:tcPr>
            <w:tcW w:w="851" w:type="dxa"/>
            <w:vMerge w:val="restart"/>
            <w:vAlign w:val="center"/>
          </w:tcPr>
          <w:p>
            <w:pPr>
              <w:spacing w:line="440" w:lineRule="exact"/>
              <w:jc w:val="center"/>
              <w:rPr>
                <w:rFonts w:ascii="宋体" w:hAnsi="宋体"/>
              </w:rPr>
            </w:pPr>
            <w:r>
              <w:rPr>
                <w:rFonts w:hint="eastAsia" w:ascii="宋体" w:hAnsi="宋体"/>
              </w:rPr>
              <w:t>2.2.3</w:t>
            </w:r>
          </w:p>
        </w:tc>
        <w:tc>
          <w:tcPr>
            <w:tcW w:w="1074" w:type="dxa"/>
            <w:vAlign w:val="center"/>
          </w:tcPr>
          <w:p>
            <w:pPr>
              <w:rPr>
                <w:rFonts w:ascii="宋体" w:hAnsi="宋体"/>
              </w:rPr>
            </w:pPr>
            <w:r>
              <w:rPr>
                <w:rFonts w:hint="eastAsia" w:ascii="宋体" w:hAnsi="宋体"/>
              </w:rPr>
              <w:t>价格部分评分标准</w:t>
            </w:r>
          </w:p>
        </w:tc>
        <w:tc>
          <w:tcPr>
            <w:tcW w:w="7289" w:type="dxa"/>
            <w:gridSpan w:val="2"/>
            <w:vAlign w:val="center"/>
          </w:tcPr>
          <w:p>
            <w:pPr>
              <w:spacing w:line="320" w:lineRule="exact"/>
              <w:rPr>
                <w:rFonts w:ascii="宋体" w:hAnsi="宋体"/>
              </w:rPr>
            </w:pPr>
            <w:r>
              <w:rPr>
                <w:rFonts w:hint="eastAsia" w:ascii="宋体" w:hAnsi="宋体"/>
              </w:rPr>
              <w:t>详见本章</w:t>
            </w:r>
            <w:r>
              <w:rPr>
                <w:rFonts w:hint="eastAsia" w:ascii="宋体" w:hAnsi="宋体"/>
                <w:szCs w:val="21"/>
              </w:rPr>
              <w:t>附件</w:t>
            </w:r>
            <w:r>
              <w:rPr>
                <w:rFonts w:ascii="宋体" w:hAnsi="宋体"/>
                <w:szCs w:val="21"/>
              </w:rPr>
              <w:t>4</w:t>
            </w:r>
            <w:r>
              <w:rPr>
                <w:rFonts w:hint="eastAsia" w:ascii="宋体" w:hAnsi="宋体"/>
                <w:szCs w:val="21"/>
              </w:rPr>
              <w:t>价格部分</w:t>
            </w:r>
            <w:r>
              <w:rPr>
                <w:rFonts w:ascii="宋体" w:hAnsi="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426" w:type="dxa"/>
            <w:vMerge w:val="continue"/>
            <w:vAlign w:val="center"/>
          </w:tcPr>
          <w:p>
            <w:pPr>
              <w:spacing w:line="440" w:lineRule="exact"/>
              <w:rPr>
                <w:rFonts w:ascii="宋体" w:hAnsi="宋体"/>
              </w:rPr>
            </w:pPr>
          </w:p>
        </w:tc>
        <w:tc>
          <w:tcPr>
            <w:tcW w:w="851" w:type="dxa"/>
            <w:vMerge w:val="continue"/>
            <w:vAlign w:val="center"/>
          </w:tcPr>
          <w:p>
            <w:pPr>
              <w:spacing w:line="440" w:lineRule="exact"/>
              <w:jc w:val="center"/>
              <w:rPr>
                <w:rFonts w:ascii="宋体" w:hAnsi="宋体"/>
              </w:rPr>
            </w:pPr>
          </w:p>
        </w:tc>
        <w:tc>
          <w:tcPr>
            <w:tcW w:w="1074" w:type="dxa"/>
            <w:vAlign w:val="center"/>
          </w:tcPr>
          <w:p>
            <w:pPr>
              <w:rPr>
                <w:rFonts w:ascii="宋体" w:hAnsi="宋体"/>
              </w:rPr>
            </w:pPr>
            <w:r>
              <w:rPr>
                <w:rFonts w:hint="eastAsia" w:ascii="宋体" w:hAnsi="宋体"/>
              </w:rPr>
              <w:t>技术部分评分标准</w:t>
            </w:r>
          </w:p>
        </w:tc>
        <w:tc>
          <w:tcPr>
            <w:tcW w:w="7289" w:type="dxa"/>
            <w:gridSpan w:val="2"/>
            <w:vAlign w:val="center"/>
          </w:tcPr>
          <w:p>
            <w:pPr>
              <w:spacing w:line="320" w:lineRule="exact"/>
              <w:rPr>
                <w:rFonts w:ascii="宋体" w:hAnsi="宋体"/>
              </w:rPr>
            </w:pPr>
            <w:r>
              <w:rPr>
                <w:rFonts w:hint="eastAsia" w:ascii="宋体" w:hAnsi="宋体"/>
              </w:rPr>
              <w:t>详见本章</w:t>
            </w:r>
            <w:r>
              <w:rPr>
                <w:rFonts w:hint="eastAsia" w:ascii="宋体" w:hAnsi="宋体"/>
                <w:szCs w:val="21"/>
              </w:rPr>
              <w:t>附件</w:t>
            </w:r>
            <w:r>
              <w:rPr>
                <w:rFonts w:ascii="宋体" w:hAnsi="宋体"/>
                <w:szCs w:val="21"/>
              </w:rPr>
              <w:t>5技术部分评分标准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continue"/>
            <w:vAlign w:val="center"/>
          </w:tcPr>
          <w:p>
            <w:pPr>
              <w:rPr>
                <w:rFonts w:ascii="宋体" w:hAnsi="宋体"/>
              </w:rPr>
            </w:pPr>
          </w:p>
        </w:tc>
        <w:tc>
          <w:tcPr>
            <w:tcW w:w="851" w:type="dxa"/>
            <w:vMerge w:val="continue"/>
            <w:vAlign w:val="center"/>
          </w:tcPr>
          <w:p>
            <w:pPr>
              <w:spacing w:line="440" w:lineRule="exact"/>
              <w:jc w:val="center"/>
              <w:rPr>
                <w:rFonts w:ascii="宋体" w:hAnsi="宋体"/>
              </w:rPr>
            </w:pPr>
          </w:p>
        </w:tc>
        <w:tc>
          <w:tcPr>
            <w:tcW w:w="1074" w:type="dxa"/>
            <w:vAlign w:val="center"/>
          </w:tcPr>
          <w:p>
            <w:pPr>
              <w:jc w:val="left"/>
              <w:rPr>
                <w:rFonts w:ascii="宋体" w:hAnsi="宋体"/>
              </w:rPr>
            </w:pPr>
            <w:r>
              <w:rPr>
                <w:rFonts w:hint="eastAsia" w:ascii="宋体" w:hAnsi="宋体"/>
              </w:rPr>
              <w:t>商务部分评分标准</w:t>
            </w:r>
          </w:p>
        </w:tc>
        <w:tc>
          <w:tcPr>
            <w:tcW w:w="7289" w:type="dxa"/>
            <w:gridSpan w:val="2"/>
            <w:vAlign w:val="center"/>
          </w:tcPr>
          <w:p>
            <w:pPr>
              <w:spacing w:line="320" w:lineRule="exact"/>
              <w:rPr>
                <w:rFonts w:ascii="宋体" w:hAnsi="宋体"/>
              </w:rPr>
            </w:pPr>
            <w:r>
              <w:rPr>
                <w:rFonts w:hint="eastAsia" w:ascii="宋体" w:hAnsi="宋体"/>
              </w:rPr>
              <w:t>详见本章</w:t>
            </w:r>
            <w:r>
              <w:rPr>
                <w:rFonts w:hint="eastAsia" w:ascii="宋体" w:hAnsi="宋体"/>
                <w:szCs w:val="21"/>
              </w:rPr>
              <w:t>附件</w:t>
            </w:r>
            <w:r>
              <w:rPr>
                <w:rFonts w:ascii="宋体" w:hAnsi="宋体"/>
                <w:szCs w:val="21"/>
              </w:rPr>
              <w:t>6商务部分评分标准</w:t>
            </w:r>
          </w:p>
        </w:tc>
      </w:tr>
    </w:tbl>
    <w:p>
      <w:pPr>
        <w:pStyle w:val="6"/>
        <w:spacing w:before="0" w:after="0" w:line="400" w:lineRule="exact"/>
      </w:pPr>
      <w:bookmarkStart w:id="451" w:name="_Toc184916586"/>
      <w:r>
        <w:rPr>
          <w:rFonts w:hint="eastAsia"/>
        </w:rPr>
        <w:t>二、评标办法正文部分</w:t>
      </w:r>
      <w:bookmarkEnd w:id="441"/>
      <w:bookmarkEnd w:id="442"/>
      <w:bookmarkEnd w:id="443"/>
      <w:bookmarkEnd w:id="444"/>
      <w:bookmarkEnd w:id="445"/>
      <w:bookmarkEnd w:id="446"/>
      <w:bookmarkEnd w:id="447"/>
      <w:bookmarkEnd w:id="448"/>
      <w:bookmarkEnd w:id="449"/>
      <w:bookmarkEnd w:id="450"/>
      <w:bookmarkEnd w:id="451"/>
    </w:p>
    <w:p>
      <w:pPr>
        <w:pStyle w:val="6"/>
        <w:spacing w:before="0" w:after="0" w:line="440" w:lineRule="exact"/>
        <w:rPr>
          <w:rFonts w:ascii="黑体"/>
          <w:b w:val="0"/>
          <w:bCs/>
          <w:sz w:val="28"/>
          <w:szCs w:val="28"/>
        </w:rPr>
      </w:pPr>
      <w:bookmarkStart w:id="452" w:name="_Toc10139"/>
      <w:bookmarkStart w:id="453" w:name="_Toc8686"/>
      <w:bookmarkStart w:id="454" w:name="_Toc9560"/>
      <w:bookmarkStart w:id="455" w:name="_Toc19475"/>
      <w:bookmarkStart w:id="456" w:name="_Toc184916587"/>
      <w:bookmarkStart w:id="457" w:name="_Toc393356426"/>
      <w:bookmarkStart w:id="458" w:name="_Toc20987"/>
      <w:bookmarkStart w:id="459" w:name="_Toc9971"/>
      <w:bookmarkStart w:id="460" w:name="_Toc2463"/>
      <w:bookmarkStart w:id="461" w:name="_Toc448911823"/>
      <w:bookmarkStart w:id="462" w:name="_Toc27830"/>
      <w:bookmarkStart w:id="463" w:name="_Toc24814"/>
      <w:bookmarkStart w:id="464" w:name="_Toc12143"/>
      <w:bookmarkStart w:id="465" w:name="_Toc30540"/>
      <w:bookmarkStart w:id="466" w:name="_Toc184635095"/>
      <w:bookmarkStart w:id="467" w:name="_Toc440038041"/>
      <w:bookmarkStart w:id="468" w:name="_Toc439856933"/>
      <w:bookmarkStart w:id="469" w:name="_Toc242955690"/>
      <w:bookmarkStart w:id="470" w:name="_Toc238356658"/>
      <w:bookmarkStart w:id="471" w:name="_Toc400465367"/>
      <w:r>
        <w:rPr>
          <w:rFonts w:hint="eastAsia" w:ascii="黑体"/>
          <w:b w:val="0"/>
          <w:bCs/>
          <w:sz w:val="28"/>
          <w:szCs w:val="28"/>
        </w:rPr>
        <w:t>1. 评标方法</w:t>
      </w:r>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6"/>
        <w:spacing w:before="0" w:after="0" w:line="440" w:lineRule="exact"/>
        <w:rPr>
          <w:rFonts w:ascii="Times New Roman" w:hAnsi="Times New Roman" w:cs="宋体"/>
          <w:b w:val="0"/>
          <w:bCs/>
          <w:sz w:val="28"/>
          <w:szCs w:val="28"/>
        </w:rPr>
      </w:pPr>
      <w:bookmarkStart w:id="472" w:name="_Toc448911824"/>
      <w:bookmarkStart w:id="473" w:name="_Toc184916588"/>
      <w:bookmarkStart w:id="474" w:name="_Toc14134"/>
      <w:r>
        <w:rPr>
          <w:rFonts w:hint="eastAsia" w:ascii="Times New Roman" w:hAnsi="Times New Roman" w:cs="宋体"/>
          <w:b w:val="0"/>
          <w:bCs/>
          <w:sz w:val="28"/>
          <w:szCs w:val="28"/>
        </w:rPr>
        <w:t>1.1 评标方法</w:t>
      </w:r>
      <w:bookmarkEnd w:id="472"/>
      <w:bookmarkEnd w:id="473"/>
      <w:bookmarkEnd w:id="474"/>
    </w:p>
    <w:p>
      <w:pPr>
        <w:spacing w:line="440" w:lineRule="exact"/>
        <w:ind w:firstLine="420" w:firstLineChars="200"/>
        <w:rPr>
          <w:rFonts w:ascii="宋体" w:hAnsi="宋体" w:cs="宋体"/>
        </w:rPr>
      </w:pPr>
      <w:r>
        <w:rPr>
          <w:rFonts w:hint="eastAsia" w:ascii="宋体" w:hAnsi="宋体" w:cs="宋体"/>
        </w:rPr>
        <w:t>本次评标采用综合评估法。评标委员会对满足招标文件实质性要求的投标文件，按照本章第2.2款规定的评分标准进行量化评分，并按得分由高到低顺序推荐中标候选人。如出现两家及以上投标人得分相同时，按照勘察设计费率低的优先；若勘察设计费率相同的，按照监理费率低的优先；若再相同，以造价咨询服务费率低的优先；若再相同的，由评标委员会自行确定，并在评标报告中说明确定依据。</w:t>
      </w:r>
    </w:p>
    <w:p>
      <w:pPr>
        <w:pStyle w:val="6"/>
        <w:spacing w:before="0" w:after="0" w:line="440" w:lineRule="exact"/>
        <w:rPr>
          <w:rFonts w:ascii="Times New Roman" w:hAnsi="Times New Roman" w:cs="宋体"/>
          <w:b w:val="0"/>
          <w:bCs/>
          <w:sz w:val="28"/>
          <w:szCs w:val="28"/>
        </w:rPr>
      </w:pPr>
      <w:bookmarkStart w:id="475" w:name="_Toc448911826"/>
      <w:bookmarkStart w:id="476" w:name="_Toc184916589"/>
      <w:bookmarkStart w:id="477" w:name="_Toc15702"/>
      <w:r>
        <w:rPr>
          <w:rFonts w:hint="eastAsia" w:ascii="Times New Roman" w:hAnsi="Times New Roman" w:cs="宋体"/>
          <w:b w:val="0"/>
          <w:bCs/>
          <w:sz w:val="28"/>
          <w:szCs w:val="28"/>
        </w:rPr>
        <w:t>1.3 评标程序</w:t>
      </w:r>
      <w:bookmarkEnd w:id="475"/>
      <w:bookmarkEnd w:id="476"/>
      <w:bookmarkEnd w:id="477"/>
    </w:p>
    <w:p>
      <w:pPr>
        <w:spacing w:line="440" w:lineRule="exact"/>
        <w:ind w:firstLine="420" w:firstLineChars="200"/>
        <w:rPr>
          <w:rFonts w:ascii="宋体" w:hAnsi="宋体"/>
        </w:rPr>
      </w:pPr>
      <w:r>
        <w:rPr>
          <w:rFonts w:hint="eastAsia" w:ascii="宋体" w:hAnsi="宋体"/>
        </w:rPr>
        <w:t>（1）评标准备；</w:t>
      </w:r>
    </w:p>
    <w:p>
      <w:pPr>
        <w:spacing w:line="440" w:lineRule="exact"/>
        <w:ind w:firstLine="420" w:firstLineChars="200"/>
        <w:rPr>
          <w:rFonts w:ascii="宋体" w:hAnsi="宋体"/>
        </w:rPr>
      </w:pPr>
      <w:r>
        <w:rPr>
          <w:rFonts w:hint="eastAsia" w:ascii="宋体" w:hAnsi="宋体"/>
        </w:rPr>
        <w:t>（2）初步评审；</w:t>
      </w:r>
    </w:p>
    <w:p>
      <w:pPr>
        <w:spacing w:line="440" w:lineRule="exact"/>
        <w:ind w:firstLine="420" w:firstLineChars="200"/>
        <w:rPr>
          <w:rFonts w:ascii="宋体" w:hAnsi="宋体"/>
        </w:rPr>
      </w:pPr>
      <w:r>
        <w:rPr>
          <w:rFonts w:hint="eastAsia" w:ascii="宋体" w:hAnsi="宋体"/>
        </w:rPr>
        <w:t>（3）详细评审；</w:t>
      </w:r>
    </w:p>
    <w:p>
      <w:pPr>
        <w:spacing w:line="440" w:lineRule="exact"/>
        <w:ind w:firstLine="420" w:firstLineChars="200"/>
        <w:rPr>
          <w:rFonts w:ascii="宋体" w:hAnsi="宋体"/>
        </w:rPr>
      </w:pPr>
      <w:r>
        <w:rPr>
          <w:rFonts w:hint="eastAsia" w:ascii="宋体" w:hAnsi="宋体"/>
        </w:rPr>
        <w:t>（4）澄清；</w:t>
      </w:r>
    </w:p>
    <w:p>
      <w:pPr>
        <w:spacing w:line="440" w:lineRule="exact"/>
        <w:ind w:firstLine="420" w:firstLineChars="200"/>
        <w:rPr>
          <w:rFonts w:ascii="宋体" w:hAnsi="宋体"/>
        </w:rPr>
      </w:pPr>
      <w:r>
        <w:rPr>
          <w:rFonts w:hint="eastAsia" w:ascii="宋体" w:hAnsi="宋体"/>
        </w:rPr>
        <w:t>（5）推荐中标候选人及提交评标报告（推荐不超过3个中标候选人）。</w:t>
      </w:r>
    </w:p>
    <w:p>
      <w:pPr>
        <w:pStyle w:val="6"/>
        <w:spacing w:before="0" w:after="0" w:line="440" w:lineRule="exact"/>
        <w:rPr>
          <w:rFonts w:ascii="黑体"/>
          <w:b w:val="0"/>
          <w:bCs/>
          <w:sz w:val="28"/>
          <w:szCs w:val="28"/>
        </w:rPr>
      </w:pPr>
      <w:bookmarkStart w:id="478" w:name="_Toc23394"/>
      <w:bookmarkStart w:id="479" w:name="_Toc393356427"/>
      <w:bookmarkStart w:id="480" w:name="_Toc18495"/>
      <w:bookmarkStart w:id="481" w:name="_Toc2432"/>
      <w:bookmarkStart w:id="482" w:name="_Toc17250"/>
      <w:bookmarkStart w:id="483" w:name="_Toc4940"/>
      <w:bookmarkStart w:id="484" w:name="_Toc184916590"/>
      <w:bookmarkStart w:id="485" w:name="_Toc23439"/>
      <w:bookmarkStart w:id="486" w:name="_Toc21584"/>
      <w:bookmarkStart w:id="487" w:name="_Toc12473"/>
      <w:bookmarkStart w:id="488" w:name="_Toc2429"/>
      <w:bookmarkStart w:id="489" w:name="_Toc26746"/>
      <w:bookmarkStart w:id="490" w:name="_Toc448911827"/>
      <w:r>
        <w:rPr>
          <w:rFonts w:hint="eastAsia" w:ascii="黑体"/>
          <w:b w:val="0"/>
          <w:bCs/>
          <w:sz w:val="28"/>
          <w:szCs w:val="28"/>
        </w:rPr>
        <w:t>2. 评审标准</w:t>
      </w:r>
      <w:bookmarkEnd w:id="478"/>
      <w:bookmarkEnd w:id="479"/>
      <w:bookmarkEnd w:id="480"/>
      <w:bookmarkEnd w:id="481"/>
      <w:bookmarkEnd w:id="482"/>
      <w:bookmarkEnd w:id="483"/>
      <w:bookmarkEnd w:id="484"/>
      <w:bookmarkEnd w:id="485"/>
      <w:bookmarkEnd w:id="486"/>
      <w:bookmarkEnd w:id="487"/>
      <w:bookmarkEnd w:id="488"/>
      <w:bookmarkEnd w:id="489"/>
      <w:bookmarkEnd w:id="490"/>
    </w:p>
    <w:p>
      <w:pPr>
        <w:pStyle w:val="6"/>
        <w:spacing w:before="0" w:after="0" w:line="440" w:lineRule="exact"/>
        <w:rPr>
          <w:rFonts w:ascii="Times New Roman" w:hAnsi="Times New Roman" w:cs="宋体"/>
          <w:b w:val="0"/>
          <w:bCs/>
          <w:sz w:val="28"/>
          <w:szCs w:val="28"/>
        </w:rPr>
      </w:pPr>
      <w:bookmarkStart w:id="491" w:name="_Toc393356428"/>
      <w:bookmarkStart w:id="492" w:name="_Toc12666"/>
      <w:bookmarkStart w:id="493" w:name="_Toc8241"/>
      <w:bookmarkStart w:id="494" w:name="_Toc20883"/>
      <w:bookmarkStart w:id="495" w:name="_Toc448911828"/>
      <w:bookmarkStart w:id="496" w:name="_Toc184916591"/>
      <w:r>
        <w:rPr>
          <w:rFonts w:hint="eastAsia" w:ascii="Times New Roman" w:hAnsi="Times New Roman" w:cs="宋体"/>
          <w:b w:val="0"/>
          <w:bCs/>
          <w:sz w:val="28"/>
          <w:szCs w:val="28"/>
        </w:rPr>
        <w:t>2.1 初步评审标准</w:t>
      </w:r>
      <w:bookmarkEnd w:id="491"/>
      <w:bookmarkEnd w:id="492"/>
      <w:bookmarkEnd w:id="493"/>
      <w:bookmarkEnd w:id="494"/>
      <w:bookmarkEnd w:id="495"/>
      <w:bookmarkEnd w:id="496"/>
    </w:p>
    <w:p>
      <w:pPr>
        <w:spacing w:line="440" w:lineRule="exact"/>
        <w:ind w:firstLine="420" w:firstLineChars="200"/>
        <w:rPr>
          <w:rFonts w:ascii="宋体" w:hAnsi="宋体"/>
        </w:rPr>
      </w:pPr>
      <w:r>
        <w:rPr>
          <w:rFonts w:ascii="宋体" w:hAnsi="宋体"/>
        </w:rPr>
        <w:t>2.1.1</w:t>
      </w:r>
      <w:r>
        <w:rPr>
          <w:rFonts w:hint="eastAsia" w:ascii="宋体" w:hAnsi="宋体"/>
        </w:rPr>
        <w:t>形式</w:t>
      </w:r>
      <w:r>
        <w:rPr>
          <w:rFonts w:hint="eastAsia" w:ascii="宋体" w:hAnsi="宋体" w:cs="宋体"/>
        </w:rPr>
        <w:t>评审标准：见评标办法前附表。</w:t>
      </w:r>
    </w:p>
    <w:p>
      <w:pPr>
        <w:spacing w:line="440" w:lineRule="exact"/>
        <w:ind w:firstLine="420" w:firstLineChars="200"/>
        <w:rPr>
          <w:rFonts w:ascii="宋体" w:hAnsi="宋体"/>
        </w:rPr>
      </w:pPr>
      <w:r>
        <w:rPr>
          <w:rFonts w:ascii="宋体" w:hAnsi="宋体"/>
        </w:rPr>
        <w:t>2.1.2</w:t>
      </w:r>
      <w:r>
        <w:rPr>
          <w:rFonts w:hint="eastAsia" w:ascii="宋体" w:hAnsi="宋体" w:cs="宋体"/>
        </w:rPr>
        <w:t>资格性评审标准：见评标办法前附表。</w:t>
      </w:r>
    </w:p>
    <w:p>
      <w:pPr>
        <w:spacing w:line="440" w:lineRule="exact"/>
        <w:ind w:firstLine="420" w:firstLineChars="200"/>
        <w:rPr>
          <w:rFonts w:ascii="宋体" w:hAnsi="宋体"/>
        </w:rPr>
      </w:pPr>
      <w:r>
        <w:rPr>
          <w:rFonts w:ascii="宋体" w:hAnsi="宋体"/>
        </w:rPr>
        <w:t>2.1.3</w:t>
      </w:r>
      <w:r>
        <w:rPr>
          <w:rFonts w:hint="eastAsia" w:ascii="宋体" w:hAnsi="宋体" w:cs="宋体"/>
        </w:rPr>
        <w:t>响应性评审标准：见评标办法前附表。</w:t>
      </w:r>
    </w:p>
    <w:p>
      <w:pPr>
        <w:pStyle w:val="6"/>
        <w:spacing w:before="0" w:after="0" w:line="440" w:lineRule="exact"/>
        <w:rPr>
          <w:rFonts w:ascii="Times New Roman" w:hAnsi="Times New Roman" w:cs="宋体"/>
          <w:b w:val="0"/>
          <w:bCs/>
          <w:sz w:val="28"/>
          <w:szCs w:val="28"/>
        </w:rPr>
      </w:pPr>
      <w:bookmarkStart w:id="497" w:name="_Toc448911829"/>
      <w:bookmarkStart w:id="498" w:name="_Toc393356429"/>
      <w:bookmarkStart w:id="499" w:name="_Toc184916592"/>
      <w:bookmarkStart w:id="500" w:name="_Toc10168"/>
      <w:bookmarkStart w:id="501" w:name="_Toc10259"/>
      <w:bookmarkStart w:id="502" w:name="_Toc2294"/>
      <w:r>
        <w:rPr>
          <w:rFonts w:hint="eastAsia" w:ascii="Times New Roman" w:hAnsi="Times New Roman" w:cs="宋体"/>
          <w:b w:val="0"/>
          <w:bCs/>
          <w:sz w:val="28"/>
          <w:szCs w:val="28"/>
        </w:rPr>
        <w:t>2.2 详细评审分值构成与评分标准</w:t>
      </w:r>
      <w:bookmarkEnd w:id="497"/>
      <w:bookmarkEnd w:id="498"/>
      <w:bookmarkEnd w:id="499"/>
      <w:bookmarkEnd w:id="500"/>
      <w:bookmarkEnd w:id="501"/>
      <w:bookmarkEnd w:id="502"/>
    </w:p>
    <w:p>
      <w:pPr>
        <w:spacing w:line="440" w:lineRule="exact"/>
        <w:ind w:firstLine="420" w:firstLineChars="200"/>
        <w:rPr>
          <w:rFonts w:ascii="宋体" w:hAnsi="宋体"/>
        </w:rPr>
      </w:pPr>
      <w:r>
        <w:rPr>
          <w:rFonts w:ascii="宋体" w:hAnsi="宋体"/>
        </w:rPr>
        <w:t xml:space="preserve">2.2.1 </w:t>
      </w:r>
      <w:r>
        <w:rPr>
          <w:rFonts w:hint="eastAsia" w:ascii="宋体" w:hAnsi="宋体" w:cs="宋体"/>
        </w:rPr>
        <w:t>分值构成：见评标办法前附表。</w:t>
      </w:r>
    </w:p>
    <w:p>
      <w:pPr>
        <w:spacing w:line="440" w:lineRule="exact"/>
        <w:ind w:firstLine="420" w:firstLineChars="200"/>
        <w:rPr>
          <w:rFonts w:ascii="宋体" w:hAnsi="宋体"/>
        </w:rPr>
      </w:pPr>
      <w:r>
        <w:rPr>
          <w:rFonts w:ascii="宋体" w:hAnsi="宋体"/>
        </w:rPr>
        <w:t xml:space="preserve">2.2.2 </w:t>
      </w:r>
      <w:r>
        <w:rPr>
          <w:rFonts w:hint="eastAsia" w:ascii="宋体" w:hAnsi="宋体" w:cs="宋体"/>
        </w:rPr>
        <w:t>评标基准价计算方法：见评标办法前附表。</w:t>
      </w:r>
    </w:p>
    <w:p>
      <w:pPr>
        <w:spacing w:line="440" w:lineRule="exact"/>
        <w:ind w:firstLine="420" w:firstLineChars="200"/>
        <w:rPr>
          <w:rFonts w:ascii="宋体" w:hAnsi="宋体"/>
        </w:rPr>
      </w:pPr>
      <w:r>
        <w:rPr>
          <w:rFonts w:ascii="宋体" w:hAnsi="宋体"/>
        </w:rPr>
        <w:t xml:space="preserve">2.2.3 </w:t>
      </w:r>
      <w:r>
        <w:rPr>
          <w:rFonts w:hint="eastAsia" w:ascii="宋体" w:hAnsi="宋体" w:cs="宋体"/>
        </w:rPr>
        <w:t>评分标准：见评标办法前附表。</w:t>
      </w:r>
    </w:p>
    <w:p>
      <w:pPr>
        <w:pStyle w:val="6"/>
        <w:spacing w:before="0" w:after="0" w:line="440" w:lineRule="exact"/>
        <w:rPr>
          <w:rFonts w:ascii="黑体"/>
          <w:b w:val="0"/>
          <w:bCs/>
          <w:sz w:val="28"/>
          <w:szCs w:val="28"/>
        </w:rPr>
      </w:pPr>
      <w:bookmarkStart w:id="503" w:name="_Toc22443"/>
      <w:bookmarkStart w:id="504" w:name="_Toc23951"/>
      <w:bookmarkStart w:id="505" w:name="_Toc28459"/>
      <w:bookmarkStart w:id="506" w:name="_Toc29205"/>
      <w:bookmarkStart w:id="507" w:name="_Toc11691"/>
      <w:bookmarkStart w:id="508" w:name="_Toc22056"/>
      <w:bookmarkStart w:id="509" w:name="_Toc448911830"/>
      <w:bookmarkStart w:id="510" w:name="_Toc16995"/>
      <w:bookmarkStart w:id="511" w:name="_Toc2159"/>
      <w:bookmarkStart w:id="512" w:name="_Toc16230"/>
      <w:bookmarkStart w:id="513" w:name="_Toc184916593"/>
      <w:bookmarkStart w:id="514" w:name="_Toc13329"/>
      <w:bookmarkStart w:id="515" w:name="_Toc393356430"/>
      <w:r>
        <w:rPr>
          <w:rFonts w:hint="eastAsia" w:ascii="黑体"/>
          <w:b w:val="0"/>
          <w:bCs/>
          <w:sz w:val="28"/>
          <w:szCs w:val="28"/>
        </w:rPr>
        <w:t>3. 评标程序</w:t>
      </w:r>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6"/>
        <w:spacing w:before="0" w:after="0" w:line="440" w:lineRule="exact"/>
        <w:rPr>
          <w:rFonts w:ascii="Times New Roman" w:hAnsi="Times New Roman" w:cs="宋体"/>
          <w:b w:val="0"/>
          <w:bCs/>
          <w:sz w:val="28"/>
          <w:szCs w:val="28"/>
        </w:rPr>
      </w:pPr>
      <w:bookmarkStart w:id="516" w:name="_Toc184916594"/>
      <w:bookmarkStart w:id="517" w:name="_Toc448911831"/>
      <w:bookmarkStart w:id="518" w:name="_Toc12842"/>
      <w:bookmarkStart w:id="519" w:name="_Toc12952"/>
      <w:bookmarkStart w:id="520" w:name="_Toc393356431"/>
      <w:bookmarkStart w:id="521" w:name="_Toc1252"/>
      <w:r>
        <w:rPr>
          <w:rFonts w:hint="eastAsia" w:ascii="Times New Roman" w:hAnsi="Times New Roman" w:cs="宋体"/>
          <w:b w:val="0"/>
          <w:bCs/>
          <w:sz w:val="28"/>
          <w:szCs w:val="28"/>
        </w:rPr>
        <w:t>3.1评标准备</w:t>
      </w:r>
      <w:bookmarkEnd w:id="516"/>
      <w:bookmarkEnd w:id="517"/>
      <w:bookmarkEnd w:id="518"/>
      <w:bookmarkEnd w:id="519"/>
      <w:bookmarkEnd w:id="520"/>
      <w:bookmarkEnd w:id="521"/>
    </w:p>
    <w:p>
      <w:pPr>
        <w:spacing w:line="440" w:lineRule="exact"/>
        <w:ind w:left="420" w:leftChars="200"/>
        <w:rPr>
          <w:rFonts w:ascii="宋体" w:hAnsi="宋体" w:cs="宋体"/>
          <w:sz w:val="24"/>
          <w:szCs w:val="24"/>
        </w:rPr>
      </w:pPr>
      <w:r>
        <w:rPr>
          <w:rFonts w:hint="eastAsia" w:ascii="宋体" w:hAnsi="宋体" w:cs="宋体"/>
          <w:sz w:val="24"/>
          <w:szCs w:val="24"/>
        </w:rPr>
        <w:t>3.1.1 评标专家签到</w:t>
      </w:r>
    </w:p>
    <w:p>
      <w:pPr>
        <w:spacing w:line="400" w:lineRule="exact"/>
        <w:ind w:firstLine="420" w:firstLineChars="200"/>
        <w:rPr>
          <w:rFonts w:ascii="宋体" w:hAnsi="宋体" w:cs="宋体"/>
        </w:rPr>
      </w:pPr>
      <w:r>
        <w:rPr>
          <w:rFonts w:hint="eastAsia" w:ascii="宋体" w:hAnsi="宋体" w:cs="宋体"/>
        </w:rPr>
        <w:t>评标专家应按规定时间地点签到。</w:t>
      </w:r>
    </w:p>
    <w:p>
      <w:pPr>
        <w:spacing w:line="400" w:lineRule="exact"/>
        <w:ind w:firstLine="420" w:firstLineChars="200"/>
        <w:rPr>
          <w:rFonts w:ascii="宋体" w:hAnsi="宋体" w:cs="宋体"/>
        </w:rPr>
      </w:pPr>
      <w:r>
        <w:rPr>
          <w:rFonts w:hint="eastAsia" w:ascii="宋体" w:hAnsi="宋体" w:cs="宋体"/>
        </w:rPr>
        <w:t>评标专家</w:t>
      </w:r>
      <w:r>
        <w:rPr>
          <w:rFonts w:ascii="宋体" w:hAnsi="宋体" w:cs="宋体"/>
        </w:rPr>
        <w:t>在</w:t>
      </w:r>
      <w:r>
        <w:rPr>
          <w:rFonts w:hint="eastAsia" w:ascii="宋体" w:hAnsi="宋体" w:cs="宋体"/>
        </w:rPr>
        <w:t>评标</w:t>
      </w:r>
      <w:r>
        <w:rPr>
          <w:rFonts w:ascii="宋体" w:hAnsi="宋体" w:cs="宋体"/>
        </w:rPr>
        <w:t>前，应当签署声明书</w:t>
      </w:r>
      <w:r>
        <w:rPr>
          <w:rFonts w:hint="eastAsia" w:ascii="宋体" w:hAnsi="宋体" w:cs="宋体"/>
        </w:rPr>
        <w:t>。</w:t>
      </w:r>
      <w:r>
        <w:rPr>
          <w:rFonts w:ascii="宋体" w:hAnsi="宋体" w:cs="宋体"/>
        </w:rPr>
        <w:t>声明本人无需要回避的情形</w:t>
      </w:r>
      <w:r>
        <w:rPr>
          <w:rFonts w:hint="eastAsia" w:ascii="宋体" w:hAnsi="宋体" w:cs="宋体"/>
        </w:rPr>
        <w:t>，</w:t>
      </w:r>
      <w:r>
        <w:rPr>
          <w:rFonts w:ascii="宋体" w:hAnsi="宋体" w:cs="宋体"/>
        </w:rPr>
        <w:t>保证遵守</w:t>
      </w:r>
      <w:r>
        <w:rPr>
          <w:rFonts w:hint="eastAsia" w:ascii="宋体" w:hAnsi="宋体" w:cs="宋体"/>
        </w:rPr>
        <w:t>评标工作制度和</w:t>
      </w:r>
      <w:r>
        <w:rPr>
          <w:rFonts w:ascii="宋体" w:hAnsi="宋体" w:cs="宋体"/>
        </w:rPr>
        <w:t>纪律，客观公正进行</w:t>
      </w:r>
      <w:r>
        <w:rPr>
          <w:rFonts w:hint="eastAsia" w:ascii="宋体" w:hAnsi="宋体" w:cs="宋体"/>
        </w:rPr>
        <w:t>评标</w:t>
      </w:r>
      <w:r>
        <w:rPr>
          <w:rFonts w:ascii="宋体" w:hAnsi="宋体" w:cs="宋体"/>
        </w:rPr>
        <w:t>，并接受</w:t>
      </w:r>
      <w:r>
        <w:rPr>
          <w:rFonts w:hint="eastAsia" w:ascii="宋体" w:hAnsi="宋体" w:cs="宋体"/>
        </w:rPr>
        <w:t>监管</w:t>
      </w:r>
      <w:r>
        <w:rPr>
          <w:rFonts w:ascii="宋体" w:hAnsi="宋体" w:cs="宋体"/>
        </w:rPr>
        <w:t>部门监督。</w:t>
      </w:r>
    </w:p>
    <w:p>
      <w:pPr>
        <w:spacing w:line="440" w:lineRule="exact"/>
        <w:ind w:left="420" w:leftChars="200"/>
        <w:rPr>
          <w:rFonts w:ascii="宋体" w:hAnsi="宋体"/>
          <w:sz w:val="24"/>
          <w:szCs w:val="24"/>
        </w:rPr>
      </w:pPr>
      <w:r>
        <w:rPr>
          <w:rFonts w:hint="eastAsia" w:ascii="宋体" w:hAnsi="宋体" w:cs="宋体"/>
          <w:sz w:val="24"/>
          <w:szCs w:val="24"/>
        </w:rPr>
        <w:t>3.1.2评标预备会或评标委员会分工</w:t>
      </w:r>
    </w:p>
    <w:p>
      <w:pPr>
        <w:spacing w:line="400" w:lineRule="exact"/>
        <w:ind w:firstLine="420" w:firstLineChars="200"/>
      </w:pPr>
      <w:r>
        <w:rPr>
          <w:rFonts w:hint="eastAsia"/>
        </w:rPr>
        <w:t>投标人须知前附表明确召开评标预备会的，按投标人须知正文部分款规定组织。</w:t>
      </w:r>
    </w:p>
    <w:p>
      <w:pPr>
        <w:spacing w:line="440" w:lineRule="exact"/>
        <w:ind w:left="420" w:leftChars="200"/>
        <w:rPr>
          <w:rFonts w:ascii="宋体" w:hAnsi="宋体" w:cs="宋体"/>
          <w:sz w:val="24"/>
          <w:szCs w:val="24"/>
        </w:rPr>
      </w:pPr>
      <w:r>
        <w:rPr>
          <w:rFonts w:hint="eastAsia" w:ascii="宋体" w:hAnsi="宋体" w:cs="宋体"/>
          <w:sz w:val="24"/>
          <w:szCs w:val="24"/>
        </w:rPr>
        <w:t>3.1.3 熟悉文件资料</w:t>
      </w:r>
    </w:p>
    <w:p>
      <w:pPr>
        <w:spacing w:line="440" w:lineRule="exact"/>
        <w:ind w:firstLine="420" w:firstLineChars="200"/>
        <w:rPr>
          <w:rFonts w:ascii="宋体" w:hAnsi="宋体" w:cs="宋体"/>
        </w:rPr>
      </w:pPr>
      <w:r>
        <w:rPr>
          <w:rFonts w:hint="eastAsia" w:ascii="宋体" w:hAnsi="宋体" w:cs="宋体"/>
        </w:rPr>
        <w:t>（1）评标委员会主任应组织评标委员会成员认真研究招标文件，了解和熟悉招标目的、招标范围、主要合同条款、技术标准和要求、质量标准和工期要求等，掌握评标标准和方法，熟悉本章及附件中包含的评标表格的使用，如果本章及附件所附的表格不能满足评标所需时，评标委员会应补充编制评标所需的表格，尤其是用于详细分析计算的表格。未在招标文件中规定的标准和方法不得作为评标的依据。</w:t>
      </w:r>
    </w:p>
    <w:p>
      <w:pPr>
        <w:spacing w:line="440" w:lineRule="exact"/>
        <w:ind w:firstLine="420" w:firstLineChars="200"/>
        <w:rPr>
          <w:rFonts w:ascii="宋体" w:hAnsi="宋体" w:cs="宋体"/>
          <w:b/>
        </w:rPr>
      </w:pPr>
      <w:r>
        <w:rPr>
          <w:rFonts w:hint="eastAsia" w:ascii="宋体" w:hAnsi="宋体" w:cs="宋体"/>
        </w:rPr>
        <w:t>（2）建设单位应向评标委员会提供评标所需的信息和数据，包括招标文件、未在开标会上当场拒绝的各投标文件（含投标文件电子版）、开标记录表、资格预审审查报告、最高投标限价、工程所在地工程造价管理部门颁布的工程造价信息，以及评标委员会认为必要的其他信息和数据。</w:t>
      </w:r>
    </w:p>
    <w:p>
      <w:pPr>
        <w:pStyle w:val="6"/>
        <w:spacing w:before="0" w:after="0" w:line="440" w:lineRule="exact"/>
        <w:rPr>
          <w:rFonts w:ascii="Times New Roman" w:hAnsi="Times New Roman" w:cs="宋体"/>
          <w:b w:val="0"/>
          <w:bCs/>
          <w:sz w:val="28"/>
          <w:szCs w:val="28"/>
        </w:rPr>
      </w:pPr>
      <w:bookmarkStart w:id="522" w:name="_Toc20165"/>
      <w:bookmarkStart w:id="523" w:name="_Toc448911832"/>
      <w:bookmarkStart w:id="524" w:name="_Toc2399"/>
      <w:bookmarkStart w:id="525" w:name="_Toc184916595"/>
      <w:bookmarkStart w:id="526" w:name="_Toc26413"/>
      <w:r>
        <w:rPr>
          <w:rFonts w:hint="eastAsia" w:ascii="Times New Roman" w:hAnsi="Times New Roman" w:cs="宋体"/>
          <w:b w:val="0"/>
          <w:bCs/>
          <w:sz w:val="28"/>
          <w:szCs w:val="28"/>
        </w:rPr>
        <w:t>3.2初步评审</w:t>
      </w:r>
      <w:bookmarkEnd w:id="522"/>
      <w:bookmarkEnd w:id="523"/>
      <w:bookmarkEnd w:id="524"/>
      <w:bookmarkEnd w:id="525"/>
      <w:bookmarkEnd w:id="526"/>
    </w:p>
    <w:p>
      <w:pPr>
        <w:spacing w:line="440" w:lineRule="exact"/>
        <w:ind w:left="420" w:leftChars="200"/>
        <w:rPr>
          <w:rFonts w:ascii="宋体" w:hAnsi="宋体" w:cs="宋体"/>
          <w:sz w:val="24"/>
          <w:szCs w:val="24"/>
        </w:rPr>
      </w:pPr>
      <w:r>
        <w:rPr>
          <w:rFonts w:hint="eastAsia" w:ascii="宋体" w:hAnsi="宋体" w:cs="宋体"/>
          <w:sz w:val="24"/>
          <w:szCs w:val="24"/>
        </w:rPr>
        <w:t>3.2.</w:t>
      </w:r>
      <w:r>
        <w:rPr>
          <w:rFonts w:ascii="宋体" w:hAnsi="宋体" w:cs="宋体"/>
          <w:sz w:val="24"/>
          <w:szCs w:val="24"/>
        </w:rPr>
        <w:t>1</w:t>
      </w:r>
      <w:r>
        <w:rPr>
          <w:rFonts w:hint="eastAsia" w:ascii="宋体" w:hAnsi="宋体" w:cs="宋体"/>
          <w:sz w:val="24"/>
          <w:szCs w:val="24"/>
        </w:rPr>
        <w:t>资格评审</w:t>
      </w:r>
    </w:p>
    <w:p>
      <w:pPr>
        <w:spacing w:line="440" w:lineRule="exact"/>
        <w:ind w:firstLine="480" w:firstLineChars="200"/>
        <w:rPr>
          <w:szCs w:val="24"/>
        </w:rPr>
      </w:pPr>
      <w:r>
        <w:rPr>
          <w:rFonts w:hint="eastAsia" w:ascii="宋体" w:hAnsi="宋体" w:cs="宋体"/>
          <w:sz w:val="24"/>
          <w:szCs w:val="24"/>
        </w:rPr>
        <w:t>3.2.</w:t>
      </w:r>
      <w:r>
        <w:rPr>
          <w:rFonts w:ascii="宋体" w:hAnsi="宋体" w:cs="宋体"/>
          <w:sz w:val="24"/>
          <w:szCs w:val="24"/>
        </w:rPr>
        <w:t>1</w:t>
      </w:r>
      <w:r>
        <w:rPr>
          <w:rFonts w:hint="eastAsia" w:ascii="宋体" w:hAnsi="宋体" w:cs="宋体"/>
          <w:sz w:val="24"/>
          <w:szCs w:val="24"/>
        </w:rPr>
        <w:t>.1</w:t>
      </w:r>
      <w:r>
        <w:rPr>
          <w:rFonts w:hint="eastAsia"/>
          <w:szCs w:val="24"/>
        </w:rPr>
        <w:t xml:space="preserve"> 评标委员会依据本章第2.1.2款规定的标准，对投标人进行资格性审查，有一项因素不符合审查标准的，不能通过资格性审查。</w:t>
      </w:r>
    </w:p>
    <w:p>
      <w:pPr>
        <w:spacing w:line="400" w:lineRule="exact"/>
        <w:ind w:firstLine="480" w:firstLineChars="200"/>
        <w:rPr>
          <w:szCs w:val="24"/>
        </w:rPr>
      </w:pPr>
      <w:r>
        <w:rPr>
          <w:rFonts w:hint="eastAsia" w:ascii="宋体" w:hAnsi="宋体" w:cs="宋体"/>
          <w:sz w:val="24"/>
          <w:szCs w:val="24"/>
        </w:rPr>
        <w:t>3.2.</w:t>
      </w:r>
      <w:r>
        <w:rPr>
          <w:rFonts w:ascii="宋体" w:hAnsi="宋体" w:cs="宋体"/>
          <w:sz w:val="24"/>
          <w:szCs w:val="24"/>
        </w:rPr>
        <w:t>1</w:t>
      </w:r>
      <w:r>
        <w:rPr>
          <w:rFonts w:hint="eastAsia" w:ascii="宋体" w:hAnsi="宋体" w:cs="宋体"/>
          <w:sz w:val="24"/>
          <w:szCs w:val="24"/>
        </w:rPr>
        <w:t xml:space="preserve">.2 </w:t>
      </w:r>
      <w:r>
        <w:rPr>
          <w:rFonts w:hint="eastAsia"/>
          <w:szCs w:val="24"/>
        </w:rPr>
        <w:t>评标委员会在审查过程中，可以通过政府相关网站核验申请人提交第二章“投标人须知”第</w:t>
      </w:r>
      <w:r>
        <w:rPr>
          <w:bCs/>
          <w:szCs w:val="21"/>
        </w:rPr>
        <w:t>1</w:t>
      </w:r>
      <w:r>
        <w:rPr>
          <w:rFonts w:hint="eastAsia"/>
          <w:bCs/>
          <w:szCs w:val="21"/>
        </w:rPr>
        <w:t>.</w:t>
      </w:r>
      <w:r>
        <w:rPr>
          <w:bCs/>
          <w:szCs w:val="21"/>
        </w:rPr>
        <w:t>3</w:t>
      </w:r>
      <w:r>
        <w:rPr>
          <w:rFonts w:hint="eastAsia"/>
          <w:bCs/>
          <w:szCs w:val="21"/>
        </w:rPr>
        <w:t>.</w:t>
      </w:r>
      <w:r>
        <w:rPr>
          <w:bCs/>
          <w:szCs w:val="21"/>
        </w:rPr>
        <w:t>3</w:t>
      </w:r>
      <w:r>
        <w:rPr>
          <w:rFonts w:hint="eastAsia"/>
          <w:szCs w:val="24"/>
        </w:rPr>
        <w:t>项规定的有关证明和证件。</w:t>
      </w:r>
    </w:p>
    <w:p>
      <w:pPr>
        <w:spacing w:line="400" w:lineRule="exact"/>
        <w:ind w:firstLine="480" w:firstLineChars="200"/>
        <w:rPr>
          <w:szCs w:val="24"/>
        </w:rPr>
      </w:pPr>
      <w:r>
        <w:rPr>
          <w:rFonts w:hint="eastAsia" w:ascii="宋体" w:hAnsi="宋体" w:cs="宋体"/>
          <w:sz w:val="24"/>
          <w:szCs w:val="24"/>
        </w:rPr>
        <w:t>3.2.</w:t>
      </w:r>
      <w:r>
        <w:rPr>
          <w:rFonts w:ascii="宋体" w:hAnsi="宋体" w:cs="宋体"/>
          <w:sz w:val="24"/>
          <w:szCs w:val="24"/>
        </w:rPr>
        <w:t>1</w:t>
      </w:r>
      <w:r>
        <w:rPr>
          <w:rFonts w:hint="eastAsia" w:ascii="宋体" w:hAnsi="宋体" w:cs="宋体"/>
          <w:sz w:val="24"/>
          <w:szCs w:val="24"/>
        </w:rPr>
        <w:t xml:space="preserve">.3 </w:t>
      </w:r>
      <w:r>
        <w:rPr>
          <w:rFonts w:hint="eastAsia"/>
          <w:szCs w:val="24"/>
        </w:rPr>
        <w:t>投标人除应满足本章第2.1.2款规定的审查标准外，还不得存在下列任何一种情形：</w:t>
      </w:r>
    </w:p>
    <w:p>
      <w:pPr>
        <w:spacing w:line="400" w:lineRule="exact"/>
        <w:ind w:firstLine="718" w:firstLineChars="342"/>
        <w:rPr>
          <w:szCs w:val="24"/>
        </w:rPr>
      </w:pPr>
      <w:r>
        <w:rPr>
          <w:rFonts w:hint="eastAsia"/>
          <w:szCs w:val="24"/>
        </w:rPr>
        <w:t>（1）不按评标委员会要求澄清或说明的；</w:t>
      </w:r>
    </w:p>
    <w:p>
      <w:pPr>
        <w:spacing w:line="400" w:lineRule="exact"/>
        <w:ind w:firstLine="718" w:firstLineChars="342"/>
        <w:rPr>
          <w:szCs w:val="24"/>
        </w:rPr>
      </w:pPr>
      <w:r>
        <w:rPr>
          <w:rFonts w:hint="eastAsia"/>
          <w:szCs w:val="24"/>
        </w:rPr>
        <w:t>（2）有第二章“投标人须知”第</w:t>
      </w:r>
      <w:r>
        <w:rPr>
          <w:bCs/>
          <w:szCs w:val="21"/>
        </w:rPr>
        <w:t>1</w:t>
      </w:r>
      <w:r>
        <w:rPr>
          <w:rFonts w:hint="eastAsia"/>
          <w:bCs/>
          <w:szCs w:val="21"/>
        </w:rPr>
        <w:t>.</w:t>
      </w:r>
      <w:r>
        <w:rPr>
          <w:bCs/>
          <w:szCs w:val="21"/>
        </w:rPr>
        <w:t>3</w:t>
      </w:r>
      <w:r>
        <w:rPr>
          <w:rFonts w:hint="eastAsia"/>
          <w:bCs/>
          <w:szCs w:val="21"/>
        </w:rPr>
        <w:t>.</w:t>
      </w:r>
      <w:r>
        <w:rPr>
          <w:bCs/>
          <w:szCs w:val="21"/>
        </w:rPr>
        <w:t>3</w:t>
      </w:r>
      <w:r>
        <w:rPr>
          <w:rFonts w:hint="eastAsia"/>
          <w:szCs w:val="24"/>
        </w:rPr>
        <w:t>项规定的任何一种情形的；</w:t>
      </w:r>
    </w:p>
    <w:p>
      <w:pPr>
        <w:spacing w:line="400" w:lineRule="exact"/>
        <w:ind w:firstLine="718" w:firstLineChars="342"/>
        <w:rPr>
          <w:szCs w:val="24"/>
        </w:rPr>
      </w:pPr>
      <w:r>
        <w:rPr>
          <w:rFonts w:hint="eastAsia"/>
          <w:szCs w:val="24"/>
        </w:rPr>
        <w:t>（3）在投标过程中弄虚作假、行贿或有其他违法违规行为的。</w:t>
      </w:r>
    </w:p>
    <w:p>
      <w:pPr>
        <w:spacing w:line="440" w:lineRule="exact"/>
        <w:ind w:left="420" w:leftChars="200"/>
        <w:rPr>
          <w:rFonts w:ascii="宋体" w:hAnsi="宋体" w:cs="宋体"/>
          <w:sz w:val="24"/>
          <w:szCs w:val="24"/>
        </w:rPr>
      </w:pPr>
      <w:r>
        <w:rPr>
          <w:rFonts w:hint="eastAsia" w:ascii="宋体" w:hAnsi="宋体" w:cs="宋体"/>
          <w:sz w:val="24"/>
          <w:szCs w:val="24"/>
        </w:rPr>
        <w:t>3.2.</w:t>
      </w:r>
      <w:r>
        <w:rPr>
          <w:rFonts w:ascii="宋体" w:hAnsi="宋体" w:cs="宋体"/>
          <w:sz w:val="24"/>
          <w:szCs w:val="24"/>
        </w:rPr>
        <w:t>2</w:t>
      </w:r>
      <w:r>
        <w:rPr>
          <w:rFonts w:hint="eastAsia" w:ascii="宋体" w:hAnsi="宋体" w:cs="宋体"/>
          <w:sz w:val="24"/>
          <w:szCs w:val="24"/>
        </w:rPr>
        <w:t xml:space="preserve"> 响应性评审</w:t>
      </w:r>
    </w:p>
    <w:p>
      <w:pPr>
        <w:spacing w:line="440" w:lineRule="exact"/>
        <w:ind w:firstLine="420" w:firstLineChars="200"/>
        <w:rPr>
          <w:rFonts w:ascii="宋体" w:hAnsi="宋体" w:cs="宋体"/>
        </w:rPr>
      </w:pPr>
      <w:r>
        <w:rPr>
          <w:rFonts w:hint="eastAsia" w:ascii="宋体" w:hAnsi="宋体" w:cs="宋体"/>
        </w:rPr>
        <w:t>评标委员会根据评标办法前附表中规定的评审因素和评审标准，对投标人的投标文件进行响应性评审，</w:t>
      </w:r>
      <w:r>
        <w:rPr>
          <w:rFonts w:hint="eastAsia"/>
          <w:szCs w:val="24"/>
        </w:rPr>
        <w:t>有一项因素不符合审查标准的，不能通过资格性审查</w:t>
      </w:r>
      <w:r>
        <w:rPr>
          <w:rFonts w:hint="eastAsia" w:ascii="宋体" w:hAnsi="宋体" w:cs="宋体"/>
        </w:rPr>
        <w:t>。</w:t>
      </w:r>
      <w:bookmarkStart w:id="527" w:name="_Toc12768"/>
      <w:bookmarkStart w:id="528" w:name="_Toc448911833"/>
      <w:bookmarkStart w:id="529" w:name="_Toc393356432"/>
      <w:bookmarkStart w:id="530" w:name="_Toc29499"/>
      <w:bookmarkStart w:id="531" w:name="_Toc3816"/>
    </w:p>
    <w:p>
      <w:pPr>
        <w:spacing w:line="440" w:lineRule="exact"/>
        <w:ind w:firstLine="562" w:firstLineChars="200"/>
        <w:rPr>
          <w:rFonts w:cs="宋体"/>
          <w:b/>
          <w:bCs/>
          <w:sz w:val="28"/>
          <w:szCs w:val="28"/>
        </w:rPr>
      </w:pPr>
      <w:r>
        <w:rPr>
          <w:rFonts w:hint="eastAsia" w:cs="宋体"/>
          <w:b/>
          <w:bCs/>
          <w:sz w:val="28"/>
          <w:szCs w:val="28"/>
        </w:rPr>
        <w:t>3.3 详细评审</w:t>
      </w:r>
      <w:bookmarkEnd w:id="527"/>
      <w:bookmarkEnd w:id="528"/>
      <w:bookmarkEnd w:id="529"/>
      <w:bookmarkEnd w:id="530"/>
      <w:bookmarkEnd w:id="531"/>
      <w:bookmarkStart w:id="532" w:name="_Toc448911834"/>
      <w:bookmarkStart w:id="533" w:name="_Toc28061"/>
      <w:bookmarkStart w:id="534" w:name="_Toc393356433"/>
      <w:bookmarkStart w:id="535" w:name="_Toc24334"/>
      <w:bookmarkStart w:id="536" w:name="_Toc32760"/>
    </w:p>
    <w:p>
      <w:pPr>
        <w:spacing w:line="440" w:lineRule="exact"/>
        <w:ind w:firstLine="482" w:firstLineChars="200"/>
        <w:rPr>
          <w:rFonts w:ascii="宋体" w:hAnsi="宋体" w:cs="宋体"/>
          <w:b/>
          <w:sz w:val="24"/>
          <w:szCs w:val="24"/>
        </w:rPr>
      </w:pPr>
      <w:r>
        <w:rPr>
          <w:rFonts w:hint="eastAsia" w:ascii="宋体" w:hAnsi="宋体" w:cs="宋体"/>
          <w:b/>
          <w:sz w:val="24"/>
          <w:szCs w:val="24"/>
        </w:rPr>
        <w:t>3.3.1 评标委员会按本章第2.2款规定的量化因素和分值进行打分，并计算出综合得分。</w:t>
      </w:r>
    </w:p>
    <w:p>
      <w:pPr>
        <w:spacing w:line="440" w:lineRule="exact"/>
        <w:ind w:firstLine="420" w:firstLineChars="200"/>
        <w:rPr>
          <w:rFonts w:ascii="宋体" w:hAnsi="宋体" w:cs="宋体"/>
          <w:szCs w:val="21"/>
        </w:rPr>
      </w:pPr>
      <w:r>
        <w:rPr>
          <w:rFonts w:hint="eastAsia" w:ascii="宋体" w:hAnsi="宋体" w:cs="宋体"/>
          <w:szCs w:val="21"/>
        </w:rPr>
        <w:t>（1）按本章附件4规定的评审因素和分值对价格部分计算出得分</w:t>
      </w:r>
      <w:r>
        <w:rPr>
          <w:rFonts w:ascii="宋体" w:hAnsi="宋体" w:cs="宋体"/>
          <w:szCs w:val="21"/>
        </w:rPr>
        <w:t>A；</w:t>
      </w:r>
    </w:p>
    <w:p>
      <w:pPr>
        <w:spacing w:line="44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rPr>
        <w:t>2）按本章附件5规定的评审因素和分值对技术部分计算出得分B；</w:t>
      </w:r>
    </w:p>
    <w:p>
      <w:pPr>
        <w:spacing w:line="44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rPr>
        <w:t>3）按本章附件6规定的评审因素和分值对</w:t>
      </w:r>
      <w:r>
        <w:rPr>
          <w:rFonts w:hint="eastAsia" w:ascii="宋体" w:hAnsi="宋体" w:cs="宋体"/>
          <w:szCs w:val="21"/>
        </w:rPr>
        <w:t>商务部分</w:t>
      </w:r>
      <w:r>
        <w:rPr>
          <w:rFonts w:ascii="宋体" w:hAnsi="宋体" w:cs="宋体"/>
          <w:szCs w:val="21"/>
        </w:rPr>
        <w:t>计算出得分C</w:t>
      </w:r>
      <w:r>
        <w:rPr>
          <w:rFonts w:hint="eastAsia" w:ascii="宋体" w:hAnsi="宋体" w:cs="宋体"/>
          <w:szCs w:val="21"/>
        </w:rPr>
        <w:t>。</w:t>
      </w:r>
    </w:p>
    <w:p>
      <w:pPr>
        <w:spacing w:line="440" w:lineRule="exact"/>
        <w:ind w:firstLine="480" w:firstLineChars="200"/>
        <w:rPr>
          <w:rFonts w:ascii="宋体" w:hAnsi="宋体" w:cs="宋体"/>
          <w:sz w:val="24"/>
          <w:szCs w:val="24"/>
        </w:rPr>
      </w:pPr>
      <w:r>
        <w:rPr>
          <w:rFonts w:hint="eastAsia" w:ascii="宋体" w:hAnsi="宋体" w:cs="宋体"/>
          <w:sz w:val="24"/>
          <w:szCs w:val="24"/>
        </w:rPr>
        <w:t>3.3.2 分值相同时的处理办法</w:t>
      </w:r>
    </w:p>
    <w:p>
      <w:pPr>
        <w:spacing w:line="440" w:lineRule="exact"/>
        <w:ind w:firstLine="420" w:firstLineChars="200"/>
        <w:rPr>
          <w:rFonts w:ascii="宋体" w:hAnsi="宋体" w:cs="宋体"/>
          <w:b/>
          <w:sz w:val="24"/>
          <w:szCs w:val="24"/>
        </w:rPr>
      </w:pPr>
      <w:r>
        <w:rPr>
          <w:rFonts w:hint="eastAsia" w:ascii="宋体" w:hAnsi="宋体" w:cs="宋体"/>
          <w:bCs/>
          <w:szCs w:val="21"/>
        </w:rPr>
        <w:t>技术部分由各评标委员会成员独立评审打分，商务、资信业绩部分由评标委员会集体评审打分。评标委员会根据得分由高至低的顺序，按照第二章7.1款确定的原则推荐前三名为中标候选人。如出现两家及以上投标人得分相同时，按照设计费率低的优先；若设计费率相同的，按照监理费率低的优先；若再相同，以造价咨询服务费率低的优先。</w:t>
      </w:r>
    </w:p>
    <w:p>
      <w:pPr>
        <w:spacing w:line="440" w:lineRule="exact"/>
        <w:ind w:firstLine="480" w:firstLineChars="200"/>
        <w:rPr>
          <w:rFonts w:ascii="宋体" w:hAnsi="宋体" w:cs="宋体"/>
          <w:sz w:val="24"/>
          <w:szCs w:val="24"/>
        </w:rPr>
      </w:pPr>
      <w:r>
        <w:rPr>
          <w:rFonts w:hint="eastAsia" w:ascii="宋体" w:hAnsi="宋体" w:cs="宋体"/>
          <w:sz w:val="24"/>
          <w:szCs w:val="24"/>
        </w:rPr>
        <w:t>3.3.3 数值错误时的处理办法</w:t>
      </w:r>
    </w:p>
    <w:p>
      <w:pPr>
        <w:spacing w:line="440" w:lineRule="exact"/>
        <w:ind w:firstLine="420" w:firstLineChars="200"/>
        <w:rPr>
          <w:rFonts w:ascii="宋体" w:hAnsi="宋体" w:cs="宋体"/>
          <w:bCs/>
          <w:szCs w:val="21"/>
        </w:rPr>
      </w:pPr>
      <w:r>
        <w:rPr>
          <w:rFonts w:hint="eastAsia" w:ascii="宋体" w:hAnsi="宋体" w:cs="宋体"/>
          <w:bCs/>
          <w:szCs w:val="21"/>
        </w:rPr>
        <w:t>投标文件报价出现前后不一致的，除招标文件另有规定外，按照下列规定修正：</w:t>
      </w:r>
    </w:p>
    <w:p>
      <w:pPr>
        <w:spacing w:line="440" w:lineRule="exact"/>
        <w:ind w:firstLine="420" w:firstLineChars="200"/>
        <w:rPr>
          <w:rFonts w:ascii="宋体" w:hAnsi="宋体" w:cs="宋体"/>
          <w:bCs/>
          <w:szCs w:val="21"/>
        </w:rPr>
      </w:pPr>
      <w:r>
        <w:rPr>
          <w:rFonts w:hint="eastAsia" w:ascii="宋体" w:hAnsi="宋体" w:cs="宋体"/>
          <w:bCs/>
          <w:szCs w:val="21"/>
        </w:rPr>
        <w:t>1.投标文件中开标一览表（投标函）内容与投标文件中相应内容不一致的，以开标一览表（投标函）为准；</w:t>
      </w:r>
    </w:p>
    <w:p>
      <w:pPr>
        <w:spacing w:line="440" w:lineRule="exact"/>
        <w:ind w:firstLine="420" w:firstLineChars="200"/>
        <w:rPr>
          <w:rFonts w:ascii="宋体" w:hAnsi="宋体" w:cs="宋体"/>
          <w:bCs/>
          <w:szCs w:val="21"/>
        </w:rPr>
      </w:pPr>
      <w:r>
        <w:rPr>
          <w:rFonts w:hint="eastAsia" w:ascii="宋体" w:hAnsi="宋体" w:cs="宋体"/>
          <w:bCs/>
          <w:szCs w:val="21"/>
        </w:rPr>
        <w:t>2.大写金额和小写金额不一致的，以大写金额为准；</w:t>
      </w:r>
    </w:p>
    <w:p>
      <w:pPr>
        <w:spacing w:line="440" w:lineRule="exact"/>
        <w:ind w:firstLine="420" w:firstLineChars="200"/>
        <w:rPr>
          <w:rFonts w:ascii="宋体" w:hAnsi="宋体" w:cs="宋体"/>
          <w:bCs/>
          <w:szCs w:val="21"/>
        </w:rPr>
      </w:pPr>
      <w:r>
        <w:rPr>
          <w:rFonts w:hint="eastAsia" w:ascii="宋体" w:hAnsi="宋体" w:cs="宋体"/>
          <w:bCs/>
          <w:szCs w:val="21"/>
        </w:rPr>
        <w:t>3.单价金额小数点或者百分比有明显错位的，以开标一览表的总价为准，并修改单价；</w:t>
      </w:r>
    </w:p>
    <w:p>
      <w:pPr>
        <w:spacing w:line="440" w:lineRule="exact"/>
        <w:ind w:firstLine="420" w:firstLineChars="200"/>
        <w:rPr>
          <w:rFonts w:ascii="宋体" w:hAnsi="宋体" w:cs="宋体"/>
          <w:bCs/>
          <w:szCs w:val="21"/>
        </w:rPr>
      </w:pPr>
      <w:r>
        <w:rPr>
          <w:rFonts w:hint="eastAsia" w:ascii="宋体" w:hAnsi="宋体" w:cs="宋体"/>
          <w:bCs/>
          <w:szCs w:val="21"/>
        </w:rPr>
        <w:t>4.总价金额与按单价汇总金额不一致的，以单价金额计算结果为准。</w:t>
      </w:r>
    </w:p>
    <w:p>
      <w:pPr>
        <w:spacing w:line="440" w:lineRule="exact"/>
        <w:ind w:firstLine="480" w:firstLineChars="200"/>
        <w:rPr>
          <w:rFonts w:ascii="宋体" w:hAnsi="宋体" w:cs="宋体"/>
          <w:sz w:val="24"/>
          <w:szCs w:val="24"/>
        </w:rPr>
      </w:pPr>
      <w:r>
        <w:rPr>
          <w:rFonts w:hint="eastAsia" w:ascii="宋体" w:hAnsi="宋体" w:cs="宋体"/>
          <w:sz w:val="24"/>
          <w:szCs w:val="24"/>
        </w:rPr>
        <w:t>3.3.4 评分分值计算保留小数点后三位，小数点后第四位“四舍五入”。</w:t>
      </w:r>
    </w:p>
    <w:p>
      <w:pPr>
        <w:spacing w:line="440" w:lineRule="exact"/>
        <w:ind w:firstLine="480" w:firstLineChars="200"/>
        <w:rPr>
          <w:rFonts w:ascii="宋体" w:hAnsi="宋体" w:cs="宋体"/>
          <w:sz w:val="24"/>
          <w:szCs w:val="24"/>
        </w:rPr>
      </w:pPr>
      <w:r>
        <w:rPr>
          <w:rFonts w:hint="eastAsia" w:ascii="宋体" w:hAnsi="宋体" w:cs="宋体"/>
          <w:sz w:val="24"/>
          <w:szCs w:val="24"/>
        </w:rPr>
        <w:t>3.3.5 投标人得分=A+B+C。</w:t>
      </w:r>
      <w:bookmarkEnd w:id="532"/>
      <w:bookmarkEnd w:id="533"/>
      <w:bookmarkEnd w:id="534"/>
      <w:bookmarkEnd w:id="535"/>
      <w:bookmarkEnd w:id="536"/>
    </w:p>
    <w:p>
      <w:pPr>
        <w:spacing w:line="440" w:lineRule="exact"/>
        <w:ind w:firstLine="562" w:firstLineChars="200"/>
        <w:rPr>
          <w:rFonts w:cs="宋体"/>
          <w:b/>
          <w:bCs/>
          <w:sz w:val="28"/>
          <w:szCs w:val="28"/>
        </w:rPr>
      </w:pPr>
      <w:r>
        <w:rPr>
          <w:rFonts w:hint="eastAsia" w:cs="宋体"/>
          <w:b/>
          <w:bCs/>
          <w:sz w:val="28"/>
          <w:szCs w:val="28"/>
        </w:rPr>
        <w:t>3.4 澄清</w:t>
      </w:r>
    </w:p>
    <w:p>
      <w:pPr>
        <w:spacing w:line="440" w:lineRule="exact"/>
        <w:ind w:firstLine="420" w:firstLineChars="200"/>
        <w:rPr>
          <w:rFonts w:ascii="宋体" w:hAnsi="宋体" w:cs="宋体"/>
          <w:bCs/>
          <w:szCs w:val="21"/>
        </w:rPr>
      </w:pPr>
      <w:bookmarkStart w:id="537" w:name="_Toc28818"/>
      <w:bookmarkStart w:id="538" w:name="_Toc448911835"/>
      <w:bookmarkStart w:id="539" w:name="_Toc393356434"/>
      <w:bookmarkStart w:id="540" w:name="_Toc5038"/>
      <w:r>
        <w:rPr>
          <w:rFonts w:hint="eastAsia" w:ascii="宋体" w:hAnsi="宋体" w:cs="宋体"/>
          <w:bCs/>
          <w:szCs w:val="21"/>
        </w:rPr>
        <w:t>3.4.1在初步评审和详细评审过程中，评标委员会应当就投标文件中不明确的内容和清标结果经审议需要投标人进行书面澄清的，形成《问题澄清通知》，并向投标人发出。澄清的内容仅限于含义不明确的内容、明显文字或者计算错误。评标委员会不接受投标人主动提出的澄清。</w:t>
      </w:r>
    </w:p>
    <w:p>
      <w:pPr>
        <w:spacing w:line="440" w:lineRule="exact"/>
        <w:ind w:firstLine="420" w:firstLineChars="200"/>
        <w:rPr>
          <w:rFonts w:ascii="宋体" w:hAnsi="宋体" w:cs="宋体"/>
          <w:bCs/>
          <w:szCs w:val="21"/>
        </w:rPr>
      </w:pPr>
      <w:r>
        <w:rPr>
          <w:rFonts w:hint="eastAsia" w:ascii="宋体" w:hAnsi="宋体" w:cs="宋体"/>
          <w:bCs/>
          <w:szCs w:val="21"/>
        </w:rPr>
        <w:t>投标人接到评标委员会发出的问题澄清通知后，应按通知要求的时间、地点和方式提交《问题的澄清》等相关资料，未按通知要求提交的，按无效投标处理。澄清不能改变投标文件的实质性内容（算术性错误修正除外）。评标委员会认为澄清时间需要较长的，可以暂停评标工作。</w:t>
      </w:r>
    </w:p>
    <w:p>
      <w:pPr>
        <w:spacing w:line="440" w:lineRule="exact"/>
        <w:ind w:firstLine="420" w:firstLineChars="200"/>
        <w:rPr>
          <w:rFonts w:ascii="宋体" w:hAnsi="宋体" w:cs="宋体"/>
          <w:bCs/>
          <w:szCs w:val="21"/>
        </w:rPr>
      </w:pPr>
      <w:r>
        <w:rPr>
          <w:rFonts w:hint="eastAsia" w:ascii="宋体" w:hAnsi="宋体" w:cs="宋体"/>
          <w:bCs/>
          <w:szCs w:val="21"/>
        </w:rPr>
        <w:t>3.4.2 投标人的书面澄清属于投标文件的组成部分。</w:t>
      </w:r>
    </w:p>
    <w:p>
      <w:pPr>
        <w:spacing w:line="440" w:lineRule="exact"/>
        <w:ind w:firstLine="420" w:firstLineChars="200"/>
        <w:rPr>
          <w:rFonts w:ascii="宋体" w:hAnsi="宋体" w:cs="宋体"/>
          <w:bCs/>
          <w:szCs w:val="21"/>
        </w:rPr>
      </w:pPr>
      <w:r>
        <w:rPr>
          <w:rFonts w:hint="eastAsia" w:ascii="宋体" w:hAnsi="宋体" w:cs="宋体"/>
          <w:bCs/>
          <w:szCs w:val="21"/>
        </w:rPr>
        <w:t>3.4.3 评标委员会对投标人提交的澄清有疑问的，可以要求投标人进一步澄清，直至满足评标委员会的要求。</w:t>
      </w:r>
    </w:p>
    <w:p>
      <w:pPr>
        <w:spacing w:line="440" w:lineRule="exact"/>
        <w:ind w:firstLine="420" w:firstLineChars="200"/>
        <w:rPr>
          <w:rFonts w:ascii="宋体" w:hAnsi="宋体" w:cs="宋体"/>
          <w:bCs/>
          <w:szCs w:val="21"/>
        </w:rPr>
      </w:pPr>
      <w:r>
        <w:rPr>
          <w:rFonts w:hint="eastAsia" w:ascii="宋体" w:hAnsi="宋体" w:cs="宋体"/>
          <w:bCs/>
          <w:szCs w:val="21"/>
        </w:rPr>
        <w:t>经评标委员会评审，所有投标均不符合招标文件要求或者经初步评审有效投标少于3个的，招标人应当按照规定程序重新组织招标。除此之外，评标委员会应当按照招标文件要求完成评标工作。</w:t>
      </w:r>
    </w:p>
    <w:p>
      <w:pPr>
        <w:pStyle w:val="6"/>
        <w:spacing w:before="0" w:after="0" w:line="440" w:lineRule="exact"/>
        <w:rPr>
          <w:rFonts w:ascii="黑体" w:hAnsi="黑体" w:cs="宋体"/>
          <w:b w:val="0"/>
          <w:sz w:val="28"/>
          <w:szCs w:val="24"/>
        </w:rPr>
      </w:pPr>
      <w:bookmarkStart w:id="541" w:name="_Toc10071"/>
      <w:bookmarkStart w:id="542" w:name="_Toc184916596"/>
      <w:r>
        <w:rPr>
          <w:rFonts w:hint="eastAsia" w:ascii="黑体" w:hAnsi="黑体" w:cs="宋体"/>
          <w:b w:val="0"/>
          <w:sz w:val="28"/>
          <w:szCs w:val="24"/>
        </w:rPr>
        <w:t>3.5 汇总评分结果并推荐中标候选人</w:t>
      </w:r>
      <w:bookmarkEnd w:id="537"/>
      <w:bookmarkEnd w:id="538"/>
      <w:bookmarkEnd w:id="539"/>
      <w:bookmarkEnd w:id="540"/>
      <w:bookmarkEnd w:id="541"/>
      <w:bookmarkEnd w:id="542"/>
    </w:p>
    <w:p>
      <w:pPr>
        <w:spacing w:line="440" w:lineRule="exact"/>
        <w:ind w:firstLine="420" w:firstLineChars="200"/>
        <w:rPr>
          <w:rFonts w:ascii="宋体" w:hAnsi="宋体" w:cs="宋体"/>
          <w:bCs/>
          <w:szCs w:val="21"/>
        </w:rPr>
      </w:pPr>
      <w:r>
        <w:rPr>
          <w:rFonts w:hint="eastAsia" w:ascii="宋体" w:hAnsi="宋体" w:cs="宋体"/>
          <w:bCs/>
          <w:szCs w:val="21"/>
        </w:rPr>
        <w:t>3.5.1 汇总评审评分结果</w:t>
      </w:r>
    </w:p>
    <w:p>
      <w:pPr>
        <w:spacing w:line="440" w:lineRule="exact"/>
        <w:ind w:firstLine="420" w:firstLineChars="200"/>
        <w:rPr>
          <w:rFonts w:ascii="宋体" w:hAnsi="宋体" w:cs="宋体"/>
          <w:bCs/>
          <w:szCs w:val="21"/>
        </w:rPr>
      </w:pPr>
      <w:r>
        <w:rPr>
          <w:rFonts w:hint="eastAsia" w:ascii="宋体" w:hAnsi="宋体" w:cs="宋体"/>
          <w:bCs/>
          <w:szCs w:val="21"/>
        </w:rPr>
        <w:t>评标委员会成员应按照附表9的格式填写详细评审评分汇总表。</w:t>
      </w:r>
    </w:p>
    <w:p>
      <w:pPr>
        <w:spacing w:line="440" w:lineRule="exact"/>
        <w:ind w:firstLine="420" w:firstLineChars="200"/>
        <w:rPr>
          <w:rFonts w:ascii="宋体" w:hAnsi="宋体" w:cs="宋体"/>
          <w:bCs/>
          <w:szCs w:val="21"/>
        </w:rPr>
      </w:pPr>
      <w:r>
        <w:rPr>
          <w:rFonts w:hint="eastAsia" w:ascii="宋体" w:hAnsi="宋体" w:cs="宋体"/>
          <w:bCs/>
          <w:szCs w:val="21"/>
        </w:rPr>
        <w:t>3.5.2 推荐中标候选人</w:t>
      </w:r>
    </w:p>
    <w:p>
      <w:pPr>
        <w:spacing w:line="440" w:lineRule="exact"/>
        <w:ind w:firstLine="420" w:firstLineChars="200"/>
        <w:rPr>
          <w:rFonts w:ascii="宋体" w:hAnsi="宋体" w:cs="宋体"/>
          <w:bCs/>
          <w:szCs w:val="21"/>
        </w:rPr>
      </w:pPr>
      <w:r>
        <w:rPr>
          <w:rFonts w:hint="eastAsia" w:ascii="宋体" w:hAnsi="宋体" w:cs="宋体"/>
          <w:bCs/>
          <w:szCs w:val="21"/>
        </w:rPr>
        <w:t>评审工作全部结束后，汇总各个评标委员会成员的评分结果，并按照最终得分由高至低的顺序对投标人进行排序，推荐中标候选人，形成评审结果。</w:t>
      </w:r>
    </w:p>
    <w:p>
      <w:pPr>
        <w:spacing w:line="440" w:lineRule="exact"/>
        <w:ind w:firstLine="420" w:firstLineChars="200"/>
        <w:rPr>
          <w:rFonts w:ascii="宋体" w:hAnsi="宋体" w:cs="宋体"/>
          <w:bCs/>
          <w:szCs w:val="21"/>
        </w:rPr>
      </w:pPr>
      <w:bookmarkStart w:id="543" w:name="_Toc393356435"/>
      <w:r>
        <w:rPr>
          <w:rFonts w:hint="eastAsia" w:ascii="宋体" w:hAnsi="宋体" w:cs="宋体"/>
          <w:bCs/>
          <w:szCs w:val="21"/>
        </w:rPr>
        <w:t>3.5.3 编制评标报告</w:t>
      </w:r>
      <w:bookmarkEnd w:id="543"/>
    </w:p>
    <w:p>
      <w:pPr>
        <w:spacing w:line="440" w:lineRule="exact"/>
        <w:ind w:firstLine="420" w:firstLineChars="200"/>
        <w:rPr>
          <w:rFonts w:ascii="宋体" w:hAnsi="宋体" w:cs="宋体"/>
          <w:bCs/>
          <w:szCs w:val="21"/>
        </w:rPr>
      </w:pPr>
      <w:r>
        <w:rPr>
          <w:rFonts w:hint="eastAsia" w:ascii="宋体" w:hAnsi="宋体" w:cs="宋体"/>
          <w:bCs/>
          <w:szCs w:val="21"/>
        </w:rPr>
        <w:t>评标委员会按照附表8的格式向建设单位提交评标情况报告。评标情况报告应当由全体评标委员会成员签字，对评标结果持有质疑的评标委员会成员应当以书面形式阐述其不同意见和理由，并在评标报告中注明；拒绝在评标报告上签字且不陈述其不同意见和理由的，视为同意评标结果。评标情况报告还应当包括以下内容：</w:t>
      </w:r>
    </w:p>
    <w:p>
      <w:pPr>
        <w:spacing w:line="440" w:lineRule="exact"/>
        <w:ind w:firstLine="420" w:firstLineChars="200"/>
        <w:rPr>
          <w:rFonts w:ascii="宋体" w:hAnsi="宋体"/>
        </w:rPr>
      </w:pPr>
      <w:r>
        <w:rPr>
          <w:rFonts w:hint="eastAsia" w:ascii="宋体" w:hAnsi="宋体" w:cs="宋体"/>
        </w:rPr>
        <w:t>（1）开标记录表；</w:t>
      </w:r>
    </w:p>
    <w:p>
      <w:pPr>
        <w:adjustRightInd w:val="0"/>
        <w:snapToGrid w:val="0"/>
        <w:spacing w:line="440" w:lineRule="exact"/>
        <w:ind w:firstLine="420" w:firstLineChars="200"/>
        <w:rPr>
          <w:rFonts w:ascii="宋体" w:hAnsi="宋体"/>
        </w:rPr>
      </w:pPr>
      <w:r>
        <w:rPr>
          <w:rFonts w:hint="eastAsia" w:ascii="宋体" w:hAnsi="宋体" w:cs="宋体"/>
        </w:rPr>
        <w:t>（2）评标委员会签到表；</w:t>
      </w:r>
    </w:p>
    <w:p>
      <w:pPr>
        <w:adjustRightInd w:val="0"/>
        <w:snapToGrid w:val="0"/>
        <w:spacing w:line="440" w:lineRule="exact"/>
        <w:ind w:firstLine="420" w:firstLineChars="200"/>
        <w:rPr>
          <w:rFonts w:ascii="宋体" w:hAnsi="宋体"/>
        </w:rPr>
      </w:pPr>
      <w:r>
        <w:rPr>
          <w:rFonts w:hint="eastAsia" w:ascii="宋体" w:hAnsi="宋体" w:cs="宋体"/>
        </w:rPr>
        <w:t>（3）声明书；</w:t>
      </w:r>
    </w:p>
    <w:p>
      <w:pPr>
        <w:adjustRightInd w:val="0"/>
        <w:snapToGrid w:val="0"/>
        <w:spacing w:line="440" w:lineRule="exact"/>
        <w:ind w:firstLine="420" w:firstLineChars="200"/>
        <w:rPr>
          <w:rFonts w:ascii="宋体" w:hAnsi="宋体" w:cs="宋体"/>
        </w:rPr>
      </w:pPr>
      <w:r>
        <w:rPr>
          <w:rFonts w:hint="eastAsia" w:ascii="宋体" w:hAnsi="宋体" w:cs="宋体"/>
        </w:rPr>
        <w:t>（4）形式性评审记录表；</w:t>
      </w:r>
    </w:p>
    <w:p>
      <w:pPr>
        <w:adjustRightInd w:val="0"/>
        <w:snapToGrid w:val="0"/>
        <w:spacing w:line="440" w:lineRule="exact"/>
        <w:ind w:firstLine="420" w:firstLineChars="200"/>
        <w:rPr>
          <w:rFonts w:ascii="宋体" w:hAnsi="宋体"/>
        </w:rPr>
      </w:pPr>
      <w:r>
        <w:rPr>
          <w:rFonts w:hint="eastAsia" w:ascii="宋体" w:hAnsi="宋体" w:cs="宋体"/>
        </w:rPr>
        <w:t>（5）资格性评审记录表；</w:t>
      </w:r>
    </w:p>
    <w:p>
      <w:pPr>
        <w:adjustRightInd w:val="0"/>
        <w:snapToGrid w:val="0"/>
        <w:spacing w:line="440" w:lineRule="exact"/>
        <w:ind w:firstLine="420" w:firstLineChars="200"/>
        <w:rPr>
          <w:rFonts w:ascii="宋体" w:hAnsi="宋体"/>
        </w:rPr>
      </w:pPr>
      <w:r>
        <w:rPr>
          <w:rFonts w:hint="eastAsia" w:ascii="宋体" w:hAnsi="宋体" w:cs="宋体"/>
        </w:rPr>
        <w:t>（6）响应性评审记录表；</w:t>
      </w:r>
    </w:p>
    <w:p>
      <w:pPr>
        <w:adjustRightInd w:val="0"/>
        <w:snapToGrid w:val="0"/>
        <w:spacing w:line="440" w:lineRule="exact"/>
        <w:ind w:firstLine="420" w:firstLineChars="200"/>
        <w:rPr>
          <w:rFonts w:ascii="宋体" w:hAnsi="宋体" w:cs="宋体"/>
        </w:rPr>
      </w:pPr>
      <w:r>
        <w:rPr>
          <w:rFonts w:hint="eastAsia" w:ascii="宋体" w:hAnsi="宋体" w:cs="宋体"/>
        </w:rPr>
        <w:t>（7）商务得分评审记录表；</w:t>
      </w:r>
    </w:p>
    <w:p>
      <w:pPr>
        <w:adjustRightInd w:val="0"/>
        <w:snapToGrid w:val="0"/>
        <w:spacing w:line="440" w:lineRule="exact"/>
        <w:ind w:firstLine="420" w:firstLineChars="200"/>
        <w:rPr>
          <w:rFonts w:ascii="宋体" w:hAnsi="宋体"/>
        </w:rPr>
      </w:pPr>
      <w:r>
        <w:rPr>
          <w:rFonts w:hint="eastAsia" w:ascii="宋体" w:hAnsi="宋体" w:cs="宋体"/>
        </w:rPr>
        <w:t>（8）技术得分评审记录表；</w:t>
      </w:r>
    </w:p>
    <w:p>
      <w:pPr>
        <w:adjustRightInd w:val="0"/>
        <w:snapToGrid w:val="0"/>
        <w:spacing w:line="440" w:lineRule="exact"/>
        <w:ind w:firstLine="420" w:firstLineChars="200"/>
        <w:rPr>
          <w:rFonts w:ascii="宋体" w:hAnsi="宋体" w:cs="宋体"/>
        </w:rPr>
      </w:pPr>
      <w:r>
        <w:rPr>
          <w:rFonts w:hint="eastAsia" w:ascii="宋体" w:hAnsi="宋体" w:cs="宋体"/>
        </w:rPr>
        <w:t>（9）资信评审记录表；</w:t>
      </w:r>
    </w:p>
    <w:p>
      <w:pPr>
        <w:adjustRightInd w:val="0"/>
        <w:snapToGrid w:val="0"/>
        <w:spacing w:line="440" w:lineRule="exact"/>
        <w:ind w:firstLine="420" w:firstLineChars="200"/>
        <w:rPr>
          <w:rFonts w:ascii="宋体" w:hAnsi="宋体"/>
        </w:rPr>
      </w:pPr>
      <w:r>
        <w:rPr>
          <w:rFonts w:hint="eastAsia" w:ascii="宋体" w:hAnsi="宋体" w:cs="宋体"/>
        </w:rPr>
        <w:t>（10）评标结果汇总表；</w:t>
      </w:r>
    </w:p>
    <w:p>
      <w:pPr>
        <w:adjustRightInd w:val="0"/>
        <w:snapToGrid w:val="0"/>
        <w:spacing w:line="440" w:lineRule="exact"/>
        <w:ind w:firstLine="420" w:firstLineChars="200"/>
        <w:rPr>
          <w:rFonts w:ascii="宋体" w:hAnsi="宋体"/>
        </w:rPr>
      </w:pPr>
      <w:r>
        <w:rPr>
          <w:rFonts w:hint="eastAsia" w:ascii="宋体" w:hAnsi="宋体" w:cs="宋体"/>
        </w:rPr>
        <w:t>（11）无效投标情况说明表；</w:t>
      </w:r>
    </w:p>
    <w:p>
      <w:pPr>
        <w:adjustRightInd w:val="0"/>
        <w:snapToGrid w:val="0"/>
        <w:spacing w:line="440" w:lineRule="exact"/>
        <w:ind w:firstLine="420" w:firstLineChars="200"/>
        <w:rPr>
          <w:rFonts w:ascii="宋体" w:hAnsi="宋体" w:cs="宋体"/>
        </w:rPr>
      </w:pPr>
      <w:r>
        <w:rPr>
          <w:rFonts w:hint="eastAsia" w:ascii="宋体" w:hAnsi="宋体" w:cs="宋体"/>
        </w:rPr>
        <w:t>（12）其他相关资料。</w:t>
      </w:r>
    </w:p>
    <w:p>
      <w:pPr>
        <w:pStyle w:val="6"/>
        <w:spacing w:before="0" w:after="0" w:line="440" w:lineRule="exact"/>
        <w:rPr>
          <w:rFonts w:ascii="Times New Roman" w:hAnsi="Times New Roman" w:cs="宋体"/>
          <w:b w:val="0"/>
          <w:bCs/>
          <w:sz w:val="28"/>
          <w:szCs w:val="28"/>
        </w:rPr>
      </w:pPr>
      <w:bookmarkStart w:id="544" w:name="_Toc2754"/>
      <w:bookmarkStart w:id="545" w:name="_Toc184916597"/>
      <w:bookmarkStart w:id="546" w:name="_Toc393356436"/>
      <w:bookmarkStart w:id="547" w:name="_Toc16796"/>
      <w:bookmarkStart w:id="548" w:name="_Toc12810"/>
      <w:bookmarkStart w:id="549" w:name="_Toc448911836"/>
      <w:r>
        <w:rPr>
          <w:rFonts w:hint="eastAsia" w:ascii="Times New Roman" w:hAnsi="Times New Roman" w:cs="宋体"/>
          <w:b w:val="0"/>
          <w:bCs/>
          <w:sz w:val="28"/>
          <w:szCs w:val="28"/>
        </w:rPr>
        <w:t>3.6 特殊情况的处置程序</w:t>
      </w:r>
      <w:bookmarkEnd w:id="544"/>
      <w:bookmarkEnd w:id="545"/>
      <w:bookmarkEnd w:id="546"/>
      <w:bookmarkEnd w:id="547"/>
      <w:bookmarkEnd w:id="548"/>
      <w:bookmarkEnd w:id="549"/>
    </w:p>
    <w:p>
      <w:pPr>
        <w:spacing w:line="440" w:lineRule="exact"/>
        <w:ind w:left="420" w:leftChars="200"/>
        <w:rPr>
          <w:rFonts w:ascii="宋体" w:hAnsi="宋体"/>
          <w:sz w:val="24"/>
          <w:szCs w:val="24"/>
        </w:rPr>
      </w:pPr>
      <w:r>
        <w:rPr>
          <w:rFonts w:hint="eastAsia" w:ascii="宋体" w:hAnsi="宋体" w:cs="宋体"/>
          <w:sz w:val="24"/>
          <w:szCs w:val="24"/>
        </w:rPr>
        <w:t>3.6.1关于评标活动暂停</w:t>
      </w:r>
    </w:p>
    <w:p>
      <w:pPr>
        <w:spacing w:line="440" w:lineRule="exact"/>
        <w:ind w:firstLine="420" w:firstLineChars="200"/>
        <w:rPr>
          <w:rFonts w:ascii="宋体" w:hAnsi="宋体"/>
        </w:rPr>
      </w:pPr>
      <w:r>
        <w:rPr>
          <w:rFonts w:hint="eastAsia" w:ascii="宋体" w:hAnsi="宋体" w:cs="宋体"/>
        </w:rPr>
        <w:t>(1)评标委员会应当执行连续评标的原则，按评标办法中规定的程序、内容、方法、标准完成全部评标工作。按规定应当暂停或发生不可抗力导致评标工作无法继续时，评标活动方可暂停。</w:t>
      </w:r>
    </w:p>
    <w:p>
      <w:pPr>
        <w:spacing w:line="440" w:lineRule="exact"/>
        <w:ind w:firstLine="420" w:firstLineChars="200"/>
        <w:rPr>
          <w:rFonts w:ascii="宋体" w:hAnsi="宋体"/>
        </w:rPr>
      </w:pPr>
      <w:r>
        <w:rPr>
          <w:rFonts w:hint="eastAsia" w:ascii="宋体" w:hAnsi="宋体" w:cs="宋体"/>
        </w:rPr>
        <w:t>(2)发生评标暂停情况时，评标委员会应当封存全部投标文件和评标记录，待按规定应当暂停情况或不可抗力的影响结束且具备继续评标的条件时，由原评标委员会继续评标。</w:t>
      </w:r>
    </w:p>
    <w:p>
      <w:pPr>
        <w:spacing w:line="440" w:lineRule="exact"/>
        <w:ind w:left="420" w:leftChars="200"/>
        <w:rPr>
          <w:rFonts w:ascii="宋体" w:hAnsi="宋体" w:cs="宋体"/>
          <w:sz w:val="24"/>
          <w:szCs w:val="24"/>
        </w:rPr>
      </w:pPr>
      <w:r>
        <w:rPr>
          <w:rFonts w:hint="eastAsia" w:ascii="宋体" w:hAnsi="宋体" w:cs="宋体"/>
          <w:sz w:val="24"/>
          <w:szCs w:val="24"/>
        </w:rPr>
        <w:t>3.6.2关于评标中途更换评标委员会成员</w:t>
      </w:r>
    </w:p>
    <w:p>
      <w:pPr>
        <w:spacing w:line="440" w:lineRule="exact"/>
        <w:ind w:firstLine="420" w:firstLineChars="200"/>
        <w:rPr>
          <w:rFonts w:ascii="宋体" w:hAnsi="宋体"/>
        </w:rPr>
      </w:pPr>
      <w:r>
        <w:rPr>
          <w:rFonts w:hint="eastAsia" w:ascii="宋体" w:hAnsi="宋体" w:cs="宋体"/>
        </w:rPr>
        <w:t>除非发生下列情况之一，评标委员会成员不得在评标中途更换：</w:t>
      </w:r>
    </w:p>
    <w:p>
      <w:pPr>
        <w:spacing w:line="440" w:lineRule="exact"/>
        <w:ind w:firstLine="420" w:firstLineChars="200"/>
        <w:rPr>
          <w:rFonts w:ascii="宋体" w:hAnsi="宋体"/>
        </w:rPr>
      </w:pPr>
      <w:r>
        <w:rPr>
          <w:rFonts w:hint="eastAsia" w:ascii="宋体" w:hAnsi="宋体" w:cs="宋体"/>
        </w:rPr>
        <w:t>（1）因不可抗拒的客观原因，不能到场或需在评标中途退出评标活动的；</w:t>
      </w:r>
    </w:p>
    <w:p>
      <w:pPr>
        <w:spacing w:line="440" w:lineRule="exact"/>
        <w:ind w:firstLine="420" w:firstLineChars="200"/>
        <w:rPr>
          <w:rFonts w:ascii="宋体" w:hAnsi="宋体"/>
        </w:rPr>
      </w:pPr>
      <w:r>
        <w:rPr>
          <w:rFonts w:hint="eastAsia" w:ascii="宋体" w:hAnsi="宋体" w:cs="宋体"/>
        </w:rPr>
        <w:t>（2）根据法律法规规定，评标委员会成员需要回避的。</w:t>
      </w:r>
    </w:p>
    <w:p>
      <w:pPr>
        <w:spacing w:line="440" w:lineRule="exact"/>
        <w:ind w:firstLine="420" w:firstLineChars="200"/>
        <w:rPr>
          <w:rFonts w:ascii="宋体" w:hAnsi="宋体" w:cs="宋体"/>
        </w:rPr>
      </w:pPr>
      <w:r>
        <w:rPr>
          <w:rFonts w:hint="eastAsia" w:ascii="宋体" w:hAnsi="宋体" w:cs="宋体"/>
        </w:rPr>
        <w:t>退出评标的评标委员会成员，其已完成的评标行为无效，由候补专家替代继续评标；候补专家不能满足要求时，可由评标委员会商建设单位就近选择1名评审专家库成员，作为替代者继续进行评标。</w:t>
      </w:r>
    </w:p>
    <w:p>
      <w:pPr>
        <w:spacing w:line="440" w:lineRule="exact"/>
        <w:ind w:left="420" w:leftChars="200"/>
        <w:rPr>
          <w:rFonts w:ascii="宋体" w:hAnsi="宋体" w:cs="宋体"/>
          <w:sz w:val="24"/>
          <w:szCs w:val="24"/>
        </w:rPr>
      </w:pPr>
      <w:r>
        <w:rPr>
          <w:rFonts w:hint="eastAsia" w:ascii="宋体" w:hAnsi="宋体" w:cs="宋体"/>
          <w:sz w:val="24"/>
          <w:szCs w:val="24"/>
        </w:rPr>
        <w:t>3.6.3记名投票</w:t>
      </w:r>
    </w:p>
    <w:p>
      <w:pPr>
        <w:spacing w:line="400" w:lineRule="exact"/>
        <w:ind w:firstLine="420" w:firstLineChars="200"/>
        <w:rPr>
          <w:rFonts w:ascii="宋体" w:hAnsi="宋体"/>
        </w:rPr>
      </w:pPr>
      <w:r>
        <w:rPr>
          <w:rFonts w:hint="eastAsia" w:ascii="宋体" w:hAnsi="宋体"/>
        </w:rPr>
        <w:t>在任何评标环节中，需评标委员会就某项定性的评审结论作出表决的，由评标委员会全体成员按照少数服从多数的原则，以记名投票方式表决，并做好记录。</w:t>
      </w:r>
    </w:p>
    <w:p>
      <w:pPr>
        <w:pStyle w:val="6"/>
        <w:spacing w:before="0" w:after="0" w:line="440" w:lineRule="exact"/>
        <w:rPr>
          <w:rFonts w:ascii="Times New Roman" w:hAnsi="Times New Roman" w:cs="宋体"/>
          <w:b w:val="0"/>
          <w:bCs/>
          <w:sz w:val="28"/>
          <w:szCs w:val="28"/>
        </w:rPr>
      </w:pPr>
      <w:bookmarkStart w:id="550" w:name="_Toc184916598"/>
      <w:bookmarkStart w:id="551" w:name="_Toc11839"/>
      <w:r>
        <w:rPr>
          <w:rFonts w:hint="eastAsia" w:ascii="Times New Roman" w:hAnsi="Times New Roman" w:cs="宋体"/>
          <w:b w:val="0"/>
          <w:bCs/>
          <w:sz w:val="28"/>
          <w:szCs w:val="28"/>
        </w:rPr>
        <w:t>3.7补充条款</w:t>
      </w:r>
      <w:bookmarkEnd w:id="550"/>
      <w:bookmarkEnd w:id="551"/>
    </w:p>
    <w:p>
      <w:pPr>
        <w:spacing w:line="400" w:lineRule="exact"/>
        <w:ind w:left="210" w:leftChars="100" w:firstLine="210" w:firstLineChars="100"/>
        <w:rPr>
          <w:rFonts w:ascii="黑体" w:hAnsi="黑体" w:eastAsia="黑体"/>
          <w:sz w:val="24"/>
          <w:szCs w:val="24"/>
        </w:rPr>
      </w:pPr>
      <w:r>
        <w:rPr>
          <w:rFonts w:hint="eastAsia" w:ascii="Arial" w:hAnsi="Arial" w:cs="Arial"/>
        </w:rPr>
        <w:t>招标人可根据工程招标具体情况补充增加相关条款。</w:t>
      </w:r>
      <w:bookmarkEnd w:id="465"/>
      <w:bookmarkEnd w:id="466"/>
      <w:bookmarkEnd w:id="467"/>
      <w:bookmarkEnd w:id="468"/>
      <w:bookmarkEnd w:id="469"/>
      <w:bookmarkEnd w:id="470"/>
      <w:bookmarkEnd w:id="471"/>
      <w:r>
        <w:rPr>
          <w:rFonts w:ascii="黑体" w:hAnsi="黑体" w:eastAsia="黑体"/>
          <w:sz w:val="24"/>
          <w:szCs w:val="24"/>
        </w:rPr>
        <w:br w:type="page"/>
      </w:r>
    </w:p>
    <w:p>
      <w:pPr>
        <w:spacing w:line="460" w:lineRule="exact"/>
        <w:rPr>
          <w:rFonts w:ascii="仿宋_GB2312" w:hAnsi="宋体" w:eastAsia="仿宋_GB2312"/>
          <w:sz w:val="24"/>
          <w:szCs w:val="24"/>
        </w:rPr>
      </w:pPr>
      <w:r>
        <w:rPr>
          <w:rFonts w:hint="eastAsia" w:ascii="黑体" w:hAnsi="黑体" w:eastAsia="黑体"/>
          <w:sz w:val="24"/>
          <w:szCs w:val="24"/>
        </w:rPr>
        <w:t>附件1</w:t>
      </w:r>
    </w:p>
    <w:p>
      <w:pPr>
        <w:spacing w:line="460" w:lineRule="exact"/>
        <w:rPr>
          <w:rFonts w:ascii="方正小标宋简体" w:hAnsi="宋体" w:eastAsia="方正小标宋简体"/>
          <w:sz w:val="24"/>
          <w:szCs w:val="24"/>
        </w:rPr>
      </w:pPr>
    </w:p>
    <w:p>
      <w:pPr>
        <w:spacing w:line="460" w:lineRule="exact"/>
        <w:ind w:firstLine="480" w:firstLineChars="200"/>
        <w:jc w:val="center"/>
        <w:rPr>
          <w:rFonts w:ascii="宋体" w:hAnsi="宋体"/>
          <w:sz w:val="24"/>
          <w:szCs w:val="24"/>
        </w:rPr>
      </w:pPr>
      <w:r>
        <w:rPr>
          <w:rFonts w:hint="eastAsia" w:ascii="宋体" w:hAnsi="宋体"/>
          <w:sz w:val="24"/>
          <w:szCs w:val="24"/>
        </w:rPr>
        <w:t>评标委员会成员声明书</w:t>
      </w:r>
    </w:p>
    <w:p>
      <w:pPr>
        <w:spacing w:line="460" w:lineRule="exact"/>
        <w:rPr>
          <w:rFonts w:ascii="仿宋_GB2312" w:hAnsi="宋体" w:eastAsia="仿宋_GB2312"/>
          <w:sz w:val="24"/>
          <w:szCs w:val="24"/>
        </w:rPr>
      </w:pPr>
    </w:p>
    <w:p>
      <w:pPr>
        <w:spacing w:line="460" w:lineRule="exact"/>
        <w:ind w:firstLine="480" w:firstLineChars="200"/>
        <w:rPr>
          <w:rFonts w:ascii="宋体" w:hAnsi="宋体"/>
          <w:sz w:val="24"/>
          <w:szCs w:val="24"/>
        </w:rPr>
      </w:pPr>
      <w:r>
        <w:rPr>
          <w:rFonts w:hint="eastAsia" w:ascii="宋体" w:hAnsi="宋体"/>
          <w:sz w:val="24"/>
          <w:szCs w:val="24"/>
        </w:rPr>
        <w:t>本人接受招标人邀请，担任</w:t>
      </w:r>
      <w:r>
        <w:rPr>
          <w:rFonts w:hint="eastAsia" w:ascii="宋体" w:hAnsi="宋体"/>
          <w:sz w:val="24"/>
          <w:szCs w:val="24"/>
          <w:u w:val="single"/>
        </w:rPr>
        <w:t xml:space="preserve">3122工程全过程工程咨询（2025-JJDCBG-G1004） </w:t>
      </w:r>
      <w:r>
        <w:rPr>
          <w:rFonts w:hint="eastAsia" w:ascii="宋体" w:hAnsi="宋体"/>
          <w:sz w:val="24"/>
          <w:szCs w:val="24"/>
        </w:rPr>
        <w:t>（项目名称）公开招标的评标委员会成员。</w:t>
      </w:r>
    </w:p>
    <w:p>
      <w:pPr>
        <w:spacing w:line="460" w:lineRule="exact"/>
        <w:ind w:firstLine="480" w:firstLineChars="200"/>
        <w:rPr>
          <w:rFonts w:ascii="宋体" w:hAnsi="宋体"/>
          <w:sz w:val="24"/>
          <w:szCs w:val="24"/>
        </w:rPr>
      </w:pPr>
      <w:r>
        <w:rPr>
          <w:rFonts w:hint="eastAsia" w:ascii="宋体" w:hAnsi="宋体"/>
          <w:sz w:val="24"/>
          <w:szCs w:val="24"/>
        </w:rPr>
        <w:t>本人声明，本人在招标前未与招标人、投标人发生任何可能影响招标结果的接触，在招标成交结果确定之前，不对外透露对投标文件的评审、成交候选人的推荐情况以及与招标有关的其他情况，不收受有关利害关系人的任何财物和好处。本人无国家或军队规定需要回避的情形。</w:t>
      </w:r>
    </w:p>
    <w:p>
      <w:pPr>
        <w:spacing w:line="460" w:lineRule="exact"/>
        <w:ind w:firstLine="480" w:firstLineChars="200"/>
        <w:rPr>
          <w:rFonts w:ascii="宋体" w:hAnsi="宋体"/>
          <w:sz w:val="24"/>
          <w:szCs w:val="24"/>
        </w:rPr>
      </w:pPr>
      <w:r>
        <w:rPr>
          <w:rFonts w:hint="eastAsia" w:ascii="宋体" w:hAnsi="宋体"/>
          <w:sz w:val="24"/>
          <w:szCs w:val="24"/>
        </w:rPr>
        <w:t>本人郑重保证：在招标过程中，遵守有关法律法规规章和招标纪律，服从评标委员会的统一安排，独立、客观、公正地履行评标委员会成员职责。</w:t>
      </w:r>
    </w:p>
    <w:p>
      <w:pPr>
        <w:spacing w:line="460" w:lineRule="exact"/>
        <w:ind w:firstLine="480" w:firstLineChars="200"/>
        <w:rPr>
          <w:rFonts w:ascii="宋体" w:hAnsi="宋体"/>
          <w:sz w:val="24"/>
          <w:szCs w:val="24"/>
        </w:rPr>
      </w:pPr>
      <w:r>
        <w:rPr>
          <w:rFonts w:hint="eastAsia" w:ascii="宋体" w:hAnsi="宋体"/>
          <w:sz w:val="24"/>
          <w:szCs w:val="24"/>
        </w:rPr>
        <w:t>本人接受有关监督部门依法监督，如违反以上规定或不能履行评标委员会成员职责，本人愿意承担一切由此带来的法律责任。</w:t>
      </w:r>
    </w:p>
    <w:p>
      <w:pPr>
        <w:spacing w:line="460" w:lineRule="exact"/>
        <w:ind w:firstLine="480" w:firstLineChars="200"/>
        <w:rPr>
          <w:rFonts w:ascii="宋体" w:hAnsi="宋体"/>
          <w:sz w:val="24"/>
          <w:szCs w:val="24"/>
        </w:rPr>
      </w:pPr>
      <w:r>
        <w:rPr>
          <w:rFonts w:hint="eastAsia" w:ascii="宋体" w:hAnsi="宋体"/>
          <w:sz w:val="24"/>
          <w:szCs w:val="24"/>
        </w:rPr>
        <w:t>特此声明。</w:t>
      </w:r>
    </w:p>
    <w:p>
      <w:pPr>
        <w:spacing w:line="460" w:lineRule="exact"/>
        <w:ind w:right="480" w:firstLine="480" w:firstLineChars="200"/>
        <w:rPr>
          <w:rFonts w:ascii="宋体" w:hAnsi="宋体"/>
          <w:sz w:val="24"/>
          <w:szCs w:val="24"/>
        </w:rPr>
      </w:pPr>
      <w:r>
        <w:rPr>
          <w:rFonts w:hint="eastAsia" w:ascii="宋体" w:hAnsi="宋体"/>
          <w:sz w:val="24"/>
          <w:szCs w:val="24"/>
        </w:rPr>
        <w:t>全体评标委员会成员签字：</w:t>
      </w:r>
    </w:p>
    <w:p>
      <w:pPr>
        <w:spacing w:line="460" w:lineRule="exact"/>
        <w:rPr>
          <w:rFonts w:ascii="仿宋_GB2312" w:hAnsi="宋体" w:eastAsia="仿宋_GB2312"/>
          <w:sz w:val="24"/>
          <w:szCs w:val="24"/>
        </w:rPr>
      </w:pPr>
    </w:p>
    <w:p>
      <w:pPr>
        <w:spacing w:line="460" w:lineRule="exact"/>
        <w:rPr>
          <w:rFonts w:ascii="仿宋_GB2312" w:hAnsi="宋体" w:eastAsia="仿宋_GB2312"/>
          <w:sz w:val="24"/>
          <w:szCs w:val="24"/>
        </w:rPr>
      </w:pPr>
    </w:p>
    <w:p>
      <w:pPr>
        <w:spacing w:line="460" w:lineRule="exact"/>
        <w:rPr>
          <w:rFonts w:ascii="仿宋_GB2312" w:hAnsi="宋体" w:eastAsia="仿宋_GB2312"/>
          <w:sz w:val="24"/>
          <w:szCs w:val="24"/>
        </w:rPr>
      </w:pPr>
    </w:p>
    <w:p>
      <w:pPr>
        <w:spacing w:line="460" w:lineRule="exact"/>
        <w:ind w:firstLine="480" w:firstLineChars="200"/>
        <w:rPr>
          <w:rFonts w:ascii="宋体" w:hAnsi="宋体"/>
          <w:sz w:val="24"/>
          <w:szCs w:val="24"/>
        </w:rPr>
      </w:pPr>
    </w:p>
    <w:p>
      <w:pPr>
        <w:spacing w:line="460" w:lineRule="exact"/>
        <w:ind w:firstLine="480" w:firstLineChars="200"/>
        <w:jc w:val="right"/>
        <w:rPr>
          <w:rFonts w:ascii="宋体" w:hAnsi="宋体"/>
          <w:sz w:val="24"/>
          <w:szCs w:val="24"/>
        </w:rPr>
      </w:pPr>
      <w:r>
        <w:rPr>
          <w:rFonts w:hint="eastAsia" w:ascii="宋体" w:hAnsi="宋体"/>
          <w:sz w:val="24"/>
          <w:szCs w:val="24"/>
        </w:rPr>
        <w:t>年    月    日</w:t>
      </w:r>
    </w:p>
    <w:p>
      <w:pPr>
        <w:pStyle w:val="36"/>
        <w:spacing w:after="240" w:afterLines="100" w:line="460" w:lineRule="exact"/>
        <w:ind w:firstLine="0" w:firstLineChars="0"/>
        <w:rPr>
          <w:rFonts w:ascii="仿宋_GB2312" w:eastAsia="仿宋_GB2312"/>
          <w:b/>
          <w:szCs w:val="24"/>
        </w:rPr>
      </w:pPr>
      <w:r>
        <w:rPr>
          <w:rFonts w:ascii="仿宋_GB2312" w:eastAsia="仿宋_GB2312"/>
          <w:b/>
          <w:szCs w:val="24"/>
        </w:rPr>
        <w:br w:type="page"/>
      </w:r>
      <w:r>
        <w:rPr>
          <w:rFonts w:hint="eastAsia" w:ascii="黑体" w:hAnsi="黑体" w:eastAsia="黑体"/>
          <w:szCs w:val="24"/>
        </w:rPr>
        <w:t>附件2</w:t>
      </w:r>
    </w:p>
    <w:p>
      <w:pPr>
        <w:spacing w:line="460" w:lineRule="exact"/>
        <w:ind w:firstLine="480" w:firstLineChars="200"/>
        <w:jc w:val="center"/>
        <w:rPr>
          <w:rFonts w:ascii="宋体" w:hAnsi="宋体"/>
          <w:sz w:val="24"/>
          <w:szCs w:val="24"/>
        </w:rPr>
      </w:pPr>
      <w:r>
        <w:rPr>
          <w:rFonts w:hint="eastAsia" w:ascii="宋体" w:hAnsi="宋体"/>
          <w:sz w:val="24"/>
          <w:szCs w:val="24"/>
        </w:rPr>
        <w:t>形式性评审记录表</w:t>
      </w:r>
    </w:p>
    <w:p>
      <w:pPr>
        <w:spacing w:after="240" w:afterLines="100" w:line="460" w:lineRule="exact"/>
        <w:jc w:val="left"/>
        <w:rPr>
          <w:rFonts w:ascii="宋体" w:hAnsi="宋体"/>
          <w:sz w:val="28"/>
          <w:szCs w:val="28"/>
        </w:rPr>
      </w:pPr>
      <w:r>
        <w:rPr>
          <w:rFonts w:hint="eastAsia" w:ascii="宋体" w:hAnsi="宋体"/>
          <w:sz w:val="28"/>
          <w:szCs w:val="28"/>
        </w:rPr>
        <w:t>投标人：</w:t>
      </w:r>
    </w:p>
    <w:tbl>
      <w:tblPr>
        <w:tblStyle w:val="88"/>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78"/>
        <w:gridCol w:w="6481"/>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18"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序号</w:t>
            </w:r>
          </w:p>
        </w:tc>
        <w:tc>
          <w:tcPr>
            <w:tcW w:w="1278"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评审项目</w:t>
            </w:r>
          </w:p>
        </w:tc>
        <w:tc>
          <w:tcPr>
            <w:tcW w:w="6481"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评审标准</w:t>
            </w:r>
          </w:p>
        </w:tc>
        <w:tc>
          <w:tcPr>
            <w:tcW w:w="748" w:type="dxa"/>
            <w:vAlign w:val="center"/>
          </w:tcPr>
          <w:p>
            <w:pPr>
              <w:spacing w:line="280" w:lineRule="exact"/>
              <w:jc w:val="center"/>
              <w:rPr>
                <w:rFonts w:ascii="黑体" w:hAnsi="黑体" w:eastAsia="黑体"/>
                <w:sz w:val="24"/>
                <w:szCs w:val="24"/>
              </w:rPr>
            </w:pPr>
            <w:r>
              <w:rPr>
                <w:rFonts w:hint="eastAsia" w:ascii="黑体" w:hAnsi="黑体" w:eastAsia="黑体"/>
                <w:sz w:val="24"/>
                <w:szCs w:val="24"/>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1</w:t>
            </w:r>
          </w:p>
        </w:tc>
        <w:tc>
          <w:tcPr>
            <w:tcW w:w="1278" w:type="dxa"/>
            <w:vAlign w:val="center"/>
          </w:tcPr>
          <w:p>
            <w:pPr>
              <w:spacing w:line="320" w:lineRule="exact"/>
              <w:rPr>
                <w:rFonts w:ascii="宋体" w:hAnsi="宋体"/>
                <w:sz w:val="24"/>
                <w:szCs w:val="24"/>
                <w:lang w:val="zh-CN"/>
              </w:rPr>
            </w:pPr>
            <w:r>
              <w:rPr>
                <w:rFonts w:hint="eastAsia" w:ascii="宋体" w:hAnsi="宋体"/>
              </w:rPr>
              <w:t>投标人名称</w:t>
            </w:r>
          </w:p>
        </w:tc>
        <w:tc>
          <w:tcPr>
            <w:tcW w:w="6481" w:type="dxa"/>
            <w:vAlign w:val="center"/>
          </w:tcPr>
          <w:p>
            <w:pPr>
              <w:spacing w:line="320" w:lineRule="exact"/>
              <w:rPr>
                <w:rFonts w:ascii="宋体" w:hAnsi="宋体"/>
                <w:sz w:val="24"/>
                <w:szCs w:val="24"/>
                <w:lang w:val="zh-CN"/>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2</w:t>
            </w:r>
          </w:p>
        </w:tc>
        <w:tc>
          <w:tcPr>
            <w:tcW w:w="1278" w:type="dxa"/>
            <w:vAlign w:val="center"/>
          </w:tcPr>
          <w:p>
            <w:pPr>
              <w:spacing w:line="320" w:lineRule="exact"/>
              <w:rPr>
                <w:rFonts w:ascii="宋体" w:hAnsi="宋体"/>
                <w:sz w:val="24"/>
                <w:szCs w:val="24"/>
                <w:lang w:val="zh-CN"/>
              </w:rPr>
            </w:pPr>
            <w:r>
              <w:rPr>
                <w:rFonts w:hint="eastAsia" w:ascii="宋体" w:hAnsi="宋体"/>
              </w:rPr>
              <w:t>投标报价函签字盖章</w:t>
            </w:r>
          </w:p>
        </w:tc>
        <w:tc>
          <w:tcPr>
            <w:tcW w:w="6481" w:type="dxa"/>
            <w:vAlign w:val="center"/>
          </w:tcPr>
          <w:p>
            <w:pPr>
              <w:spacing w:line="320" w:lineRule="exact"/>
              <w:rPr>
                <w:rFonts w:ascii="宋体" w:hAnsi="宋体"/>
                <w:sz w:val="24"/>
                <w:szCs w:val="24"/>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3</w:t>
            </w:r>
          </w:p>
        </w:tc>
        <w:tc>
          <w:tcPr>
            <w:tcW w:w="1278" w:type="dxa"/>
            <w:vAlign w:val="center"/>
          </w:tcPr>
          <w:p>
            <w:pPr>
              <w:spacing w:line="320" w:lineRule="exact"/>
              <w:rPr>
                <w:rFonts w:ascii="宋体" w:hAnsi="宋体"/>
                <w:sz w:val="24"/>
                <w:szCs w:val="24"/>
              </w:rPr>
            </w:pPr>
            <w:r>
              <w:rPr>
                <w:rFonts w:hint="eastAsia" w:cs="宋体"/>
                <w:szCs w:val="24"/>
              </w:rPr>
              <w:t>联合体投标人</w:t>
            </w:r>
          </w:p>
        </w:tc>
        <w:tc>
          <w:tcPr>
            <w:tcW w:w="6481" w:type="dxa"/>
            <w:vAlign w:val="center"/>
          </w:tcPr>
          <w:p>
            <w:pPr>
              <w:spacing w:line="320" w:lineRule="exact"/>
              <w:rPr>
                <w:rFonts w:ascii="宋体" w:hAnsi="宋体"/>
                <w:sz w:val="24"/>
                <w:szCs w:val="24"/>
                <w:lang w:val="zh-CN"/>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4</w:t>
            </w:r>
          </w:p>
        </w:tc>
        <w:tc>
          <w:tcPr>
            <w:tcW w:w="1278" w:type="dxa"/>
            <w:vAlign w:val="center"/>
          </w:tcPr>
          <w:p>
            <w:pPr>
              <w:spacing w:line="320" w:lineRule="exact"/>
              <w:rPr>
                <w:rFonts w:ascii="宋体" w:hAnsi="宋体"/>
                <w:sz w:val="24"/>
                <w:szCs w:val="24"/>
                <w:lang w:val="zh-CN"/>
              </w:rPr>
            </w:pPr>
            <w:r>
              <w:rPr>
                <w:rFonts w:hint="eastAsia"/>
              </w:rPr>
              <w:t>未出现异常情形</w:t>
            </w:r>
          </w:p>
        </w:tc>
        <w:tc>
          <w:tcPr>
            <w:tcW w:w="6481" w:type="dxa"/>
            <w:vAlign w:val="center"/>
          </w:tcPr>
          <w:p>
            <w:pPr>
              <w:spacing w:line="320" w:lineRule="exact"/>
              <w:rPr>
                <w:rFonts w:ascii="宋体" w:hAnsi="宋体"/>
                <w:sz w:val="24"/>
                <w:szCs w:val="24"/>
                <w:lang w:val="zh-CN"/>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5</w:t>
            </w:r>
          </w:p>
        </w:tc>
        <w:tc>
          <w:tcPr>
            <w:tcW w:w="1278" w:type="dxa"/>
            <w:vAlign w:val="center"/>
          </w:tcPr>
          <w:p>
            <w:pPr>
              <w:spacing w:line="320" w:lineRule="exact"/>
              <w:rPr>
                <w:rFonts w:ascii="宋体" w:hAnsi="宋体"/>
              </w:rPr>
            </w:pPr>
            <w:r>
              <w:rPr>
                <w:rFonts w:hint="eastAsia" w:ascii="宋体" w:hAnsi="宋体"/>
              </w:rPr>
              <w:t>投标文件格式</w:t>
            </w:r>
          </w:p>
        </w:tc>
        <w:tc>
          <w:tcPr>
            <w:tcW w:w="6481" w:type="dxa"/>
            <w:vAlign w:val="center"/>
          </w:tcPr>
          <w:p>
            <w:pPr>
              <w:spacing w:line="320" w:lineRule="exact"/>
              <w:rPr>
                <w:rFonts w:ascii="宋体" w:hAnsi="宋体"/>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6</w:t>
            </w:r>
          </w:p>
        </w:tc>
        <w:tc>
          <w:tcPr>
            <w:tcW w:w="1278" w:type="dxa"/>
            <w:vAlign w:val="center"/>
          </w:tcPr>
          <w:p>
            <w:pPr>
              <w:spacing w:line="320" w:lineRule="exact"/>
              <w:rPr>
                <w:rFonts w:ascii="宋体" w:hAnsi="宋体"/>
              </w:rPr>
            </w:pPr>
            <w:r>
              <w:rPr>
                <w:rFonts w:hint="eastAsia" w:ascii="宋体" w:hAnsi="宋体"/>
              </w:rPr>
              <w:t>报价唯一</w:t>
            </w:r>
          </w:p>
        </w:tc>
        <w:tc>
          <w:tcPr>
            <w:tcW w:w="6481" w:type="dxa"/>
            <w:vAlign w:val="center"/>
          </w:tcPr>
          <w:p>
            <w:pPr>
              <w:spacing w:line="320" w:lineRule="exact"/>
              <w:rPr>
                <w:rFonts w:ascii="宋体" w:hAnsi="宋体"/>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7" w:type="dxa"/>
            <w:gridSpan w:val="3"/>
            <w:vAlign w:val="center"/>
          </w:tcPr>
          <w:p>
            <w:pPr>
              <w:pStyle w:val="36"/>
              <w:spacing w:line="320" w:lineRule="exact"/>
              <w:ind w:right="25"/>
              <w:jc w:val="center"/>
              <w:rPr>
                <w:rFonts w:ascii="黑体" w:hAnsi="黑体" w:eastAsia="黑体"/>
                <w:szCs w:val="24"/>
                <w:lang w:val="zh-CN"/>
              </w:rPr>
            </w:pPr>
            <w:r>
              <w:rPr>
                <w:rFonts w:hint="eastAsia" w:ascii="黑体" w:hAnsi="黑体" w:eastAsia="黑体"/>
                <w:szCs w:val="24"/>
              </w:rPr>
              <w:t>结论（填写“合格”或“不合格”）</w:t>
            </w:r>
          </w:p>
        </w:tc>
        <w:tc>
          <w:tcPr>
            <w:tcW w:w="748" w:type="dxa"/>
            <w:vAlign w:val="center"/>
          </w:tcPr>
          <w:p>
            <w:pPr>
              <w:pStyle w:val="36"/>
              <w:spacing w:line="320" w:lineRule="exact"/>
              <w:ind w:right="25"/>
              <w:jc w:val="center"/>
              <w:rPr>
                <w:rFonts w:eastAsia="仿宋_GB2312"/>
                <w:szCs w:val="24"/>
                <w:lang w:val="zh-CN"/>
              </w:rPr>
            </w:pPr>
          </w:p>
        </w:tc>
      </w:tr>
    </w:tbl>
    <w:p>
      <w:pPr>
        <w:spacing w:after="240" w:afterLines="100" w:line="460" w:lineRule="exact"/>
        <w:jc w:val="center"/>
        <w:rPr>
          <w:rFonts w:ascii="方正小标宋简体" w:hAnsi="黑体" w:eastAsia="方正小标宋简体"/>
          <w:sz w:val="28"/>
          <w:szCs w:val="28"/>
        </w:rPr>
      </w:pPr>
      <w:r>
        <w:rPr>
          <w:rFonts w:ascii="仿宋_GB2312" w:eastAsia="仿宋_GB2312"/>
          <w:szCs w:val="24"/>
        </w:rPr>
        <w:br w:type="page"/>
      </w:r>
    </w:p>
    <w:p>
      <w:pPr>
        <w:spacing w:line="460" w:lineRule="exact"/>
        <w:jc w:val="left"/>
        <w:rPr>
          <w:rFonts w:ascii="方正小标宋简体" w:hAnsi="黑体" w:eastAsia="黑体"/>
          <w:sz w:val="24"/>
          <w:szCs w:val="24"/>
        </w:rPr>
      </w:pPr>
      <w:r>
        <w:rPr>
          <w:rFonts w:hint="eastAsia" w:ascii="黑体" w:hAnsi="黑体" w:eastAsia="黑体"/>
          <w:sz w:val="24"/>
          <w:szCs w:val="24"/>
        </w:rPr>
        <w:t>附件3</w:t>
      </w:r>
    </w:p>
    <w:p>
      <w:pPr>
        <w:spacing w:line="460" w:lineRule="exact"/>
        <w:ind w:firstLine="480" w:firstLineChars="200"/>
        <w:jc w:val="center"/>
        <w:rPr>
          <w:rFonts w:ascii="宋体" w:hAnsi="宋体"/>
          <w:sz w:val="24"/>
          <w:szCs w:val="24"/>
        </w:rPr>
      </w:pPr>
      <w:r>
        <w:rPr>
          <w:rFonts w:hint="eastAsia" w:ascii="宋体" w:hAnsi="宋体"/>
          <w:sz w:val="24"/>
          <w:szCs w:val="24"/>
        </w:rPr>
        <w:t>资格性评审记录表</w:t>
      </w:r>
    </w:p>
    <w:p>
      <w:pPr>
        <w:spacing w:line="460" w:lineRule="exact"/>
        <w:jc w:val="left"/>
        <w:rPr>
          <w:rFonts w:ascii="宋体" w:hAnsi="宋体"/>
          <w:sz w:val="28"/>
          <w:szCs w:val="28"/>
        </w:rPr>
      </w:pPr>
      <w:r>
        <w:rPr>
          <w:rFonts w:hint="eastAsia" w:ascii="宋体" w:hAnsi="宋体"/>
          <w:sz w:val="28"/>
          <w:szCs w:val="28"/>
        </w:rPr>
        <w:t>投标人：</w:t>
      </w:r>
    </w:p>
    <w:tbl>
      <w:tblPr>
        <w:tblStyle w:val="88"/>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78"/>
        <w:gridCol w:w="6481"/>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18"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序号</w:t>
            </w:r>
          </w:p>
        </w:tc>
        <w:tc>
          <w:tcPr>
            <w:tcW w:w="1278"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评审项目</w:t>
            </w:r>
          </w:p>
        </w:tc>
        <w:tc>
          <w:tcPr>
            <w:tcW w:w="6481" w:type="dxa"/>
            <w:vAlign w:val="center"/>
          </w:tcPr>
          <w:p>
            <w:pPr>
              <w:spacing w:line="320" w:lineRule="exact"/>
              <w:jc w:val="center"/>
              <w:rPr>
                <w:rFonts w:ascii="黑体" w:hAnsi="黑体" w:eastAsia="黑体"/>
                <w:sz w:val="24"/>
                <w:szCs w:val="24"/>
              </w:rPr>
            </w:pPr>
          </w:p>
        </w:tc>
        <w:tc>
          <w:tcPr>
            <w:tcW w:w="748" w:type="dxa"/>
            <w:vAlign w:val="center"/>
          </w:tcPr>
          <w:p>
            <w:pPr>
              <w:spacing w:line="280" w:lineRule="exact"/>
              <w:jc w:val="center"/>
              <w:rPr>
                <w:rFonts w:ascii="黑体" w:hAnsi="黑体" w:eastAsia="黑体"/>
                <w:sz w:val="24"/>
                <w:szCs w:val="24"/>
              </w:rPr>
            </w:pPr>
            <w:r>
              <w:rPr>
                <w:rFonts w:hint="eastAsia" w:ascii="黑体" w:hAnsi="黑体" w:eastAsia="黑体"/>
                <w:sz w:val="24"/>
                <w:szCs w:val="24"/>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1</w:t>
            </w:r>
          </w:p>
        </w:tc>
        <w:tc>
          <w:tcPr>
            <w:tcW w:w="1278" w:type="dxa"/>
            <w:vAlign w:val="center"/>
          </w:tcPr>
          <w:p>
            <w:pPr>
              <w:spacing w:line="320" w:lineRule="exact"/>
              <w:rPr>
                <w:rFonts w:ascii="宋体" w:hAnsi="宋体"/>
                <w:sz w:val="24"/>
                <w:szCs w:val="24"/>
                <w:lang w:val="zh-CN"/>
              </w:rPr>
            </w:pPr>
            <w:r>
              <w:rPr>
                <w:rFonts w:hint="eastAsia" w:ascii="宋体" w:hAnsi="宋体"/>
              </w:rPr>
              <w:t>营业执照</w:t>
            </w:r>
          </w:p>
        </w:tc>
        <w:tc>
          <w:tcPr>
            <w:tcW w:w="6481" w:type="dxa"/>
            <w:vAlign w:val="center"/>
          </w:tcPr>
          <w:p>
            <w:pPr>
              <w:spacing w:line="320" w:lineRule="exact"/>
              <w:rPr>
                <w:rFonts w:ascii="宋体" w:hAnsi="宋体"/>
                <w:sz w:val="24"/>
                <w:szCs w:val="24"/>
                <w:lang w:val="zh-CN"/>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2</w:t>
            </w:r>
          </w:p>
        </w:tc>
        <w:tc>
          <w:tcPr>
            <w:tcW w:w="1278" w:type="dxa"/>
            <w:vAlign w:val="center"/>
          </w:tcPr>
          <w:p>
            <w:pPr>
              <w:spacing w:line="320" w:lineRule="exact"/>
              <w:rPr>
                <w:rFonts w:ascii="宋体" w:hAnsi="宋体"/>
                <w:sz w:val="24"/>
                <w:szCs w:val="24"/>
                <w:lang w:val="zh-CN"/>
              </w:rPr>
            </w:pPr>
            <w:r>
              <w:rPr>
                <w:rFonts w:hint="eastAsia" w:ascii="宋体" w:hAnsi="宋体"/>
              </w:rPr>
              <w:t>资质等级</w:t>
            </w:r>
          </w:p>
        </w:tc>
        <w:tc>
          <w:tcPr>
            <w:tcW w:w="6481" w:type="dxa"/>
            <w:vAlign w:val="center"/>
          </w:tcPr>
          <w:p>
            <w:pPr>
              <w:spacing w:line="320" w:lineRule="exact"/>
              <w:rPr>
                <w:rFonts w:ascii="宋体" w:hAnsi="宋体"/>
                <w:color w:val="FF0000"/>
                <w:sz w:val="24"/>
                <w:szCs w:val="24"/>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3</w:t>
            </w:r>
          </w:p>
        </w:tc>
        <w:tc>
          <w:tcPr>
            <w:tcW w:w="1278" w:type="dxa"/>
            <w:vAlign w:val="center"/>
          </w:tcPr>
          <w:p>
            <w:pPr>
              <w:spacing w:line="320" w:lineRule="exact"/>
              <w:rPr>
                <w:rFonts w:ascii="宋体" w:hAnsi="宋体"/>
                <w:sz w:val="24"/>
                <w:szCs w:val="24"/>
              </w:rPr>
            </w:pPr>
            <w:r>
              <w:rPr>
                <w:rFonts w:hint="eastAsia" w:ascii="宋体" w:hAnsi="宋体"/>
              </w:rPr>
              <w:t>独立性要求</w:t>
            </w:r>
          </w:p>
        </w:tc>
        <w:tc>
          <w:tcPr>
            <w:tcW w:w="6481" w:type="dxa"/>
            <w:vAlign w:val="center"/>
          </w:tcPr>
          <w:p>
            <w:pPr>
              <w:spacing w:line="320" w:lineRule="exact"/>
              <w:rPr>
                <w:rFonts w:ascii="宋体" w:hAnsi="宋体"/>
                <w:sz w:val="24"/>
                <w:szCs w:val="24"/>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lang w:val="zh-CN"/>
              </w:rPr>
            </w:pPr>
            <w:r>
              <w:rPr>
                <w:rFonts w:hint="eastAsia" w:ascii="宋体" w:hAnsi="宋体"/>
                <w:sz w:val="24"/>
                <w:szCs w:val="24"/>
                <w:lang w:val="zh-CN"/>
              </w:rPr>
              <w:t>4</w:t>
            </w:r>
          </w:p>
        </w:tc>
        <w:tc>
          <w:tcPr>
            <w:tcW w:w="1278" w:type="dxa"/>
            <w:vAlign w:val="center"/>
          </w:tcPr>
          <w:p>
            <w:pPr>
              <w:spacing w:line="320" w:lineRule="exact"/>
              <w:rPr>
                <w:rFonts w:ascii="宋体" w:hAnsi="宋体"/>
                <w:sz w:val="24"/>
                <w:szCs w:val="24"/>
                <w:lang w:val="zh-CN"/>
              </w:rPr>
            </w:pPr>
            <w:r>
              <w:rPr>
                <w:rFonts w:hint="eastAsia" w:ascii="宋体" w:hAnsi="宋体"/>
              </w:rPr>
              <w:t>财务状况</w:t>
            </w:r>
          </w:p>
        </w:tc>
        <w:tc>
          <w:tcPr>
            <w:tcW w:w="6481" w:type="dxa"/>
            <w:vAlign w:val="center"/>
          </w:tcPr>
          <w:p>
            <w:pPr>
              <w:spacing w:line="320" w:lineRule="exact"/>
              <w:rPr>
                <w:rFonts w:ascii="宋体" w:hAnsi="宋体"/>
                <w:sz w:val="24"/>
                <w:szCs w:val="24"/>
                <w:lang w:val="zh-CN"/>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8" w:type="dxa"/>
            <w:vAlign w:val="center"/>
          </w:tcPr>
          <w:p>
            <w:pPr>
              <w:spacing w:line="320" w:lineRule="exact"/>
              <w:jc w:val="center"/>
              <w:rPr>
                <w:rFonts w:ascii="宋体" w:hAnsi="宋体"/>
                <w:sz w:val="24"/>
                <w:szCs w:val="24"/>
              </w:rPr>
            </w:pPr>
            <w:r>
              <w:rPr>
                <w:rFonts w:hint="eastAsia" w:ascii="宋体" w:hAnsi="宋体"/>
                <w:sz w:val="24"/>
                <w:szCs w:val="24"/>
              </w:rPr>
              <w:t>5</w:t>
            </w:r>
          </w:p>
        </w:tc>
        <w:tc>
          <w:tcPr>
            <w:tcW w:w="1278" w:type="dxa"/>
            <w:vAlign w:val="center"/>
          </w:tcPr>
          <w:p>
            <w:pPr>
              <w:spacing w:line="320" w:lineRule="exact"/>
              <w:rPr>
                <w:rFonts w:ascii="宋体" w:hAnsi="宋体"/>
                <w:sz w:val="24"/>
                <w:szCs w:val="24"/>
                <w:lang w:val="zh-CN"/>
              </w:rPr>
            </w:pPr>
            <w:r>
              <w:rPr>
                <w:rFonts w:hint="eastAsia" w:ascii="宋体" w:hAnsi="宋体"/>
              </w:rPr>
              <w:t>诚信记录</w:t>
            </w:r>
          </w:p>
        </w:tc>
        <w:tc>
          <w:tcPr>
            <w:tcW w:w="6481" w:type="dxa"/>
            <w:vAlign w:val="center"/>
          </w:tcPr>
          <w:p>
            <w:pPr>
              <w:spacing w:line="320" w:lineRule="exact"/>
              <w:rPr>
                <w:rFonts w:ascii="宋体" w:hAnsi="宋体"/>
                <w:sz w:val="24"/>
                <w:szCs w:val="24"/>
                <w:lang w:val="zh-CN"/>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8" w:type="dxa"/>
            <w:vAlign w:val="center"/>
          </w:tcPr>
          <w:p>
            <w:pPr>
              <w:spacing w:line="320" w:lineRule="exact"/>
              <w:jc w:val="center"/>
              <w:rPr>
                <w:rFonts w:ascii="宋体" w:hAnsi="宋体"/>
                <w:sz w:val="24"/>
                <w:szCs w:val="24"/>
              </w:rPr>
            </w:pPr>
            <w:r>
              <w:rPr>
                <w:rFonts w:hint="eastAsia" w:ascii="宋体" w:hAnsi="宋体"/>
                <w:sz w:val="24"/>
                <w:szCs w:val="24"/>
              </w:rPr>
              <w:t>6</w:t>
            </w:r>
          </w:p>
        </w:tc>
        <w:tc>
          <w:tcPr>
            <w:tcW w:w="1278" w:type="dxa"/>
            <w:vAlign w:val="center"/>
          </w:tcPr>
          <w:p>
            <w:pPr>
              <w:spacing w:line="320" w:lineRule="exact"/>
              <w:rPr>
                <w:rFonts w:ascii="宋体" w:hAnsi="宋体"/>
                <w:sz w:val="24"/>
                <w:szCs w:val="24"/>
                <w:lang w:val="zh-CN"/>
              </w:rPr>
            </w:pPr>
            <w:r>
              <w:rPr>
                <w:rFonts w:hint="eastAsia" w:ascii="宋体" w:hAnsi="宋体"/>
              </w:rPr>
              <w:t>类似项目业绩</w:t>
            </w:r>
          </w:p>
        </w:tc>
        <w:tc>
          <w:tcPr>
            <w:tcW w:w="6481" w:type="dxa"/>
            <w:vAlign w:val="center"/>
          </w:tcPr>
          <w:p>
            <w:pPr>
              <w:spacing w:line="320" w:lineRule="exact"/>
              <w:rPr>
                <w:rFonts w:ascii="宋体" w:hAnsi="宋体"/>
                <w:sz w:val="24"/>
                <w:szCs w:val="24"/>
                <w:lang w:val="zh-CN"/>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rPr>
            </w:pPr>
            <w:r>
              <w:rPr>
                <w:rFonts w:hint="eastAsia" w:ascii="宋体" w:hAnsi="宋体"/>
                <w:sz w:val="24"/>
                <w:szCs w:val="24"/>
              </w:rPr>
              <w:t>7</w:t>
            </w:r>
          </w:p>
        </w:tc>
        <w:tc>
          <w:tcPr>
            <w:tcW w:w="1278" w:type="dxa"/>
            <w:vAlign w:val="center"/>
          </w:tcPr>
          <w:p>
            <w:pPr>
              <w:spacing w:line="320" w:lineRule="exact"/>
              <w:rPr>
                <w:rFonts w:ascii="宋体" w:hAnsi="宋体"/>
              </w:rPr>
            </w:pPr>
            <w:r>
              <w:rPr>
                <w:rFonts w:hint="eastAsia" w:ascii="宋体" w:hAnsi="宋体"/>
              </w:rPr>
              <w:t>保密要求</w:t>
            </w:r>
          </w:p>
        </w:tc>
        <w:tc>
          <w:tcPr>
            <w:tcW w:w="6481" w:type="dxa"/>
            <w:vAlign w:val="center"/>
          </w:tcPr>
          <w:p>
            <w:pPr>
              <w:spacing w:line="320" w:lineRule="exact"/>
              <w:rPr>
                <w:rFonts w:ascii="宋体" w:hAnsi="宋体"/>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rPr>
            </w:pPr>
            <w:r>
              <w:rPr>
                <w:rFonts w:hint="eastAsia" w:ascii="宋体" w:hAnsi="宋体"/>
                <w:sz w:val="24"/>
                <w:szCs w:val="24"/>
              </w:rPr>
              <w:t>8</w:t>
            </w:r>
          </w:p>
        </w:tc>
        <w:tc>
          <w:tcPr>
            <w:tcW w:w="1278" w:type="dxa"/>
            <w:vAlign w:val="center"/>
          </w:tcPr>
          <w:p>
            <w:pPr>
              <w:spacing w:line="320" w:lineRule="exact"/>
              <w:rPr>
                <w:rFonts w:ascii="宋体" w:hAnsi="宋体"/>
              </w:rPr>
            </w:pPr>
            <w:r>
              <w:rPr>
                <w:rFonts w:hint="eastAsia"/>
              </w:rPr>
              <w:t>人员要求</w:t>
            </w:r>
          </w:p>
        </w:tc>
        <w:tc>
          <w:tcPr>
            <w:tcW w:w="6481" w:type="dxa"/>
            <w:vAlign w:val="center"/>
          </w:tcPr>
          <w:p>
            <w:pPr>
              <w:spacing w:line="320" w:lineRule="exact"/>
              <w:rPr>
                <w:rFonts w:ascii="宋体" w:hAnsi="宋体" w:cs="宋体"/>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pPr>
              <w:spacing w:line="320" w:lineRule="exact"/>
              <w:jc w:val="center"/>
              <w:rPr>
                <w:rFonts w:ascii="宋体" w:hAnsi="宋体"/>
                <w:sz w:val="24"/>
                <w:szCs w:val="24"/>
              </w:rPr>
            </w:pPr>
            <w:r>
              <w:rPr>
                <w:rFonts w:hint="eastAsia" w:ascii="宋体" w:hAnsi="宋体"/>
                <w:sz w:val="24"/>
                <w:szCs w:val="24"/>
              </w:rPr>
              <w:t>9</w:t>
            </w:r>
          </w:p>
        </w:tc>
        <w:tc>
          <w:tcPr>
            <w:tcW w:w="1278" w:type="dxa"/>
            <w:vAlign w:val="center"/>
          </w:tcPr>
          <w:p>
            <w:pPr>
              <w:spacing w:line="320" w:lineRule="exact"/>
            </w:pPr>
            <w:r>
              <w:rPr>
                <w:rFonts w:hint="eastAsia"/>
              </w:rPr>
              <w:t>联合体投标人</w:t>
            </w:r>
          </w:p>
        </w:tc>
        <w:tc>
          <w:tcPr>
            <w:tcW w:w="6481" w:type="dxa"/>
            <w:vAlign w:val="center"/>
          </w:tcPr>
          <w:p>
            <w:pPr>
              <w:spacing w:line="320" w:lineRule="exact"/>
              <w:rPr>
                <w:rFonts w:ascii="宋体" w:hAnsi="宋体" w:cs="宋体"/>
              </w:rPr>
            </w:pPr>
          </w:p>
        </w:tc>
        <w:tc>
          <w:tcPr>
            <w:tcW w:w="748" w:type="dxa"/>
            <w:vAlign w:val="center"/>
          </w:tcPr>
          <w:p>
            <w:pPr>
              <w:spacing w:line="320" w:lineRule="exact"/>
              <w:jc w:val="center"/>
              <w:rPr>
                <w:rFonts w:ascii="宋体" w:hAnsi="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77" w:type="dxa"/>
            <w:gridSpan w:val="3"/>
            <w:vAlign w:val="center"/>
          </w:tcPr>
          <w:p>
            <w:pPr>
              <w:pStyle w:val="36"/>
              <w:spacing w:line="320" w:lineRule="exact"/>
              <w:ind w:right="25"/>
              <w:jc w:val="center"/>
              <w:rPr>
                <w:rFonts w:ascii="黑体" w:hAnsi="黑体" w:eastAsia="黑体"/>
                <w:szCs w:val="24"/>
                <w:lang w:val="zh-CN"/>
              </w:rPr>
            </w:pPr>
            <w:r>
              <w:rPr>
                <w:rFonts w:hint="eastAsia" w:ascii="黑体" w:hAnsi="黑体" w:eastAsia="黑体"/>
                <w:szCs w:val="24"/>
              </w:rPr>
              <w:t>结论（填写“合格”或“不合格”）</w:t>
            </w:r>
          </w:p>
        </w:tc>
        <w:tc>
          <w:tcPr>
            <w:tcW w:w="748" w:type="dxa"/>
            <w:vAlign w:val="center"/>
          </w:tcPr>
          <w:p>
            <w:pPr>
              <w:pStyle w:val="36"/>
              <w:spacing w:line="320" w:lineRule="exact"/>
              <w:ind w:right="25"/>
              <w:jc w:val="center"/>
              <w:rPr>
                <w:rFonts w:eastAsia="仿宋_GB2312"/>
                <w:szCs w:val="24"/>
                <w:lang w:val="zh-CN"/>
              </w:rPr>
            </w:pPr>
          </w:p>
        </w:tc>
      </w:tr>
    </w:tbl>
    <w:p>
      <w:pPr>
        <w:pStyle w:val="36"/>
        <w:spacing w:after="240" w:afterLines="100" w:line="460" w:lineRule="exact"/>
        <w:ind w:firstLine="0" w:firstLineChars="0"/>
        <w:rPr>
          <w:rFonts w:ascii="黑体" w:hAnsi="黑体" w:eastAsia="黑体"/>
          <w:szCs w:val="24"/>
        </w:rPr>
      </w:pPr>
      <w:r>
        <w:rPr>
          <w:rFonts w:ascii="仿宋_GB2312" w:eastAsia="仿宋_GB2312"/>
          <w:szCs w:val="24"/>
        </w:rPr>
        <w:br w:type="page"/>
      </w:r>
      <w:r>
        <w:rPr>
          <w:rFonts w:hint="eastAsia" w:ascii="黑体" w:hAnsi="黑体" w:eastAsia="黑体"/>
          <w:szCs w:val="24"/>
        </w:rPr>
        <w:t>附件3</w:t>
      </w:r>
    </w:p>
    <w:p>
      <w:pPr>
        <w:spacing w:line="460" w:lineRule="exact"/>
        <w:ind w:firstLine="480" w:firstLineChars="200"/>
        <w:jc w:val="center"/>
        <w:rPr>
          <w:rFonts w:ascii="宋体" w:hAnsi="宋体"/>
          <w:sz w:val="24"/>
          <w:szCs w:val="24"/>
        </w:rPr>
      </w:pPr>
      <w:r>
        <w:rPr>
          <w:rFonts w:hint="eastAsia" w:ascii="宋体" w:hAnsi="宋体"/>
          <w:sz w:val="24"/>
          <w:szCs w:val="24"/>
        </w:rPr>
        <w:t>响应性评审记录表</w:t>
      </w:r>
    </w:p>
    <w:p>
      <w:pPr>
        <w:spacing w:after="240" w:afterLines="100" w:line="460" w:lineRule="exact"/>
        <w:jc w:val="left"/>
        <w:rPr>
          <w:rFonts w:ascii="宋体" w:hAnsi="宋体"/>
          <w:sz w:val="28"/>
          <w:szCs w:val="28"/>
        </w:rPr>
      </w:pPr>
      <w:r>
        <w:rPr>
          <w:rFonts w:hint="eastAsia" w:ascii="宋体" w:hAnsi="宋体"/>
          <w:sz w:val="28"/>
          <w:szCs w:val="28"/>
        </w:rPr>
        <w:t>投标人：</w:t>
      </w:r>
    </w:p>
    <w:tbl>
      <w:tblPr>
        <w:tblStyle w:val="88"/>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637"/>
        <w:gridCol w:w="4988"/>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4" w:type="dxa"/>
            <w:vAlign w:val="center"/>
          </w:tcPr>
          <w:p>
            <w:pPr>
              <w:jc w:val="center"/>
              <w:rPr>
                <w:rFonts w:ascii="黑体" w:hAnsi="黑体" w:eastAsia="黑体"/>
                <w:sz w:val="24"/>
                <w:szCs w:val="24"/>
              </w:rPr>
            </w:pPr>
            <w:r>
              <w:rPr>
                <w:rFonts w:hint="eastAsia" w:ascii="黑体" w:hAnsi="黑体" w:eastAsia="黑体"/>
                <w:sz w:val="24"/>
                <w:szCs w:val="24"/>
              </w:rPr>
              <w:t>序号</w:t>
            </w:r>
          </w:p>
        </w:tc>
        <w:tc>
          <w:tcPr>
            <w:tcW w:w="1637" w:type="dxa"/>
            <w:vAlign w:val="center"/>
          </w:tcPr>
          <w:p>
            <w:pPr>
              <w:jc w:val="center"/>
              <w:rPr>
                <w:rFonts w:ascii="黑体" w:hAnsi="黑体" w:eastAsia="黑体"/>
                <w:sz w:val="24"/>
                <w:szCs w:val="24"/>
              </w:rPr>
            </w:pPr>
            <w:r>
              <w:rPr>
                <w:rFonts w:hint="eastAsia" w:ascii="黑体" w:hAnsi="黑体" w:eastAsia="黑体"/>
                <w:sz w:val="24"/>
                <w:szCs w:val="24"/>
              </w:rPr>
              <w:t>评审因素</w:t>
            </w:r>
          </w:p>
        </w:tc>
        <w:tc>
          <w:tcPr>
            <w:tcW w:w="4988" w:type="dxa"/>
            <w:vAlign w:val="center"/>
          </w:tcPr>
          <w:p>
            <w:pPr>
              <w:jc w:val="center"/>
              <w:rPr>
                <w:rFonts w:ascii="黑体" w:hAnsi="黑体" w:eastAsia="黑体"/>
                <w:sz w:val="24"/>
                <w:szCs w:val="24"/>
              </w:rPr>
            </w:pPr>
            <w:r>
              <w:rPr>
                <w:rFonts w:hint="eastAsia" w:ascii="黑体" w:hAnsi="黑体" w:eastAsia="黑体"/>
                <w:sz w:val="24"/>
                <w:szCs w:val="24"/>
              </w:rPr>
              <w:t>评审标准</w:t>
            </w:r>
          </w:p>
        </w:tc>
        <w:tc>
          <w:tcPr>
            <w:tcW w:w="2517" w:type="dxa"/>
            <w:vAlign w:val="center"/>
          </w:tcPr>
          <w:p>
            <w:pPr>
              <w:jc w:val="center"/>
              <w:rPr>
                <w:rFonts w:ascii="黑体" w:hAnsi="黑体" w:eastAsia="黑体"/>
                <w:sz w:val="24"/>
                <w:szCs w:val="24"/>
              </w:rPr>
            </w:pPr>
            <w:r>
              <w:rPr>
                <w:rFonts w:hint="eastAsia" w:ascii="黑体" w:hAnsi="黑体" w:eastAsia="黑体"/>
                <w:sz w:val="24"/>
                <w:szCs w:val="24"/>
              </w:rPr>
              <w:t>是否通过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4" w:type="dxa"/>
            <w:vAlign w:val="center"/>
          </w:tcPr>
          <w:p>
            <w:pPr>
              <w:spacing w:line="400" w:lineRule="exact"/>
              <w:jc w:val="center"/>
              <w:rPr>
                <w:rFonts w:ascii="宋体" w:hAnsi="宋体"/>
                <w:sz w:val="24"/>
                <w:szCs w:val="24"/>
              </w:rPr>
            </w:pPr>
            <w:r>
              <w:rPr>
                <w:rFonts w:hint="eastAsia" w:ascii="宋体" w:hAnsi="宋体"/>
                <w:sz w:val="24"/>
                <w:szCs w:val="24"/>
              </w:rPr>
              <w:t>1</w:t>
            </w:r>
          </w:p>
        </w:tc>
        <w:tc>
          <w:tcPr>
            <w:tcW w:w="1637" w:type="dxa"/>
            <w:vAlign w:val="center"/>
          </w:tcPr>
          <w:p>
            <w:pPr>
              <w:spacing w:line="320" w:lineRule="exact"/>
              <w:rPr>
                <w:rFonts w:ascii="宋体" w:hAnsi="宋体"/>
                <w:sz w:val="24"/>
                <w:szCs w:val="24"/>
              </w:rPr>
            </w:pPr>
            <w:r>
              <w:rPr>
                <w:rFonts w:hint="eastAsia" w:ascii="宋体" w:hAnsi="宋体"/>
              </w:rPr>
              <w:t xml:space="preserve">投标范围 </w:t>
            </w:r>
          </w:p>
        </w:tc>
        <w:tc>
          <w:tcPr>
            <w:tcW w:w="4988" w:type="dxa"/>
            <w:vAlign w:val="center"/>
          </w:tcPr>
          <w:p>
            <w:pPr>
              <w:spacing w:line="320" w:lineRule="exact"/>
              <w:rPr>
                <w:rFonts w:ascii="宋体" w:hAnsi="宋体"/>
                <w:sz w:val="24"/>
                <w:szCs w:val="24"/>
              </w:rPr>
            </w:pPr>
          </w:p>
        </w:tc>
        <w:tc>
          <w:tcPr>
            <w:tcW w:w="2517"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14" w:type="dxa"/>
            <w:vAlign w:val="center"/>
          </w:tcPr>
          <w:p>
            <w:pPr>
              <w:spacing w:line="400" w:lineRule="exact"/>
              <w:jc w:val="center"/>
              <w:rPr>
                <w:rFonts w:ascii="宋体" w:hAnsi="宋体"/>
                <w:sz w:val="24"/>
                <w:szCs w:val="24"/>
              </w:rPr>
            </w:pPr>
            <w:r>
              <w:rPr>
                <w:rFonts w:hint="eastAsia" w:ascii="宋体" w:hAnsi="宋体"/>
                <w:sz w:val="24"/>
                <w:szCs w:val="24"/>
              </w:rPr>
              <w:t>2</w:t>
            </w:r>
          </w:p>
        </w:tc>
        <w:tc>
          <w:tcPr>
            <w:tcW w:w="1637" w:type="dxa"/>
            <w:vAlign w:val="center"/>
          </w:tcPr>
          <w:p>
            <w:pPr>
              <w:spacing w:line="320" w:lineRule="exact"/>
              <w:rPr>
                <w:rFonts w:ascii="宋体" w:hAnsi="宋体"/>
                <w:sz w:val="24"/>
                <w:szCs w:val="24"/>
              </w:rPr>
            </w:pPr>
            <w:r>
              <w:rPr>
                <w:rFonts w:hint="eastAsia" w:ascii="宋体" w:hAnsi="宋体"/>
              </w:rPr>
              <w:t>服务期限</w:t>
            </w:r>
          </w:p>
        </w:tc>
        <w:tc>
          <w:tcPr>
            <w:tcW w:w="4988" w:type="dxa"/>
            <w:vAlign w:val="center"/>
          </w:tcPr>
          <w:p>
            <w:pPr>
              <w:spacing w:line="320" w:lineRule="exact"/>
              <w:rPr>
                <w:rFonts w:ascii="宋体" w:hAnsi="宋体"/>
                <w:sz w:val="24"/>
                <w:szCs w:val="24"/>
              </w:rPr>
            </w:pPr>
          </w:p>
        </w:tc>
        <w:tc>
          <w:tcPr>
            <w:tcW w:w="2517"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14" w:type="dxa"/>
            <w:vAlign w:val="center"/>
          </w:tcPr>
          <w:p>
            <w:pPr>
              <w:spacing w:line="400" w:lineRule="exact"/>
              <w:jc w:val="center"/>
              <w:rPr>
                <w:rFonts w:ascii="宋体" w:hAnsi="宋体"/>
                <w:sz w:val="24"/>
                <w:szCs w:val="24"/>
              </w:rPr>
            </w:pPr>
            <w:r>
              <w:rPr>
                <w:rFonts w:hint="eastAsia" w:ascii="宋体" w:hAnsi="宋体"/>
                <w:sz w:val="24"/>
                <w:szCs w:val="24"/>
              </w:rPr>
              <w:t>3</w:t>
            </w:r>
          </w:p>
        </w:tc>
        <w:tc>
          <w:tcPr>
            <w:tcW w:w="1637" w:type="dxa"/>
            <w:vAlign w:val="center"/>
          </w:tcPr>
          <w:p>
            <w:pPr>
              <w:spacing w:line="320" w:lineRule="exact"/>
              <w:rPr>
                <w:rFonts w:ascii="宋体" w:hAnsi="宋体"/>
                <w:sz w:val="24"/>
                <w:szCs w:val="24"/>
              </w:rPr>
            </w:pPr>
            <w:r>
              <w:rPr>
                <w:rFonts w:hint="eastAsia" w:ascii="宋体" w:hAnsi="宋体"/>
              </w:rPr>
              <w:t>投标有效期</w:t>
            </w:r>
          </w:p>
        </w:tc>
        <w:tc>
          <w:tcPr>
            <w:tcW w:w="4988" w:type="dxa"/>
            <w:vAlign w:val="center"/>
          </w:tcPr>
          <w:p>
            <w:pPr>
              <w:spacing w:line="320" w:lineRule="exact"/>
              <w:rPr>
                <w:rFonts w:ascii="宋体" w:hAnsi="宋体"/>
                <w:sz w:val="24"/>
                <w:szCs w:val="24"/>
              </w:rPr>
            </w:pPr>
          </w:p>
        </w:tc>
        <w:tc>
          <w:tcPr>
            <w:tcW w:w="2517"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4" w:type="dxa"/>
            <w:vAlign w:val="center"/>
          </w:tcPr>
          <w:p>
            <w:pPr>
              <w:spacing w:line="400" w:lineRule="exact"/>
              <w:jc w:val="center"/>
              <w:rPr>
                <w:rFonts w:ascii="宋体" w:hAnsi="宋体"/>
                <w:sz w:val="24"/>
                <w:szCs w:val="24"/>
              </w:rPr>
            </w:pPr>
            <w:r>
              <w:rPr>
                <w:rFonts w:hint="eastAsia" w:ascii="宋体" w:hAnsi="宋体"/>
                <w:sz w:val="24"/>
                <w:szCs w:val="24"/>
              </w:rPr>
              <w:t>4</w:t>
            </w:r>
          </w:p>
        </w:tc>
        <w:tc>
          <w:tcPr>
            <w:tcW w:w="1637" w:type="dxa"/>
            <w:vAlign w:val="center"/>
          </w:tcPr>
          <w:p>
            <w:pPr>
              <w:spacing w:line="320" w:lineRule="exact"/>
              <w:rPr>
                <w:rFonts w:ascii="宋体" w:hAnsi="宋体"/>
                <w:sz w:val="24"/>
                <w:szCs w:val="24"/>
              </w:rPr>
            </w:pPr>
            <w:r>
              <w:rPr>
                <w:rFonts w:hint="eastAsia" w:ascii="宋体" w:hAnsi="宋体"/>
              </w:rPr>
              <w:t>投标保证金</w:t>
            </w:r>
          </w:p>
        </w:tc>
        <w:tc>
          <w:tcPr>
            <w:tcW w:w="4988" w:type="dxa"/>
            <w:vAlign w:val="center"/>
          </w:tcPr>
          <w:p>
            <w:pPr>
              <w:spacing w:line="320" w:lineRule="exact"/>
              <w:rPr>
                <w:rFonts w:ascii="宋体" w:hAnsi="宋体"/>
                <w:sz w:val="24"/>
                <w:szCs w:val="24"/>
              </w:rPr>
            </w:pPr>
          </w:p>
        </w:tc>
        <w:tc>
          <w:tcPr>
            <w:tcW w:w="2517"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4" w:type="dxa"/>
            <w:vAlign w:val="center"/>
          </w:tcPr>
          <w:p>
            <w:pPr>
              <w:spacing w:line="400" w:lineRule="exact"/>
              <w:jc w:val="center"/>
              <w:rPr>
                <w:rFonts w:ascii="宋体" w:hAnsi="宋体"/>
                <w:sz w:val="24"/>
                <w:szCs w:val="24"/>
              </w:rPr>
            </w:pPr>
            <w:r>
              <w:rPr>
                <w:rFonts w:hint="eastAsia" w:ascii="宋体" w:hAnsi="宋体"/>
                <w:sz w:val="24"/>
                <w:szCs w:val="24"/>
              </w:rPr>
              <w:t>5</w:t>
            </w:r>
          </w:p>
        </w:tc>
        <w:tc>
          <w:tcPr>
            <w:tcW w:w="1637" w:type="dxa"/>
            <w:vAlign w:val="center"/>
          </w:tcPr>
          <w:p>
            <w:pPr>
              <w:spacing w:line="320" w:lineRule="exact"/>
              <w:rPr>
                <w:rFonts w:ascii="宋体" w:hAnsi="宋体"/>
                <w:sz w:val="24"/>
                <w:szCs w:val="24"/>
              </w:rPr>
            </w:pPr>
            <w:r>
              <w:rPr>
                <w:rFonts w:hint="eastAsia" w:ascii="宋体" w:hAnsi="宋体"/>
              </w:rPr>
              <w:t>分包计划</w:t>
            </w:r>
          </w:p>
        </w:tc>
        <w:tc>
          <w:tcPr>
            <w:tcW w:w="4988" w:type="dxa"/>
            <w:vAlign w:val="center"/>
          </w:tcPr>
          <w:p>
            <w:pPr>
              <w:spacing w:line="320" w:lineRule="exact"/>
              <w:rPr>
                <w:rFonts w:ascii="宋体" w:hAnsi="宋体"/>
                <w:sz w:val="24"/>
                <w:szCs w:val="24"/>
              </w:rPr>
            </w:pPr>
          </w:p>
        </w:tc>
        <w:tc>
          <w:tcPr>
            <w:tcW w:w="2517"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4" w:type="dxa"/>
            <w:vAlign w:val="center"/>
          </w:tcPr>
          <w:p>
            <w:pPr>
              <w:spacing w:line="400" w:lineRule="exact"/>
              <w:jc w:val="center"/>
              <w:rPr>
                <w:rFonts w:ascii="宋体" w:hAnsi="宋体"/>
                <w:sz w:val="24"/>
                <w:szCs w:val="24"/>
              </w:rPr>
            </w:pPr>
            <w:r>
              <w:rPr>
                <w:rFonts w:hint="eastAsia" w:ascii="宋体" w:hAnsi="宋体"/>
                <w:sz w:val="24"/>
                <w:szCs w:val="24"/>
              </w:rPr>
              <w:t>6</w:t>
            </w:r>
          </w:p>
        </w:tc>
        <w:tc>
          <w:tcPr>
            <w:tcW w:w="1637" w:type="dxa"/>
            <w:vAlign w:val="center"/>
          </w:tcPr>
          <w:p>
            <w:pPr>
              <w:spacing w:line="320" w:lineRule="exact"/>
              <w:rPr>
                <w:rFonts w:ascii="宋体" w:hAnsi="宋体"/>
              </w:rPr>
            </w:pPr>
            <w:r>
              <w:rPr>
                <w:rFonts w:hint="eastAsia" w:ascii="宋体" w:hAnsi="宋体"/>
              </w:rPr>
              <w:t>投标价格</w:t>
            </w:r>
          </w:p>
        </w:tc>
        <w:tc>
          <w:tcPr>
            <w:tcW w:w="4988" w:type="dxa"/>
            <w:vAlign w:val="center"/>
          </w:tcPr>
          <w:p>
            <w:pPr>
              <w:spacing w:line="320" w:lineRule="exact"/>
              <w:rPr>
                <w:rFonts w:ascii="宋体" w:hAnsi="宋体"/>
                <w:sz w:val="24"/>
                <w:szCs w:val="24"/>
              </w:rPr>
            </w:pPr>
          </w:p>
        </w:tc>
        <w:tc>
          <w:tcPr>
            <w:tcW w:w="2517"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4" w:type="dxa"/>
            <w:vAlign w:val="center"/>
          </w:tcPr>
          <w:p>
            <w:pPr>
              <w:spacing w:line="400" w:lineRule="exact"/>
              <w:jc w:val="center"/>
              <w:rPr>
                <w:rFonts w:ascii="宋体" w:hAnsi="宋体"/>
                <w:sz w:val="24"/>
                <w:szCs w:val="24"/>
              </w:rPr>
            </w:pPr>
            <w:r>
              <w:rPr>
                <w:rFonts w:hint="eastAsia" w:ascii="宋体" w:hAnsi="宋体"/>
                <w:sz w:val="24"/>
                <w:szCs w:val="24"/>
              </w:rPr>
              <w:t>7</w:t>
            </w:r>
          </w:p>
        </w:tc>
        <w:tc>
          <w:tcPr>
            <w:tcW w:w="1637" w:type="dxa"/>
            <w:vAlign w:val="center"/>
          </w:tcPr>
          <w:p>
            <w:pPr>
              <w:spacing w:line="320" w:lineRule="exact"/>
              <w:rPr>
                <w:rFonts w:ascii="宋体" w:hAnsi="宋体"/>
              </w:rPr>
            </w:pPr>
            <w:r>
              <w:rPr>
                <w:rFonts w:hint="eastAsia" w:ascii="宋体" w:hAnsi="宋体"/>
              </w:rPr>
              <w:t>其他实质性要求</w:t>
            </w:r>
          </w:p>
        </w:tc>
        <w:tc>
          <w:tcPr>
            <w:tcW w:w="4988" w:type="dxa"/>
            <w:vAlign w:val="center"/>
          </w:tcPr>
          <w:p>
            <w:pPr>
              <w:spacing w:line="320" w:lineRule="exact"/>
              <w:rPr>
                <w:rFonts w:ascii="宋体" w:hAnsi="宋体"/>
                <w:sz w:val="24"/>
                <w:szCs w:val="24"/>
              </w:rPr>
            </w:pPr>
          </w:p>
        </w:tc>
        <w:tc>
          <w:tcPr>
            <w:tcW w:w="2517"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1" w:type="dxa"/>
            <w:gridSpan w:val="2"/>
            <w:vAlign w:val="center"/>
          </w:tcPr>
          <w:p>
            <w:pPr>
              <w:spacing w:line="320" w:lineRule="exact"/>
              <w:jc w:val="center"/>
              <w:rPr>
                <w:rFonts w:ascii="宋体" w:hAnsi="宋体"/>
              </w:rPr>
            </w:pPr>
            <w:r>
              <w:rPr>
                <w:rFonts w:hint="eastAsia" w:ascii="黑体" w:hAnsi="黑体" w:eastAsia="黑体" w:cs="黑体"/>
                <w:sz w:val="32"/>
                <w:szCs w:val="32"/>
              </w:rPr>
              <w:t>结论</w:t>
            </w:r>
          </w:p>
        </w:tc>
        <w:tc>
          <w:tcPr>
            <w:tcW w:w="7505" w:type="dxa"/>
            <w:gridSpan w:val="2"/>
            <w:vAlign w:val="center"/>
          </w:tcPr>
          <w:p>
            <w:pPr>
              <w:spacing w:line="400" w:lineRule="exact"/>
              <w:jc w:val="center"/>
              <w:rPr>
                <w:rFonts w:ascii="宋体" w:hAnsi="宋体"/>
                <w:sz w:val="24"/>
                <w:szCs w:val="24"/>
              </w:rPr>
            </w:pPr>
          </w:p>
        </w:tc>
      </w:tr>
    </w:tbl>
    <w:p>
      <w:pPr>
        <w:spacing w:after="240" w:afterLines="100" w:line="460" w:lineRule="exact"/>
        <w:rPr>
          <w:rFonts w:ascii="仿宋_GB2312" w:hAnsi="宋体" w:eastAsia="仿宋_GB2312"/>
          <w:sz w:val="24"/>
          <w:szCs w:val="24"/>
        </w:rPr>
      </w:pPr>
    </w:p>
    <w:p>
      <w:pPr>
        <w:pStyle w:val="36"/>
        <w:spacing w:after="240" w:afterLines="100" w:line="460" w:lineRule="exact"/>
        <w:ind w:firstLine="0" w:firstLineChars="0"/>
        <w:rPr>
          <w:rFonts w:ascii="方正小标宋简体" w:hAnsi="黑体" w:eastAsia="方正小标宋简体"/>
          <w:sz w:val="28"/>
          <w:szCs w:val="28"/>
        </w:rPr>
      </w:pPr>
      <w:r>
        <w:rPr>
          <w:rFonts w:ascii="仿宋_GB2312" w:eastAsia="仿宋_GB2312"/>
          <w:szCs w:val="24"/>
        </w:rPr>
        <w:br w:type="page"/>
      </w:r>
      <w:r>
        <w:rPr>
          <w:rFonts w:hint="eastAsia" w:ascii="黑体" w:hAnsi="黑体" w:eastAsia="黑体"/>
          <w:szCs w:val="24"/>
        </w:rPr>
        <w:t>附件4</w:t>
      </w:r>
    </w:p>
    <w:p>
      <w:pPr>
        <w:spacing w:line="460" w:lineRule="exact"/>
        <w:jc w:val="center"/>
        <w:rPr>
          <w:rFonts w:ascii="宋体" w:hAnsi="宋体"/>
          <w:b/>
          <w:bCs/>
          <w:sz w:val="24"/>
          <w:szCs w:val="24"/>
        </w:rPr>
      </w:pPr>
      <w:r>
        <w:rPr>
          <w:rFonts w:hint="eastAsia" w:ascii="宋体" w:hAnsi="宋体"/>
          <w:b/>
          <w:bCs/>
          <w:sz w:val="24"/>
          <w:szCs w:val="24"/>
        </w:rPr>
        <w:t>价格部分评分标准（100分，占总比例的50%）</w:t>
      </w:r>
    </w:p>
    <w:tbl>
      <w:tblPr>
        <w:tblStyle w:val="88"/>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694"/>
        <w:gridCol w:w="4677"/>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51" w:type="dxa"/>
            <w:vAlign w:val="center"/>
          </w:tcPr>
          <w:p>
            <w:pPr>
              <w:spacing w:line="400" w:lineRule="exact"/>
              <w:jc w:val="center"/>
              <w:rPr>
                <w:rFonts w:ascii="黑体" w:hAnsi="黑体" w:eastAsia="黑体"/>
                <w:sz w:val="24"/>
                <w:szCs w:val="24"/>
              </w:rPr>
            </w:pPr>
            <w:r>
              <w:rPr>
                <w:rFonts w:hint="eastAsia" w:ascii="黑体" w:hAnsi="黑体" w:eastAsia="黑体"/>
                <w:sz w:val="24"/>
                <w:szCs w:val="24"/>
              </w:rPr>
              <w:t>序号</w:t>
            </w:r>
          </w:p>
        </w:tc>
        <w:tc>
          <w:tcPr>
            <w:tcW w:w="2694" w:type="dxa"/>
            <w:vAlign w:val="center"/>
          </w:tcPr>
          <w:p>
            <w:pPr>
              <w:spacing w:line="400" w:lineRule="exact"/>
              <w:jc w:val="center"/>
              <w:rPr>
                <w:rFonts w:ascii="黑体" w:hAnsi="黑体" w:eastAsia="黑体"/>
                <w:sz w:val="24"/>
                <w:szCs w:val="24"/>
              </w:rPr>
            </w:pPr>
            <w:r>
              <w:rPr>
                <w:rFonts w:hint="eastAsia" w:ascii="黑体" w:hAnsi="黑体" w:eastAsia="黑体"/>
                <w:sz w:val="24"/>
                <w:szCs w:val="24"/>
              </w:rPr>
              <w:t>评分项目</w:t>
            </w:r>
          </w:p>
        </w:tc>
        <w:tc>
          <w:tcPr>
            <w:tcW w:w="4677" w:type="dxa"/>
            <w:vAlign w:val="center"/>
          </w:tcPr>
          <w:p>
            <w:pPr>
              <w:spacing w:line="400" w:lineRule="exact"/>
              <w:jc w:val="center"/>
              <w:rPr>
                <w:rFonts w:ascii="黑体" w:hAnsi="黑体" w:eastAsia="黑体"/>
                <w:sz w:val="24"/>
                <w:szCs w:val="24"/>
              </w:rPr>
            </w:pPr>
            <w:r>
              <w:rPr>
                <w:rFonts w:hint="eastAsia" w:ascii="黑体" w:hAnsi="黑体" w:eastAsia="黑体"/>
                <w:sz w:val="24"/>
                <w:szCs w:val="24"/>
              </w:rPr>
              <w:t>评分内容及方法</w:t>
            </w:r>
          </w:p>
        </w:tc>
        <w:tc>
          <w:tcPr>
            <w:tcW w:w="993" w:type="dxa"/>
            <w:vAlign w:val="center"/>
          </w:tcPr>
          <w:p>
            <w:pPr>
              <w:spacing w:line="400" w:lineRule="exact"/>
              <w:jc w:val="center"/>
              <w:rPr>
                <w:rFonts w:ascii="黑体" w:hAnsi="黑体" w:eastAsia="黑体"/>
                <w:sz w:val="24"/>
                <w:szCs w:val="24"/>
              </w:rPr>
            </w:pPr>
            <w:r>
              <w:rPr>
                <w:rFonts w:hint="eastAsia" w:ascii="黑体" w:hAnsi="黑体" w:eastAsia="黑体"/>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215" w:type="dxa"/>
            <w:gridSpan w:val="4"/>
            <w:vAlign w:val="center"/>
          </w:tcPr>
          <w:p>
            <w:pPr>
              <w:spacing w:line="360" w:lineRule="exact"/>
              <w:ind w:firstLine="420" w:firstLineChars="200"/>
              <w:rPr>
                <w:rFonts w:hint="eastAsia" w:cs="宋体"/>
                <w:szCs w:val="24"/>
                <w:highlight w:val="none"/>
              </w:rPr>
            </w:pPr>
            <w:r>
              <w:rPr>
                <w:rFonts w:hint="eastAsia" w:cs="宋体"/>
                <w:szCs w:val="24"/>
                <w:highlight w:val="none"/>
              </w:rPr>
              <w:t>投标人所报全过程工程咨询中的勘察设计、工程监理、造价咨询服务的投标费率为P，基准值为T；唱标结束后，由招标人从“3.5%、3%、2.5%、2%、1.5%、1%、0.5%”中抽取1个浮动系数N，商务得分为F。</w:t>
            </w:r>
          </w:p>
          <w:p>
            <w:pPr>
              <w:spacing w:line="360" w:lineRule="exact"/>
              <w:ind w:firstLine="420" w:firstLineChars="200"/>
              <w:rPr>
                <w:rFonts w:hint="eastAsia" w:cs="宋体"/>
                <w:szCs w:val="24"/>
                <w:highlight w:val="none"/>
              </w:rPr>
            </w:pPr>
            <w:r>
              <w:rPr>
                <w:rFonts w:hint="eastAsia" w:cs="宋体"/>
                <w:szCs w:val="24"/>
                <w:highlight w:val="none"/>
              </w:rPr>
              <w:t>1.基准值。有效投标人数量≥7个，T=去除1个最高、1个最低费率（若最高、最低有相同的一并去掉）后的算术平均值×（1-N）；当有效投标人数量＜7个，T=各有效投标人费率的算术平均值×（1-N）。</w:t>
            </w:r>
          </w:p>
          <w:p>
            <w:pPr>
              <w:spacing w:line="360" w:lineRule="exact"/>
              <w:ind w:firstLine="420" w:firstLineChars="200"/>
              <w:rPr>
                <w:rFonts w:hint="eastAsia" w:cs="宋体"/>
                <w:szCs w:val="24"/>
                <w:highlight w:val="none"/>
              </w:rPr>
            </w:pPr>
            <w:r>
              <w:rPr>
                <w:rFonts w:hint="eastAsia" w:cs="宋体"/>
                <w:szCs w:val="24"/>
                <w:highlight w:val="none"/>
              </w:rPr>
              <w:t>2.偏差率公式为S=(P-T)/T，保留4位小数。每高于基准值1%，扣1分；每低于基准值1%，扣0.5分；中间用插入法，扣完为止。</w:t>
            </w:r>
          </w:p>
          <w:p>
            <w:pPr>
              <w:spacing w:line="360" w:lineRule="exact"/>
              <w:ind w:firstLine="420" w:firstLineChars="200"/>
              <w:rPr>
                <w:rFonts w:hint="eastAsia" w:eastAsia="宋体"/>
                <w:lang w:val="en-US" w:eastAsia="zh-CN"/>
              </w:rPr>
            </w:pPr>
            <w:r>
              <w:rPr>
                <w:rFonts w:hint="eastAsia" w:cs="宋体"/>
                <w:szCs w:val="24"/>
                <w:highlight w:val="none"/>
              </w:rPr>
              <w:t>3.F=F1*权重+F2*权重+F3*权重，计算结果均保留3位小数。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851" w:type="dxa"/>
            <w:vAlign w:val="center"/>
          </w:tcPr>
          <w:p>
            <w:pPr>
              <w:spacing w:line="400" w:lineRule="exact"/>
              <w:jc w:val="center"/>
              <w:rPr>
                <w:rFonts w:ascii="宋体" w:hAnsi="宋体"/>
                <w:sz w:val="24"/>
                <w:szCs w:val="24"/>
              </w:rPr>
            </w:pPr>
            <w:r>
              <w:rPr>
                <w:rFonts w:hint="eastAsia" w:ascii="宋体" w:hAnsi="宋体"/>
                <w:sz w:val="24"/>
                <w:szCs w:val="24"/>
              </w:rPr>
              <w:t>1</w:t>
            </w:r>
          </w:p>
        </w:tc>
        <w:tc>
          <w:tcPr>
            <w:tcW w:w="2694" w:type="dxa"/>
            <w:vAlign w:val="center"/>
          </w:tcPr>
          <w:p>
            <w:pPr>
              <w:spacing w:line="400" w:lineRule="exact"/>
              <w:jc w:val="center"/>
              <w:rPr>
                <w:rFonts w:ascii="宋体" w:hAnsi="宋体"/>
                <w:sz w:val="24"/>
              </w:rPr>
            </w:pPr>
            <w:r>
              <w:rPr>
                <w:rFonts w:hint="eastAsia" w:ascii="宋体" w:hAnsi="宋体"/>
                <w:sz w:val="24"/>
                <w:szCs w:val="24"/>
              </w:rPr>
              <w:t>勘察设计费率</w:t>
            </w:r>
          </w:p>
        </w:tc>
        <w:tc>
          <w:tcPr>
            <w:tcW w:w="4677" w:type="dxa"/>
            <w:vAlign w:val="center"/>
          </w:tcPr>
          <w:p>
            <w:pPr>
              <w:spacing w:line="300" w:lineRule="exact"/>
              <w:jc w:val="left"/>
              <w:rPr>
                <w:rFonts w:ascii="宋体" w:hAnsi="宋体"/>
                <w:sz w:val="24"/>
                <w:szCs w:val="24"/>
              </w:rPr>
            </w:pPr>
            <w:r>
              <w:rPr>
                <w:rFonts w:hint="eastAsia" w:ascii="宋体" w:hAnsi="宋体"/>
                <w:sz w:val="24"/>
                <w:szCs w:val="24"/>
              </w:rPr>
              <w:t>P=T时,F1=100分；</w:t>
            </w:r>
          </w:p>
          <w:p>
            <w:pPr>
              <w:spacing w:line="300" w:lineRule="exact"/>
              <w:jc w:val="left"/>
              <w:rPr>
                <w:rFonts w:ascii="宋体" w:hAnsi="宋体"/>
                <w:sz w:val="24"/>
                <w:szCs w:val="24"/>
              </w:rPr>
            </w:pPr>
            <w:r>
              <w:rPr>
                <w:rFonts w:hint="eastAsia" w:ascii="宋体" w:hAnsi="宋体"/>
                <w:sz w:val="24"/>
                <w:szCs w:val="24"/>
              </w:rPr>
              <w:t>P＞T时，F1=100-(P-T)/T*1*100，扣完为止；</w:t>
            </w:r>
          </w:p>
          <w:p>
            <w:pPr>
              <w:spacing w:line="300" w:lineRule="exact"/>
              <w:jc w:val="left"/>
              <w:rPr>
                <w:rFonts w:ascii="宋体" w:hAnsi="宋体"/>
                <w:szCs w:val="21"/>
              </w:rPr>
            </w:pPr>
            <w:r>
              <w:rPr>
                <w:rFonts w:hint="eastAsia" w:ascii="宋体" w:hAnsi="宋体"/>
                <w:sz w:val="24"/>
                <w:szCs w:val="24"/>
              </w:rPr>
              <w:t>P＜T时，F1=100+(P-T)/T*0.5*100，扣完为止。</w:t>
            </w:r>
          </w:p>
        </w:tc>
        <w:tc>
          <w:tcPr>
            <w:tcW w:w="993" w:type="dxa"/>
            <w:vAlign w:val="center"/>
          </w:tcPr>
          <w:p>
            <w:pPr>
              <w:spacing w:line="400" w:lineRule="exact"/>
              <w:jc w:val="center"/>
              <w:rPr>
                <w:rFonts w:ascii="宋体" w:hAnsi="宋体"/>
                <w:sz w:val="24"/>
                <w:szCs w:val="24"/>
              </w:rPr>
            </w:pPr>
            <w:r>
              <w:rPr>
                <w:rFonts w:hint="eastAsia" w:ascii="宋体" w:hAnsi="宋体"/>
                <w:sz w:val="24"/>
                <w:szCs w:val="24"/>
                <w:lang w:val="en-US" w:eastAsia="zh-CN"/>
              </w:rPr>
              <w:t>50</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851" w:type="dxa"/>
            <w:vAlign w:val="center"/>
          </w:tcPr>
          <w:p>
            <w:pPr>
              <w:spacing w:line="400" w:lineRule="exact"/>
              <w:jc w:val="center"/>
              <w:rPr>
                <w:rFonts w:ascii="宋体" w:hAnsi="宋体"/>
                <w:sz w:val="24"/>
                <w:szCs w:val="24"/>
              </w:rPr>
            </w:pPr>
            <w:r>
              <w:rPr>
                <w:rFonts w:ascii="宋体" w:hAnsi="宋体"/>
                <w:sz w:val="24"/>
                <w:szCs w:val="24"/>
              </w:rPr>
              <w:t>2</w:t>
            </w:r>
          </w:p>
        </w:tc>
        <w:tc>
          <w:tcPr>
            <w:tcW w:w="2694" w:type="dxa"/>
            <w:vAlign w:val="center"/>
          </w:tcPr>
          <w:p>
            <w:pPr>
              <w:spacing w:line="400" w:lineRule="exact"/>
              <w:jc w:val="center"/>
              <w:rPr>
                <w:rFonts w:ascii="宋体" w:hAnsi="宋体"/>
                <w:sz w:val="24"/>
                <w:szCs w:val="24"/>
              </w:rPr>
            </w:pPr>
            <w:r>
              <w:rPr>
                <w:rFonts w:hint="eastAsia" w:ascii="宋体" w:hAnsi="宋体"/>
                <w:sz w:val="24"/>
                <w:szCs w:val="24"/>
              </w:rPr>
              <w:t>工程监理费率</w:t>
            </w:r>
          </w:p>
        </w:tc>
        <w:tc>
          <w:tcPr>
            <w:tcW w:w="4677" w:type="dxa"/>
            <w:vAlign w:val="center"/>
          </w:tcPr>
          <w:p>
            <w:pPr>
              <w:spacing w:line="300" w:lineRule="exact"/>
              <w:jc w:val="left"/>
              <w:rPr>
                <w:rFonts w:ascii="宋体" w:hAnsi="宋体"/>
                <w:sz w:val="24"/>
                <w:szCs w:val="24"/>
              </w:rPr>
            </w:pPr>
            <w:r>
              <w:rPr>
                <w:rFonts w:hint="eastAsia" w:ascii="宋体" w:hAnsi="宋体"/>
                <w:sz w:val="24"/>
                <w:szCs w:val="24"/>
              </w:rPr>
              <w:t>P=T时,F</w:t>
            </w:r>
            <w:r>
              <w:rPr>
                <w:rFonts w:ascii="宋体" w:hAnsi="宋体"/>
                <w:sz w:val="24"/>
                <w:szCs w:val="24"/>
              </w:rPr>
              <w:t>2</w:t>
            </w:r>
            <w:r>
              <w:rPr>
                <w:rFonts w:hint="eastAsia" w:ascii="宋体" w:hAnsi="宋体"/>
                <w:sz w:val="24"/>
                <w:szCs w:val="24"/>
              </w:rPr>
              <w:t>=100分；</w:t>
            </w:r>
          </w:p>
          <w:p>
            <w:pPr>
              <w:spacing w:line="300" w:lineRule="exact"/>
              <w:jc w:val="left"/>
              <w:rPr>
                <w:rFonts w:ascii="宋体" w:hAnsi="宋体"/>
                <w:sz w:val="24"/>
                <w:szCs w:val="24"/>
              </w:rPr>
            </w:pPr>
            <w:r>
              <w:rPr>
                <w:rFonts w:hint="eastAsia" w:ascii="宋体" w:hAnsi="宋体"/>
                <w:sz w:val="24"/>
                <w:szCs w:val="24"/>
              </w:rPr>
              <w:t>P＞T时，F</w:t>
            </w:r>
            <w:r>
              <w:rPr>
                <w:rFonts w:ascii="宋体" w:hAnsi="宋体"/>
                <w:sz w:val="24"/>
                <w:szCs w:val="24"/>
              </w:rPr>
              <w:t>2</w:t>
            </w:r>
            <w:r>
              <w:rPr>
                <w:rFonts w:hint="eastAsia" w:ascii="宋体" w:hAnsi="宋体"/>
                <w:sz w:val="24"/>
                <w:szCs w:val="24"/>
              </w:rPr>
              <w:t>100-(P-T)/T*1*100，扣完为止；</w:t>
            </w:r>
          </w:p>
          <w:p>
            <w:pPr>
              <w:spacing w:line="300" w:lineRule="exact"/>
              <w:jc w:val="left"/>
              <w:rPr>
                <w:rFonts w:ascii="宋体" w:hAnsi="宋体"/>
                <w:sz w:val="24"/>
                <w:szCs w:val="24"/>
              </w:rPr>
            </w:pPr>
            <w:r>
              <w:rPr>
                <w:rFonts w:hint="eastAsia" w:ascii="宋体" w:hAnsi="宋体"/>
                <w:sz w:val="24"/>
                <w:szCs w:val="24"/>
              </w:rPr>
              <w:t>P＜T时，F</w:t>
            </w:r>
            <w:r>
              <w:rPr>
                <w:rFonts w:ascii="宋体" w:hAnsi="宋体"/>
                <w:sz w:val="24"/>
                <w:szCs w:val="24"/>
              </w:rPr>
              <w:t>2</w:t>
            </w:r>
            <w:r>
              <w:rPr>
                <w:rFonts w:hint="eastAsia" w:ascii="宋体" w:hAnsi="宋体"/>
                <w:sz w:val="24"/>
                <w:szCs w:val="24"/>
              </w:rPr>
              <w:t>=100+(P-T)/T*0.5*100，扣完为止。</w:t>
            </w:r>
          </w:p>
        </w:tc>
        <w:tc>
          <w:tcPr>
            <w:tcW w:w="993" w:type="dxa"/>
            <w:vAlign w:val="center"/>
          </w:tcPr>
          <w:p>
            <w:pPr>
              <w:spacing w:line="400" w:lineRule="exact"/>
              <w:jc w:val="center"/>
              <w:rPr>
                <w:rFonts w:ascii="宋体" w:hAnsi="宋体"/>
                <w:sz w:val="24"/>
                <w:szCs w:val="24"/>
              </w:rPr>
            </w:pPr>
            <w:r>
              <w:rPr>
                <w:rFonts w:hint="eastAsia" w:ascii="宋体" w:hAnsi="宋体"/>
                <w:sz w:val="24"/>
                <w:lang w:val="en-US" w:eastAsia="zh-CN"/>
              </w:rPr>
              <w:t>40</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851" w:type="dxa"/>
            <w:vAlign w:val="center"/>
          </w:tcPr>
          <w:p>
            <w:pPr>
              <w:spacing w:line="400" w:lineRule="exact"/>
              <w:jc w:val="center"/>
              <w:rPr>
                <w:rFonts w:ascii="宋体" w:hAnsi="宋体"/>
                <w:sz w:val="24"/>
                <w:szCs w:val="24"/>
              </w:rPr>
            </w:pPr>
            <w:r>
              <w:rPr>
                <w:rFonts w:ascii="宋体" w:hAnsi="宋体"/>
                <w:sz w:val="24"/>
                <w:szCs w:val="24"/>
              </w:rPr>
              <w:t>3</w:t>
            </w:r>
          </w:p>
        </w:tc>
        <w:tc>
          <w:tcPr>
            <w:tcW w:w="2694" w:type="dxa"/>
            <w:vAlign w:val="center"/>
          </w:tcPr>
          <w:p>
            <w:pPr>
              <w:spacing w:line="400" w:lineRule="exact"/>
              <w:jc w:val="center"/>
              <w:rPr>
                <w:rFonts w:ascii="宋体" w:hAnsi="宋体"/>
                <w:sz w:val="24"/>
                <w:szCs w:val="24"/>
              </w:rPr>
            </w:pPr>
            <w:r>
              <w:rPr>
                <w:rFonts w:hint="eastAsia" w:ascii="宋体" w:hAnsi="宋体"/>
                <w:sz w:val="24"/>
                <w:szCs w:val="24"/>
              </w:rPr>
              <w:t>造价咨询费率</w:t>
            </w:r>
          </w:p>
        </w:tc>
        <w:tc>
          <w:tcPr>
            <w:tcW w:w="4677" w:type="dxa"/>
            <w:vAlign w:val="center"/>
          </w:tcPr>
          <w:p>
            <w:pPr>
              <w:spacing w:line="300" w:lineRule="exact"/>
              <w:jc w:val="left"/>
              <w:rPr>
                <w:rFonts w:ascii="宋体" w:hAnsi="宋体"/>
                <w:sz w:val="24"/>
                <w:szCs w:val="24"/>
              </w:rPr>
            </w:pPr>
            <w:r>
              <w:rPr>
                <w:rFonts w:hint="eastAsia" w:ascii="宋体" w:hAnsi="宋体"/>
                <w:sz w:val="24"/>
                <w:szCs w:val="24"/>
              </w:rPr>
              <w:t>P=T时,F</w:t>
            </w:r>
            <w:r>
              <w:rPr>
                <w:rFonts w:ascii="宋体" w:hAnsi="宋体"/>
                <w:sz w:val="24"/>
                <w:szCs w:val="24"/>
              </w:rPr>
              <w:t>3</w:t>
            </w:r>
            <w:r>
              <w:rPr>
                <w:rFonts w:hint="eastAsia" w:ascii="宋体" w:hAnsi="宋体"/>
                <w:sz w:val="24"/>
                <w:szCs w:val="24"/>
              </w:rPr>
              <w:t>=100分；</w:t>
            </w:r>
          </w:p>
          <w:p>
            <w:pPr>
              <w:spacing w:line="300" w:lineRule="exact"/>
              <w:jc w:val="left"/>
              <w:rPr>
                <w:rFonts w:ascii="宋体" w:hAnsi="宋体"/>
                <w:sz w:val="24"/>
                <w:szCs w:val="24"/>
              </w:rPr>
            </w:pPr>
            <w:r>
              <w:rPr>
                <w:rFonts w:hint="eastAsia" w:ascii="宋体" w:hAnsi="宋体"/>
                <w:sz w:val="24"/>
                <w:szCs w:val="24"/>
              </w:rPr>
              <w:t>P＞T时，F</w:t>
            </w:r>
            <w:r>
              <w:rPr>
                <w:rFonts w:ascii="宋体" w:hAnsi="宋体"/>
                <w:sz w:val="24"/>
                <w:szCs w:val="24"/>
              </w:rPr>
              <w:t>3</w:t>
            </w:r>
            <w:r>
              <w:rPr>
                <w:rFonts w:hint="eastAsia" w:ascii="宋体" w:hAnsi="宋体"/>
                <w:sz w:val="24"/>
                <w:szCs w:val="24"/>
              </w:rPr>
              <w:t>=100-(P-T)/T*1*100，扣完为止；</w:t>
            </w:r>
          </w:p>
          <w:p>
            <w:pPr>
              <w:spacing w:line="300" w:lineRule="exact"/>
              <w:jc w:val="left"/>
              <w:rPr>
                <w:rFonts w:ascii="宋体" w:hAnsi="宋体"/>
                <w:sz w:val="24"/>
                <w:szCs w:val="24"/>
              </w:rPr>
            </w:pPr>
            <w:r>
              <w:rPr>
                <w:rFonts w:hint="eastAsia" w:ascii="宋体" w:hAnsi="宋体"/>
                <w:sz w:val="24"/>
                <w:szCs w:val="24"/>
              </w:rPr>
              <w:t>P＜T时，F</w:t>
            </w:r>
            <w:r>
              <w:rPr>
                <w:rFonts w:ascii="宋体" w:hAnsi="宋体"/>
                <w:sz w:val="24"/>
                <w:szCs w:val="24"/>
              </w:rPr>
              <w:t>3</w:t>
            </w:r>
            <w:r>
              <w:rPr>
                <w:rFonts w:hint="eastAsia" w:ascii="宋体" w:hAnsi="宋体"/>
                <w:sz w:val="24"/>
                <w:szCs w:val="24"/>
              </w:rPr>
              <w:t>=100+(P-T)/T*0.5*100，扣完为止。</w:t>
            </w:r>
          </w:p>
        </w:tc>
        <w:tc>
          <w:tcPr>
            <w:tcW w:w="993" w:type="dxa"/>
            <w:vAlign w:val="center"/>
          </w:tcPr>
          <w:p>
            <w:pPr>
              <w:spacing w:line="400" w:lineRule="exact"/>
              <w:jc w:val="center"/>
              <w:rPr>
                <w:rFonts w:ascii="宋体" w:hAnsi="宋体"/>
                <w:sz w:val="24"/>
                <w:szCs w:val="24"/>
              </w:rPr>
            </w:pPr>
            <w:r>
              <w:rPr>
                <w:rFonts w:hint="eastAsia" w:ascii="宋体" w:hAnsi="宋体"/>
                <w:sz w:val="24"/>
              </w:rPr>
              <w:t>10%</w:t>
            </w:r>
          </w:p>
        </w:tc>
      </w:tr>
    </w:tbl>
    <w:p>
      <w:pPr>
        <w:tabs>
          <w:tab w:val="left" w:pos="3922"/>
        </w:tabs>
        <w:spacing w:line="460" w:lineRule="exact"/>
        <w:rPr>
          <w:rFonts w:ascii="宋体" w:hAnsi="宋体"/>
          <w:sz w:val="24"/>
          <w:szCs w:val="24"/>
        </w:rPr>
      </w:pPr>
      <w:r>
        <w:rPr>
          <w:rFonts w:hint="eastAsia" w:ascii="宋体" w:hAnsi="宋体"/>
          <w:sz w:val="24"/>
          <w:szCs w:val="24"/>
        </w:rPr>
        <w:t>价格评审依据：价格部分由评标委员会根据各投标人报价情况集体确认计算打分。</w:t>
      </w:r>
    </w:p>
    <w:p>
      <w:pPr>
        <w:rPr>
          <w:rFonts w:ascii="黑体" w:hAnsi="黑体" w:eastAsia="黑体"/>
          <w:szCs w:val="24"/>
        </w:rPr>
      </w:pPr>
      <w:r>
        <w:rPr>
          <w:rFonts w:hint="eastAsia" w:ascii="黑体" w:hAnsi="黑体" w:eastAsia="黑体"/>
          <w:szCs w:val="24"/>
        </w:rPr>
        <w:br w:type="page"/>
      </w:r>
    </w:p>
    <w:p>
      <w:pPr>
        <w:pStyle w:val="36"/>
        <w:spacing w:after="240" w:afterLines="100" w:line="460" w:lineRule="exact"/>
        <w:ind w:firstLine="0" w:firstLineChars="0"/>
        <w:rPr>
          <w:rFonts w:ascii="仿宋_GB2312" w:eastAsia="仿宋_GB2312"/>
          <w:szCs w:val="24"/>
        </w:rPr>
      </w:pPr>
      <w:r>
        <w:rPr>
          <w:rFonts w:hint="eastAsia" w:ascii="黑体" w:hAnsi="黑体" w:eastAsia="黑体"/>
          <w:szCs w:val="24"/>
        </w:rPr>
        <w:t>附件</w:t>
      </w:r>
      <w:bookmarkEnd w:id="34"/>
      <w:bookmarkEnd w:id="35"/>
      <w:bookmarkEnd w:id="36"/>
      <w:bookmarkEnd w:id="37"/>
      <w:bookmarkEnd w:id="38"/>
      <w:bookmarkEnd w:id="39"/>
      <w:bookmarkEnd w:id="40"/>
      <w:bookmarkEnd w:id="41"/>
      <w:bookmarkStart w:id="552" w:name="_Toc144002953"/>
      <w:bookmarkStart w:id="553" w:name="_Toc142982823"/>
      <w:bookmarkStart w:id="554" w:name="_Toc183141739"/>
      <w:bookmarkStart w:id="555" w:name="_Toc145647411"/>
      <w:bookmarkStart w:id="556" w:name="_Toc183141606"/>
      <w:r>
        <w:rPr>
          <w:rFonts w:hint="eastAsia" w:ascii="黑体" w:hAnsi="黑体" w:eastAsia="黑体"/>
          <w:szCs w:val="24"/>
        </w:rPr>
        <w:t>5</w:t>
      </w:r>
    </w:p>
    <w:p>
      <w:pPr>
        <w:spacing w:line="460" w:lineRule="exact"/>
        <w:jc w:val="center"/>
        <w:rPr>
          <w:rFonts w:ascii="宋体" w:hAnsi="宋体"/>
          <w:b/>
          <w:bCs/>
          <w:sz w:val="24"/>
          <w:szCs w:val="24"/>
        </w:rPr>
      </w:pPr>
      <w:r>
        <w:rPr>
          <w:rFonts w:hint="eastAsia" w:ascii="宋体" w:hAnsi="宋体"/>
          <w:b/>
          <w:bCs/>
          <w:sz w:val="24"/>
          <w:szCs w:val="24"/>
        </w:rPr>
        <w:t>技术部分评分标准（100分，占总比例的25%）</w:t>
      </w:r>
    </w:p>
    <w:p>
      <w:pPr>
        <w:spacing w:line="460" w:lineRule="exact"/>
        <w:ind w:firstLine="480" w:firstLineChars="200"/>
        <w:rPr>
          <w:rFonts w:ascii="仿宋_GB2312" w:hAnsi="宋体" w:eastAsia="仿宋_GB2312"/>
          <w:sz w:val="24"/>
          <w:szCs w:val="24"/>
        </w:rPr>
      </w:pPr>
      <w:r>
        <w:rPr>
          <w:rFonts w:hint="eastAsia" w:ascii="黑体" w:hAnsi="黑体" w:eastAsia="黑体"/>
          <w:sz w:val="24"/>
          <w:szCs w:val="24"/>
        </w:rPr>
        <w:t>评分说明</w:t>
      </w:r>
      <w:r>
        <w:rPr>
          <w:rFonts w:hint="eastAsia" w:ascii="仿宋_GB2312" w:hAnsi="宋体" w:eastAsia="仿宋_GB2312"/>
          <w:sz w:val="24"/>
          <w:szCs w:val="24"/>
        </w:rPr>
        <w:t>：</w:t>
      </w:r>
    </w:p>
    <w:p>
      <w:pPr>
        <w:spacing w:line="460" w:lineRule="exact"/>
        <w:ind w:firstLine="480" w:firstLineChars="200"/>
        <w:rPr>
          <w:rFonts w:ascii="宋体" w:hAnsi="宋体"/>
          <w:sz w:val="24"/>
          <w:szCs w:val="24"/>
        </w:rPr>
      </w:pPr>
      <w:r>
        <w:rPr>
          <w:rFonts w:hint="eastAsia" w:ascii="宋体" w:hAnsi="宋体"/>
          <w:sz w:val="24"/>
          <w:szCs w:val="24"/>
        </w:rPr>
        <w:t>打分计分办法</w:t>
      </w:r>
      <w:r>
        <w:rPr>
          <w:rFonts w:hint="eastAsia" w:ascii="仿宋_GB2312" w:hAnsi="宋体" w:eastAsia="仿宋_GB2312"/>
          <w:sz w:val="24"/>
          <w:szCs w:val="24"/>
        </w:rPr>
        <w:t>。</w:t>
      </w:r>
      <w:r>
        <w:rPr>
          <w:rFonts w:hint="eastAsia" w:ascii="宋体" w:hAnsi="宋体"/>
          <w:sz w:val="24"/>
          <w:szCs w:val="24"/>
        </w:rPr>
        <w:t>技术部分由评标委员会成员独立打分，精确到0.1分；评分项目每一小项得分在标准分50%以下的，均需对得分情况、扣分理由作出详细说明；最终得分为所有专家评分的算术平均值，保留三位小数。</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872"/>
        <w:gridCol w:w="5764"/>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569" w:type="dxa"/>
            <w:vAlign w:val="center"/>
          </w:tcPr>
          <w:p>
            <w:pPr>
              <w:jc w:val="center"/>
              <w:rPr>
                <w:rFonts w:ascii="黑体" w:hAnsi="黑体" w:eastAsia="黑体"/>
                <w:spacing w:val="-20"/>
                <w:sz w:val="24"/>
                <w:szCs w:val="24"/>
              </w:rPr>
            </w:pPr>
            <w:r>
              <w:rPr>
                <w:rFonts w:hint="eastAsia" w:ascii="黑体" w:hAnsi="黑体" w:eastAsia="黑体"/>
                <w:spacing w:val="-20"/>
                <w:sz w:val="24"/>
                <w:szCs w:val="24"/>
              </w:rPr>
              <w:t>序号</w:t>
            </w:r>
          </w:p>
        </w:tc>
        <w:tc>
          <w:tcPr>
            <w:tcW w:w="1872" w:type="dxa"/>
            <w:vAlign w:val="center"/>
          </w:tcPr>
          <w:p>
            <w:pPr>
              <w:jc w:val="center"/>
              <w:rPr>
                <w:rFonts w:ascii="黑体" w:hAnsi="黑体" w:eastAsia="黑体"/>
                <w:sz w:val="24"/>
                <w:szCs w:val="24"/>
              </w:rPr>
            </w:pPr>
            <w:r>
              <w:rPr>
                <w:rFonts w:hint="eastAsia" w:ascii="黑体" w:hAnsi="黑体" w:eastAsia="黑体"/>
                <w:sz w:val="24"/>
                <w:szCs w:val="24"/>
              </w:rPr>
              <w:t>评分项目</w:t>
            </w:r>
          </w:p>
        </w:tc>
        <w:tc>
          <w:tcPr>
            <w:tcW w:w="5764" w:type="dxa"/>
            <w:vAlign w:val="center"/>
          </w:tcPr>
          <w:p>
            <w:pPr>
              <w:jc w:val="center"/>
              <w:rPr>
                <w:rFonts w:ascii="黑体" w:hAnsi="黑体" w:eastAsia="黑体"/>
                <w:sz w:val="24"/>
                <w:szCs w:val="24"/>
              </w:rPr>
            </w:pPr>
            <w:r>
              <w:rPr>
                <w:rFonts w:hint="eastAsia" w:ascii="黑体" w:hAnsi="黑体" w:eastAsia="黑体"/>
                <w:sz w:val="24"/>
                <w:szCs w:val="24"/>
              </w:rPr>
              <w:t>评分内容</w:t>
            </w:r>
          </w:p>
        </w:tc>
        <w:tc>
          <w:tcPr>
            <w:tcW w:w="855" w:type="dxa"/>
            <w:vAlign w:val="center"/>
          </w:tcPr>
          <w:p>
            <w:pPr>
              <w:jc w:val="center"/>
              <w:rPr>
                <w:rFonts w:ascii="黑体" w:hAnsi="黑体" w:eastAsia="黑体"/>
                <w:sz w:val="24"/>
                <w:szCs w:val="24"/>
              </w:rPr>
            </w:pPr>
            <w:r>
              <w:rPr>
                <w:rFonts w:hint="eastAsia" w:ascii="黑体" w:hAnsi="黑体" w:eastAsia="黑体"/>
                <w:sz w:val="24"/>
                <w:szCs w:val="24"/>
              </w:rPr>
              <w:t>标准分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jc w:val="center"/>
        </w:trPr>
        <w:tc>
          <w:tcPr>
            <w:tcW w:w="569" w:type="dxa"/>
            <w:vMerge w:val="restart"/>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1</w:t>
            </w:r>
          </w:p>
        </w:tc>
        <w:tc>
          <w:tcPr>
            <w:tcW w:w="1872" w:type="dxa"/>
            <w:vMerge w:val="restart"/>
            <w:vAlign w:val="center"/>
          </w:tcPr>
          <w:p>
            <w:pPr>
              <w:pStyle w:val="36"/>
              <w:spacing w:line="320" w:lineRule="exact"/>
              <w:ind w:firstLine="0" w:firstLineChars="0"/>
              <w:jc w:val="center"/>
              <w:rPr>
                <w:szCs w:val="24"/>
              </w:rPr>
            </w:pPr>
            <w:r>
              <w:rPr>
                <w:rFonts w:hint="eastAsia"/>
                <w:szCs w:val="24"/>
              </w:rPr>
              <w:t>全过程工程咨询总纲</w:t>
            </w:r>
          </w:p>
          <w:p>
            <w:pPr>
              <w:pStyle w:val="36"/>
              <w:spacing w:line="320" w:lineRule="exact"/>
              <w:ind w:firstLine="0" w:firstLineChars="0"/>
              <w:jc w:val="center"/>
              <w:rPr>
                <w:szCs w:val="24"/>
              </w:rPr>
            </w:pPr>
            <w:r>
              <w:rPr>
                <w:rFonts w:hint="eastAsia"/>
                <w:szCs w:val="24"/>
              </w:rPr>
              <w:t>（35分）</w:t>
            </w:r>
          </w:p>
        </w:tc>
        <w:tc>
          <w:tcPr>
            <w:tcW w:w="5764" w:type="dxa"/>
            <w:vAlign w:val="center"/>
          </w:tcPr>
          <w:p>
            <w:pPr>
              <w:spacing w:line="320" w:lineRule="exact"/>
              <w:rPr>
                <w:rFonts w:ascii="仿宋_GB2312" w:hAnsi="宋体"/>
                <w:sz w:val="24"/>
                <w:szCs w:val="24"/>
              </w:rPr>
            </w:pPr>
            <w:r>
              <w:rPr>
                <w:rFonts w:hint="eastAsia" w:ascii="黑体" w:hAnsi="黑体" w:eastAsia="黑体"/>
                <w:kern w:val="0"/>
                <w:sz w:val="24"/>
                <w:szCs w:val="24"/>
              </w:rPr>
              <w:t>编制依据及总体设想</w:t>
            </w:r>
            <w:r>
              <w:rPr>
                <w:rFonts w:hint="eastAsia" w:ascii="仿宋_GB2312" w:hAnsi="宋体" w:eastAsia="仿宋_GB2312"/>
                <w:sz w:val="24"/>
                <w:szCs w:val="24"/>
              </w:rPr>
              <w:t>：</w:t>
            </w:r>
            <w:r>
              <w:rPr>
                <w:rFonts w:hint="eastAsia" w:ascii="宋体" w:hAnsi="宋体"/>
                <w:sz w:val="24"/>
                <w:szCs w:val="24"/>
              </w:rPr>
              <w:t>编制依据充分、真实、准确，总体设想合理、专业；对全过程工程咨询模式及项目特点、规律和意义的理解到位；对自身应当履行角色的定位分析准确全面；根据预发包任务特点，对受领任务后如何组织实施、采取怎样的组织形式、建立怎样的工作流程、形成哪些配合和沟通机制、如何应对工作的重点和难点、如何实现项目预期效果，如何协调同建设、勘察、设计、造价、监理和施工等单位的工作关系等，形成具体的组织实施方案，对顺利完成全过程项目任务能够起到保障作用。</w:t>
            </w:r>
          </w:p>
        </w:tc>
        <w:tc>
          <w:tcPr>
            <w:tcW w:w="855"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872" w:type="dxa"/>
            <w:vMerge w:val="continue"/>
          </w:tcPr>
          <w:p>
            <w:pPr>
              <w:pStyle w:val="36"/>
              <w:spacing w:after="120" w:afterLines="50" w:line="320" w:lineRule="exact"/>
              <w:ind w:firstLine="0" w:firstLineChars="0"/>
              <w:rPr>
                <w:rFonts w:ascii="仿宋_GB2312" w:hAnsi="黑体" w:eastAsia="仿宋_GB2312"/>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组织领导机构</w:t>
            </w:r>
            <w:r>
              <w:rPr>
                <w:rFonts w:hint="eastAsia" w:ascii="仿宋_GB2312" w:hAnsi="宋体" w:eastAsia="仿宋_GB2312"/>
                <w:sz w:val="24"/>
                <w:szCs w:val="24"/>
              </w:rPr>
              <w:t>：</w:t>
            </w:r>
            <w:r>
              <w:rPr>
                <w:rFonts w:hint="eastAsia" w:ascii="宋体" w:hAnsi="宋体"/>
                <w:sz w:val="24"/>
                <w:szCs w:val="24"/>
              </w:rPr>
              <w:t>机构人员组成合理、内部分工明确、岗位职责清晰；熟悉工程实施办法，上级公司对本项目支持力度大、措施全、办法具体可行。</w:t>
            </w:r>
          </w:p>
        </w:tc>
        <w:tc>
          <w:tcPr>
            <w:tcW w:w="855"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872" w:type="dxa"/>
            <w:vMerge w:val="continue"/>
          </w:tcPr>
          <w:p>
            <w:pPr>
              <w:pStyle w:val="36"/>
              <w:spacing w:after="120" w:afterLines="50" w:line="320" w:lineRule="exact"/>
              <w:ind w:firstLine="0" w:firstLineChars="0"/>
              <w:rPr>
                <w:rFonts w:ascii="仿宋_GB2312" w:hAnsi="黑体" w:eastAsia="仿宋_GB2312"/>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管理制度</w:t>
            </w:r>
            <w:r>
              <w:rPr>
                <w:rFonts w:hint="eastAsia" w:ascii="仿宋_GB2312" w:hAnsi="宋体" w:eastAsia="仿宋_GB2312"/>
                <w:sz w:val="24"/>
                <w:szCs w:val="24"/>
              </w:rPr>
              <w:t>：</w:t>
            </w:r>
            <w:r>
              <w:rPr>
                <w:rFonts w:hint="eastAsia" w:ascii="宋体" w:hAnsi="宋体"/>
                <w:sz w:val="24"/>
                <w:szCs w:val="24"/>
              </w:rPr>
              <w:t>公司与甲方之间沟通合作机制、投标服从机制健全、措施切实可行；公司内部沟通协作、领导管理机制健全、融合效应明显，外部协作机制快速高效、实用可行；公司内部各层级、联合体成员之间、公司与外部协作力量之间职责界面清晰、管理制度健全、保证措施可行；全过程工程咨询管理服务后备人员和团队选拔、储备、培训制度管用实用；</w:t>
            </w:r>
          </w:p>
        </w:tc>
        <w:tc>
          <w:tcPr>
            <w:tcW w:w="855"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872" w:type="dxa"/>
            <w:vMerge w:val="continue"/>
          </w:tcPr>
          <w:p>
            <w:pPr>
              <w:pStyle w:val="36"/>
              <w:spacing w:after="120" w:afterLines="50" w:line="320" w:lineRule="exact"/>
              <w:ind w:firstLine="0" w:firstLineChars="0"/>
              <w:rPr>
                <w:rFonts w:ascii="仿宋_GB2312" w:hAnsi="黑体" w:eastAsia="仿宋_GB2312"/>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独特优势</w:t>
            </w:r>
            <w:r>
              <w:rPr>
                <w:rFonts w:hint="eastAsia" w:ascii="仿宋_GB2312" w:hAnsi="宋体" w:eastAsia="仿宋_GB2312"/>
                <w:sz w:val="24"/>
                <w:szCs w:val="24"/>
              </w:rPr>
              <w:t>：</w:t>
            </w:r>
            <w:r>
              <w:rPr>
                <w:rFonts w:hint="eastAsia" w:ascii="宋体" w:hAnsi="宋体"/>
                <w:sz w:val="24"/>
                <w:szCs w:val="24"/>
              </w:rPr>
              <w:t>本公司在军队项目合作服务中的经验成果和技术人才等优势。</w:t>
            </w:r>
          </w:p>
        </w:tc>
        <w:tc>
          <w:tcPr>
            <w:tcW w:w="855"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872" w:type="dxa"/>
            <w:vMerge w:val="continue"/>
          </w:tcPr>
          <w:p>
            <w:pPr>
              <w:pStyle w:val="36"/>
              <w:spacing w:after="120" w:afterLines="50" w:line="320" w:lineRule="exact"/>
              <w:ind w:firstLine="0" w:firstLineChars="0"/>
              <w:rPr>
                <w:rFonts w:ascii="仿宋_GB2312" w:hAnsi="黑体" w:eastAsia="仿宋_GB2312"/>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内容完整性和编制水平</w:t>
            </w:r>
            <w:r>
              <w:rPr>
                <w:rFonts w:hint="eastAsia" w:ascii="仿宋_GB2312" w:hAnsi="宋体" w:eastAsia="仿宋_GB2312"/>
                <w:sz w:val="24"/>
                <w:szCs w:val="24"/>
              </w:rPr>
              <w:t>：</w:t>
            </w:r>
            <w:r>
              <w:rPr>
                <w:rFonts w:hint="eastAsia" w:ascii="宋体" w:hAnsi="宋体"/>
                <w:sz w:val="24"/>
                <w:szCs w:val="24"/>
              </w:rPr>
              <w:t>内容涵盖实施方案全部内容，结构清晰、逻辑顺畅，简洁准确、专业务实、重点突出。</w:t>
            </w:r>
          </w:p>
        </w:tc>
        <w:tc>
          <w:tcPr>
            <w:tcW w:w="855"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restart"/>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2</w:t>
            </w:r>
          </w:p>
        </w:tc>
        <w:tc>
          <w:tcPr>
            <w:tcW w:w="1872" w:type="dxa"/>
            <w:vMerge w:val="restart"/>
            <w:vAlign w:val="center"/>
          </w:tcPr>
          <w:p>
            <w:pPr>
              <w:pStyle w:val="36"/>
              <w:spacing w:after="120" w:afterLines="50" w:line="320" w:lineRule="exact"/>
              <w:ind w:firstLine="0" w:firstLineChars="0"/>
              <w:jc w:val="center"/>
              <w:rPr>
                <w:rFonts w:ascii="仿宋_GB2312" w:hAnsi="黑体" w:eastAsia="仿宋_GB2312"/>
                <w:szCs w:val="24"/>
              </w:rPr>
            </w:pPr>
            <w:r>
              <w:rPr>
                <w:rFonts w:hint="eastAsia"/>
                <w:szCs w:val="24"/>
              </w:rPr>
              <w:t>管理团队方案（10分）</w:t>
            </w: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组织机构及管理制度</w:t>
            </w:r>
            <w:r>
              <w:rPr>
                <w:rFonts w:hint="eastAsia" w:ascii="仿宋_GB2312" w:hAnsi="宋体" w:eastAsia="仿宋_GB2312"/>
                <w:sz w:val="24"/>
                <w:szCs w:val="24"/>
              </w:rPr>
              <w:t>：</w:t>
            </w:r>
            <w:r>
              <w:rPr>
                <w:rFonts w:hint="eastAsia" w:ascii="宋体" w:hAnsi="宋体"/>
                <w:sz w:val="24"/>
                <w:szCs w:val="24"/>
              </w:rPr>
              <w:t>管理团队层级统分清晰、部门设置合理；机构服从公司、下层服从上层、各专业管理团队服从负责人、各负责人服从总咨询师保障机制完善；各类人员有效衔接、配置合理；临时应急人员设备调配方案合理、保证措施管用实用</w:t>
            </w:r>
          </w:p>
        </w:tc>
        <w:tc>
          <w:tcPr>
            <w:tcW w:w="855"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872"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总咨询师及项目管理团队</w:t>
            </w:r>
            <w:r>
              <w:rPr>
                <w:rFonts w:hint="eastAsia" w:ascii="仿宋_GB2312" w:hAnsi="宋体" w:eastAsia="仿宋_GB2312"/>
                <w:sz w:val="24"/>
                <w:szCs w:val="24"/>
              </w:rPr>
              <w:t>：</w:t>
            </w:r>
            <w:r>
              <w:rPr>
                <w:rFonts w:hint="eastAsia" w:ascii="宋体" w:hAnsi="宋体"/>
                <w:sz w:val="24"/>
                <w:szCs w:val="24"/>
              </w:rPr>
              <w:t>项目总咨询师、副总咨询师、总工程师、项目管理团队具备类似项目或军队项目经验，专业齐全、经验丰富、履历完整、搭配合理，领导力强</w:t>
            </w:r>
          </w:p>
        </w:tc>
        <w:tc>
          <w:tcPr>
            <w:tcW w:w="855"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872"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576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各专业管理团队</w:t>
            </w:r>
            <w:r>
              <w:rPr>
                <w:rFonts w:hint="eastAsia" w:ascii="仿宋_GB2312" w:hAnsi="宋体" w:eastAsia="仿宋_GB2312"/>
                <w:sz w:val="24"/>
                <w:szCs w:val="24"/>
              </w:rPr>
              <w:t>：</w:t>
            </w:r>
            <w:r>
              <w:rPr>
                <w:rFonts w:hint="eastAsia" w:ascii="宋体" w:hAnsi="宋体"/>
                <w:sz w:val="24"/>
                <w:szCs w:val="24"/>
              </w:rPr>
              <w:t>勘察测绘、工程设计、工程监理、造价咨询等各个专业管理团队资格齐全、经验丰富、能力突出、搭配合理、衔接有序，管理能力强</w:t>
            </w:r>
          </w:p>
        </w:tc>
        <w:tc>
          <w:tcPr>
            <w:tcW w:w="855"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restart"/>
            <w:vAlign w:val="center"/>
          </w:tcPr>
          <w:p>
            <w:pPr>
              <w:spacing w:line="320" w:lineRule="exact"/>
              <w:jc w:val="center"/>
              <w:rPr>
                <w:rFonts w:ascii="仿宋_GB2312" w:hAnsi="宋体" w:eastAsia="仿宋_GB2312"/>
                <w:sz w:val="24"/>
                <w:szCs w:val="24"/>
              </w:rPr>
            </w:pPr>
            <w:r>
              <w:rPr>
                <w:rFonts w:hint="eastAsia" w:ascii="仿宋_GB2312" w:hAnsi="宋体" w:eastAsia="仿宋_GB2312"/>
                <w:sz w:val="24"/>
                <w:szCs w:val="24"/>
              </w:rPr>
              <w:t>3</w:t>
            </w:r>
          </w:p>
        </w:tc>
        <w:tc>
          <w:tcPr>
            <w:tcW w:w="1872" w:type="dxa"/>
            <w:vMerge w:val="restart"/>
            <w:vAlign w:val="center"/>
          </w:tcPr>
          <w:p>
            <w:pPr>
              <w:pStyle w:val="36"/>
              <w:spacing w:line="320" w:lineRule="exact"/>
              <w:ind w:firstLine="0" w:firstLineChars="0"/>
              <w:jc w:val="center"/>
              <w:rPr>
                <w:szCs w:val="24"/>
              </w:rPr>
            </w:pPr>
            <w:r>
              <w:rPr>
                <w:rFonts w:hint="eastAsia"/>
                <w:szCs w:val="24"/>
              </w:rPr>
              <w:t>勘察设计服务方案</w:t>
            </w:r>
          </w:p>
          <w:p>
            <w:pPr>
              <w:pStyle w:val="36"/>
              <w:spacing w:line="320" w:lineRule="exact"/>
              <w:ind w:firstLine="0" w:firstLineChars="0"/>
              <w:jc w:val="center"/>
            </w:pPr>
            <w:r>
              <w:rPr>
                <w:rFonts w:hint="eastAsia"/>
                <w:szCs w:val="24"/>
              </w:rPr>
              <w:t>（20分）</w:t>
            </w:r>
          </w:p>
        </w:tc>
        <w:tc>
          <w:tcPr>
            <w:tcW w:w="576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编制依据与总体设想</w:t>
            </w:r>
            <w:r>
              <w:rPr>
                <w:rFonts w:hint="eastAsia" w:ascii="仿宋_GB2312" w:hAnsi="宋体" w:eastAsia="仿宋_GB2312"/>
                <w:sz w:val="24"/>
                <w:szCs w:val="24"/>
              </w:rPr>
              <w:t>：</w:t>
            </w:r>
            <w:r>
              <w:rPr>
                <w:rFonts w:hint="eastAsia" w:ascii="宋体" w:hAnsi="宋体"/>
                <w:sz w:val="24"/>
                <w:szCs w:val="24"/>
              </w:rPr>
              <w:t>满足工程特点和招标人意图，工程设计服务定位准确清晰，总体设想合理、专业，技术先进、有效，造价控制方案合理，符合招标人和该工程项目特点。</w:t>
            </w:r>
          </w:p>
        </w:tc>
        <w:tc>
          <w:tcPr>
            <w:tcW w:w="855" w:type="dxa"/>
            <w:vAlign w:val="center"/>
          </w:tcPr>
          <w:p>
            <w:pPr>
              <w:spacing w:line="320" w:lineRule="exact"/>
              <w:jc w:val="center"/>
              <w:rPr>
                <w:rFonts w:ascii="仿宋_GB2312" w:hAnsi="宋体" w:eastAsia="仿宋_GB2312"/>
                <w:sz w:val="24"/>
                <w:szCs w:val="24"/>
              </w:rPr>
            </w:pPr>
            <w:r>
              <w:rPr>
                <w:rFonts w:hint="eastAsia" w:ascii="仿宋_GB2312" w:hAnsi="宋体" w:eastAsia="仿宋_GB231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工作内容及流程</w:t>
            </w:r>
            <w:r>
              <w:rPr>
                <w:rFonts w:hint="eastAsia" w:ascii="仿宋_GB2312" w:hAnsi="宋体" w:eastAsia="仿宋_GB2312"/>
                <w:sz w:val="24"/>
                <w:szCs w:val="24"/>
              </w:rPr>
              <w:t>：</w:t>
            </w:r>
            <w:r>
              <w:rPr>
                <w:rFonts w:hint="eastAsia" w:ascii="宋体" w:hAnsi="宋体"/>
                <w:sz w:val="24"/>
                <w:szCs w:val="24"/>
              </w:rPr>
              <w:t>包括但不限于需求对接、初步设计及概算、技术规格书编制等工作内容，工作文件全面、专业、阶段划分清楚明确、衔接有序，工作流程、工作机制顺畅高效</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服务能力：</w:t>
            </w:r>
            <w:r>
              <w:rPr>
                <w:rFonts w:hint="eastAsia" w:ascii="宋体" w:hAnsi="宋体"/>
                <w:sz w:val="24"/>
                <w:szCs w:val="24"/>
              </w:rPr>
              <w:t>限额设计贯彻到位，设计造价分配合理，设计变更控制有力，实施顺畅，现场设计支持手段具体可行</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设计质量：</w:t>
            </w:r>
            <w:r>
              <w:rPr>
                <w:rFonts w:hint="eastAsia" w:ascii="宋体" w:hAnsi="宋体"/>
                <w:sz w:val="24"/>
                <w:szCs w:val="24"/>
              </w:rPr>
              <w:t>应建立设计质量管理体制，具有质量管理的内控措施，从技术力量投入、保证工时投入、坚持技术进步和创新，到工作成果分级复核、全过程质量控制、配合第三方审查等方面，具有切实有效的手段、制度和措施，对设计的质量标准具有保证作用。</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独特优势</w:t>
            </w:r>
            <w:r>
              <w:rPr>
                <w:rFonts w:hint="eastAsia" w:ascii="仿宋_GB2312" w:hAnsi="宋体" w:eastAsia="仿宋_GB2312"/>
                <w:sz w:val="24"/>
                <w:szCs w:val="24"/>
              </w:rPr>
              <w:t>：</w:t>
            </w:r>
            <w:r>
              <w:rPr>
                <w:rFonts w:hint="eastAsia" w:ascii="宋体" w:hAnsi="宋体"/>
                <w:sz w:val="24"/>
                <w:szCs w:val="24"/>
              </w:rPr>
              <w:t>运用本公司在勘察设计服务方面积累的独特经验。</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sz w:val="24"/>
                <w:szCs w:val="24"/>
              </w:rPr>
              <w:t>承诺</w:t>
            </w:r>
            <w:r>
              <w:rPr>
                <w:rFonts w:hint="eastAsia" w:ascii="仿宋_GB2312" w:hAnsi="宋体" w:eastAsia="仿宋_GB2312"/>
                <w:sz w:val="24"/>
                <w:szCs w:val="24"/>
              </w:rPr>
              <w:t>：</w:t>
            </w:r>
            <w:r>
              <w:rPr>
                <w:rFonts w:hint="eastAsia" w:ascii="宋体" w:hAnsi="宋体"/>
                <w:sz w:val="24"/>
                <w:szCs w:val="24"/>
              </w:rPr>
              <w:t>本项目勘察设计工作，必须按照甲方要求实施；接到中标通知后7日内成立项目部，7日内具备在工程所在地开展设计办公条件，并按照甲方要求开展勘察设计等工作；方案设计、初步设计、施工图深化设计、成果转交总共不超过30天内完成。所有设计项目完成前，相关设计人员不得撤离项目部，项目实施全过程必须有全专业人员驻场服务。</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569" w:type="dxa"/>
            <w:vMerge w:val="restart"/>
            <w:vAlign w:val="center"/>
          </w:tcPr>
          <w:p>
            <w:pPr>
              <w:spacing w:line="320" w:lineRule="exact"/>
              <w:jc w:val="center"/>
              <w:rPr>
                <w:rFonts w:ascii="仿宋_GB2312" w:hAnsi="宋体" w:eastAsia="仿宋_GB2312"/>
                <w:sz w:val="24"/>
                <w:szCs w:val="24"/>
              </w:rPr>
            </w:pPr>
            <w:r>
              <w:rPr>
                <w:rFonts w:hint="eastAsia" w:ascii="仿宋_GB2312" w:hAnsi="宋体" w:eastAsia="仿宋_GB2312"/>
                <w:sz w:val="24"/>
                <w:szCs w:val="24"/>
              </w:rPr>
              <w:t>4</w:t>
            </w:r>
          </w:p>
        </w:tc>
        <w:tc>
          <w:tcPr>
            <w:tcW w:w="1872" w:type="dxa"/>
            <w:vMerge w:val="restart"/>
            <w:vAlign w:val="center"/>
          </w:tcPr>
          <w:p>
            <w:pPr>
              <w:pStyle w:val="36"/>
              <w:spacing w:line="320" w:lineRule="exact"/>
              <w:ind w:firstLine="0" w:firstLineChars="0"/>
              <w:jc w:val="center"/>
              <w:rPr>
                <w:szCs w:val="24"/>
              </w:rPr>
            </w:pPr>
            <w:r>
              <w:rPr>
                <w:rFonts w:hint="eastAsia"/>
                <w:szCs w:val="24"/>
              </w:rPr>
              <w:t>工程监理服务方案</w:t>
            </w:r>
          </w:p>
          <w:p>
            <w:pPr>
              <w:pStyle w:val="36"/>
              <w:spacing w:line="320" w:lineRule="exact"/>
              <w:ind w:firstLine="0" w:firstLineChars="0"/>
              <w:jc w:val="center"/>
              <w:rPr>
                <w:szCs w:val="24"/>
              </w:rPr>
            </w:pPr>
            <w:r>
              <w:rPr>
                <w:rFonts w:hint="eastAsia"/>
                <w:szCs w:val="24"/>
              </w:rPr>
              <w:t>（15分）</w:t>
            </w:r>
          </w:p>
        </w:tc>
        <w:tc>
          <w:tcPr>
            <w:tcW w:w="576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编制依据与总体设想</w:t>
            </w:r>
            <w:r>
              <w:rPr>
                <w:rFonts w:hint="eastAsia" w:ascii="仿宋_GB2312" w:hAnsi="宋体" w:eastAsia="仿宋_GB2312"/>
                <w:sz w:val="24"/>
                <w:szCs w:val="24"/>
              </w:rPr>
              <w:t>：</w:t>
            </w:r>
            <w:r>
              <w:rPr>
                <w:rFonts w:hint="eastAsia" w:ascii="宋体" w:hAnsi="宋体"/>
                <w:sz w:val="24"/>
                <w:szCs w:val="24"/>
              </w:rPr>
              <w:t>工程监理服务定位准确清晰，总体设想合理、专业，符合招标人和该项目特点。</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569" w:type="dxa"/>
            <w:vMerge w:val="continue"/>
          </w:tcPr>
          <w:p>
            <w:pPr>
              <w:spacing w:line="320" w:lineRule="exact"/>
              <w:jc w:val="center"/>
              <w:rPr>
                <w:rFonts w:ascii="仿宋_GB2312" w:hAnsi="宋体" w:eastAsia="仿宋_GB2312"/>
                <w:sz w:val="24"/>
                <w:szCs w:val="24"/>
              </w:rPr>
            </w:pPr>
          </w:p>
        </w:tc>
        <w:tc>
          <w:tcPr>
            <w:tcW w:w="1872" w:type="dxa"/>
            <w:vMerge w:val="continue"/>
          </w:tcPr>
          <w:p>
            <w:pPr>
              <w:spacing w:line="320" w:lineRule="exact"/>
              <w:jc w:val="center"/>
              <w:rPr>
                <w:rFonts w:ascii="仿宋_GB2312" w:hAnsi="宋体" w:eastAsia="仿宋_GB2312"/>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工作内容及流程</w:t>
            </w:r>
            <w:r>
              <w:rPr>
                <w:rFonts w:hint="eastAsia" w:ascii="仿宋_GB2312" w:hAnsi="宋体" w:eastAsia="仿宋_GB2312"/>
                <w:sz w:val="24"/>
                <w:szCs w:val="24"/>
              </w:rPr>
              <w:t>：</w:t>
            </w:r>
            <w:r>
              <w:rPr>
                <w:rFonts w:hint="eastAsia" w:ascii="宋体" w:hAnsi="宋体"/>
                <w:sz w:val="24"/>
                <w:szCs w:val="24"/>
              </w:rPr>
              <w:t>包括但不限于勘察测绘、设计、施工、保修监理等工作内容，工作文件全面、专业，阶段划分清楚明确，工作机制顺畅高效。</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仿宋_GB2312" w:hAnsi="宋体" w:eastAsia="仿宋_GB2312"/>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服务能力</w:t>
            </w:r>
            <w:r>
              <w:rPr>
                <w:rFonts w:hint="eastAsia" w:ascii="仿宋_GB2312" w:hAnsi="宋体" w:eastAsia="仿宋_GB2312"/>
                <w:sz w:val="24"/>
                <w:szCs w:val="24"/>
              </w:rPr>
              <w:t>：</w:t>
            </w:r>
            <w:r>
              <w:rPr>
                <w:rFonts w:hint="eastAsia" w:ascii="宋体" w:hAnsi="宋体"/>
                <w:sz w:val="24"/>
                <w:szCs w:val="24"/>
              </w:rPr>
              <w:t>质量、进度、投资、保密、廉政控制和安全、信息、合同管理有力，能为招标人在协调各方关系方面上提供优质服务。</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569" w:type="dxa"/>
            <w:vMerge w:val="continue"/>
          </w:tcPr>
          <w:p>
            <w:pPr>
              <w:spacing w:line="320" w:lineRule="exact"/>
              <w:jc w:val="center"/>
              <w:rPr>
                <w:rFonts w:ascii="仿宋_GB2312" w:hAnsi="宋体" w:eastAsia="仿宋_GB2312"/>
                <w:sz w:val="24"/>
                <w:szCs w:val="24"/>
              </w:rPr>
            </w:pPr>
          </w:p>
        </w:tc>
        <w:tc>
          <w:tcPr>
            <w:tcW w:w="1872" w:type="dxa"/>
            <w:vMerge w:val="continue"/>
          </w:tcPr>
          <w:p>
            <w:pPr>
              <w:spacing w:line="320" w:lineRule="exact"/>
              <w:jc w:val="center"/>
              <w:rPr>
                <w:rFonts w:ascii="仿宋_GB2312" w:hAnsi="宋体" w:eastAsia="仿宋_GB2312"/>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重难点分析及应对措施</w:t>
            </w:r>
            <w:r>
              <w:rPr>
                <w:rFonts w:hint="eastAsia" w:ascii="仿宋_GB2312" w:hAnsi="宋体" w:eastAsia="仿宋_GB2312"/>
                <w:sz w:val="24"/>
                <w:szCs w:val="24"/>
              </w:rPr>
              <w:t>：</w:t>
            </w:r>
            <w:r>
              <w:rPr>
                <w:rFonts w:hint="eastAsia" w:ascii="宋体" w:hAnsi="宋体"/>
                <w:sz w:val="24"/>
                <w:szCs w:val="24"/>
              </w:rPr>
              <w:t>本项目重难点把握准确、描述到位、分析透彻，符合工程实际，解决方案及建议措施合理可行、针对性强。</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9" w:type="dxa"/>
            <w:vMerge w:val="continue"/>
          </w:tcPr>
          <w:p>
            <w:pPr>
              <w:spacing w:line="320" w:lineRule="exact"/>
              <w:jc w:val="center"/>
              <w:rPr>
                <w:rFonts w:ascii="仿宋_GB2312" w:hAnsi="宋体" w:eastAsia="仿宋_GB2312"/>
                <w:sz w:val="24"/>
                <w:szCs w:val="24"/>
              </w:rPr>
            </w:pPr>
          </w:p>
        </w:tc>
        <w:tc>
          <w:tcPr>
            <w:tcW w:w="1872" w:type="dxa"/>
            <w:vMerge w:val="continue"/>
          </w:tcPr>
          <w:p>
            <w:pPr>
              <w:spacing w:line="320" w:lineRule="exact"/>
              <w:jc w:val="center"/>
              <w:rPr>
                <w:rFonts w:ascii="仿宋_GB2312" w:hAnsi="宋体" w:eastAsia="仿宋_GB2312"/>
                <w:sz w:val="24"/>
                <w:szCs w:val="24"/>
              </w:rPr>
            </w:pPr>
          </w:p>
        </w:tc>
        <w:tc>
          <w:tcPr>
            <w:tcW w:w="5764" w:type="dxa"/>
            <w:vAlign w:val="center"/>
          </w:tcPr>
          <w:p>
            <w:pPr>
              <w:spacing w:line="320" w:lineRule="exact"/>
              <w:rPr>
                <w:rFonts w:ascii="宋体" w:hAnsi="宋体"/>
                <w:sz w:val="24"/>
                <w:szCs w:val="24"/>
              </w:rPr>
            </w:pPr>
            <w:r>
              <w:rPr>
                <w:rFonts w:hint="eastAsia" w:ascii="黑体" w:hAnsi="黑体" w:eastAsia="黑体"/>
                <w:sz w:val="24"/>
                <w:szCs w:val="24"/>
              </w:rPr>
              <w:t>独特优势：</w:t>
            </w:r>
            <w:r>
              <w:rPr>
                <w:rFonts w:hint="eastAsia" w:ascii="宋体" w:hAnsi="宋体"/>
                <w:sz w:val="24"/>
                <w:szCs w:val="24"/>
              </w:rPr>
              <w:t>本公司在监理服务项目上积累的独特经验。</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569" w:type="dxa"/>
            <w:vMerge w:val="restart"/>
            <w:vAlign w:val="center"/>
          </w:tcPr>
          <w:p>
            <w:pPr>
              <w:spacing w:line="320" w:lineRule="exact"/>
              <w:jc w:val="center"/>
              <w:rPr>
                <w:rFonts w:ascii="仿宋_GB2312" w:hAnsi="宋体" w:eastAsia="仿宋_GB2312"/>
                <w:sz w:val="24"/>
                <w:szCs w:val="24"/>
              </w:rPr>
            </w:pPr>
            <w:r>
              <w:rPr>
                <w:rFonts w:hint="eastAsia" w:ascii="仿宋_GB2312" w:hAnsi="宋体" w:eastAsia="仿宋_GB2312"/>
                <w:sz w:val="24"/>
                <w:szCs w:val="24"/>
              </w:rPr>
              <w:t>5</w:t>
            </w:r>
          </w:p>
        </w:tc>
        <w:tc>
          <w:tcPr>
            <w:tcW w:w="1872" w:type="dxa"/>
            <w:vMerge w:val="restart"/>
            <w:vAlign w:val="center"/>
          </w:tcPr>
          <w:p>
            <w:pPr>
              <w:pStyle w:val="36"/>
              <w:spacing w:line="320" w:lineRule="exact"/>
              <w:ind w:firstLine="0" w:firstLineChars="0"/>
              <w:jc w:val="center"/>
              <w:rPr>
                <w:szCs w:val="24"/>
              </w:rPr>
            </w:pPr>
            <w:r>
              <w:rPr>
                <w:rFonts w:hint="eastAsia"/>
                <w:szCs w:val="24"/>
              </w:rPr>
              <w:t>造价咨询服务方案</w:t>
            </w:r>
          </w:p>
          <w:p>
            <w:pPr>
              <w:pStyle w:val="36"/>
              <w:spacing w:line="320" w:lineRule="exact"/>
              <w:ind w:firstLine="0" w:firstLineChars="0"/>
              <w:jc w:val="center"/>
              <w:rPr>
                <w:szCs w:val="24"/>
              </w:rPr>
            </w:pPr>
            <w:r>
              <w:rPr>
                <w:rFonts w:hint="eastAsia"/>
                <w:szCs w:val="24"/>
              </w:rPr>
              <w:t>（14分）</w:t>
            </w:r>
          </w:p>
          <w:p>
            <w:pPr>
              <w:pStyle w:val="36"/>
              <w:spacing w:line="320" w:lineRule="exact"/>
              <w:ind w:firstLine="0" w:firstLineChars="0"/>
              <w:jc w:val="center"/>
            </w:pPr>
          </w:p>
        </w:tc>
        <w:tc>
          <w:tcPr>
            <w:tcW w:w="576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编制依据与总体设想</w:t>
            </w:r>
            <w:r>
              <w:rPr>
                <w:rFonts w:hint="eastAsia" w:ascii="仿宋_GB2312" w:hAnsi="宋体" w:eastAsia="仿宋_GB2312"/>
                <w:sz w:val="24"/>
                <w:szCs w:val="24"/>
              </w:rPr>
              <w:t>：</w:t>
            </w:r>
            <w:r>
              <w:rPr>
                <w:rFonts w:hint="eastAsia" w:ascii="宋体" w:hAnsi="宋体"/>
                <w:sz w:val="24"/>
                <w:szCs w:val="24"/>
              </w:rPr>
              <w:t>造价咨询服务定位准确清晰，依据充分、真实，满足工程特点和甲方意图，为招标人提供合理的造价咨询服务。</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工作内容及流程：</w:t>
            </w:r>
            <w:r>
              <w:rPr>
                <w:rFonts w:hint="eastAsia" w:ascii="宋体" w:hAnsi="宋体"/>
                <w:sz w:val="24"/>
                <w:szCs w:val="24"/>
              </w:rPr>
              <w:t>包括但不限于匡算、估算、价格清单编制与审查，及时跟进预算审核、设计变更造价核算、协助竣工结算等工作内容。</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服务能力：</w:t>
            </w:r>
            <w:r>
              <w:rPr>
                <w:rFonts w:hint="eastAsia" w:ascii="宋体" w:hAnsi="宋体"/>
                <w:sz w:val="24"/>
                <w:szCs w:val="24"/>
              </w:rPr>
              <w:t>咨询文件内容全面，编写方法规范，提交节点准确及时。</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预算编制质量控制：</w:t>
            </w:r>
            <w:r>
              <w:rPr>
                <w:rFonts w:hint="eastAsia" w:ascii="宋体" w:hAnsi="宋体"/>
                <w:sz w:val="24"/>
                <w:szCs w:val="24"/>
              </w:rPr>
              <w:t>应建立质量管理体制， 具有质量管理的内控措施， 从技术力量投入、保证工时投入，到工作成果分级复核、全过程质量控制、配合第三方审查等方面，具有切实有效的手段、制度和措施，对造价的质量标准具有保证作用。</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预算编制周期控制：</w:t>
            </w:r>
            <w:r>
              <w:rPr>
                <w:rFonts w:hint="eastAsia" w:ascii="宋体" w:hAnsi="宋体"/>
                <w:sz w:val="24"/>
                <w:szCs w:val="24"/>
              </w:rPr>
              <w:t xml:space="preserve">应根据预发包造价任务周期普遍较紧，从总体日程编排、造价目标分解、造价节点控制到优化工作流程、特殊情况处置等，都应形成保证造价周期的具体措施。 </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restart"/>
            <w:vAlign w:val="center"/>
          </w:tcPr>
          <w:p>
            <w:pPr>
              <w:spacing w:line="320" w:lineRule="exact"/>
              <w:jc w:val="center"/>
              <w:rPr>
                <w:rFonts w:ascii="仿宋_GB2312" w:hAnsi="宋体" w:eastAsia="仿宋_GB2312"/>
                <w:sz w:val="24"/>
                <w:szCs w:val="24"/>
              </w:rPr>
            </w:pPr>
            <w:r>
              <w:rPr>
                <w:rFonts w:hint="eastAsia" w:ascii="仿宋_GB2312" w:hAnsi="宋体" w:eastAsia="仿宋_GB2312"/>
                <w:sz w:val="24"/>
                <w:szCs w:val="24"/>
              </w:rPr>
              <w:t>6</w:t>
            </w:r>
          </w:p>
        </w:tc>
        <w:tc>
          <w:tcPr>
            <w:tcW w:w="1872" w:type="dxa"/>
            <w:vMerge w:val="restart"/>
            <w:vAlign w:val="center"/>
          </w:tcPr>
          <w:p>
            <w:pPr>
              <w:spacing w:line="320" w:lineRule="exact"/>
              <w:jc w:val="center"/>
              <w:rPr>
                <w:rFonts w:ascii="宋体" w:hAnsi="宋体"/>
                <w:sz w:val="24"/>
                <w:szCs w:val="24"/>
              </w:rPr>
            </w:pPr>
            <w:r>
              <w:rPr>
                <w:rFonts w:hint="eastAsia" w:ascii="宋体" w:hAnsi="宋体"/>
                <w:sz w:val="24"/>
                <w:szCs w:val="24"/>
              </w:rPr>
              <w:t>安全保密管理方案</w:t>
            </w:r>
          </w:p>
          <w:p>
            <w:pPr>
              <w:spacing w:line="320" w:lineRule="exact"/>
              <w:jc w:val="center"/>
            </w:pPr>
            <w:r>
              <w:rPr>
                <w:rFonts w:hint="eastAsia" w:ascii="宋体" w:hAnsi="宋体"/>
                <w:sz w:val="24"/>
                <w:szCs w:val="24"/>
              </w:rPr>
              <w:t>（6分）</w:t>
            </w:r>
          </w:p>
        </w:tc>
        <w:tc>
          <w:tcPr>
            <w:tcW w:w="576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安全保密机构</w:t>
            </w:r>
            <w:r>
              <w:rPr>
                <w:rFonts w:hint="eastAsia" w:ascii="仿宋_GB2312" w:hAnsi="宋体" w:eastAsia="仿宋_GB2312"/>
                <w:sz w:val="24"/>
                <w:szCs w:val="24"/>
              </w:rPr>
              <w:t>：</w:t>
            </w:r>
            <w:r>
              <w:rPr>
                <w:rFonts w:hint="eastAsia" w:ascii="宋体" w:hAnsi="宋体"/>
                <w:sz w:val="24"/>
                <w:szCs w:val="24"/>
              </w:rPr>
              <w:t>成立保密组织机构，人员配备齐全，组人分工明晰，岗位责任明确，指定专职保密员。</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规章制度：</w:t>
            </w:r>
            <w:r>
              <w:rPr>
                <w:rFonts w:hint="eastAsia" w:ascii="宋体" w:hAnsi="宋体"/>
                <w:kern w:val="0"/>
                <w:sz w:val="24"/>
                <w:szCs w:val="24"/>
              </w:rPr>
              <w:t>指定相应保密规章制度，贴合预发包项目实际，切实可行。</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9" w:type="dxa"/>
            <w:vMerge w:val="continue"/>
            <w:vAlign w:val="center"/>
          </w:tcPr>
          <w:p>
            <w:pPr>
              <w:spacing w:line="320" w:lineRule="exact"/>
              <w:jc w:val="center"/>
              <w:rPr>
                <w:rFonts w:ascii="仿宋_GB2312" w:hAnsi="宋体" w:eastAsia="仿宋_GB2312"/>
                <w:sz w:val="24"/>
                <w:szCs w:val="24"/>
              </w:rPr>
            </w:pPr>
          </w:p>
        </w:tc>
        <w:tc>
          <w:tcPr>
            <w:tcW w:w="1872" w:type="dxa"/>
            <w:vMerge w:val="continue"/>
            <w:vAlign w:val="center"/>
          </w:tcPr>
          <w:p>
            <w:pPr>
              <w:spacing w:line="320" w:lineRule="exact"/>
              <w:jc w:val="center"/>
              <w:rPr>
                <w:rFonts w:ascii="宋体" w:hAnsi="宋体"/>
                <w:sz w:val="24"/>
                <w:szCs w:val="24"/>
              </w:rPr>
            </w:pPr>
          </w:p>
        </w:tc>
        <w:tc>
          <w:tcPr>
            <w:tcW w:w="576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保密措施办法：</w:t>
            </w:r>
            <w:r>
              <w:rPr>
                <w:rFonts w:hint="eastAsia" w:ascii="宋体" w:hAnsi="宋体" w:cs="宋体"/>
                <w:kern w:val="0"/>
                <w:sz w:val="24"/>
                <w:szCs w:val="24"/>
              </w:rPr>
              <w:t>①建立专用保密场所和相关设施；</w:t>
            </w:r>
            <w:r>
              <w:rPr>
                <w:rFonts w:ascii="宋体" w:hAnsi="宋体" w:cs="宋体"/>
                <w:kern w:val="0"/>
                <w:sz w:val="24"/>
                <w:szCs w:val="24"/>
              </w:rPr>
              <w:br w:type="textWrapping"/>
            </w:r>
            <w:r>
              <w:rPr>
                <w:rFonts w:hint="eastAsia" w:ascii="宋体" w:hAnsi="宋体" w:cs="宋体"/>
                <w:kern w:val="0"/>
                <w:sz w:val="24"/>
                <w:szCs w:val="24"/>
              </w:rPr>
              <w:t>②涉密资料保管、借阅、交接手续完备；</w:t>
            </w:r>
            <w:r>
              <w:rPr>
                <w:rFonts w:ascii="宋体" w:hAnsi="宋体" w:cs="宋体"/>
                <w:kern w:val="0"/>
                <w:sz w:val="24"/>
                <w:szCs w:val="24"/>
              </w:rPr>
              <w:br w:type="textWrapping"/>
            </w:r>
            <w:r>
              <w:rPr>
                <w:rFonts w:hint="eastAsia" w:ascii="宋体" w:hAnsi="宋体" w:cs="宋体"/>
                <w:kern w:val="0"/>
                <w:sz w:val="24"/>
                <w:szCs w:val="24"/>
              </w:rPr>
              <w:t>③限定涉密知密范围，不擅自复制、扩散项目涉密信息；</w:t>
            </w:r>
            <w:r>
              <w:rPr>
                <w:rFonts w:ascii="宋体" w:hAnsi="宋体" w:cs="宋体"/>
                <w:kern w:val="0"/>
                <w:sz w:val="24"/>
                <w:szCs w:val="24"/>
              </w:rPr>
              <w:br w:type="textWrapping"/>
            </w:r>
            <w:r>
              <w:rPr>
                <w:rFonts w:hint="eastAsia" w:ascii="宋体" w:hAnsi="宋体" w:cs="宋体"/>
                <w:kern w:val="0"/>
                <w:sz w:val="24"/>
                <w:szCs w:val="24"/>
              </w:rPr>
              <w:t>④定期开展保密教育检查；</w:t>
            </w:r>
            <w:r>
              <w:rPr>
                <w:rFonts w:ascii="宋体" w:hAnsi="宋体" w:cs="宋体"/>
                <w:kern w:val="0"/>
                <w:sz w:val="24"/>
                <w:szCs w:val="24"/>
              </w:rPr>
              <w:br w:type="textWrapping"/>
            </w:r>
            <w:r>
              <w:rPr>
                <w:rFonts w:hint="eastAsia" w:ascii="宋体" w:hAnsi="宋体" w:cs="宋体"/>
                <w:kern w:val="0"/>
                <w:sz w:val="24"/>
                <w:szCs w:val="24"/>
              </w:rPr>
              <w:t>⑤配合建设单位对业务人员进行政治审查；</w:t>
            </w:r>
            <w:r>
              <w:rPr>
                <w:rFonts w:ascii="宋体" w:hAnsi="宋体" w:cs="宋体"/>
                <w:kern w:val="0"/>
                <w:sz w:val="24"/>
                <w:szCs w:val="24"/>
              </w:rPr>
              <w:br w:type="textWrapping"/>
            </w:r>
            <w:r>
              <w:rPr>
                <w:rFonts w:hint="eastAsia" w:ascii="宋体" w:hAnsi="宋体" w:cs="宋体"/>
                <w:kern w:val="0"/>
                <w:sz w:val="24"/>
                <w:szCs w:val="24"/>
              </w:rPr>
              <w:t>⑥对业务所用车辆、设备等进行技术安全保密检查；</w:t>
            </w:r>
            <w:r>
              <w:rPr>
                <w:rFonts w:ascii="宋体" w:hAnsi="宋体" w:cs="宋体"/>
                <w:kern w:val="0"/>
                <w:sz w:val="24"/>
                <w:szCs w:val="24"/>
              </w:rPr>
              <w:br w:type="textWrapping"/>
            </w:r>
            <w:r>
              <w:rPr>
                <w:rFonts w:hint="eastAsia" w:ascii="宋体" w:hAnsi="宋体" w:cs="宋体"/>
                <w:kern w:val="0"/>
                <w:sz w:val="24"/>
                <w:szCs w:val="24"/>
              </w:rPr>
              <w:t>⑦现场业务人员和车辆凭证出入保密区域；</w:t>
            </w:r>
            <w:r>
              <w:rPr>
                <w:rFonts w:ascii="宋体" w:hAnsi="宋体" w:cs="宋体"/>
                <w:kern w:val="0"/>
                <w:sz w:val="24"/>
                <w:szCs w:val="24"/>
              </w:rPr>
              <w:br w:type="textWrapping"/>
            </w:r>
            <w:r>
              <w:rPr>
                <w:rFonts w:hint="eastAsia" w:ascii="宋体" w:hAnsi="宋体" w:cs="宋体"/>
                <w:kern w:val="0"/>
                <w:sz w:val="24"/>
                <w:szCs w:val="24"/>
              </w:rPr>
              <w:t>⑧现场禁止携带具有摄像、录音和卫星定位功能的设备。</w:t>
            </w:r>
          </w:p>
        </w:tc>
        <w:tc>
          <w:tcPr>
            <w:tcW w:w="855" w:type="dxa"/>
            <w:vAlign w:val="center"/>
          </w:tcPr>
          <w:p>
            <w:pPr>
              <w:spacing w:line="320" w:lineRule="exact"/>
              <w:jc w:val="center"/>
              <w:rPr>
                <w:rFonts w:ascii="仿宋_GB2312" w:hAnsi="宋体" w:eastAsia="仿宋_GB2312"/>
                <w:kern w:val="0"/>
                <w:sz w:val="24"/>
                <w:szCs w:val="24"/>
              </w:rPr>
            </w:pPr>
            <w:r>
              <w:rPr>
                <w:rFonts w:hint="eastAsia" w:ascii="仿宋_GB2312" w:hAnsi="宋体" w:eastAsia="仿宋_GB2312"/>
                <w:kern w:val="0"/>
                <w:sz w:val="24"/>
                <w:szCs w:val="24"/>
              </w:rPr>
              <w:t>2</w:t>
            </w:r>
          </w:p>
        </w:tc>
      </w:tr>
    </w:tbl>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pStyle w:val="36"/>
        <w:spacing w:after="120" w:afterLines="50" w:line="320" w:lineRule="exact"/>
        <w:ind w:firstLine="0" w:firstLineChars="0"/>
        <w:rPr>
          <w:rFonts w:ascii="黑体" w:hAnsi="黑体" w:eastAsia="黑体"/>
          <w:szCs w:val="24"/>
        </w:rPr>
      </w:pPr>
    </w:p>
    <w:p>
      <w:pPr>
        <w:rPr>
          <w:rFonts w:ascii="黑体" w:hAnsi="黑体" w:eastAsia="黑体"/>
          <w:szCs w:val="24"/>
        </w:rPr>
      </w:pPr>
      <w:r>
        <w:rPr>
          <w:rFonts w:hint="eastAsia" w:ascii="黑体" w:hAnsi="黑体" w:eastAsia="黑体"/>
          <w:szCs w:val="24"/>
        </w:rPr>
        <w:br w:type="page"/>
      </w:r>
    </w:p>
    <w:p>
      <w:pPr>
        <w:pStyle w:val="36"/>
        <w:spacing w:line="320" w:lineRule="exact"/>
        <w:ind w:firstLine="0" w:firstLineChars="0"/>
      </w:pPr>
      <w:r>
        <w:rPr>
          <w:rFonts w:hint="eastAsia" w:ascii="黑体" w:hAnsi="黑体" w:eastAsia="黑体"/>
          <w:szCs w:val="24"/>
        </w:rPr>
        <w:t>附件6</w:t>
      </w:r>
    </w:p>
    <w:p>
      <w:pPr>
        <w:spacing w:line="460" w:lineRule="exact"/>
        <w:ind w:firstLine="482" w:firstLineChars="200"/>
        <w:jc w:val="center"/>
        <w:rPr>
          <w:rFonts w:ascii="宋体" w:hAnsi="宋体"/>
          <w:b/>
          <w:bCs/>
          <w:sz w:val="24"/>
          <w:szCs w:val="24"/>
        </w:rPr>
      </w:pPr>
      <w:r>
        <w:rPr>
          <w:rFonts w:hint="eastAsia" w:ascii="宋体" w:hAnsi="宋体"/>
          <w:b/>
          <w:bCs/>
          <w:sz w:val="24"/>
          <w:szCs w:val="24"/>
        </w:rPr>
        <w:t>商务部分评分标准（100分，占总比例的25%）</w:t>
      </w:r>
    </w:p>
    <w:tbl>
      <w:tblPr>
        <w:tblStyle w:val="88"/>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49"/>
        <w:gridCol w:w="1488"/>
        <w:gridCol w:w="4696"/>
        <w:gridCol w:w="919"/>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黑体" w:hAnsi="黑体" w:eastAsia="黑体"/>
                <w:spacing w:val="-20"/>
                <w:sz w:val="24"/>
                <w:szCs w:val="24"/>
              </w:rPr>
            </w:pPr>
            <w:r>
              <w:rPr>
                <w:rFonts w:hint="eastAsia" w:ascii="黑体" w:hAnsi="黑体" w:eastAsia="黑体"/>
                <w:spacing w:val="-20"/>
                <w:sz w:val="24"/>
                <w:szCs w:val="24"/>
              </w:rPr>
              <w:t>序号</w:t>
            </w:r>
          </w:p>
        </w:tc>
        <w:tc>
          <w:tcPr>
            <w:tcW w:w="8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黑体" w:hAnsi="黑体" w:eastAsia="黑体"/>
                <w:sz w:val="24"/>
                <w:szCs w:val="24"/>
              </w:rPr>
            </w:pPr>
            <w:r>
              <w:rPr>
                <w:rFonts w:hint="eastAsia" w:ascii="黑体" w:hAnsi="黑体" w:eastAsia="黑体"/>
                <w:sz w:val="24"/>
                <w:szCs w:val="24"/>
              </w:rPr>
              <w:t>评分项目</w:t>
            </w: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黑体" w:hAnsi="黑体" w:eastAsia="黑体"/>
                <w:sz w:val="24"/>
                <w:szCs w:val="24"/>
              </w:rPr>
            </w:pPr>
            <w:r>
              <w:rPr>
                <w:rFonts w:hint="eastAsia" w:ascii="黑体" w:hAnsi="黑体" w:eastAsia="黑体"/>
                <w:sz w:val="24"/>
                <w:szCs w:val="24"/>
              </w:rPr>
              <w:t>评分内容</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黑体" w:hAnsi="黑体" w:eastAsia="黑体"/>
                <w:sz w:val="24"/>
                <w:szCs w:val="24"/>
              </w:rPr>
            </w:pPr>
            <w:r>
              <w:rPr>
                <w:rFonts w:hint="eastAsia" w:ascii="黑体" w:hAnsi="黑体" w:eastAsia="黑体"/>
                <w:sz w:val="24"/>
                <w:szCs w:val="24"/>
              </w:rPr>
              <w:t>评分标准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黑体" w:hAnsi="黑体" w:eastAsia="黑体"/>
                <w:spacing w:val="-20"/>
                <w:sz w:val="24"/>
                <w:szCs w:val="24"/>
              </w:rPr>
            </w:pPr>
            <w:r>
              <w:rPr>
                <w:rFonts w:hint="eastAsia" w:ascii="黑体" w:hAnsi="黑体" w:eastAsia="黑体"/>
                <w:spacing w:val="-20"/>
                <w:sz w:val="24"/>
                <w:szCs w:val="24"/>
              </w:rPr>
              <w:t>标准分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黑体" w:hAnsi="黑体" w:eastAsia="黑体"/>
                <w:spacing w:val="-20"/>
                <w:sz w:val="24"/>
                <w:szCs w:val="24"/>
              </w:rPr>
            </w:pPr>
            <w:r>
              <w:rPr>
                <w:rFonts w:hint="eastAsia" w:ascii="黑体" w:hAnsi="黑体" w:eastAsia="黑体"/>
                <w:spacing w:val="-2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5" w:type="dxa"/>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1</w:t>
            </w:r>
          </w:p>
        </w:tc>
        <w:tc>
          <w:tcPr>
            <w:tcW w:w="849" w:type="dxa"/>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资质</w:t>
            </w: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勘察资质</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olor w:val="auto"/>
                <w:sz w:val="24"/>
                <w:szCs w:val="24"/>
              </w:rPr>
            </w:pPr>
            <w:r>
              <w:rPr>
                <w:rFonts w:hint="eastAsia" w:ascii="宋体" w:hAnsi="宋体"/>
                <w:color w:val="auto"/>
                <w:sz w:val="24"/>
                <w:szCs w:val="24"/>
              </w:rPr>
              <w:t>投标人具备工程勘察岩土工程专业乙级或工程勘察岩土工程专业（岩土工程（勘察））乙级资质得7分，甲级资质得10分；具备工程勘察综合甲级资质得10分。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10</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5"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849"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设计资质</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olor w:val="auto"/>
                <w:sz w:val="24"/>
                <w:szCs w:val="24"/>
              </w:rPr>
            </w:pPr>
            <w:r>
              <w:rPr>
                <w:rFonts w:hint="eastAsia" w:ascii="宋体" w:hAnsi="宋体"/>
                <w:color w:val="auto"/>
                <w:sz w:val="24"/>
                <w:szCs w:val="24"/>
              </w:rPr>
              <w:t>投标人具备工程设计建筑行业乙级或工程设计建筑行业(建筑工程)乙级资质得7分，甲级资质得10分；具备工程设计综合甲级资质得10分。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10</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5"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849"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监理资质</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olor w:val="auto"/>
                <w:sz w:val="24"/>
                <w:szCs w:val="24"/>
              </w:rPr>
            </w:pPr>
            <w:r>
              <w:rPr>
                <w:rFonts w:hint="eastAsia" w:ascii="宋体" w:hAnsi="宋体"/>
                <w:color w:val="auto"/>
                <w:sz w:val="24"/>
                <w:szCs w:val="24"/>
              </w:rPr>
              <w:t>投标人具备工程监理房屋建筑工程专业乙级资质得3分，具备工程监理综合甲级资质得5分。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5</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5" w:type="dxa"/>
            <w:vMerge w:val="restart"/>
            <w:tcBorders>
              <w:left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2</w:t>
            </w:r>
          </w:p>
        </w:tc>
        <w:tc>
          <w:tcPr>
            <w:tcW w:w="849" w:type="dxa"/>
            <w:vMerge w:val="restart"/>
            <w:tcBorders>
              <w:left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业绩</w:t>
            </w: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全过程工程咨询业绩</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olor w:val="auto"/>
                <w:sz w:val="24"/>
                <w:szCs w:val="24"/>
              </w:rPr>
            </w:pPr>
            <w:r>
              <w:rPr>
                <w:rFonts w:hint="eastAsia" w:ascii="宋体" w:hAnsi="宋体"/>
                <w:color w:val="auto"/>
                <w:sz w:val="24"/>
                <w:szCs w:val="24"/>
              </w:rPr>
              <w:t>开标前近5年全过程咨询合同金额在</w:t>
            </w:r>
            <w:r>
              <w:rPr>
                <w:rFonts w:hint="eastAsia" w:ascii="宋体" w:hAnsi="宋体"/>
                <w:color w:val="auto"/>
                <w:sz w:val="24"/>
                <w:szCs w:val="24"/>
                <w:lang w:val="en-US" w:eastAsia="zh-CN"/>
              </w:rPr>
              <w:t>130</w:t>
            </w:r>
            <w:r>
              <w:rPr>
                <w:rFonts w:hint="eastAsia" w:ascii="宋体" w:hAnsi="宋体"/>
                <w:color w:val="auto"/>
                <w:sz w:val="24"/>
                <w:szCs w:val="24"/>
              </w:rPr>
              <w:t>万元以上的项目或总投资</w:t>
            </w:r>
            <w:r>
              <w:rPr>
                <w:rFonts w:hint="eastAsia" w:ascii="宋体" w:hAnsi="宋体"/>
                <w:color w:val="auto"/>
                <w:sz w:val="24"/>
                <w:szCs w:val="24"/>
                <w:lang w:val="en-US" w:eastAsia="zh-CN"/>
              </w:rPr>
              <w:t>2200</w:t>
            </w:r>
            <w:r>
              <w:rPr>
                <w:rFonts w:hint="eastAsia" w:ascii="宋体" w:hAnsi="宋体"/>
                <w:color w:val="auto"/>
                <w:sz w:val="24"/>
                <w:szCs w:val="24"/>
              </w:rPr>
              <w:t>万元以上项目，每提供1个得4分，最多得20分（合同签订时间为准，同一项目不得重复加分）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20</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5"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849"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勘察设计业绩（房建工程）</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olor w:val="auto"/>
                <w:sz w:val="24"/>
                <w:szCs w:val="24"/>
              </w:rPr>
            </w:pPr>
            <w:r>
              <w:rPr>
                <w:rFonts w:hint="eastAsia" w:ascii="宋体" w:hAnsi="宋体"/>
                <w:color w:val="auto"/>
                <w:sz w:val="24"/>
                <w:szCs w:val="24"/>
              </w:rPr>
              <w:t>开标前近5年勘察设计合同金额在</w:t>
            </w:r>
            <w:r>
              <w:rPr>
                <w:rFonts w:hint="eastAsia" w:ascii="宋体" w:hAnsi="宋体"/>
                <w:color w:val="auto"/>
                <w:sz w:val="24"/>
                <w:szCs w:val="24"/>
                <w:lang w:val="en-US" w:eastAsia="zh-CN"/>
              </w:rPr>
              <w:t>70</w:t>
            </w:r>
            <w:r>
              <w:rPr>
                <w:rFonts w:hint="eastAsia" w:ascii="宋体" w:hAnsi="宋体"/>
                <w:color w:val="auto"/>
                <w:sz w:val="24"/>
                <w:szCs w:val="24"/>
              </w:rPr>
              <w:t>万元以上的项目或总投资</w:t>
            </w:r>
            <w:r>
              <w:rPr>
                <w:rFonts w:hint="eastAsia" w:ascii="宋体" w:hAnsi="宋体"/>
                <w:color w:val="auto"/>
                <w:sz w:val="24"/>
                <w:szCs w:val="24"/>
                <w:lang w:val="en-US" w:eastAsia="zh-CN"/>
              </w:rPr>
              <w:t>2200</w:t>
            </w:r>
            <w:r>
              <w:rPr>
                <w:rFonts w:hint="eastAsia" w:ascii="宋体" w:hAnsi="宋体"/>
                <w:color w:val="auto"/>
                <w:sz w:val="24"/>
                <w:szCs w:val="24"/>
              </w:rPr>
              <w:t>万元以上项目，每提供1个得4分，最多得20分。（合同签订时间为准，同一项目不得重复加分）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20</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645" w:type="dxa"/>
            <w:vMerge w:val="continue"/>
            <w:tcBorders>
              <w:left w:val="single" w:color="auto" w:sz="4" w:space="0"/>
              <w:right w:val="single" w:color="auto" w:sz="4" w:space="0"/>
            </w:tcBorders>
            <w:vAlign w:val="center"/>
          </w:tcPr>
          <w:p>
            <w:pPr>
              <w:widowControl/>
              <w:spacing w:line="320" w:lineRule="exact"/>
              <w:jc w:val="left"/>
              <w:rPr>
                <w:rFonts w:ascii="宋体" w:hAnsi="宋体"/>
                <w:sz w:val="24"/>
                <w:szCs w:val="24"/>
              </w:rPr>
            </w:pPr>
          </w:p>
        </w:tc>
        <w:tc>
          <w:tcPr>
            <w:tcW w:w="849" w:type="dxa"/>
            <w:vMerge w:val="continue"/>
            <w:tcBorders>
              <w:left w:val="single" w:color="auto" w:sz="4" w:space="0"/>
              <w:right w:val="single" w:color="auto" w:sz="4" w:space="0"/>
            </w:tcBorders>
            <w:vAlign w:val="center"/>
          </w:tcPr>
          <w:p>
            <w:pPr>
              <w:widowControl/>
              <w:spacing w:line="320" w:lineRule="exact"/>
              <w:jc w:val="left"/>
              <w:rPr>
                <w:rFonts w:ascii="宋体" w:hAnsi="宋体"/>
                <w:sz w:val="24"/>
                <w:szCs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监理业绩</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auto"/>
              </w:rPr>
            </w:pPr>
            <w:r>
              <w:rPr>
                <w:rFonts w:hint="eastAsia" w:ascii="宋体" w:hAnsi="宋体"/>
                <w:color w:val="auto"/>
                <w:sz w:val="24"/>
                <w:szCs w:val="24"/>
              </w:rPr>
              <w:t>近5年监理合同金额在</w:t>
            </w:r>
            <w:r>
              <w:rPr>
                <w:rFonts w:hint="eastAsia" w:ascii="宋体" w:hAnsi="宋体"/>
                <w:color w:val="auto"/>
                <w:sz w:val="24"/>
                <w:szCs w:val="24"/>
                <w:lang w:val="en-US" w:eastAsia="zh-CN"/>
              </w:rPr>
              <w:t>56</w:t>
            </w:r>
            <w:r>
              <w:rPr>
                <w:rFonts w:hint="eastAsia" w:ascii="宋体" w:hAnsi="宋体"/>
                <w:color w:val="auto"/>
                <w:sz w:val="24"/>
                <w:szCs w:val="24"/>
              </w:rPr>
              <w:t>万元以上或总投资</w:t>
            </w:r>
            <w:r>
              <w:rPr>
                <w:rFonts w:hint="eastAsia" w:ascii="宋体" w:hAnsi="宋体"/>
                <w:color w:val="auto"/>
                <w:sz w:val="24"/>
                <w:szCs w:val="24"/>
                <w:lang w:val="en-US" w:eastAsia="zh-CN"/>
              </w:rPr>
              <w:t>2200</w:t>
            </w:r>
            <w:r>
              <w:rPr>
                <w:rFonts w:hint="eastAsia" w:ascii="宋体" w:hAnsi="宋体"/>
                <w:color w:val="auto"/>
                <w:sz w:val="24"/>
                <w:szCs w:val="24"/>
              </w:rPr>
              <w:t>万元以上项目，每有1个得3分，最多得</w:t>
            </w:r>
            <w:r>
              <w:rPr>
                <w:rFonts w:hint="eastAsia" w:ascii="宋体" w:hAnsi="宋体"/>
                <w:color w:val="auto"/>
                <w:sz w:val="24"/>
                <w:szCs w:val="24"/>
                <w:lang w:val="en-US" w:eastAsia="zh-CN"/>
              </w:rPr>
              <w:t>15</w:t>
            </w:r>
            <w:r>
              <w:rPr>
                <w:rFonts w:hint="eastAsia" w:ascii="宋体" w:hAnsi="宋体"/>
                <w:color w:val="auto"/>
                <w:sz w:val="24"/>
                <w:szCs w:val="24"/>
              </w:rPr>
              <w:t>分；（合同签订时间为准，同一项目不得重复加分）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15</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64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3</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人员实力</w:t>
            </w: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ascii="宋体" w:hAnsi="宋体"/>
                <w:sz w:val="24"/>
                <w:szCs w:val="24"/>
              </w:rPr>
              <w:t>总咨询师</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sz w:val="24"/>
                <w:szCs w:val="24"/>
              </w:rPr>
            </w:pPr>
            <w:r>
              <w:rPr>
                <w:rFonts w:hint="eastAsia" w:ascii="宋体" w:hAnsi="宋体"/>
                <w:sz w:val="24"/>
                <w:szCs w:val="24"/>
              </w:rPr>
              <w:t>具备一级注册建筑师或一级注册结构工程师或国家注册监理工程师（房屋建筑工程）或一级注册建造师（建筑工程或市政公用工程）或一级注册造价工程师（或原国家注册造价工程师）（土木建筑工程）执业资格得2分</w:t>
            </w:r>
            <w:r>
              <w:rPr>
                <w:rFonts w:ascii="宋体" w:hAnsi="宋体"/>
                <w:sz w:val="24"/>
                <w:szCs w:val="24"/>
              </w:rPr>
              <w:t>，具有</w:t>
            </w:r>
            <w:r>
              <w:rPr>
                <w:rFonts w:hint="eastAsia" w:ascii="宋体" w:hAnsi="宋体"/>
                <w:sz w:val="24"/>
                <w:szCs w:val="24"/>
              </w:rPr>
              <w:t>高</w:t>
            </w:r>
            <w:r>
              <w:rPr>
                <w:rFonts w:ascii="宋体" w:hAnsi="宋体"/>
                <w:sz w:val="24"/>
                <w:szCs w:val="24"/>
              </w:rPr>
              <w:t>级</w:t>
            </w:r>
            <w:r>
              <w:rPr>
                <w:rFonts w:hint="eastAsia" w:ascii="宋体" w:hAnsi="宋体"/>
                <w:sz w:val="24"/>
                <w:szCs w:val="24"/>
              </w:rPr>
              <w:t>及以上</w:t>
            </w:r>
            <w:r>
              <w:rPr>
                <w:rFonts w:ascii="宋体" w:hAnsi="宋体"/>
                <w:sz w:val="24"/>
                <w:szCs w:val="24"/>
              </w:rPr>
              <w:t>职称</w:t>
            </w:r>
            <w:r>
              <w:rPr>
                <w:rFonts w:hint="eastAsia" w:ascii="宋体" w:hAnsi="宋体"/>
                <w:sz w:val="24"/>
                <w:szCs w:val="24"/>
              </w:rPr>
              <w:t>得2分；本项最多得4分。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4</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5"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849"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副总咨询师</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sz w:val="24"/>
                <w:szCs w:val="24"/>
              </w:rPr>
            </w:pPr>
            <w:r>
              <w:rPr>
                <w:rFonts w:hint="eastAsia" w:ascii="宋体" w:hAnsi="宋体"/>
                <w:sz w:val="24"/>
                <w:szCs w:val="24"/>
              </w:rPr>
              <w:t>具备一级注册建筑师或一级注册结构工程师或国家注册监理工程师（房屋建筑工程）或一级注册建造师（建筑工程或市政公用工程）或一级注册造价工程师（或原国家注册造价工程师）（土木建筑工程）执业资格得2分</w:t>
            </w:r>
            <w:r>
              <w:rPr>
                <w:rFonts w:ascii="宋体" w:hAnsi="宋体"/>
                <w:sz w:val="24"/>
                <w:szCs w:val="24"/>
              </w:rPr>
              <w:t>，具有</w:t>
            </w:r>
            <w:r>
              <w:rPr>
                <w:rFonts w:hint="eastAsia" w:ascii="宋体" w:hAnsi="宋体"/>
                <w:sz w:val="24"/>
                <w:szCs w:val="24"/>
              </w:rPr>
              <w:t>高</w:t>
            </w:r>
            <w:r>
              <w:rPr>
                <w:rFonts w:ascii="宋体" w:hAnsi="宋体"/>
                <w:sz w:val="24"/>
                <w:szCs w:val="24"/>
              </w:rPr>
              <w:t>级</w:t>
            </w:r>
            <w:r>
              <w:rPr>
                <w:rFonts w:hint="eastAsia" w:ascii="宋体" w:hAnsi="宋体"/>
                <w:sz w:val="24"/>
                <w:szCs w:val="24"/>
              </w:rPr>
              <w:t>及以上</w:t>
            </w:r>
            <w:r>
              <w:rPr>
                <w:rFonts w:ascii="宋体" w:hAnsi="宋体"/>
                <w:sz w:val="24"/>
                <w:szCs w:val="24"/>
              </w:rPr>
              <w:t>职称</w:t>
            </w:r>
            <w:r>
              <w:rPr>
                <w:rFonts w:hint="eastAsia" w:ascii="宋体" w:hAnsi="宋体"/>
                <w:sz w:val="24"/>
                <w:szCs w:val="24"/>
              </w:rPr>
              <w:t>得2分；本项最多得4分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4</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45"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849" w:type="dxa"/>
            <w:vMerge w:val="continue"/>
            <w:tcBorders>
              <w:left w:val="single" w:color="auto" w:sz="4" w:space="0"/>
              <w:right w:val="single" w:color="auto" w:sz="4" w:space="0"/>
            </w:tcBorders>
            <w:vAlign w:val="center"/>
          </w:tcPr>
          <w:p>
            <w:pPr>
              <w:spacing w:line="320" w:lineRule="exact"/>
              <w:jc w:val="center"/>
              <w:rPr>
                <w:rFonts w:ascii="宋体" w:hAnsi="宋体"/>
                <w:sz w:val="24"/>
                <w:szCs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勘察设计</w:t>
            </w:r>
          </w:p>
          <w:p>
            <w:pPr>
              <w:spacing w:line="320" w:lineRule="exact"/>
              <w:jc w:val="center"/>
              <w:rPr>
                <w:rFonts w:ascii="宋体" w:hAnsi="宋体"/>
                <w:sz w:val="24"/>
                <w:szCs w:val="24"/>
              </w:rPr>
            </w:pPr>
            <w:r>
              <w:rPr>
                <w:rFonts w:hint="eastAsia" w:ascii="宋体" w:hAnsi="宋体"/>
                <w:sz w:val="24"/>
                <w:szCs w:val="24"/>
              </w:rPr>
              <w:t>负责人</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sz w:val="24"/>
                <w:szCs w:val="24"/>
              </w:rPr>
            </w:pPr>
            <w:r>
              <w:rPr>
                <w:rFonts w:hint="eastAsia" w:ascii="宋体" w:hAnsi="宋体"/>
                <w:sz w:val="24"/>
                <w:szCs w:val="24"/>
              </w:rPr>
              <w:t>具备一级注册建筑师</w:t>
            </w:r>
            <w:r>
              <w:rPr>
                <w:rFonts w:ascii="宋体" w:hAnsi="宋体"/>
                <w:sz w:val="24"/>
                <w:szCs w:val="24"/>
              </w:rPr>
              <w:t>执业资格</w:t>
            </w:r>
            <w:r>
              <w:rPr>
                <w:rFonts w:hint="eastAsia" w:ascii="宋体" w:hAnsi="宋体"/>
                <w:sz w:val="24"/>
                <w:szCs w:val="24"/>
              </w:rPr>
              <w:t>得2分</w:t>
            </w:r>
            <w:r>
              <w:rPr>
                <w:rFonts w:ascii="宋体" w:hAnsi="宋体"/>
                <w:sz w:val="24"/>
                <w:szCs w:val="24"/>
              </w:rPr>
              <w:t>，具有</w:t>
            </w:r>
            <w:r>
              <w:rPr>
                <w:rFonts w:hint="eastAsia" w:ascii="宋体" w:hAnsi="宋体"/>
                <w:sz w:val="24"/>
                <w:szCs w:val="24"/>
              </w:rPr>
              <w:t>高</w:t>
            </w:r>
            <w:r>
              <w:rPr>
                <w:rFonts w:ascii="宋体" w:hAnsi="宋体"/>
                <w:sz w:val="24"/>
                <w:szCs w:val="24"/>
              </w:rPr>
              <w:t>级</w:t>
            </w:r>
            <w:r>
              <w:rPr>
                <w:rFonts w:hint="eastAsia" w:ascii="宋体" w:hAnsi="宋体"/>
                <w:sz w:val="24"/>
                <w:szCs w:val="24"/>
              </w:rPr>
              <w:t>及以上</w:t>
            </w:r>
            <w:r>
              <w:rPr>
                <w:rFonts w:ascii="宋体" w:hAnsi="宋体"/>
                <w:sz w:val="24"/>
                <w:szCs w:val="24"/>
              </w:rPr>
              <w:t>职称</w:t>
            </w:r>
            <w:r>
              <w:rPr>
                <w:rFonts w:hint="eastAsia" w:ascii="宋体" w:hAnsi="宋体"/>
                <w:sz w:val="24"/>
                <w:szCs w:val="24"/>
              </w:rPr>
              <w:t>得2分；本项最多得4分。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4</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5"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造价负责人</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r>
              <w:rPr>
                <w:rFonts w:hint="eastAsia" w:ascii="宋体" w:hAnsi="宋体"/>
                <w:sz w:val="24"/>
                <w:szCs w:val="24"/>
              </w:rPr>
              <w:t>具备一级注册造价工程师（或原国家注册造价工程师）（土木建筑工程）执业资格得2分，</w:t>
            </w:r>
            <w:r>
              <w:rPr>
                <w:rFonts w:ascii="宋体" w:hAnsi="宋体"/>
                <w:sz w:val="24"/>
                <w:szCs w:val="24"/>
              </w:rPr>
              <w:t>具有</w:t>
            </w:r>
            <w:r>
              <w:rPr>
                <w:rFonts w:hint="eastAsia" w:ascii="宋体" w:hAnsi="宋体"/>
                <w:sz w:val="24"/>
                <w:szCs w:val="24"/>
              </w:rPr>
              <w:t>高</w:t>
            </w:r>
            <w:r>
              <w:rPr>
                <w:rFonts w:ascii="宋体" w:hAnsi="宋体"/>
                <w:sz w:val="24"/>
                <w:szCs w:val="24"/>
              </w:rPr>
              <w:t>级</w:t>
            </w:r>
            <w:r>
              <w:rPr>
                <w:rFonts w:hint="eastAsia" w:ascii="宋体" w:hAnsi="宋体"/>
                <w:sz w:val="24"/>
                <w:szCs w:val="24"/>
              </w:rPr>
              <w:t>及以上</w:t>
            </w:r>
            <w:r>
              <w:rPr>
                <w:rFonts w:ascii="宋体" w:hAnsi="宋体"/>
                <w:sz w:val="24"/>
                <w:szCs w:val="24"/>
              </w:rPr>
              <w:t>职称</w:t>
            </w:r>
            <w:r>
              <w:rPr>
                <w:rFonts w:hint="eastAsia" w:ascii="宋体" w:hAnsi="宋体"/>
                <w:sz w:val="24"/>
                <w:szCs w:val="24"/>
              </w:rPr>
              <w:t>得2分；本项最多得4分。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4</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4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24"/>
                <w:szCs w:val="24"/>
              </w:rPr>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24"/>
                <w:szCs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监理负责人</w:t>
            </w:r>
          </w:p>
        </w:tc>
        <w:tc>
          <w:tcPr>
            <w:tcW w:w="4696"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r>
              <w:rPr>
                <w:rFonts w:hint="eastAsia" w:ascii="宋体" w:hAnsi="宋体"/>
                <w:sz w:val="24"/>
                <w:szCs w:val="24"/>
              </w:rPr>
              <w:t>具备国家注册监理工程师（房屋建筑工程）执业资格得2分，</w:t>
            </w:r>
            <w:r>
              <w:rPr>
                <w:rFonts w:ascii="宋体" w:hAnsi="宋体"/>
                <w:sz w:val="24"/>
                <w:szCs w:val="24"/>
              </w:rPr>
              <w:t>具有</w:t>
            </w:r>
            <w:r>
              <w:rPr>
                <w:rFonts w:hint="eastAsia" w:ascii="宋体" w:hAnsi="宋体"/>
                <w:sz w:val="24"/>
                <w:szCs w:val="24"/>
              </w:rPr>
              <w:t>高</w:t>
            </w:r>
            <w:r>
              <w:rPr>
                <w:rFonts w:ascii="宋体" w:hAnsi="宋体"/>
                <w:sz w:val="24"/>
                <w:szCs w:val="24"/>
              </w:rPr>
              <w:t>级</w:t>
            </w:r>
            <w:r>
              <w:rPr>
                <w:rFonts w:hint="eastAsia" w:ascii="宋体" w:hAnsi="宋体"/>
                <w:sz w:val="24"/>
                <w:szCs w:val="24"/>
              </w:rPr>
              <w:t>及以上</w:t>
            </w:r>
            <w:r>
              <w:rPr>
                <w:rFonts w:ascii="宋体" w:hAnsi="宋体"/>
                <w:sz w:val="24"/>
                <w:szCs w:val="24"/>
              </w:rPr>
              <w:t>职称</w:t>
            </w:r>
            <w:r>
              <w:rPr>
                <w:rFonts w:hint="eastAsia" w:ascii="宋体" w:hAnsi="宋体"/>
                <w:sz w:val="24"/>
                <w:szCs w:val="24"/>
              </w:rPr>
              <w:t>得2分；本项最多得4分。</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24"/>
                <w:szCs w:val="24"/>
              </w:rPr>
            </w:pPr>
            <w:r>
              <w:rPr>
                <w:rFonts w:hint="eastAsia" w:ascii="宋体" w:hAnsi="宋体"/>
                <w:sz w:val="24"/>
                <w:szCs w:val="24"/>
              </w:rPr>
              <w:t>4</w:t>
            </w:r>
          </w:p>
        </w:tc>
        <w:tc>
          <w:tcPr>
            <w:tcW w:w="965"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szCs w:val="24"/>
              </w:rPr>
            </w:pPr>
          </w:p>
        </w:tc>
      </w:tr>
    </w:tbl>
    <w:p>
      <w:pPr>
        <w:pStyle w:val="36"/>
        <w:spacing w:after="240" w:afterLines="100" w:line="460" w:lineRule="exact"/>
        <w:ind w:firstLine="0" w:firstLineChars="0"/>
        <w:rPr>
          <w:rFonts w:ascii="仿宋_GB2312" w:eastAsia="仿宋_GB2312"/>
          <w:szCs w:val="24"/>
        </w:rPr>
      </w:pPr>
      <w:r>
        <w:rPr>
          <w:rFonts w:hint="eastAsia"/>
          <w:b/>
          <w:bCs/>
          <w:szCs w:val="24"/>
        </w:rPr>
        <w:t>商务部分评分依据：提供对应资质、执业人员资格、职称证书、业绩合同等材料予以佐证由评标委员会集体确认打分</w:t>
      </w:r>
      <w:bookmarkStart w:id="557" w:name="OLE_LINK2"/>
      <w:bookmarkStart w:id="558" w:name="_Toc439856934"/>
      <w:bookmarkStart w:id="559" w:name="OLE_LINK1"/>
      <w:r>
        <w:rPr>
          <w:rFonts w:hint="eastAsia"/>
          <w:b/>
          <w:bCs/>
          <w:szCs w:val="24"/>
        </w:rPr>
        <w:t>，缺项不得分</w:t>
      </w:r>
      <w:r>
        <w:rPr>
          <w:rFonts w:hint="eastAsia" w:ascii="仿宋_GB2312" w:eastAsia="仿宋_GB2312"/>
          <w:b/>
          <w:bCs/>
          <w:szCs w:val="24"/>
        </w:rPr>
        <w:t>。</w:t>
      </w:r>
    </w:p>
    <w:p>
      <w:pPr>
        <w:spacing w:after="240" w:afterLines="100" w:line="460" w:lineRule="exact"/>
        <w:jc w:val="center"/>
        <w:rPr>
          <w:rFonts w:ascii="黑体" w:hAnsi="黑体" w:eastAsia="黑体"/>
          <w:sz w:val="28"/>
          <w:szCs w:val="28"/>
        </w:rPr>
        <w:sectPr>
          <w:headerReference r:id="rId5" w:type="default"/>
          <w:footerReference r:id="rId7" w:type="default"/>
          <w:headerReference r:id="rId6" w:type="even"/>
          <w:footerReference r:id="rId8" w:type="even"/>
          <w:pgSz w:w="11906" w:h="16838"/>
          <w:pgMar w:top="1440" w:right="1080" w:bottom="1440" w:left="1080" w:header="1134" w:footer="1418" w:gutter="0"/>
          <w:paperSrc w:first="257" w:other="257"/>
          <w:pgNumType w:start="1"/>
          <w:cols w:space="720" w:num="1"/>
          <w:docGrid w:linePitch="435" w:charSpace="0"/>
        </w:sectPr>
      </w:pPr>
    </w:p>
    <w:p>
      <w:pPr>
        <w:pStyle w:val="36"/>
        <w:spacing w:after="240" w:afterLines="100" w:line="460" w:lineRule="exact"/>
        <w:ind w:firstLine="0" w:firstLineChars="0"/>
        <w:rPr>
          <w:rFonts w:ascii="黑体" w:hAnsi="黑体" w:eastAsia="黑体"/>
          <w:szCs w:val="24"/>
        </w:rPr>
      </w:pPr>
      <w:r>
        <w:rPr>
          <w:rFonts w:hint="eastAsia" w:ascii="黑体" w:hAnsi="黑体" w:eastAsia="黑体"/>
          <w:szCs w:val="24"/>
        </w:rPr>
        <w:t>附件7</w:t>
      </w:r>
    </w:p>
    <w:p>
      <w:pPr>
        <w:spacing w:after="240" w:afterLines="100" w:line="460" w:lineRule="exact"/>
        <w:jc w:val="center"/>
        <w:rPr>
          <w:rFonts w:ascii="黑体" w:hAnsi="黑体" w:eastAsia="黑体"/>
          <w:sz w:val="28"/>
          <w:szCs w:val="28"/>
        </w:rPr>
      </w:pPr>
      <w:r>
        <w:rPr>
          <w:rFonts w:hint="eastAsia" w:ascii="黑体" w:hAnsi="黑体" w:eastAsia="黑体"/>
          <w:sz w:val="28"/>
          <w:szCs w:val="28"/>
        </w:rPr>
        <w:t>评标结果汇总表</w:t>
      </w:r>
    </w:p>
    <w:p>
      <w:pPr>
        <w:spacing w:after="120" w:afterLines="50" w:line="460" w:lineRule="exact"/>
        <w:ind w:firstLine="600" w:firstLineChars="250"/>
        <w:rPr>
          <w:rFonts w:ascii="黑体" w:hAnsi="黑体" w:eastAsia="黑体"/>
          <w:sz w:val="24"/>
          <w:szCs w:val="24"/>
        </w:rPr>
      </w:pPr>
      <w:r>
        <w:rPr>
          <w:rFonts w:hint="eastAsia" w:ascii="楷体_GB2312" w:eastAsia="楷体_GB2312"/>
          <w:sz w:val="24"/>
          <w:szCs w:val="24"/>
        </w:rPr>
        <w:t xml:space="preserve">                                                                                 年  月  日</w:t>
      </w:r>
    </w:p>
    <w:tbl>
      <w:tblPr>
        <w:tblStyle w:val="88"/>
        <w:tblW w:w="13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3661"/>
        <w:gridCol w:w="1872"/>
        <w:gridCol w:w="1872"/>
        <w:gridCol w:w="1872"/>
        <w:gridCol w:w="1291"/>
        <w:gridCol w:w="130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2" w:type="dxa"/>
            <w:vAlign w:val="center"/>
          </w:tcPr>
          <w:p>
            <w:pPr>
              <w:jc w:val="center"/>
              <w:textAlignment w:val="center"/>
              <w:rPr>
                <w:rFonts w:ascii="黑体" w:hAnsi="黑体" w:eastAsia="黑体"/>
                <w:sz w:val="24"/>
              </w:rPr>
            </w:pPr>
            <w:r>
              <w:rPr>
                <w:rFonts w:hint="eastAsia" w:ascii="黑体" w:hAnsi="黑体" w:eastAsia="黑体"/>
                <w:sz w:val="24"/>
              </w:rPr>
              <w:t>序号</w:t>
            </w:r>
          </w:p>
        </w:tc>
        <w:tc>
          <w:tcPr>
            <w:tcW w:w="3661" w:type="dxa"/>
            <w:vAlign w:val="center"/>
          </w:tcPr>
          <w:p>
            <w:pPr>
              <w:jc w:val="center"/>
              <w:textAlignment w:val="center"/>
              <w:rPr>
                <w:rFonts w:ascii="黑体" w:hAnsi="黑体" w:eastAsia="黑体"/>
                <w:sz w:val="24"/>
              </w:rPr>
            </w:pPr>
            <w:r>
              <w:rPr>
                <w:rFonts w:hint="eastAsia" w:ascii="黑体" w:hAnsi="黑体" w:eastAsia="黑体"/>
                <w:sz w:val="24"/>
              </w:rPr>
              <w:t>投标人名称</w:t>
            </w:r>
          </w:p>
        </w:tc>
        <w:tc>
          <w:tcPr>
            <w:tcW w:w="1872" w:type="dxa"/>
            <w:vAlign w:val="center"/>
          </w:tcPr>
          <w:p>
            <w:pPr>
              <w:jc w:val="center"/>
              <w:textAlignment w:val="center"/>
              <w:rPr>
                <w:rFonts w:ascii="黑体" w:hAnsi="黑体" w:eastAsia="黑体"/>
                <w:sz w:val="24"/>
              </w:rPr>
            </w:pPr>
            <w:r>
              <w:rPr>
                <w:rFonts w:hint="eastAsia" w:ascii="黑体" w:hAnsi="黑体" w:eastAsia="黑体"/>
                <w:sz w:val="24"/>
              </w:rPr>
              <w:t>价格部分</w:t>
            </w:r>
          </w:p>
          <w:p>
            <w:pPr>
              <w:jc w:val="center"/>
              <w:textAlignment w:val="center"/>
              <w:rPr>
                <w:rFonts w:ascii="黑体" w:hAnsi="黑体" w:eastAsia="黑体"/>
                <w:sz w:val="24"/>
              </w:rPr>
            </w:pPr>
            <w:r>
              <w:rPr>
                <w:rFonts w:hint="eastAsia" w:ascii="黑体" w:hAnsi="黑体" w:eastAsia="黑体"/>
                <w:sz w:val="24"/>
              </w:rPr>
              <w:t>得分</w:t>
            </w:r>
          </w:p>
        </w:tc>
        <w:tc>
          <w:tcPr>
            <w:tcW w:w="1872" w:type="dxa"/>
            <w:vAlign w:val="center"/>
          </w:tcPr>
          <w:p>
            <w:pPr>
              <w:jc w:val="center"/>
              <w:textAlignment w:val="center"/>
              <w:rPr>
                <w:rFonts w:ascii="黑体" w:hAnsi="黑体" w:eastAsia="黑体"/>
                <w:sz w:val="24"/>
              </w:rPr>
            </w:pPr>
            <w:r>
              <w:rPr>
                <w:rFonts w:hint="eastAsia" w:ascii="黑体" w:hAnsi="黑体" w:eastAsia="黑体"/>
                <w:sz w:val="24"/>
              </w:rPr>
              <w:t>技术部分</w:t>
            </w:r>
          </w:p>
          <w:p>
            <w:pPr>
              <w:jc w:val="center"/>
              <w:textAlignment w:val="center"/>
              <w:rPr>
                <w:rFonts w:ascii="黑体" w:hAnsi="黑体" w:eastAsia="黑体"/>
                <w:sz w:val="24"/>
              </w:rPr>
            </w:pPr>
            <w:r>
              <w:rPr>
                <w:rFonts w:hint="eastAsia" w:ascii="黑体" w:hAnsi="黑体" w:eastAsia="黑体"/>
                <w:sz w:val="24"/>
              </w:rPr>
              <w:t>得分</w:t>
            </w:r>
          </w:p>
        </w:tc>
        <w:tc>
          <w:tcPr>
            <w:tcW w:w="1872" w:type="dxa"/>
            <w:vAlign w:val="center"/>
          </w:tcPr>
          <w:p>
            <w:pPr>
              <w:jc w:val="center"/>
              <w:textAlignment w:val="center"/>
              <w:rPr>
                <w:rFonts w:ascii="黑体" w:hAnsi="黑体" w:eastAsia="黑体"/>
                <w:sz w:val="24"/>
              </w:rPr>
            </w:pPr>
            <w:r>
              <w:rPr>
                <w:rFonts w:hint="eastAsia" w:ascii="黑体" w:hAnsi="黑体" w:eastAsia="黑体"/>
                <w:sz w:val="24"/>
              </w:rPr>
              <w:t xml:space="preserve">商务部分    </w:t>
            </w:r>
          </w:p>
          <w:p>
            <w:pPr>
              <w:jc w:val="center"/>
              <w:textAlignment w:val="center"/>
              <w:rPr>
                <w:rFonts w:ascii="黑体" w:hAnsi="黑体" w:eastAsia="黑体"/>
                <w:sz w:val="24"/>
              </w:rPr>
            </w:pPr>
            <w:r>
              <w:rPr>
                <w:rFonts w:hint="eastAsia" w:ascii="黑体" w:hAnsi="黑体" w:eastAsia="黑体"/>
                <w:sz w:val="24"/>
              </w:rPr>
              <w:t>得分</w:t>
            </w:r>
          </w:p>
        </w:tc>
        <w:tc>
          <w:tcPr>
            <w:tcW w:w="1291" w:type="dxa"/>
            <w:vAlign w:val="center"/>
          </w:tcPr>
          <w:p>
            <w:pPr>
              <w:jc w:val="center"/>
              <w:textAlignment w:val="center"/>
              <w:rPr>
                <w:rFonts w:ascii="黑体" w:hAnsi="黑体" w:eastAsia="黑体"/>
                <w:sz w:val="24"/>
              </w:rPr>
            </w:pPr>
            <w:r>
              <w:rPr>
                <w:rFonts w:hint="eastAsia" w:ascii="黑体" w:hAnsi="黑体" w:eastAsia="黑体"/>
                <w:sz w:val="24"/>
              </w:rPr>
              <w:t>总得分</w:t>
            </w:r>
          </w:p>
        </w:tc>
        <w:tc>
          <w:tcPr>
            <w:tcW w:w="1304" w:type="dxa"/>
            <w:vAlign w:val="center"/>
          </w:tcPr>
          <w:p>
            <w:pPr>
              <w:jc w:val="center"/>
              <w:textAlignment w:val="center"/>
              <w:rPr>
                <w:rFonts w:ascii="黑体" w:hAnsi="黑体" w:eastAsia="黑体"/>
                <w:sz w:val="24"/>
              </w:rPr>
            </w:pPr>
            <w:r>
              <w:rPr>
                <w:rFonts w:hint="eastAsia" w:ascii="黑体" w:hAnsi="黑体" w:eastAsia="黑体"/>
                <w:sz w:val="24"/>
              </w:rPr>
              <w:t>排名</w:t>
            </w:r>
          </w:p>
        </w:tc>
        <w:tc>
          <w:tcPr>
            <w:tcW w:w="1214" w:type="dxa"/>
            <w:vAlign w:val="center"/>
          </w:tcPr>
          <w:p>
            <w:pPr>
              <w:jc w:val="center"/>
              <w:textAlignment w:val="center"/>
              <w:rPr>
                <w:rFonts w:ascii="黑体" w:hAnsi="黑体" w:eastAsia="黑体"/>
                <w:sz w:val="24"/>
              </w:rPr>
            </w:pPr>
            <w:r>
              <w:rPr>
                <w:rFonts w:hint="eastAsia" w:ascii="黑体" w:hAnsi="黑体" w:eastAsia="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2" w:type="dxa"/>
            <w:vAlign w:val="center"/>
          </w:tcPr>
          <w:p>
            <w:pPr>
              <w:jc w:val="center"/>
              <w:textAlignment w:val="center"/>
              <w:rPr>
                <w:rFonts w:ascii="仿宋_GB2312" w:hAnsi="宋体" w:eastAsia="仿宋_GB2312"/>
                <w:sz w:val="24"/>
              </w:rPr>
            </w:pPr>
            <w:r>
              <w:rPr>
                <w:rFonts w:hint="eastAsia" w:ascii="仿宋_GB2312" w:hAnsi="宋体" w:eastAsia="仿宋_GB2312"/>
                <w:sz w:val="24"/>
              </w:rPr>
              <w:t>1</w:t>
            </w:r>
          </w:p>
        </w:tc>
        <w:tc>
          <w:tcPr>
            <w:tcW w:w="3661"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291" w:type="dxa"/>
            <w:vAlign w:val="center"/>
          </w:tcPr>
          <w:p>
            <w:pPr>
              <w:tabs>
                <w:tab w:val="left" w:pos="1720"/>
              </w:tabs>
              <w:spacing w:line="500" w:lineRule="exact"/>
              <w:jc w:val="center"/>
              <w:textAlignment w:val="center"/>
              <w:rPr>
                <w:rFonts w:ascii="仿宋_GB2312" w:hAnsi="宋体" w:eastAsia="仿宋_GB2312"/>
                <w:sz w:val="24"/>
              </w:rPr>
            </w:pPr>
          </w:p>
        </w:tc>
        <w:tc>
          <w:tcPr>
            <w:tcW w:w="1304" w:type="dxa"/>
            <w:vAlign w:val="center"/>
          </w:tcPr>
          <w:p>
            <w:pPr>
              <w:tabs>
                <w:tab w:val="left" w:pos="1720"/>
              </w:tabs>
              <w:spacing w:line="500" w:lineRule="exact"/>
              <w:jc w:val="center"/>
              <w:textAlignment w:val="center"/>
              <w:rPr>
                <w:rFonts w:ascii="仿宋_GB2312" w:hAnsi="宋体" w:eastAsia="仿宋_GB2312"/>
                <w:sz w:val="24"/>
              </w:rPr>
            </w:pPr>
          </w:p>
        </w:tc>
        <w:tc>
          <w:tcPr>
            <w:tcW w:w="1214" w:type="dxa"/>
            <w:vAlign w:val="center"/>
          </w:tcPr>
          <w:p>
            <w:pPr>
              <w:tabs>
                <w:tab w:val="left" w:pos="1720"/>
              </w:tabs>
              <w:spacing w:line="500" w:lineRule="exact"/>
              <w:jc w:val="center"/>
              <w:textAlignment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2" w:type="dxa"/>
            <w:vAlign w:val="center"/>
          </w:tcPr>
          <w:p>
            <w:pPr>
              <w:jc w:val="center"/>
              <w:textAlignment w:val="center"/>
              <w:rPr>
                <w:rFonts w:ascii="仿宋_GB2312" w:hAnsi="宋体" w:eastAsia="仿宋_GB2312"/>
                <w:sz w:val="24"/>
              </w:rPr>
            </w:pPr>
            <w:r>
              <w:rPr>
                <w:rFonts w:hint="eastAsia" w:ascii="仿宋_GB2312" w:hAnsi="宋体" w:eastAsia="仿宋_GB2312"/>
                <w:sz w:val="24"/>
              </w:rPr>
              <w:t>2</w:t>
            </w:r>
          </w:p>
        </w:tc>
        <w:tc>
          <w:tcPr>
            <w:tcW w:w="3661"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291" w:type="dxa"/>
            <w:vAlign w:val="center"/>
          </w:tcPr>
          <w:p>
            <w:pPr>
              <w:tabs>
                <w:tab w:val="left" w:pos="1720"/>
              </w:tabs>
              <w:spacing w:line="500" w:lineRule="exact"/>
              <w:jc w:val="center"/>
              <w:textAlignment w:val="center"/>
              <w:rPr>
                <w:rFonts w:ascii="仿宋_GB2312" w:hAnsi="宋体" w:eastAsia="仿宋_GB2312"/>
                <w:sz w:val="24"/>
              </w:rPr>
            </w:pPr>
          </w:p>
        </w:tc>
        <w:tc>
          <w:tcPr>
            <w:tcW w:w="1304" w:type="dxa"/>
            <w:vAlign w:val="center"/>
          </w:tcPr>
          <w:p>
            <w:pPr>
              <w:tabs>
                <w:tab w:val="left" w:pos="1720"/>
              </w:tabs>
              <w:spacing w:line="500" w:lineRule="exact"/>
              <w:jc w:val="center"/>
              <w:textAlignment w:val="center"/>
              <w:rPr>
                <w:rFonts w:ascii="仿宋_GB2312" w:hAnsi="宋体" w:eastAsia="仿宋_GB2312"/>
                <w:sz w:val="24"/>
              </w:rPr>
            </w:pPr>
          </w:p>
        </w:tc>
        <w:tc>
          <w:tcPr>
            <w:tcW w:w="1214" w:type="dxa"/>
            <w:vAlign w:val="center"/>
          </w:tcPr>
          <w:p>
            <w:pPr>
              <w:tabs>
                <w:tab w:val="left" w:pos="1720"/>
              </w:tabs>
              <w:spacing w:line="500" w:lineRule="exact"/>
              <w:jc w:val="center"/>
              <w:textAlignment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2" w:type="dxa"/>
            <w:vAlign w:val="center"/>
          </w:tcPr>
          <w:p>
            <w:pPr>
              <w:jc w:val="center"/>
              <w:textAlignment w:val="center"/>
              <w:rPr>
                <w:rFonts w:ascii="仿宋_GB2312" w:hAnsi="宋体" w:eastAsia="仿宋_GB2312"/>
                <w:sz w:val="24"/>
              </w:rPr>
            </w:pPr>
            <w:r>
              <w:rPr>
                <w:rFonts w:hint="eastAsia" w:ascii="仿宋_GB2312" w:hAnsi="宋体" w:eastAsia="仿宋_GB2312"/>
                <w:sz w:val="24"/>
              </w:rPr>
              <w:t>3</w:t>
            </w:r>
          </w:p>
        </w:tc>
        <w:tc>
          <w:tcPr>
            <w:tcW w:w="3661"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291" w:type="dxa"/>
            <w:vAlign w:val="center"/>
          </w:tcPr>
          <w:p>
            <w:pPr>
              <w:tabs>
                <w:tab w:val="left" w:pos="1720"/>
              </w:tabs>
              <w:spacing w:line="500" w:lineRule="exact"/>
              <w:jc w:val="center"/>
              <w:textAlignment w:val="center"/>
              <w:rPr>
                <w:rFonts w:ascii="仿宋_GB2312" w:hAnsi="宋体" w:eastAsia="仿宋_GB2312"/>
                <w:sz w:val="24"/>
              </w:rPr>
            </w:pPr>
          </w:p>
        </w:tc>
        <w:tc>
          <w:tcPr>
            <w:tcW w:w="1304" w:type="dxa"/>
            <w:vAlign w:val="center"/>
          </w:tcPr>
          <w:p>
            <w:pPr>
              <w:tabs>
                <w:tab w:val="left" w:pos="1720"/>
              </w:tabs>
              <w:spacing w:line="500" w:lineRule="exact"/>
              <w:jc w:val="center"/>
              <w:textAlignment w:val="center"/>
              <w:rPr>
                <w:rFonts w:ascii="仿宋_GB2312" w:hAnsi="宋体" w:eastAsia="仿宋_GB2312"/>
                <w:sz w:val="24"/>
              </w:rPr>
            </w:pPr>
          </w:p>
        </w:tc>
        <w:tc>
          <w:tcPr>
            <w:tcW w:w="1214" w:type="dxa"/>
            <w:vAlign w:val="center"/>
          </w:tcPr>
          <w:p>
            <w:pPr>
              <w:tabs>
                <w:tab w:val="left" w:pos="1720"/>
              </w:tabs>
              <w:spacing w:line="500" w:lineRule="exact"/>
              <w:jc w:val="center"/>
              <w:textAlignment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2" w:type="dxa"/>
            <w:vAlign w:val="center"/>
          </w:tcPr>
          <w:p>
            <w:pPr>
              <w:jc w:val="center"/>
              <w:textAlignment w:val="center"/>
              <w:rPr>
                <w:rFonts w:ascii="仿宋_GB2312" w:hAnsi="宋体" w:eastAsia="仿宋_GB2312"/>
                <w:sz w:val="24"/>
              </w:rPr>
            </w:pPr>
          </w:p>
        </w:tc>
        <w:tc>
          <w:tcPr>
            <w:tcW w:w="3661" w:type="dxa"/>
            <w:vAlign w:val="center"/>
          </w:tcPr>
          <w:p>
            <w:pPr>
              <w:tabs>
                <w:tab w:val="left" w:pos="1720"/>
              </w:tabs>
              <w:spacing w:line="500" w:lineRule="exact"/>
              <w:jc w:val="center"/>
              <w:textAlignment w:val="center"/>
              <w:rPr>
                <w:rFonts w:ascii="仿宋_GB2312" w:hAnsi="宋体" w:eastAsia="仿宋_GB2312"/>
                <w:sz w:val="24"/>
              </w:rPr>
            </w:pPr>
            <w:r>
              <w:rPr>
                <w:rFonts w:hint="eastAsia" w:ascii="仿宋_GB2312" w:hAnsi="宋体" w:eastAsia="仿宋_GB2312"/>
                <w:sz w:val="24"/>
              </w:rPr>
              <w:t>……</w:t>
            </w: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291" w:type="dxa"/>
            <w:vAlign w:val="center"/>
          </w:tcPr>
          <w:p>
            <w:pPr>
              <w:tabs>
                <w:tab w:val="left" w:pos="1720"/>
              </w:tabs>
              <w:spacing w:line="500" w:lineRule="exact"/>
              <w:jc w:val="center"/>
              <w:textAlignment w:val="center"/>
              <w:rPr>
                <w:rFonts w:ascii="仿宋_GB2312" w:hAnsi="宋体" w:eastAsia="仿宋_GB2312"/>
                <w:sz w:val="24"/>
              </w:rPr>
            </w:pPr>
          </w:p>
        </w:tc>
        <w:tc>
          <w:tcPr>
            <w:tcW w:w="1304" w:type="dxa"/>
            <w:vAlign w:val="center"/>
          </w:tcPr>
          <w:p>
            <w:pPr>
              <w:tabs>
                <w:tab w:val="left" w:pos="1720"/>
              </w:tabs>
              <w:spacing w:line="500" w:lineRule="exact"/>
              <w:jc w:val="center"/>
              <w:textAlignment w:val="center"/>
              <w:rPr>
                <w:rFonts w:ascii="仿宋_GB2312" w:hAnsi="宋体" w:eastAsia="仿宋_GB2312"/>
                <w:sz w:val="24"/>
              </w:rPr>
            </w:pPr>
          </w:p>
        </w:tc>
        <w:tc>
          <w:tcPr>
            <w:tcW w:w="1214" w:type="dxa"/>
            <w:vAlign w:val="center"/>
          </w:tcPr>
          <w:p>
            <w:pPr>
              <w:tabs>
                <w:tab w:val="left" w:pos="1720"/>
              </w:tabs>
              <w:spacing w:line="500" w:lineRule="exact"/>
              <w:jc w:val="center"/>
              <w:textAlignment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2" w:type="dxa"/>
            <w:vAlign w:val="center"/>
          </w:tcPr>
          <w:p>
            <w:pPr>
              <w:jc w:val="center"/>
              <w:textAlignment w:val="center"/>
              <w:rPr>
                <w:rFonts w:ascii="仿宋_GB2312" w:hAnsi="宋体" w:eastAsia="仿宋_GB2312"/>
                <w:sz w:val="24"/>
              </w:rPr>
            </w:pPr>
          </w:p>
        </w:tc>
        <w:tc>
          <w:tcPr>
            <w:tcW w:w="3661"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872" w:type="dxa"/>
            <w:vAlign w:val="center"/>
          </w:tcPr>
          <w:p>
            <w:pPr>
              <w:tabs>
                <w:tab w:val="left" w:pos="1720"/>
              </w:tabs>
              <w:spacing w:line="500" w:lineRule="exact"/>
              <w:jc w:val="center"/>
              <w:textAlignment w:val="center"/>
              <w:rPr>
                <w:rFonts w:ascii="仿宋_GB2312" w:hAnsi="宋体" w:eastAsia="仿宋_GB2312"/>
                <w:sz w:val="24"/>
              </w:rPr>
            </w:pPr>
          </w:p>
        </w:tc>
        <w:tc>
          <w:tcPr>
            <w:tcW w:w="1291" w:type="dxa"/>
            <w:vAlign w:val="center"/>
          </w:tcPr>
          <w:p>
            <w:pPr>
              <w:tabs>
                <w:tab w:val="left" w:pos="1720"/>
              </w:tabs>
              <w:spacing w:line="500" w:lineRule="exact"/>
              <w:jc w:val="center"/>
              <w:textAlignment w:val="center"/>
              <w:rPr>
                <w:rFonts w:ascii="仿宋_GB2312" w:hAnsi="宋体" w:eastAsia="仿宋_GB2312"/>
                <w:sz w:val="24"/>
              </w:rPr>
            </w:pPr>
          </w:p>
        </w:tc>
        <w:tc>
          <w:tcPr>
            <w:tcW w:w="1304" w:type="dxa"/>
            <w:vAlign w:val="center"/>
          </w:tcPr>
          <w:p>
            <w:pPr>
              <w:tabs>
                <w:tab w:val="left" w:pos="1720"/>
              </w:tabs>
              <w:spacing w:line="500" w:lineRule="exact"/>
              <w:jc w:val="center"/>
              <w:textAlignment w:val="center"/>
              <w:rPr>
                <w:rFonts w:ascii="仿宋_GB2312" w:hAnsi="宋体" w:eastAsia="仿宋_GB2312"/>
                <w:sz w:val="24"/>
              </w:rPr>
            </w:pPr>
          </w:p>
        </w:tc>
        <w:tc>
          <w:tcPr>
            <w:tcW w:w="1214" w:type="dxa"/>
            <w:vAlign w:val="center"/>
          </w:tcPr>
          <w:p>
            <w:pPr>
              <w:tabs>
                <w:tab w:val="left" w:pos="1720"/>
              </w:tabs>
              <w:spacing w:line="500" w:lineRule="exact"/>
              <w:jc w:val="center"/>
              <w:textAlignment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928" w:type="dxa"/>
            <w:gridSpan w:val="8"/>
            <w:vAlign w:val="center"/>
          </w:tcPr>
          <w:p>
            <w:pPr>
              <w:tabs>
                <w:tab w:val="left" w:pos="1720"/>
              </w:tabs>
              <w:spacing w:line="500" w:lineRule="exact"/>
              <w:jc w:val="left"/>
              <w:textAlignment w:val="center"/>
              <w:rPr>
                <w:rFonts w:ascii="宋体" w:hAnsi="宋体"/>
                <w:sz w:val="24"/>
              </w:rPr>
            </w:pPr>
            <w:r>
              <w:rPr>
                <w:rFonts w:hint="eastAsia" w:ascii="宋体" w:hAnsi="宋体"/>
                <w:sz w:val="24"/>
              </w:rPr>
              <w:t>说明：总得分=</w:t>
            </w:r>
            <w:r>
              <w:rPr>
                <w:rFonts w:hint="eastAsia" w:ascii="宋体" w:hAnsi="宋体"/>
                <w:bCs/>
                <w:sz w:val="24"/>
                <w:szCs w:val="24"/>
              </w:rPr>
              <w:t>价格部分得分×50%+</w:t>
            </w:r>
            <w:r>
              <w:rPr>
                <w:rFonts w:hint="eastAsia" w:ascii="宋体" w:hAnsi="宋体"/>
                <w:sz w:val="24"/>
              </w:rPr>
              <w:t>技术部分得分</w:t>
            </w:r>
            <w:r>
              <w:rPr>
                <w:rFonts w:hint="eastAsia" w:ascii="宋体" w:hAnsi="宋体"/>
                <w:bCs/>
                <w:sz w:val="24"/>
                <w:szCs w:val="24"/>
              </w:rPr>
              <w:t>×25%+商务部分得分×25%。本表中</w:t>
            </w:r>
            <w:r>
              <w:rPr>
                <w:rFonts w:hint="eastAsia" w:ascii="宋体" w:hAnsi="宋体"/>
                <w:sz w:val="24"/>
              </w:rPr>
              <w:t>价格部分、</w:t>
            </w:r>
            <w:r>
              <w:rPr>
                <w:rFonts w:hint="eastAsia" w:ascii="宋体" w:hAnsi="宋体"/>
                <w:bCs/>
                <w:sz w:val="24"/>
                <w:szCs w:val="24"/>
              </w:rPr>
              <w:t>技术部分得分、商务部分得分分值应为未乘以权重的得分。</w:t>
            </w:r>
          </w:p>
        </w:tc>
      </w:tr>
      <w:bookmarkEnd w:id="557"/>
      <w:bookmarkEnd w:id="558"/>
      <w:bookmarkEnd w:id="559"/>
    </w:tbl>
    <w:p>
      <w:pPr>
        <w:pStyle w:val="6"/>
        <w:rPr>
          <w:rFonts w:ascii="黑体" w:hAnsi="黑体"/>
          <w:szCs w:val="32"/>
        </w:rPr>
        <w:sectPr>
          <w:headerReference r:id="rId11" w:type="first"/>
          <w:headerReference r:id="rId9" w:type="default"/>
          <w:footerReference r:id="rId12" w:type="default"/>
          <w:headerReference r:id="rId10" w:type="even"/>
          <w:footerReference r:id="rId13" w:type="even"/>
          <w:pgSz w:w="16838" w:h="11906" w:orient="landscape"/>
          <w:pgMar w:top="1474" w:right="1928" w:bottom="1588" w:left="2098" w:header="1134" w:footer="1418" w:gutter="0"/>
          <w:cols w:space="720" w:num="1"/>
          <w:docGrid w:linePitch="435" w:charSpace="0"/>
        </w:sectPr>
      </w:pPr>
      <w:bookmarkStart w:id="560" w:name="_Toc16769"/>
      <w:bookmarkStart w:id="561" w:name="_Toc202362162"/>
      <w:bookmarkStart w:id="562" w:name="_Toc262123810"/>
    </w:p>
    <w:p>
      <w:pPr>
        <w:rPr>
          <w:b/>
          <w:bCs/>
          <w:sz w:val="28"/>
          <w:szCs w:val="24"/>
        </w:rPr>
      </w:pPr>
      <w:r>
        <w:rPr>
          <w:rFonts w:hint="eastAsia"/>
          <w:b/>
          <w:bCs/>
          <w:sz w:val="28"/>
          <w:szCs w:val="24"/>
        </w:rPr>
        <w:t>附表8：评标情况报告</w:t>
      </w:r>
      <w:bookmarkEnd w:id="560"/>
    </w:p>
    <w:p>
      <w:pPr>
        <w:jc w:val="center"/>
        <w:rPr>
          <w:b/>
          <w:bCs/>
          <w:sz w:val="28"/>
          <w:szCs w:val="24"/>
        </w:rPr>
      </w:pPr>
      <w:r>
        <w:rPr>
          <w:rFonts w:hint="eastAsia"/>
          <w:b/>
          <w:bCs/>
          <w:sz w:val="28"/>
          <w:szCs w:val="24"/>
        </w:rPr>
        <w:t>评 标 情 况 报 告</w:t>
      </w:r>
    </w:p>
    <w:p>
      <w:pPr>
        <w:jc w:val="center"/>
        <w:rPr>
          <w:rFonts w:eastAsia="黑体"/>
          <w:b/>
          <w:sz w:val="10"/>
          <w:szCs w:val="10"/>
        </w:rPr>
      </w:pPr>
    </w:p>
    <w:p>
      <w:pPr>
        <w:ind w:right="105" w:rightChars="50"/>
        <w:jc w:val="left"/>
        <w:rPr>
          <w:rFonts w:hint="eastAsia"/>
        </w:rPr>
      </w:pPr>
      <w:r>
        <w:rPr>
          <w:rFonts w:hint="eastAsia" w:ascii="宋体"/>
          <w:sz w:val="24"/>
        </w:rPr>
        <w:t>工程名称：</w:t>
      </w:r>
      <w:r>
        <w:t xml:space="preserve"> </w:t>
      </w:r>
      <w:r>
        <w:rPr>
          <w:rFonts w:hint="eastAsia"/>
          <w:highlight w:val="none"/>
        </w:rPr>
        <w:t>3122工程全过程工程咨询（2025-JJDCBG-G1004）</w:t>
      </w:r>
      <w:r>
        <w:t xml:space="preserve">               </w:t>
      </w:r>
      <w:r>
        <w:rPr>
          <w:rFonts w:hint="eastAsia"/>
        </w:rPr>
        <w:t xml:space="preserve">         </w:t>
      </w:r>
    </w:p>
    <w:p>
      <w:pPr>
        <w:ind w:right="105" w:rightChars="50"/>
        <w:jc w:val="left"/>
        <w:rPr>
          <w:rFonts w:eastAsia="黑体"/>
          <w:b/>
        </w:rPr>
      </w:pPr>
      <w:r>
        <w:t>日</w:t>
      </w:r>
      <w:r>
        <w:rPr>
          <w:rFonts w:hint="eastAsia"/>
        </w:rPr>
        <w:t xml:space="preserve"> </w:t>
      </w:r>
      <w:r>
        <w:t xml:space="preserve">    期：    年    月    日</w:t>
      </w:r>
    </w:p>
    <w:tbl>
      <w:tblPr>
        <w:tblStyle w:val="8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7"/>
        <w:gridCol w:w="1387"/>
        <w:gridCol w:w="2874"/>
        <w:gridCol w:w="1257"/>
        <w:gridCol w:w="1205"/>
        <w:gridCol w:w="1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6" w:hRule="exact"/>
          <w:jc w:val="center"/>
        </w:trPr>
        <w:tc>
          <w:tcPr>
            <w:tcW w:w="1667" w:type="dxa"/>
            <w:tcBorders>
              <w:top w:val="single" w:color="auto" w:sz="12" w:space="0"/>
              <w:left w:val="single" w:color="auto" w:sz="12" w:space="0"/>
              <w:bottom w:val="single" w:color="auto" w:sz="4" w:space="0"/>
              <w:right w:val="single" w:color="auto" w:sz="4" w:space="0"/>
            </w:tcBorders>
            <w:vAlign w:val="center"/>
          </w:tcPr>
          <w:p>
            <w:pPr>
              <w:spacing w:line="360" w:lineRule="auto"/>
              <w:jc w:val="center"/>
              <w:rPr>
                <w:rFonts w:ascii="宋体"/>
                <w:sz w:val="24"/>
              </w:rPr>
            </w:pPr>
            <w:r>
              <w:rPr>
                <w:rFonts w:hint="eastAsia" w:ascii="宋体"/>
                <w:sz w:val="24"/>
              </w:rPr>
              <w:t>评审基本情况</w:t>
            </w:r>
          </w:p>
        </w:tc>
        <w:tc>
          <w:tcPr>
            <w:tcW w:w="8033" w:type="dxa"/>
            <w:gridSpan w:val="5"/>
            <w:tcBorders>
              <w:top w:val="single" w:color="auto" w:sz="12" w:space="0"/>
              <w:left w:val="single" w:color="auto" w:sz="4" w:space="0"/>
              <w:bottom w:val="single" w:color="auto" w:sz="4" w:space="0"/>
              <w:right w:val="single" w:color="auto" w:sz="12" w:space="0"/>
            </w:tcBorders>
            <w:vAlign w:val="center"/>
          </w:tcPr>
          <w:p>
            <w:pPr>
              <w:spacing w:line="360" w:lineRule="auto"/>
              <w:jc w:val="left"/>
            </w:pPr>
            <w:r>
              <w:rPr>
                <w:rFonts w:hint="eastAsia"/>
              </w:rPr>
              <w:t xml:space="preserve">    本次招标于</w:t>
            </w:r>
            <w:r>
              <w:rPr>
                <w:u w:val="single"/>
              </w:rPr>
              <w:t xml:space="preserve">    </w:t>
            </w:r>
            <w:r>
              <w:t>年</w:t>
            </w:r>
            <w:r>
              <w:rPr>
                <w:u w:val="single"/>
              </w:rPr>
              <w:t xml:space="preserve">    </w:t>
            </w:r>
            <w:r>
              <w:t>月</w:t>
            </w:r>
            <w:r>
              <w:rPr>
                <w:u w:val="single"/>
              </w:rPr>
              <w:t xml:space="preserve">    </w:t>
            </w:r>
            <w:r>
              <w:t>日</w:t>
            </w:r>
            <w:r>
              <w:rPr>
                <w:rFonts w:hint="eastAsia"/>
              </w:rPr>
              <w:t>在</w:t>
            </w:r>
            <w:r>
              <w:rPr>
                <w:u w:val="single"/>
              </w:rPr>
              <w:t xml:space="preserve">    </w:t>
            </w:r>
            <w:r>
              <w:rPr>
                <w:rFonts w:hint="eastAsia"/>
                <w:u w:val="single"/>
              </w:rPr>
              <w:t xml:space="preserve">                  </w:t>
            </w:r>
            <w:r>
              <w:rPr>
                <w:rFonts w:hint="eastAsia"/>
              </w:rPr>
              <w:t>进行评标。评标委员会共有</w:t>
            </w:r>
            <w:r>
              <w:rPr>
                <w:rFonts w:hint="eastAsia"/>
                <w:u w:val="single"/>
              </w:rPr>
              <w:t xml:space="preserve">    </w:t>
            </w:r>
            <w:r>
              <w:rPr>
                <w:rFonts w:hint="eastAsia"/>
              </w:rPr>
              <w:t>人组成，其中随机抽取的专家</w:t>
            </w:r>
            <w:r>
              <w:rPr>
                <w:rFonts w:hint="eastAsia"/>
                <w:u w:val="single"/>
              </w:rPr>
              <w:t xml:space="preserve">     </w:t>
            </w:r>
            <w:r>
              <w:rPr>
                <w:rFonts w:hint="eastAsia"/>
              </w:rPr>
              <w:t>名，建设单位代表</w:t>
            </w:r>
            <w:r>
              <w:rPr>
                <w:rFonts w:hint="eastAsia"/>
                <w:u w:val="single"/>
              </w:rPr>
              <w:t xml:space="preserve">     </w:t>
            </w:r>
            <w:r>
              <w:rPr>
                <w:rFonts w:hint="eastAsia"/>
              </w:rPr>
              <w:t>名；采用</w:t>
            </w:r>
            <w:r>
              <w:rPr>
                <w:rFonts w:hint="eastAsia"/>
                <w:u w:val="single"/>
              </w:rPr>
              <w:t xml:space="preserve">               </w:t>
            </w:r>
            <w:r>
              <w:rPr>
                <w:rFonts w:hint="eastAsia"/>
              </w:rPr>
              <w:t>评标办法，对</w:t>
            </w:r>
            <w:r>
              <w:rPr>
                <w:rFonts w:hint="eastAsia"/>
                <w:u w:val="single"/>
              </w:rPr>
              <w:t xml:space="preserve">     </w:t>
            </w:r>
            <w:r>
              <w:rPr>
                <w:rFonts w:hint="eastAsia"/>
              </w:rPr>
              <w:t>家投标人的投标进行评审，其中有效投标</w:t>
            </w:r>
            <w:r>
              <w:rPr>
                <w:rFonts w:hint="eastAsia"/>
                <w:u w:val="single"/>
              </w:rPr>
              <w:t xml:space="preserve">     </w:t>
            </w:r>
            <w:r>
              <w:rPr>
                <w:rFonts w:hint="eastAsia"/>
              </w:rPr>
              <w:t>家，无效投标</w:t>
            </w:r>
            <w:r>
              <w:rPr>
                <w:rFonts w:hint="eastAsia"/>
                <w:u w:val="single"/>
              </w:rPr>
              <w:t xml:space="preserve">     </w:t>
            </w:r>
            <w:r>
              <w:rPr>
                <w:rFonts w:hint="eastAsia"/>
              </w:rPr>
              <w:t xml:space="preserve">家。  </w:t>
            </w:r>
          </w:p>
          <w:p>
            <w:pPr>
              <w:spacing w:line="360" w:lineRule="auto"/>
              <w:jc w:val="left"/>
              <w:rPr>
                <w:rFonts w:ascii="宋体"/>
                <w:sz w:val="24"/>
              </w:rPr>
            </w:pPr>
            <w:r>
              <w:rPr>
                <w:rFonts w:hint="eastAsia"/>
              </w:rPr>
              <w:t>（需要说明的其他情况）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667" w:type="dxa"/>
            <w:vMerge w:val="restart"/>
            <w:tcBorders>
              <w:top w:val="single" w:color="auto" w:sz="4" w:space="0"/>
              <w:left w:val="single" w:color="auto" w:sz="12" w:space="0"/>
              <w:right w:val="single" w:color="auto" w:sz="4" w:space="0"/>
            </w:tcBorders>
            <w:vAlign w:val="center"/>
          </w:tcPr>
          <w:p>
            <w:pPr>
              <w:spacing w:line="360" w:lineRule="auto"/>
              <w:jc w:val="center"/>
              <w:rPr>
                <w:rFonts w:ascii="宋体"/>
                <w:sz w:val="24"/>
              </w:rPr>
            </w:pPr>
            <w:r>
              <w:rPr>
                <w:rFonts w:hint="eastAsia" w:ascii="宋体"/>
                <w:sz w:val="24"/>
              </w:rPr>
              <w:t>评标委员会</w:t>
            </w:r>
          </w:p>
          <w:p>
            <w:pPr>
              <w:jc w:val="center"/>
              <w:rPr>
                <w:rFonts w:ascii="宋体"/>
              </w:rPr>
            </w:pPr>
            <w:r>
              <w:rPr>
                <w:rFonts w:hint="eastAsia" w:ascii="宋体"/>
                <w:sz w:val="24"/>
              </w:rPr>
              <w:t>评审结果</w:t>
            </w:r>
          </w:p>
        </w:tc>
        <w:tc>
          <w:tcPr>
            <w:tcW w:w="426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投标人名称</w:t>
            </w:r>
          </w:p>
        </w:tc>
        <w:tc>
          <w:tcPr>
            <w:tcW w:w="1257"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投标费率</w:t>
            </w:r>
          </w:p>
        </w:tc>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评标得分</w:t>
            </w:r>
          </w:p>
        </w:tc>
        <w:tc>
          <w:tcPr>
            <w:tcW w:w="1310" w:type="dxa"/>
            <w:tcBorders>
              <w:top w:val="single" w:color="auto" w:sz="4" w:space="0"/>
              <w:left w:val="single" w:color="auto" w:sz="4" w:space="0"/>
              <w:bottom w:val="single" w:color="auto" w:sz="4" w:space="0"/>
              <w:right w:val="single" w:color="auto" w:sz="12" w:space="0"/>
            </w:tcBorders>
            <w:vAlign w:val="center"/>
          </w:tcPr>
          <w:p>
            <w:pPr>
              <w:jc w:val="center"/>
              <w:rPr>
                <w:rFonts w:ascii="宋体"/>
                <w:sz w:val="24"/>
              </w:rPr>
            </w:pPr>
            <w:r>
              <w:rPr>
                <w:rFonts w:hint="eastAsia" w:ascii="宋体"/>
                <w:sz w:val="24"/>
              </w:rPr>
              <w:t>排名次序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67" w:type="dxa"/>
            <w:vMerge w:val="continue"/>
            <w:tcBorders>
              <w:left w:val="single" w:color="auto" w:sz="12" w:space="0"/>
              <w:right w:val="single" w:color="auto" w:sz="4" w:space="0"/>
            </w:tcBorders>
            <w:vAlign w:val="center"/>
          </w:tcPr>
          <w:p>
            <w:pPr>
              <w:widowControl/>
              <w:jc w:val="left"/>
              <w:rPr>
                <w:rFonts w:ascii="宋体"/>
                <w:sz w:val="24"/>
              </w:rPr>
            </w:pPr>
          </w:p>
        </w:tc>
        <w:tc>
          <w:tcPr>
            <w:tcW w:w="4261" w:type="dxa"/>
            <w:gridSpan w:val="2"/>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57"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05"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310" w:type="dxa"/>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00" w:hRule="atLeast"/>
          <w:jc w:val="center"/>
        </w:trPr>
        <w:tc>
          <w:tcPr>
            <w:tcW w:w="1667" w:type="dxa"/>
            <w:vMerge w:val="continue"/>
            <w:tcBorders>
              <w:left w:val="single" w:color="auto" w:sz="12" w:space="0"/>
              <w:right w:val="single" w:color="auto" w:sz="4" w:space="0"/>
            </w:tcBorders>
            <w:vAlign w:val="center"/>
          </w:tcPr>
          <w:p>
            <w:pPr>
              <w:widowControl/>
              <w:jc w:val="left"/>
              <w:rPr>
                <w:rFonts w:ascii="宋体"/>
                <w:sz w:val="24"/>
              </w:rPr>
            </w:pPr>
          </w:p>
        </w:tc>
        <w:tc>
          <w:tcPr>
            <w:tcW w:w="4261" w:type="dxa"/>
            <w:gridSpan w:val="2"/>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57"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05"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310" w:type="dxa"/>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67" w:type="dxa"/>
            <w:vMerge w:val="continue"/>
            <w:tcBorders>
              <w:left w:val="single" w:color="auto" w:sz="12" w:space="0"/>
              <w:right w:val="single" w:color="auto" w:sz="4" w:space="0"/>
            </w:tcBorders>
            <w:vAlign w:val="center"/>
          </w:tcPr>
          <w:p>
            <w:pPr>
              <w:widowControl/>
              <w:jc w:val="left"/>
              <w:rPr>
                <w:rFonts w:ascii="宋体"/>
                <w:sz w:val="24"/>
              </w:rPr>
            </w:pPr>
          </w:p>
        </w:tc>
        <w:tc>
          <w:tcPr>
            <w:tcW w:w="4261" w:type="dxa"/>
            <w:gridSpan w:val="2"/>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57"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05"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310" w:type="dxa"/>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67" w:type="dxa"/>
            <w:vMerge w:val="continue"/>
            <w:tcBorders>
              <w:left w:val="single" w:color="auto" w:sz="12" w:space="0"/>
              <w:right w:val="single" w:color="auto" w:sz="4" w:space="0"/>
            </w:tcBorders>
            <w:vAlign w:val="center"/>
          </w:tcPr>
          <w:p>
            <w:pPr>
              <w:widowControl/>
              <w:jc w:val="left"/>
              <w:rPr>
                <w:rFonts w:ascii="宋体"/>
                <w:sz w:val="24"/>
              </w:rPr>
            </w:pPr>
          </w:p>
        </w:tc>
        <w:tc>
          <w:tcPr>
            <w:tcW w:w="4261" w:type="dxa"/>
            <w:gridSpan w:val="2"/>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57"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05"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310" w:type="dxa"/>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67" w:type="dxa"/>
            <w:vMerge w:val="continue"/>
            <w:tcBorders>
              <w:left w:val="single" w:color="auto" w:sz="12" w:space="0"/>
              <w:right w:val="single" w:color="auto" w:sz="4" w:space="0"/>
            </w:tcBorders>
            <w:vAlign w:val="center"/>
          </w:tcPr>
          <w:p>
            <w:pPr>
              <w:widowControl/>
              <w:jc w:val="left"/>
              <w:rPr>
                <w:rFonts w:ascii="宋体"/>
                <w:sz w:val="24"/>
              </w:rPr>
            </w:pPr>
          </w:p>
        </w:tc>
        <w:tc>
          <w:tcPr>
            <w:tcW w:w="4261" w:type="dxa"/>
            <w:gridSpan w:val="2"/>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57"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05"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310" w:type="dxa"/>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67" w:type="dxa"/>
            <w:vMerge w:val="continue"/>
            <w:tcBorders>
              <w:left w:val="single" w:color="auto" w:sz="12" w:space="0"/>
              <w:bottom w:val="single" w:color="auto" w:sz="4" w:space="0"/>
              <w:right w:val="single" w:color="auto" w:sz="4" w:space="0"/>
            </w:tcBorders>
            <w:vAlign w:val="center"/>
          </w:tcPr>
          <w:p>
            <w:pPr>
              <w:widowControl/>
              <w:jc w:val="left"/>
              <w:rPr>
                <w:rFonts w:ascii="宋体"/>
                <w:sz w:val="24"/>
              </w:rPr>
            </w:pPr>
          </w:p>
        </w:tc>
        <w:tc>
          <w:tcPr>
            <w:tcW w:w="4261" w:type="dxa"/>
            <w:gridSpan w:val="2"/>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57"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205" w:type="dxa"/>
            <w:tcBorders>
              <w:top w:val="single" w:color="auto" w:sz="4" w:space="0"/>
              <w:left w:val="single" w:color="auto" w:sz="4" w:space="0"/>
              <w:bottom w:val="single" w:color="auto" w:sz="4" w:space="0"/>
              <w:right w:val="single" w:color="auto" w:sz="4" w:space="0"/>
            </w:tcBorders>
            <w:vAlign w:val="bottom"/>
          </w:tcPr>
          <w:p>
            <w:pPr>
              <w:jc w:val="left"/>
              <w:rPr>
                <w:rFonts w:ascii="宋体"/>
                <w:sz w:val="24"/>
              </w:rPr>
            </w:pPr>
          </w:p>
        </w:tc>
        <w:tc>
          <w:tcPr>
            <w:tcW w:w="1310" w:type="dxa"/>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67" w:type="dxa"/>
            <w:vMerge w:val="restart"/>
            <w:tcBorders>
              <w:top w:val="single" w:color="auto" w:sz="4" w:space="0"/>
              <w:left w:val="single" w:color="auto" w:sz="12" w:space="0"/>
              <w:right w:val="single" w:color="auto" w:sz="4" w:space="0"/>
            </w:tcBorders>
            <w:vAlign w:val="center"/>
          </w:tcPr>
          <w:p>
            <w:pPr>
              <w:jc w:val="center"/>
              <w:rPr>
                <w:rFonts w:ascii="宋体"/>
                <w:sz w:val="24"/>
              </w:rPr>
            </w:pPr>
            <w:r>
              <w:rPr>
                <w:rFonts w:hint="eastAsia" w:ascii="宋体"/>
                <w:sz w:val="24"/>
              </w:rPr>
              <w:t>评标委员会推荐中标候选人</w:t>
            </w:r>
          </w:p>
        </w:tc>
        <w:tc>
          <w:tcPr>
            <w:tcW w:w="1387" w:type="dxa"/>
            <w:tcBorders>
              <w:top w:val="single" w:color="auto" w:sz="4" w:space="0"/>
              <w:left w:val="single" w:color="auto" w:sz="4" w:space="0"/>
              <w:bottom w:val="single" w:color="auto" w:sz="4" w:space="0"/>
              <w:right w:val="single" w:color="auto" w:sz="4" w:space="0"/>
            </w:tcBorders>
            <w:vAlign w:val="bottom"/>
          </w:tcPr>
          <w:p>
            <w:pPr>
              <w:jc w:val="center"/>
              <w:rPr>
                <w:rFonts w:ascii="宋体"/>
                <w:sz w:val="24"/>
              </w:rPr>
            </w:pPr>
            <w:r>
              <w:rPr>
                <w:rFonts w:hint="eastAsia" w:ascii="宋体"/>
                <w:sz w:val="24"/>
              </w:rPr>
              <w:t>排名次序</w:t>
            </w:r>
          </w:p>
        </w:tc>
        <w:tc>
          <w:tcPr>
            <w:tcW w:w="6646" w:type="dxa"/>
            <w:gridSpan w:val="4"/>
            <w:tcBorders>
              <w:top w:val="single" w:color="auto" w:sz="4" w:space="0"/>
              <w:left w:val="single" w:color="auto" w:sz="4" w:space="0"/>
              <w:bottom w:val="single" w:color="auto" w:sz="4" w:space="0"/>
              <w:right w:val="single" w:color="auto" w:sz="12" w:space="0"/>
            </w:tcBorders>
            <w:vAlign w:val="bottom"/>
          </w:tcPr>
          <w:p>
            <w:pPr>
              <w:jc w:val="center"/>
              <w:rPr>
                <w:rFonts w:ascii="宋体"/>
                <w:sz w:val="24"/>
              </w:rPr>
            </w:pPr>
            <w:r>
              <w:rPr>
                <w:rFonts w:hint="eastAsia" w:ascii="宋体"/>
                <w:sz w:val="24"/>
              </w:rPr>
              <w:t>中标候选人名称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67" w:type="dxa"/>
            <w:vMerge w:val="continue"/>
            <w:tcBorders>
              <w:left w:val="single" w:color="auto" w:sz="12" w:space="0"/>
              <w:right w:val="single" w:color="auto" w:sz="4" w:space="0"/>
            </w:tcBorders>
            <w:vAlign w:val="center"/>
          </w:tcPr>
          <w:p>
            <w:pPr>
              <w:widowControl/>
              <w:jc w:val="left"/>
              <w:rPr>
                <w:rFonts w:ascii="宋体"/>
                <w:sz w:val="24"/>
              </w:rPr>
            </w:pPr>
          </w:p>
        </w:tc>
        <w:tc>
          <w:tcPr>
            <w:tcW w:w="1387" w:type="dxa"/>
            <w:tcBorders>
              <w:top w:val="single" w:color="auto" w:sz="4" w:space="0"/>
              <w:left w:val="single" w:color="auto" w:sz="4" w:space="0"/>
              <w:bottom w:val="single" w:color="auto" w:sz="4" w:space="0"/>
              <w:right w:val="single" w:color="auto" w:sz="4" w:space="0"/>
            </w:tcBorders>
            <w:vAlign w:val="bottom"/>
          </w:tcPr>
          <w:p>
            <w:pPr>
              <w:jc w:val="center"/>
              <w:rPr>
                <w:rFonts w:ascii="宋体"/>
                <w:sz w:val="24"/>
              </w:rPr>
            </w:pPr>
            <w:r>
              <w:rPr>
                <w:rFonts w:hint="eastAsia" w:ascii="宋体"/>
                <w:sz w:val="24"/>
              </w:rPr>
              <w:t>1</w:t>
            </w:r>
          </w:p>
        </w:tc>
        <w:tc>
          <w:tcPr>
            <w:tcW w:w="6646" w:type="dxa"/>
            <w:gridSpan w:val="4"/>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67" w:type="dxa"/>
            <w:vMerge w:val="continue"/>
            <w:tcBorders>
              <w:left w:val="single" w:color="auto" w:sz="12" w:space="0"/>
              <w:right w:val="single" w:color="auto" w:sz="4" w:space="0"/>
            </w:tcBorders>
            <w:vAlign w:val="center"/>
          </w:tcPr>
          <w:p>
            <w:pPr>
              <w:widowControl/>
              <w:jc w:val="left"/>
              <w:rPr>
                <w:rFonts w:ascii="宋体"/>
                <w:sz w:val="24"/>
              </w:rPr>
            </w:pPr>
          </w:p>
        </w:tc>
        <w:tc>
          <w:tcPr>
            <w:tcW w:w="1387" w:type="dxa"/>
            <w:tcBorders>
              <w:top w:val="single" w:color="auto" w:sz="4" w:space="0"/>
              <w:left w:val="single" w:color="auto" w:sz="4" w:space="0"/>
              <w:bottom w:val="single" w:color="auto" w:sz="4" w:space="0"/>
              <w:right w:val="single" w:color="auto" w:sz="4" w:space="0"/>
            </w:tcBorders>
            <w:vAlign w:val="bottom"/>
          </w:tcPr>
          <w:p>
            <w:pPr>
              <w:jc w:val="center"/>
              <w:rPr>
                <w:rFonts w:ascii="宋体"/>
                <w:sz w:val="24"/>
              </w:rPr>
            </w:pPr>
            <w:r>
              <w:rPr>
                <w:rFonts w:hint="eastAsia" w:ascii="宋体"/>
                <w:sz w:val="24"/>
              </w:rPr>
              <w:t>2</w:t>
            </w:r>
          </w:p>
        </w:tc>
        <w:tc>
          <w:tcPr>
            <w:tcW w:w="6646" w:type="dxa"/>
            <w:gridSpan w:val="4"/>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jc w:val="center"/>
        </w:trPr>
        <w:tc>
          <w:tcPr>
            <w:tcW w:w="1667" w:type="dxa"/>
            <w:vMerge w:val="continue"/>
            <w:tcBorders>
              <w:left w:val="single" w:color="auto" w:sz="12" w:space="0"/>
              <w:bottom w:val="single" w:color="auto" w:sz="4" w:space="0"/>
              <w:right w:val="single" w:color="auto" w:sz="4" w:space="0"/>
            </w:tcBorders>
            <w:vAlign w:val="center"/>
          </w:tcPr>
          <w:p>
            <w:pPr>
              <w:widowControl/>
              <w:jc w:val="left"/>
              <w:rPr>
                <w:rFonts w:ascii="宋体"/>
                <w:sz w:val="24"/>
              </w:rPr>
            </w:pPr>
          </w:p>
        </w:tc>
        <w:tc>
          <w:tcPr>
            <w:tcW w:w="1387" w:type="dxa"/>
            <w:tcBorders>
              <w:top w:val="single" w:color="auto" w:sz="4" w:space="0"/>
              <w:left w:val="single" w:color="auto" w:sz="4" w:space="0"/>
              <w:bottom w:val="single" w:color="auto" w:sz="4" w:space="0"/>
              <w:right w:val="single" w:color="auto" w:sz="4" w:space="0"/>
            </w:tcBorders>
            <w:vAlign w:val="bottom"/>
          </w:tcPr>
          <w:p>
            <w:pPr>
              <w:jc w:val="center"/>
              <w:rPr>
                <w:rFonts w:ascii="宋体"/>
                <w:sz w:val="24"/>
              </w:rPr>
            </w:pPr>
            <w:r>
              <w:rPr>
                <w:rFonts w:hint="eastAsia" w:ascii="宋体"/>
                <w:sz w:val="24"/>
              </w:rPr>
              <w:t>3</w:t>
            </w:r>
          </w:p>
        </w:tc>
        <w:tc>
          <w:tcPr>
            <w:tcW w:w="6646" w:type="dxa"/>
            <w:gridSpan w:val="4"/>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1667" w:type="dxa"/>
            <w:tcBorders>
              <w:top w:val="single" w:color="auto" w:sz="4" w:space="0"/>
              <w:left w:val="single" w:color="auto" w:sz="12" w:space="0"/>
              <w:bottom w:val="single" w:color="auto" w:sz="4" w:space="0"/>
              <w:right w:val="single" w:color="auto" w:sz="4" w:space="0"/>
            </w:tcBorders>
            <w:vAlign w:val="center"/>
          </w:tcPr>
          <w:p>
            <w:pPr>
              <w:jc w:val="center"/>
              <w:rPr>
                <w:rFonts w:ascii="宋体"/>
                <w:sz w:val="24"/>
              </w:rPr>
            </w:pPr>
            <w:r>
              <w:rPr>
                <w:rFonts w:hint="eastAsia" w:ascii="宋体"/>
                <w:sz w:val="24"/>
              </w:rPr>
              <w:t>评标委员会全体成员签字</w:t>
            </w:r>
          </w:p>
        </w:tc>
        <w:tc>
          <w:tcPr>
            <w:tcW w:w="8033" w:type="dxa"/>
            <w:gridSpan w:val="5"/>
            <w:tcBorders>
              <w:top w:val="single" w:color="auto" w:sz="4" w:space="0"/>
              <w:left w:val="single" w:color="auto" w:sz="4" w:space="0"/>
              <w:bottom w:val="single" w:color="auto" w:sz="4" w:space="0"/>
              <w:right w:val="single" w:color="auto" w:sz="12" w:space="0"/>
            </w:tcBorders>
            <w:vAlign w:val="bottom"/>
          </w:tcPr>
          <w:p>
            <w:pPr>
              <w:jc w:val="left"/>
              <w:rPr>
                <w:rFonts w:ascii="宋体"/>
                <w:sz w:val="24"/>
              </w:rPr>
            </w:pPr>
            <w:r>
              <w:rPr>
                <w:rFonts w:hint="eastAsia" w:ascii="宋体"/>
                <w:sz w:val="24"/>
              </w:rPr>
              <w:t xml:space="preserve">                                                年</w:t>
            </w:r>
            <w:r>
              <w:rPr>
                <w:rFonts w:ascii="宋体"/>
                <w:sz w:val="24"/>
              </w:rPr>
              <w:t xml:space="preserve">   </w:t>
            </w:r>
            <w:r>
              <w:rPr>
                <w:rFonts w:hint="eastAsia" w:ascii="宋体"/>
                <w:sz w:val="24"/>
              </w:rPr>
              <w:t>月</w:t>
            </w:r>
            <w:r>
              <w:rPr>
                <w:rFonts w:ascii="宋体"/>
                <w:sz w:val="24"/>
              </w:rPr>
              <w:t xml:space="preserve">  </w:t>
            </w:r>
            <w:r>
              <w:rPr>
                <w:rFonts w:hint="eastAsia" w:ascii="宋体"/>
                <w:sz w:val="24"/>
              </w:rPr>
              <w:t xml:space="preserve">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1667" w:type="dxa"/>
            <w:tcBorders>
              <w:top w:val="single" w:color="auto" w:sz="4" w:space="0"/>
              <w:left w:val="single" w:color="auto" w:sz="12" w:space="0"/>
              <w:bottom w:val="single" w:color="auto" w:sz="4" w:space="0"/>
              <w:right w:val="single" w:color="auto" w:sz="4" w:space="0"/>
            </w:tcBorders>
            <w:vAlign w:val="center"/>
          </w:tcPr>
          <w:p>
            <w:pPr>
              <w:jc w:val="center"/>
              <w:rPr>
                <w:rFonts w:ascii="宋体"/>
                <w:sz w:val="24"/>
              </w:rPr>
            </w:pPr>
            <w:r>
              <w:rPr>
                <w:rFonts w:hint="eastAsia" w:ascii="宋体"/>
                <w:sz w:val="24"/>
              </w:rPr>
              <w:t>备  注</w:t>
            </w:r>
          </w:p>
        </w:tc>
        <w:tc>
          <w:tcPr>
            <w:tcW w:w="8033" w:type="dxa"/>
            <w:gridSpan w:val="5"/>
            <w:tcBorders>
              <w:top w:val="single" w:color="auto" w:sz="4" w:space="0"/>
              <w:left w:val="single" w:color="auto" w:sz="4" w:space="0"/>
              <w:bottom w:val="single" w:color="auto" w:sz="4" w:space="0"/>
              <w:right w:val="single" w:color="auto" w:sz="12" w:space="0"/>
            </w:tcBorders>
            <w:vAlign w:val="center"/>
          </w:tcPr>
          <w:p>
            <w:pPr>
              <w:jc w:val="center"/>
              <w:rPr>
                <w:rFonts w:ascii="黑体" w:eastAsia="黑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2" w:hRule="atLeast"/>
          <w:jc w:val="center"/>
        </w:trPr>
        <w:tc>
          <w:tcPr>
            <w:tcW w:w="1667" w:type="dxa"/>
            <w:tcBorders>
              <w:top w:val="single" w:color="auto" w:sz="4" w:space="0"/>
              <w:left w:val="single" w:color="auto" w:sz="12" w:space="0"/>
              <w:bottom w:val="single" w:color="auto" w:sz="12" w:space="0"/>
              <w:right w:val="single" w:color="auto" w:sz="4" w:space="0"/>
            </w:tcBorders>
            <w:vAlign w:val="center"/>
          </w:tcPr>
          <w:p>
            <w:pPr>
              <w:jc w:val="center"/>
              <w:rPr>
                <w:rFonts w:ascii="宋体"/>
              </w:rPr>
            </w:pPr>
            <w:r>
              <w:rPr>
                <w:rFonts w:hint="eastAsia" w:ascii="宋体"/>
              </w:rPr>
              <w:t>招标人经办人</w:t>
            </w:r>
          </w:p>
        </w:tc>
        <w:tc>
          <w:tcPr>
            <w:tcW w:w="4261" w:type="dxa"/>
            <w:gridSpan w:val="2"/>
            <w:tcBorders>
              <w:top w:val="single" w:color="auto" w:sz="4" w:space="0"/>
              <w:left w:val="single" w:color="auto" w:sz="4" w:space="0"/>
              <w:bottom w:val="single" w:color="auto" w:sz="12" w:space="0"/>
              <w:right w:val="single" w:color="auto" w:sz="4" w:space="0"/>
            </w:tcBorders>
            <w:vAlign w:val="center"/>
          </w:tcPr>
          <w:p>
            <w:pPr>
              <w:ind w:left="2"/>
              <w:jc w:val="center"/>
              <w:rPr>
                <w:rFonts w:ascii="宋体" w:hAnsi="宋体"/>
                <w:outline/>
                <w:color w:val="000000"/>
                <w:sz w:val="24"/>
                <w14:textOutline w14:w="9525" w14:cap="flat" w14:cmpd="sng" w14:algn="ctr">
                  <w14:solidFill>
                    <w14:srgbClr w14:val="000000"/>
                  </w14:solidFill>
                  <w14:prstDash w14:val="solid"/>
                  <w14:round/>
                </w14:textOutline>
                <w14:textFill>
                  <w14:noFill/>
                </w14:textFill>
              </w:rPr>
            </w:pPr>
            <w:r>
              <w:rPr>
                <w:rFonts w:hint="eastAsia" w:ascii="宋体" w:hAnsi="宋体"/>
                <w:outline/>
                <w:color w:val="000000"/>
                <w:sz w:val="24"/>
                <w14:textOutline w14:w="9525" w14:cap="flat" w14:cmpd="sng" w14:algn="ctr">
                  <w14:solidFill>
                    <w14:srgbClr w14:val="000000"/>
                  </w14:solidFill>
                  <w14:prstDash w14:val="solid"/>
                  <w14:round/>
                </w14:textOutline>
                <w14:textFill>
                  <w14:noFill/>
                </w14:textFill>
              </w:rPr>
              <w:t xml:space="preserve">                      （签字）</w:t>
            </w:r>
          </w:p>
        </w:tc>
        <w:tc>
          <w:tcPr>
            <w:tcW w:w="1257" w:type="dxa"/>
            <w:tcBorders>
              <w:top w:val="single" w:color="auto" w:sz="4" w:space="0"/>
              <w:left w:val="single" w:color="auto" w:sz="4" w:space="0"/>
              <w:bottom w:val="single" w:color="auto" w:sz="12" w:space="0"/>
              <w:right w:val="single" w:color="auto" w:sz="4" w:space="0"/>
            </w:tcBorders>
            <w:vAlign w:val="center"/>
          </w:tcPr>
          <w:p>
            <w:pPr>
              <w:ind w:left="2"/>
              <w:jc w:val="center"/>
              <w:rPr>
                <w:rFonts w:ascii="宋体" w:hAnsi="宋体"/>
                <w:sz w:val="24"/>
              </w:rPr>
            </w:pPr>
            <w:r>
              <w:rPr>
                <w:rFonts w:hint="eastAsia" w:ascii="宋体" w:hAnsi="宋体"/>
                <w:sz w:val="24"/>
              </w:rPr>
              <w:t>联系电话</w:t>
            </w:r>
          </w:p>
        </w:tc>
        <w:tc>
          <w:tcPr>
            <w:tcW w:w="2515" w:type="dxa"/>
            <w:gridSpan w:val="2"/>
            <w:tcBorders>
              <w:top w:val="single" w:color="auto" w:sz="4" w:space="0"/>
              <w:left w:val="single" w:color="auto" w:sz="4" w:space="0"/>
              <w:bottom w:val="single" w:color="auto" w:sz="12" w:space="0"/>
              <w:right w:val="single" w:color="auto" w:sz="12" w:space="0"/>
            </w:tcBorders>
            <w:vAlign w:val="center"/>
          </w:tcPr>
          <w:p>
            <w:pPr>
              <w:ind w:left="2"/>
              <w:jc w:val="center"/>
              <w:rPr>
                <w:rFonts w:ascii="宋体" w:hAnsi="宋体"/>
                <w:sz w:val="24"/>
              </w:rPr>
            </w:pPr>
          </w:p>
        </w:tc>
      </w:tr>
    </w:tbl>
    <w:p>
      <w:pPr>
        <w:adjustRightInd w:val="0"/>
        <w:snapToGrid w:val="0"/>
        <w:spacing w:line="400" w:lineRule="exact"/>
        <w:ind w:left="1050" w:hanging="1050" w:hangingChars="500"/>
        <w:rPr>
          <w:rFonts w:ascii="宋体" w:hAnsi="宋体"/>
          <w:kern w:val="0"/>
        </w:rPr>
      </w:pPr>
      <w:r>
        <w:t>说明：</w:t>
      </w:r>
      <w:r>
        <w:rPr>
          <w:rFonts w:hint="eastAsia" w:ascii="宋体" w:hAnsi="宋体"/>
          <w:kern w:val="0"/>
        </w:rPr>
        <w:t>本表一式三份，招标人、采购服务机构各一份，存档一份。</w:t>
      </w:r>
    </w:p>
    <w:p>
      <w:pPr>
        <w:pStyle w:val="5"/>
        <w:spacing w:after="120" w:line="360" w:lineRule="auto"/>
        <w:jc w:val="center"/>
      </w:pPr>
      <w:bookmarkStart w:id="563" w:name="_Toc184916599"/>
      <w:r>
        <w:rPr>
          <w:rFonts w:hint="eastAsia"/>
        </w:rPr>
        <w:t xml:space="preserve">第四章 </w:t>
      </w:r>
      <w:r>
        <w:t xml:space="preserve"> </w:t>
      </w:r>
      <w:r>
        <w:rPr>
          <w:rFonts w:hint="eastAsia"/>
        </w:rPr>
        <w:t>服务技术标准和要求</w:t>
      </w:r>
      <w:bookmarkEnd w:id="563"/>
    </w:p>
    <w:p>
      <w:pPr>
        <w:spacing w:line="360" w:lineRule="auto"/>
        <w:ind w:firstLine="480" w:firstLineChars="200"/>
        <w:rPr>
          <w:sz w:val="24"/>
          <w:szCs w:val="24"/>
        </w:rPr>
      </w:pPr>
      <w:r>
        <w:rPr>
          <w:rFonts w:hint="eastAsia"/>
          <w:sz w:val="24"/>
          <w:szCs w:val="24"/>
        </w:rPr>
        <w:t>本项目服务内容包含下述服务内容，但不限于；最终服务细节要求以本项目实施过程招标人意见为准。</w:t>
      </w:r>
    </w:p>
    <w:p>
      <w:pPr>
        <w:spacing w:line="360" w:lineRule="auto"/>
        <w:rPr>
          <w:b/>
          <w:bCs/>
          <w:sz w:val="24"/>
          <w:szCs w:val="24"/>
        </w:rPr>
      </w:pPr>
      <w:r>
        <w:rPr>
          <w:rFonts w:hint="eastAsia"/>
          <w:b/>
          <w:bCs/>
          <w:sz w:val="24"/>
          <w:szCs w:val="24"/>
        </w:rPr>
        <w:t>一、关于服务团队要求：</w:t>
      </w:r>
    </w:p>
    <w:p>
      <w:pPr>
        <w:spacing w:line="360" w:lineRule="auto"/>
        <w:ind w:firstLine="480" w:firstLineChars="200"/>
        <w:rPr>
          <w:sz w:val="24"/>
          <w:szCs w:val="24"/>
        </w:rPr>
      </w:pPr>
      <w:r>
        <w:rPr>
          <w:rFonts w:hint="eastAsia"/>
          <w:sz w:val="24"/>
          <w:szCs w:val="24"/>
        </w:rPr>
        <w:t>（一）勘察设计组成员要求：人数不少于4人，涵盖建筑、结构、给排水、电气等专业，其中建筑、结构专业成员需具有工程设计类执业证书(根据项目进展情况，组织开展勘查设计，现场组织技术交底、阶段验收等工作)；</w:t>
      </w:r>
    </w:p>
    <w:p>
      <w:pPr>
        <w:spacing w:line="360" w:lineRule="auto"/>
        <w:ind w:firstLine="480" w:firstLineChars="200"/>
        <w:rPr>
          <w:sz w:val="24"/>
          <w:szCs w:val="24"/>
        </w:rPr>
      </w:pPr>
      <w:r>
        <w:rPr>
          <w:rFonts w:hint="eastAsia"/>
          <w:sz w:val="24"/>
          <w:szCs w:val="24"/>
        </w:rPr>
        <w:t>（二）造价组成员要求：人数不少于2人,具有工程造价类造价执业证书(负责现场施工阶段全过程造价控制，根据建设阶段、管理需求和建设方要求，分阶段驻场服务)</w:t>
      </w:r>
    </w:p>
    <w:p>
      <w:pPr>
        <w:spacing w:line="360" w:lineRule="auto"/>
        <w:ind w:firstLine="480" w:firstLineChars="200"/>
        <w:rPr>
          <w:sz w:val="24"/>
          <w:szCs w:val="24"/>
        </w:rPr>
      </w:pPr>
      <w:r>
        <w:rPr>
          <w:rFonts w:hint="eastAsia"/>
          <w:sz w:val="24"/>
          <w:szCs w:val="24"/>
        </w:rPr>
        <w:t>（三）监理成员要求：人数不少于3人,具有监理员证(人员数量和专业根据项目建设需求安排，需常驻现场)</w:t>
      </w:r>
    </w:p>
    <w:p>
      <w:pPr>
        <w:spacing w:line="360" w:lineRule="auto"/>
        <w:rPr>
          <w:b/>
          <w:bCs/>
          <w:sz w:val="24"/>
          <w:szCs w:val="24"/>
        </w:rPr>
      </w:pPr>
      <w:r>
        <w:rPr>
          <w:rFonts w:hint="eastAsia"/>
          <w:b/>
          <w:bCs/>
          <w:sz w:val="24"/>
          <w:szCs w:val="24"/>
        </w:rPr>
        <w:t>二、全过程勘察设计：</w:t>
      </w:r>
    </w:p>
    <w:p>
      <w:pPr>
        <w:spacing w:line="360" w:lineRule="auto"/>
        <w:ind w:firstLine="480" w:firstLineChars="200"/>
        <w:rPr>
          <w:sz w:val="24"/>
          <w:szCs w:val="24"/>
        </w:rPr>
      </w:pPr>
      <w:r>
        <w:rPr>
          <w:rFonts w:hint="eastAsia"/>
          <w:sz w:val="24"/>
          <w:szCs w:val="24"/>
        </w:rPr>
        <w:t xml:space="preserve"> （一）岩土工程勘察：根据《岩土工程勘察规范》(GB50021-2001)和相关技术规范的要求开展施工勘察工作；主要的内容有工程地质调查和测绘、勘探及采取土试样、原位测试、室内试验、现场检验和检测。最终根据以上几种或全部手段，对场地工程地质条件进行定性或定量分析评价，编制满足不同阶段所需的成果报告文件。岩土工程勘察的主要是查明工程地质条件，分析存在的地质问题，对建筑地区做出工程地质评价及后续基础验收等相关勘察工作。</w:t>
      </w:r>
    </w:p>
    <w:p>
      <w:pPr>
        <w:spacing w:line="360" w:lineRule="auto"/>
        <w:ind w:firstLine="480" w:firstLineChars="200"/>
        <w:rPr>
          <w:sz w:val="24"/>
          <w:szCs w:val="24"/>
        </w:rPr>
      </w:pPr>
      <w:r>
        <w:rPr>
          <w:rFonts w:hint="eastAsia"/>
          <w:sz w:val="24"/>
          <w:szCs w:val="24"/>
        </w:rPr>
        <w:t>（二）全过程设计服务内容：方案设计、初步设计、施工图设计、设计变更等 。</w:t>
      </w:r>
    </w:p>
    <w:p>
      <w:pPr>
        <w:spacing w:line="360" w:lineRule="auto"/>
        <w:ind w:firstLine="482" w:firstLineChars="200"/>
        <w:rPr>
          <w:b/>
          <w:sz w:val="24"/>
          <w:szCs w:val="24"/>
        </w:rPr>
      </w:pPr>
      <w:r>
        <w:rPr>
          <w:b/>
          <w:sz w:val="24"/>
          <w:szCs w:val="24"/>
        </w:rPr>
        <w:t>方案设计文件</w:t>
      </w:r>
      <w:r>
        <w:rPr>
          <w:rFonts w:hint="eastAsia"/>
          <w:b/>
          <w:sz w:val="24"/>
          <w:szCs w:val="24"/>
        </w:rPr>
        <w:t>：</w:t>
      </w:r>
    </w:p>
    <w:p>
      <w:pPr>
        <w:spacing w:line="360" w:lineRule="auto"/>
        <w:ind w:firstLine="480" w:firstLineChars="200"/>
        <w:rPr>
          <w:sz w:val="24"/>
          <w:szCs w:val="24"/>
        </w:rPr>
      </w:pPr>
      <w:r>
        <w:rPr>
          <w:sz w:val="24"/>
          <w:szCs w:val="24"/>
        </w:rPr>
        <w:t>1. 设计说明书，包括各专业设计说明以及投资估算等内容；对于涉及建筑节能、环保、绿色建筑、人防等设计的专业，其设计说明应有相应的专门内容。</w:t>
      </w:r>
    </w:p>
    <w:p>
      <w:pPr>
        <w:spacing w:line="360" w:lineRule="auto"/>
        <w:ind w:firstLine="480" w:firstLineChars="200"/>
        <w:rPr>
          <w:sz w:val="24"/>
          <w:szCs w:val="24"/>
        </w:rPr>
      </w:pPr>
      <w:r>
        <w:rPr>
          <w:sz w:val="24"/>
          <w:szCs w:val="24"/>
        </w:rPr>
        <w:t>· 设计依据、设计要求及主要技术经济指标</w:t>
      </w:r>
    </w:p>
    <w:p>
      <w:pPr>
        <w:spacing w:line="360" w:lineRule="auto"/>
        <w:ind w:firstLine="480" w:firstLineChars="200"/>
        <w:rPr>
          <w:sz w:val="24"/>
          <w:szCs w:val="24"/>
        </w:rPr>
      </w:pPr>
      <w:r>
        <w:rPr>
          <w:sz w:val="24"/>
          <w:szCs w:val="24"/>
        </w:rPr>
        <w:t>· 总平面设计说明</w:t>
      </w:r>
    </w:p>
    <w:p>
      <w:pPr>
        <w:spacing w:line="360" w:lineRule="auto"/>
        <w:ind w:firstLine="480" w:firstLineChars="200"/>
        <w:rPr>
          <w:sz w:val="24"/>
          <w:szCs w:val="24"/>
        </w:rPr>
      </w:pPr>
      <w:r>
        <w:rPr>
          <w:sz w:val="24"/>
          <w:szCs w:val="24"/>
        </w:rPr>
        <w:t>· 建筑设计说明</w:t>
      </w:r>
    </w:p>
    <w:p>
      <w:pPr>
        <w:spacing w:line="360" w:lineRule="auto"/>
        <w:ind w:firstLine="480" w:firstLineChars="200"/>
        <w:rPr>
          <w:sz w:val="24"/>
          <w:szCs w:val="24"/>
        </w:rPr>
      </w:pPr>
      <w:r>
        <w:rPr>
          <w:sz w:val="24"/>
          <w:szCs w:val="24"/>
        </w:rPr>
        <w:t>· 结构设计说明</w:t>
      </w:r>
    </w:p>
    <w:p>
      <w:pPr>
        <w:spacing w:line="360" w:lineRule="auto"/>
        <w:ind w:firstLine="480" w:firstLineChars="200"/>
        <w:rPr>
          <w:sz w:val="24"/>
          <w:szCs w:val="24"/>
        </w:rPr>
      </w:pPr>
      <w:r>
        <w:rPr>
          <w:sz w:val="24"/>
          <w:szCs w:val="24"/>
        </w:rPr>
        <w:t>· 建筑电气设计说明</w:t>
      </w:r>
    </w:p>
    <w:p>
      <w:pPr>
        <w:spacing w:line="360" w:lineRule="auto"/>
        <w:ind w:firstLine="480" w:firstLineChars="200"/>
        <w:rPr>
          <w:sz w:val="24"/>
          <w:szCs w:val="24"/>
        </w:rPr>
      </w:pPr>
      <w:r>
        <w:rPr>
          <w:sz w:val="24"/>
          <w:szCs w:val="24"/>
        </w:rPr>
        <w:t>· 给水排水设计说明</w:t>
      </w:r>
    </w:p>
    <w:p>
      <w:pPr>
        <w:spacing w:line="360" w:lineRule="auto"/>
        <w:ind w:firstLine="480" w:firstLineChars="200"/>
        <w:rPr>
          <w:sz w:val="24"/>
          <w:szCs w:val="24"/>
        </w:rPr>
      </w:pPr>
      <w:r>
        <w:rPr>
          <w:sz w:val="24"/>
          <w:szCs w:val="24"/>
        </w:rPr>
        <w:t>· 供暖通风与空气调节设计说明</w:t>
      </w:r>
    </w:p>
    <w:p>
      <w:pPr>
        <w:spacing w:line="360" w:lineRule="auto"/>
        <w:ind w:firstLine="480" w:firstLineChars="200"/>
        <w:rPr>
          <w:sz w:val="24"/>
          <w:szCs w:val="24"/>
        </w:rPr>
      </w:pPr>
      <w:r>
        <w:rPr>
          <w:sz w:val="24"/>
          <w:szCs w:val="24"/>
        </w:rPr>
        <w:t>· 热能动力设计说明</w:t>
      </w:r>
    </w:p>
    <w:p>
      <w:pPr>
        <w:spacing w:line="360" w:lineRule="auto"/>
        <w:ind w:firstLine="480" w:firstLineChars="200"/>
        <w:rPr>
          <w:sz w:val="24"/>
          <w:szCs w:val="24"/>
        </w:rPr>
      </w:pPr>
      <w:r>
        <w:rPr>
          <w:sz w:val="24"/>
          <w:szCs w:val="24"/>
        </w:rPr>
        <w:t>· 投资估算文件一般由编制说明、总投资估算表、单项工程综合估算表、主要技术经济指标等内容组成</w:t>
      </w:r>
    </w:p>
    <w:p>
      <w:pPr>
        <w:spacing w:line="360" w:lineRule="auto"/>
        <w:ind w:firstLine="480" w:firstLineChars="200"/>
        <w:rPr>
          <w:sz w:val="24"/>
          <w:szCs w:val="24"/>
        </w:rPr>
      </w:pPr>
      <w:r>
        <w:rPr>
          <w:sz w:val="24"/>
          <w:szCs w:val="24"/>
        </w:rPr>
        <w:t>2. 总平面图以及相关建筑设计图纸。</w:t>
      </w:r>
    </w:p>
    <w:p>
      <w:pPr>
        <w:spacing w:line="360" w:lineRule="auto"/>
        <w:ind w:firstLine="480" w:firstLineChars="200"/>
        <w:rPr>
          <w:sz w:val="24"/>
          <w:szCs w:val="24"/>
        </w:rPr>
      </w:pPr>
      <w:r>
        <w:rPr>
          <w:sz w:val="24"/>
          <w:szCs w:val="24"/>
        </w:rPr>
        <w:t>· 总平面设计图纸</w:t>
      </w:r>
    </w:p>
    <w:p>
      <w:pPr>
        <w:spacing w:line="360" w:lineRule="auto"/>
        <w:ind w:firstLine="480" w:firstLineChars="200"/>
        <w:rPr>
          <w:sz w:val="24"/>
          <w:szCs w:val="24"/>
        </w:rPr>
      </w:pPr>
      <w:r>
        <w:rPr>
          <w:sz w:val="24"/>
          <w:szCs w:val="24"/>
        </w:rPr>
        <w:t>· 建筑设计图纸</w:t>
      </w:r>
    </w:p>
    <w:p>
      <w:pPr>
        <w:spacing w:line="360" w:lineRule="auto"/>
        <w:ind w:firstLine="480" w:firstLineChars="200"/>
        <w:rPr>
          <w:sz w:val="24"/>
          <w:szCs w:val="24"/>
        </w:rPr>
      </w:pPr>
      <w:r>
        <w:rPr>
          <w:sz w:val="24"/>
          <w:szCs w:val="24"/>
        </w:rPr>
        <w:t>3. 设计委托或设计合同中规定的透视图、鸟瞰图</w:t>
      </w:r>
      <w:r>
        <w:rPr>
          <w:rFonts w:hint="eastAsia"/>
          <w:sz w:val="24"/>
          <w:szCs w:val="24"/>
        </w:rPr>
        <w:t>、VR图</w:t>
      </w:r>
      <w:r>
        <w:rPr>
          <w:sz w:val="24"/>
          <w:szCs w:val="24"/>
        </w:rPr>
        <w:t>、模型等。</w:t>
      </w:r>
    </w:p>
    <w:p>
      <w:pPr>
        <w:spacing w:line="360" w:lineRule="auto"/>
        <w:ind w:firstLine="482" w:firstLineChars="200"/>
        <w:rPr>
          <w:b/>
          <w:sz w:val="24"/>
          <w:szCs w:val="24"/>
        </w:rPr>
      </w:pPr>
      <w:r>
        <w:rPr>
          <w:b/>
          <w:sz w:val="24"/>
          <w:szCs w:val="24"/>
        </w:rPr>
        <w:t>初步设计文件</w:t>
      </w:r>
    </w:p>
    <w:p>
      <w:pPr>
        <w:spacing w:line="360" w:lineRule="auto"/>
        <w:ind w:firstLine="480" w:firstLineChars="200"/>
        <w:rPr>
          <w:sz w:val="24"/>
          <w:szCs w:val="24"/>
        </w:rPr>
      </w:pPr>
      <w:r>
        <w:rPr>
          <w:sz w:val="24"/>
          <w:szCs w:val="24"/>
        </w:rPr>
        <w:t>1. 设计说明书，包括设计总说明、各专业设计说明。对于涉及建筑节能、环保、绿色建筑、人防、装配式建筑等，其设计说明应有相应的专项内容。</w:t>
      </w:r>
    </w:p>
    <w:p>
      <w:pPr>
        <w:spacing w:line="360" w:lineRule="auto"/>
        <w:ind w:firstLine="480" w:firstLineChars="200"/>
        <w:rPr>
          <w:sz w:val="24"/>
          <w:szCs w:val="24"/>
        </w:rPr>
      </w:pPr>
      <w:r>
        <w:rPr>
          <w:sz w:val="24"/>
          <w:szCs w:val="24"/>
        </w:rPr>
        <w:t>· 工程设计依据</w:t>
      </w:r>
    </w:p>
    <w:p>
      <w:pPr>
        <w:spacing w:line="360" w:lineRule="auto"/>
        <w:ind w:firstLine="480" w:firstLineChars="200"/>
        <w:rPr>
          <w:sz w:val="24"/>
          <w:szCs w:val="24"/>
        </w:rPr>
      </w:pPr>
      <w:r>
        <w:rPr>
          <w:sz w:val="24"/>
          <w:szCs w:val="24"/>
        </w:rPr>
        <w:t>· 工程建设的规模和设计范围</w:t>
      </w:r>
    </w:p>
    <w:p>
      <w:pPr>
        <w:spacing w:line="360" w:lineRule="auto"/>
        <w:ind w:firstLine="480" w:firstLineChars="200"/>
        <w:rPr>
          <w:sz w:val="24"/>
          <w:szCs w:val="24"/>
        </w:rPr>
      </w:pPr>
      <w:r>
        <w:rPr>
          <w:sz w:val="24"/>
          <w:szCs w:val="24"/>
        </w:rPr>
        <w:t>· 总指标</w:t>
      </w:r>
    </w:p>
    <w:p>
      <w:pPr>
        <w:spacing w:line="360" w:lineRule="auto"/>
        <w:ind w:firstLine="480" w:firstLineChars="200"/>
        <w:rPr>
          <w:sz w:val="24"/>
          <w:szCs w:val="24"/>
        </w:rPr>
      </w:pPr>
      <w:r>
        <w:rPr>
          <w:sz w:val="24"/>
          <w:szCs w:val="24"/>
        </w:rPr>
        <w:t>· 设计要点综述</w:t>
      </w:r>
    </w:p>
    <w:p>
      <w:pPr>
        <w:spacing w:line="360" w:lineRule="auto"/>
        <w:ind w:firstLine="480" w:firstLineChars="200"/>
        <w:rPr>
          <w:sz w:val="24"/>
          <w:szCs w:val="24"/>
        </w:rPr>
      </w:pPr>
      <w:r>
        <w:rPr>
          <w:sz w:val="24"/>
          <w:szCs w:val="24"/>
        </w:rPr>
        <w:t>· 提请在设计审批时需解决或确定的主要问题</w:t>
      </w:r>
    </w:p>
    <w:p>
      <w:pPr>
        <w:spacing w:line="360" w:lineRule="auto"/>
        <w:ind w:firstLine="480" w:firstLineChars="200"/>
        <w:rPr>
          <w:sz w:val="24"/>
          <w:szCs w:val="24"/>
        </w:rPr>
      </w:pPr>
      <w:r>
        <w:rPr>
          <w:sz w:val="24"/>
          <w:szCs w:val="24"/>
        </w:rPr>
        <w:t>2. 有关专业的设计图纸</w:t>
      </w:r>
    </w:p>
    <w:p>
      <w:pPr>
        <w:spacing w:line="360" w:lineRule="auto"/>
        <w:ind w:firstLine="480" w:firstLineChars="200"/>
        <w:rPr>
          <w:sz w:val="24"/>
          <w:szCs w:val="24"/>
        </w:rPr>
      </w:pPr>
      <w:r>
        <w:rPr>
          <w:sz w:val="24"/>
          <w:szCs w:val="24"/>
        </w:rPr>
        <w:t>· 总平面：在初步设计阶段，总平面专业的设计文件应包括设计说明书、设计图纸。</w:t>
      </w:r>
    </w:p>
    <w:p>
      <w:pPr>
        <w:spacing w:line="360" w:lineRule="auto"/>
        <w:ind w:firstLine="480" w:firstLineChars="200"/>
        <w:rPr>
          <w:sz w:val="24"/>
          <w:szCs w:val="24"/>
        </w:rPr>
      </w:pPr>
      <w:r>
        <w:rPr>
          <w:sz w:val="24"/>
          <w:szCs w:val="24"/>
        </w:rPr>
        <w:t>· 建筑：在初步设计阶段建筑专业设计文件应包括设计说明书和设计图纸。</w:t>
      </w:r>
    </w:p>
    <w:p>
      <w:pPr>
        <w:spacing w:line="360" w:lineRule="auto"/>
        <w:ind w:firstLine="480" w:firstLineChars="200"/>
        <w:rPr>
          <w:sz w:val="24"/>
          <w:szCs w:val="24"/>
        </w:rPr>
      </w:pPr>
      <w:r>
        <w:rPr>
          <w:sz w:val="24"/>
          <w:szCs w:val="24"/>
        </w:rPr>
        <w:t>· 结构：在初步设计阶段结构专业设计文件应有设计说明书、结构布置图和计算书。</w:t>
      </w:r>
    </w:p>
    <w:p>
      <w:pPr>
        <w:spacing w:line="360" w:lineRule="auto"/>
        <w:ind w:firstLine="480" w:firstLineChars="200"/>
        <w:rPr>
          <w:sz w:val="24"/>
          <w:szCs w:val="24"/>
        </w:rPr>
      </w:pPr>
      <w:r>
        <w:rPr>
          <w:sz w:val="24"/>
          <w:szCs w:val="24"/>
        </w:rPr>
        <w:t>· 建筑电气：在初步设计阶段建筑电气专业设计文件应包括设计说明书、设计图纸、主要电气设备。</w:t>
      </w:r>
    </w:p>
    <w:p>
      <w:pPr>
        <w:spacing w:line="360" w:lineRule="auto"/>
        <w:ind w:firstLine="480" w:firstLineChars="200"/>
        <w:rPr>
          <w:sz w:val="24"/>
          <w:szCs w:val="24"/>
        </w:rPr>
      </w:pPr>
      <w:r>
        <w:rPr>
          <w:sz w:val="24"/>
          <w:szCs w:val="24"/>
        </w:rPr>
        <w:t>· 给水排水：初步设计阶段，建筑工程给水排水专业设计文件应包括设计说明书、设计图纸、设备及主要材料表、计算书。</w:t>
      </w:r>
    </w:p>
    <w:p>
      <w:pPr>
        <w:spacing w:line="360" w:lineRule="auto"/>
        <w:ind w:firstLine="480" w:firstLineChars="200"/>
        <w:rPr>
          <w:sz w:val="24"/>
          <w:szCs w:val="24"/>
        </w:rPr>
      </w:pPr>
      <w:r>
        <w:rPr>
          <w:sz w:val="24"/>
          <w:szCs w:val="24"/>
        </w:rPr>
        <w:t>· 供暖通风与空气调节：在初步设计阶段，供暖通风与空气调节设计文件应有设计说明书，除小型、简单工程外，初步设计文件还应包括设计图纸、设备表及计算书。</w:t>
      </w:r>
    </w:p>
    <w:p>
      <w:pPr>
        <w:spacing w:line="360" w:lineRule="auto"/>
        <w:ind w:firstLine="480" w:firstLineChars="200"/>
        <w:rPr>
          <w:sz w:val="24"/>
          <w:szCs w:val="24"/>
        </w:rPr>
      </w:pPr>
      <w:r>
        <w:rPr>
          <w:sz w:val="24"/>
          <w:szCs w:val="24"/>
        </w:rPr>
        <w:t>· 热能动力： 初步设计应有设计说明书，除小型、简单工程外，初步设计还应包括设计图纸、主要设备表、计算书。</w:t>
      </w:r>
    </w:p>
    <w:p>
      <w:pPr>
        <w:spacing w:line="360" w:lineRule="auto"/>
        <w:ind w:firstLine="480" w:firstLineChars="200"/>
        <w:rPr>
          <w:sz w:val="24"/>
          <w:szCs w:val="24"/>
        </w:rPr>
      </w:pPr>
      <w:r>
        <w:rPr>
          <w:sz w:val="24"/>
          <w:szCs w:val="24"/>
        </w:rPr>
        <w:t>3. 主要设备或材料表</w:t>
      </w:r>
    </w:p>
    <w:p>
      <w:pPr>
        <w:spacing w:line="360" w:lineRule="auto"/>
        <w:ind w:firstLine="480" w:firstLineChars="200"/>
        <w:rPr>
          <w:sz w:val="24"/>
          <w:szCs w:val="24"/>
        </w:rPr>
      </w:pPr>
      <w:r>
        <w:rPr>
          <w:sz w:val="24"/>
          <w:szCs w:val="24"/>
        </w:rPr>
        <w:t>4. 工程概算书</w:t>
      </w:r>
    </w:p>
    <w:p>
      <w:pPr>
        <w:spacing w:line="360" w:lineRule="auto"/>
        <w:ind w:firstLine="480" w:firstLineChars="200"/>
        <w:rPr>
          <w:sz w:val="24"/>
          <w:szCs w:val="24"/>
        </w:rPr>
      </w:pPr>
      <w:r>
        <w:rPr>
          <w:sz w:val="24"/>
          <w:szCs w:val="24"/>
        </w:rPr>
        <w:t>· 建设项目设计概算是初步设计文件的重要组成部份。概算文件应单独成册。设计概算文件由封面、签署页（扉页）、目录、编制说明、建设项目总概算表、工程建设其他费用表、单项工程综合概算表、单位工程概算书等内容组成。</w:t>
      </w:r>
    </w:p>
    <w:p>
      <w:pPr>
        <w:spacing w:line="360" w:lineRule="auto"/>
        <w:ind w:firstLine="480" w:firstLineChars="200"/>
        <w:rPr>
          <w:sz w:val="24"/>
          <w:szCs w:val="24"/>
        </w:rPr>
      </w:pPr>
      <w:r>
        <w:rPr>
          <w:sz w:val="24"/>
          <w:szCs w:val="24"/>
        </w:rPr>
        <w:t>5. 有关专业计算书（计算书不属于必须交付的设计文件，但应按本规定相关条款的要求编制）</w:t>
      </w:r>
    </w:p>
    <w:p>
      <w:pPr>
        <w:spacing w:line="360" w:lineRule="auto"/>
        <w:ind w:firstLine="482" w:firstLineChars="200"/>
        <w:rPr>
          <w:b/>
          <w:sz w:val="24"/>
          <w:szCs w:val="24"/>
        </w:rPr>
      </w:pPr>
      <w:r>
        <w:rPr>
          <w:b/>
          <w:sz w:val="24"/>
          <w:szCs w:val="24"/>
        </w:rPr>
        <w:t>施工图设计文件</w:t>
      </w:r>
    </w:p>
    <w:p>
      <w:pPr>
        <w:spacing w:line="360" w:lineRule="auto"/>
        <w:ind w:firstLine="480" w:firstLineChars="200"/>
        <w:rPr>
          <w:sz w:val="24"/>
          <w:szCs w:val="24"/>
        </w:rPr>
      </w:pPr>
      <w:r>
        <w:rPr>
          <w:sz w:val="24"/>
          <w:szCs w:val="24"/>
        </w:rPr>
        <w:t>1. 合同要求所涉及的所有专业的设计图纸（含图纸目录、说明和必要的设备、材料表）以及图纸总封面；对于涉及建筑节能设计的专业，其设计说明应有建筑节能设计的专项内容；涉及装配式建筑设计的专业，其设计说明及图纸应有装配式建筑专项设计内容。</w:t>
      </w:r>
    </w:p>
    <w:p>
      <w:pPr>
        <w:spacing w:line="360" w:lineRule="auto"/>
        <w:ind w:firstLine="480" w:firstLineChars="200"/>
        <w:rPr>
          <w:sz w:val="24"/>
          <w:szCs w:val="24"/>
        </w:rPr>
      </w:pPr>
      <w:r>
        <w:rPr>
          <w:sz w:val="24"/>
          <w:szCs w:val="24"/>
        </w:rPr>
        <w:t>· 总平面：在施工图设计阶段，总平面专业设计文件应包括图纸目录、设计说明、设计图纸、计算书。</w:t>
      </w:r>
    </w:p>
    <w:p>
      <w:pPr>
        <w:spacing w:line="360" w:lineRule="auto"/>
        <w:ind w:firstLine="480" w:firstLineChars="200"/>
        <w:rPr>
          <w:sz w:val="24"/>
          <w:szCs w:val="24"/>
        </w:rPr>
      </w:pPr>
      <w:r>
        <w:rPr>
          <w:sz w:val="24"/>
          <w:szCs w:val="24"/>
        </w:rPr>
        <w:t>· 建筑：在施工图设计阶段，建筑专业设计文件应包括图纸目录、设计说明、设计图纸、计算书。</w:t>
      </w:r>
    </w:p>
    <w:p>
      <w:pPr>
        <w:spacing w:line="360" w:lineRule="auto"/>
        <w:ind w:firstLine="480" w:firstLineChars="200"/>
        <w:rPr>
          <w:sz w:val="24"/>
          <w:szCs w:val="24"/>
        </w:rPr>
      </w:pPr>
      <w:r>
        <w:rPr>
          <w:sz w:val="24"/>
          <w:szCs w:val="24"/>
        </w:rPr>
        <w:t>· 结构：在施工图设计阶段，结构专业设计文件应包含图纸目录、设计说明、设计图纸、计算书。</w:t>
      </w:r>
    </w:p>
    <w:p>
      <w:pPr>
        <w:spacing w:line="360" w:lineRule="auto"/>
        <w:ind w:firstLine="480" w:firstLineChars="200"/>
        <w:rPr>
          <w:sz w:val="24"/>
          <w:szCs w:val="24"/>
        </w:rPr>
      </w:pPr>
      <w:r>
        <w:rPr>
          <w:sz w:val="24"/>
          <w:szCs w:val="24"/>
        </w:rPr>
        <w:t>· 建筑电气：在施工图设计阶段，建筑电气专业设计文件图纸部分应包括图纸目录、设计说明、设计图、主要设备表，电气计算部分出计算书。</w:t>
      </w:r>
    </w:p>
    <w:p>
      <w:pPr>
        <w:spacing w:line="360" w:lineRule="auto"/>
        <w:ind w:firstLine="480" w:firstLineChars="200"/>
        <w:rPr>
          <w:sz w:val="24"/>
          <w:szCs w:val="24"/>
        </w:rPr>
      </w:pPr>
      <w:r>
        <w:rPr>
          <w:sz w:val="24"/>
          <w:szCs w:val="24"/>
        </w:rPr>
        <w:t>· 给水排水：在施工图设计阶段，建筑给水排水专业设计文件应包括图纸目录、施工图设计说明、设计图纸、设备及主要材料表、计算书。</w:t>
      </w:r>
    </w:p>
    <w:p>
      <w:pPr>
        <w:spacing w:line="360" w:lineRule="auto"/>
        <w:ind w:firstLine="480" w:firstLineChars="200"/>
        <w:rPr>
          <w:sz w:val="24"/>
          <w:szCs w:val="24"/>
        </w:rPr>
      </w:pPr>
      <w:r>
        <w:rPr>
          <w:sz w:val="24"/>
          <w:szCs w:val="24"/>
        </w:rPr>
        <w:t>· 供暖通风与空气调节：在施工图设计阶段，供暖通风与空气调节专业设计文件应包括图纸目录、设计与施工说明、设备表、设计图纸、计算书。</w:t>
      </w:r>
    </w:p>
    <w:p>
      <w:pPr>
        <w:spacing w:line="360" w:lineRule="auto"/>
        <w:ind w:firstLine="480" w:firstLineChars="200"/>
        <w:rPr>
          <w:sz w:val="24"/>
          <w:szCs w:val="24"/>
        </w:rPr>
      </w:pPr>
      <w:r>
        <w:rPr>
          <w:sz w:val="24"/>
          <w:szCs w:val="24"/>
        </w:rPr>
        <w:t>· 热能动力：在施工图设计阶段，热能动力专业设计文件应包括图纸目录、设计说明和施工说明、设备及主要材料表、设计图纸、计算书。</w:t>
      </w:r>
    </w:p>
    <w:p>
      <w:pPr>
        <w:spacing w:line="360" w:lineRule="auto"/>
        <w:ind w:firstLine="480" w:firstLineChars="200"/>
        <w:rPr>
          <w:sz w:val="24"/>
          <w:szCs w:val="24"/>
        </w:rPr>
      </w:pPr>
      <w:r>
        <w:rPr>
          <w:sz w:val="24"/>
          <w:szCs w:val="24"/>
        </w:rPr>
        <w:t>2. 合同要求的工程预算书。</w:t>
      </w:r>
    </w:p>
    <w:p>
      <w:pPr>
        <w:spacing w:line="360" w:lineRule="auto"/>
        <w:ind w:firstLine="480" w:firstLineChars="200"/>
        <w:rPr>
          <w:sz w:val="24"/>
          <w:szCs w:val="24"/>
        </w:rPr>
      </w:pPr>
      <w:r>
        <w:rPr>
          <w:sz w:val="24"/>
          <w:szCs w:val="24"/>
        </w:rPr>
        <w:t>注：对于方案设计后直接进入施工图设计的项目，若合同未要求编制工程预算书，施工图设计文件应包括工程概算书。</w:t>
      </w:r>
    </w:p>
    <w:p>
      <w:pPr>
        <w:spacing w:line="360" w:lineRule="auto"/>
        <w:ind w:firstLine="480" w:firstLineChars="200"/>
        <w:rPr>
          <w:sz w:val="24"/>
          <w:szCs w:val="24"/>
        </w:rPr>
      </w:pPr>
      <w:r>
        <w:rPr>
          <w:sz w:val="24"/>
          <w:szCs w:val="24"/>
        </w:rPr>
        <w:t>· 预算：施工图预算文件包括封面、签署页（扉页）、目录、编制说明、建设项目总预算表、单项工程综合预算表、单位工程预算书。</w:t>
      </w:r>
    </w:p>
    <w:p>
      <w:pPr>
        <w:spacing w:line="360" w:lineRule="auto"/>
        <w:ind w:firstLine="480" w:firstLineChars="200"/>
        <w:rPr>
          <w:sz w:val="24"/>
          <w:szCs w:val="24"/>
        </w:rPr>
      </w:pPr>
      <w:r>
        <w:rPr>
          <w:sz w:val="24"/>
          <w:szCs w:val="24"/>
        </w:rPr>
        <w:t>3. 各专业计算书。计算书不属于必须交付的设计文件，但应按本规定相关条款的要求编制并归档保存。</w:t>
      </w:r>
    </w:p>
    <w:p>
      <w:pPr>
        <w:spacing w:line="360" w:lineRule="auto"/>
        <w:ind w:firstLine="480" w:firstLineChars="200"/>
        <w:rPr>
          <w:sz w:val="24"/>
          <w:szCs w:val="24"/>
        </w:rPr>
      </w:pPr>
      <w:r>
        <w:rPr>
          <w:rFonts w:hint="eastAsia"/>
          <w:sz w:val="24"/>
          <w:szCs w:val="24"/>
        </w:rPr>
        <w:t>（三）设计整体要求：</w:t>
      </w:r>
    </w:p>
    <w:p>
      <w:pPr>
        <w:spacing w:line="360" w:lineRule="auto"/>
        <w:ind w:firstLine="480" w:firstLineChars="200"/>
        <w:rPr>
          <w:sz w:val="24"/>
          <w:szCs w:val="24"/>
        </w:rPr>
      </w:pPr>
      <w:r>
        <w:rPr>
          <w:rFonts w:hint="eastAsia"/>
          <w:sz w:val="24"/>
          <w:szCs w:val="24"/>
        </w:rPr>
        <w:t>1、建筑方案设计要求：</w:t>
      </w:r>
    </w:p>
    <w:p>
      <w:pPr>
        <w:spacing w:line="360" w:lineRule="auto"/>
        <w:ind w:firstLine="480" w:firstLineChars="200"/>
        <w:rPr>
          <w:sz w:val="24"/>
          <w:szCs w:val="24"/>
        </w:rPr>
      </w:pPr>
      <w:r>
        <w:rPr>
          <w:rFonts w:hint="eastAsia"/>
          <w:sz w:val="24"/>
          <w:szCs w:val="24"/>
        </w:rPr>
        <w:t>1.1满足建筑功能要求；</w:t>
      </w:r>
    </w:p>
    <w:p>
      <w:pPr>
        <w:spacing w:line="360" w:lineRule="auto"/>
        <w:ind w:firstLine="480" w:firstLineChars="200"/>
        <w:rPr>
          <w:sz w:val="24"/>
          <w:szCs w:val="24"/>
        </w:rPr>
      </w:pPr>
      <w:r>
        <w:rPr>
          <w:rFonts w:hint="eastAsia"/>
          <w:sz w:val="24"/>
          <w:szCs w:val="24"/>
        </w:rPr>
        <w:t>1.2采用合理的技术措施；</w:t>
      </w:r>
    </w:p>
    <w:p>
      <w:pPr>
        <w:spacing w:line="360" w:lineRule="auto"/>
        <w:ind w:firstLine="480" w:firstLineChars="200"/>
        <w:rPr>
          <w:sz w:val="24"/>
          <w:szCs w:val="24"/>
        </w:rPr>
      </w:pPr>
      <w:r>
        <w:rPr>
          <w:rFonts w:hint="eastAsia"/>
          <w:sz w:val="24"/>
          <w:szCs w:val="24"/>
        </w:rPr>
        <w:t>1.3具有良好的经济效果；</w:t>
      </w:r>
    </w:p>
    <w:p>
      <w:pPr>
        <w:spacing w:line="360" w:lineRule="auto"/>
        <w:ind w:firstLine="480" w:firstLineChars="200"/>
        <w:rPr>
          <w:sz w:val="24"/>
          <w:szCs w:val="24"/>
        </w:rPr>
      </w:pPr>
      <w:r>
        <w:rPr>
          <w:rFonts w:hint="eastAsia"/>
          <w:sz w:val="24"/>
          <w:szCs w:val="24"/>
        </w:rPr>
        <w:t>1.4考虑建筑美观要求；</w:t>
      </w:r>
    </w:p>
    <w:p>
      <w:pPr>
        <w:spacing w:line="360" w:lineRule="auto"/>
        <w:ind w:firstLine="480" w:firstLineChars="200"/>
        <w:rPr>
          <w:sz w:val="24"/>
          <w:szCs w:val="24"/>
        </w:rPr>
      </w:pPr>
      <w:r>
        <w:rPr>
          <w:rFonts w:hint="eastAsia"/>
          <w:sz w:val="24"/>
          <w:szCs w:val="24"/>
        </w:rPr>
        <w:t>1.5符合总体规划要求。</w:t>
      </w:r>
    </w:p>
    <w:p>
      <w:pPr>
        <w:spacing w:line="360" w:lineRule="auto"/>
        <w:ind w:firstLine="480" w:firstLineChars="200"/>
        <w:rPr>
          <w:sz w:val="24"/>
          <w:szCs w:val="24"/>
        </w:rPr>
      </w:pPr>
      <w:r>
        <w:rPr>
          <w:rFonts w:hint="eastAsia"/>
          <w:sz w:val="24"/>
          <w:szCs w:val="24"/>
        </w:rPr>
        <w:t>2、建筑方案设计要求之使用功能</w:t>
      </w:r>
    </w:p>
    <w:p>
      <w:pPr>
        <w:spacing w:line="360" w:lineRule="auto"/>
        <w:ind w:firstLine="480" w:firstLineChars="200"/>
        <w:rPr>
          <w:sz w:val="24"/>
          <w:szCs w:val="24"/>
        </w:rPr>
      </w:pPr>
      <w:r>
        <w:rPr>
          <w:rFonts w:hint="eastAsia"/>
          <w:sz w:val="24"/>
          <w:szCs w:val="24"/>
        </w:rPr>
        <w:t>2.1人体尺度和人体活动所需的空间尺度。</w:t>
      </w:r>
    </w:p>
    <w:p>
      <w:pPr>
        <w:spacing w:line="360" w:lineRule="auto"/>
        <w:ind w:firstLine="480" w:firstLineChars="200"/>
        <w:rPr>
          <w:sz w:val="24"/>
          <w:szCs w:val="24"/>
        </w:rPr>
      </w:pPr>
      <w:r>
        <w:rPr>
          <w:rFonts w:hint="eastAsia"/>
          <w:sz w:val="24"/>
          <w:szCs w:val="24"/>
        </w:rPr>
        <w:t>2.2车辆、设备的尺寸和使用空间。</w:t>
      </w:r>
    </w:p>
    <w:p>
      <w:pPr>
        <w:spacing w:line="360" w:lineRule="auto"/>
        <w:ind w:firstLine="480" w:firstLineChars="200"/>
        <w:rPr>
          <w:sz w:val="24"/>
          <w:szCs w:val="24"/>
        </w:rPr>
      </w:pPr>
      <w:r>
        <w:rPr>
          <w:rFonts w:hint="eastAsia"/>
          <w:sz w:val="24"/>
          <w:szCs w:val="24"/>
        </w:rPr>
        <w:t>3、建筑方案设计要求之自然条件</w:t>
      </w:r>
    </w:p>
    <w:p>
      <w:pPr>
        <w:spacing w:line="360" w:lineRule="auto"/>
        <w:ind w:firstLine="480" w:firstLineChars="200"/>
        <w:rPr>
          <w:sz w:val="24"/>
          <w:szCs w:val="24"/>
        </w:rPr>
      </w:pPr>
      <w:r>
        <w:rPr>
          <w:rFonts w:hint="eastAsia"/>
          <w:sz w:val="24"/>
          <w:szCs w:val="24"/>
        </w:rPr>
        <w:t>3.1气象条件</w:t>
      </w:r>
    </w:p>
    <w:p>
      <w:pPr>
        <w:spacing w:line="360" w:lineRule="auto"/>
        <w:ind w:firstLine="480" w:firstLineChars="200"/>
        <w:rPr>
          <w:sz w:val="24"/>
          <w:szCs w:val="24"/>
        </w:rPr>
      </w:pPr>
      <w:r>
        <w:rPr>
          <w:rFonts w:hint="eastAsia"/>
          <w:sz w:val="24"/>
          <w:szCs w:val="24"/>
        </w:rPr>
        <w:t>建设地区的温度、湿度、日照、雨雪、风向、风速等是建筑设计的重要依据,对建筑设计有较大的影响。</w:t>
      </w:r>
    </w:p>
    <w:p>
      <w:pPr>
        <w:spacing w:line="360" w:lineRule="auto"/>
        <w:ind w:firstLine="480" w:firstLineChars="200"/>
        <w:rPr>
          <w:sz w:val="24"/>
          <w:szCs w:val="24"/>
        </w:rPr>
      </w:pPr>
      <w:r>
        <w:rPr>
          <w:rFonts w:hint="eastAsia"/>
          <w:sz w:val="24"/>
          <w:szCs w:val="24"/>
        </w:rPr>
        <w:t>（四）建筑方案设计要求之建筑设计标准、规范、规程</w:t>
      </w:r>
    </w:p>
    <w:p>
      <w:pPr>
        <w:spacing w:line="360" w:lineRule="auto"/>
        <w:ind w:firstLine="480" w:firstLineChars="200"/>
        <w:rPr>
          <w:sz w:val="24"/>
          <w:szCs w:val="24"/>
        </w:rPr>
      </w:pPr>
      <w:r>
        <w:rPr>
          <w:rFonts w:hint="eastAsia"/>
          <w:sz w:val="24"/>
          <w:szCs w:val="24"/>
        </w:rPr>
        <w:t>国家标准《建筑结构可靠性设计统一标准》(GB50068-2018)；</w:t>
      </w:r>
    </w:p>
    <w:p>
      <w:pPr>
        <w:spacing w:line="360" w:lineRule="auto"/>
        <w:ind w:firstLine="480" w:firstLineChars="200"/>
        <w:rPr>
          <w:sz w:val="24"/>
          <w:szCs w:val="24"/>
        </w:rPr>
      </w:pPr>
      <w:r>
        <w:rPr>
          <w:rFonts w:hint="eastAsia"/>
          <w:sz w:val="24"/>
          <w:szCs w:val="24"/>
        </w:rPr>
        <w:t>国家标准《工程结构设计基本术语标准》(GB/T50083-2014)；</w:t>
      </w:r>
    </w:p>
    <w:p>
      <w:pPr>
        <w:spacing w:line="360" w:lineRule="auto"/>
        <w:ind w:firstLine="480" w:firstLineChars="200"/>
        <w:rPr>
          <w:sz w:val="24"/>
          <w:szCs w:val="24"/>
        </w:rPr>
      </w:pPr>
      <w:r>
        <w:rPr>
          <w:rFonts w:hint="eastAsia"/>
          <w:sz w:val="24"/>
          <w:szCs w:val="24"/>
        </w:rPr>
        <w:t>国家标准《建筑结构荷载规范》(GB50009-2012)；</w:t>
      </w:r>
    </w:p>
    <w:p>
      <w:pPr>
        <w:spacing w:line="360" w:lineRule="auto"/>
        <w:ind w:firstLine="480" w:firstLineChars="200"/>
        <w:rPr>
          <w:sz w:val="24"/>
          <w:szCs w:val="24"/>
        </w:rPr>
      </w:pPr>
      <w:r>
        <w:rPr>
          <w:rFonts w:hint="eastAsia"/>
          <w:sz w:val="24"/>
          <w:szCs w:val="24"/>
        </w:rPr>
        <w:t>国家标准《钢结构设计标准》(GB50017-2017)；</w:t>
      </w:r>
    </w:p>
    <w:p>
      <w:pPr>
        <w:spacing w:line="360" w:lineRule="auto"/>
        <w:ind w:firstLine="480" w:firstLineChars="200"/>
        <w:rPr>
          <w:sz w:val="24"/>
          <w:szCs w:val="24"/>
        </w:rPr>
      </w:pPr>
      <w:r>
        <w:rPr>
          <w:rFonts w:hint="eastAsia"/>
          <w:sz w:val="24"/>
          <w:szCs w:val="24"/>
        </w:rPr>
        <w:t>国家标准《混凝土结构设计标准》(GB50010-2010)</w:t>
      </w:r>
    </w:p>
    <w:p>
      <w:pPr>
        <w:spacing w:line="360" w:lineRule="auto"/>
        <w:ind w:firstLine="480" w:firstLineChars="200"/>
        <w:rPr>
          <w:sz w:val="24"/>
          <w:szCs w:val="24"/>
        </w:rPr>
      </w:pPr>
      <w:r>
        <w:rPr>
          <w:rFonts w:hint="eastAsia"/>
          <w:sz w:val="24"/>
          <w:szCs w:val="24"/>
        </w:rPr>
        <w:t>国家标准《建筑抗震设计标准》(GB/T50011-2010)；</w:t>
      </w:r>
    </w:p>
    <w:p>
      <w:pPr>
        <w:spacing w:line="360" w:lineRule="auto"/>
        <w:ind w:firstLine="480" w:firstLineChars="200"/>
        <w:rPr>
          <w:sz w:val="24"/>
          <w:szCs w:val="24"/>
        </w:rPr>
      </w:pPr>
      <w:r>
        <w:rPr>
          <w:rFonts w:hint="eastAsia"/>
          <w:sz w:val="24"/>
          <w:szCs w:val="24"/>
        </w:rPr>
        <w:t>国家标准《钢结构工程施工及验收标准》(GB50205-2020)</w:t>
      </w:r>
    </w:p>
    <w:p>
      <w:pPr>
        <w:spacing w:line="360" w:lineRule="auto"/>
        <w:ind w:firstLine="480" w:firstLineChars="200"/>
        <w:rPr>
          <w:sz w:val="24"/>
          <w:szCs w:val="24"/>
        </w:rPr>
      </w:pPr>
      <w:r>
        <w:rPr>
          <w:rFonts w:hint="eastAsia"/>
          <w:sz w:val="24"/>
          <w:szCs w:val="24"/>
        </w:rPr>
        <w:t>国家标准《混凝土结构工程施工质量验收规范》(GB50204-2015)</w:t>
      </w:r>
    </w:p>
    <w:p>
      <w:pPr>
        <w:spacing w:line="360" w:lineRule="auto"/>
        <w:ind w:firstLine="480" w:firstLineChars="200"/>
        <w:rPr>
          <w:sz w:val="24"/>
          <w:szCs w:val="24"/>
        </w:rPr>
      </w:pPr>
      <w:r>
        <w:rPr>
          <w:rFonts w:hint="eastAsia"/>
          <w:sz w:val="24"/>
          <w:szCs w:val="24"/>
        </w:rPr>
        <w:t>国家标准《建筑地基基础设计规范》（GB50007-2011）</w:t>
      </w:r>
    </w:p>
    <w:p>
      <w:pPr>
        <w:spacing w:line="360" w:lineRule="auto"/>
        <w:ind w:firstLine="480" w:firstLineChars="200"/>
        <w:rPr>
          <w:sz w:val="24"/>
          <w:szCs w:val="24"/>
        </w:rPr>
      </w:pPr>
      <w:r>
        <w:rPr>
          <w:rFonts w:hint="eastAsia"/>
          <w:sz w:val="24"/>
          <w:szCs w:val="24"/>
        </w:rPr>
        <w:t>地方标准《建筑地基基础技术规范》（DB42/T-242-2014）</w:t>
      </w:r>
    </w:p>
    <w:p>
      <w:pPr>
        <w:spacing w:line="360" w:lineRule="auto"/>
        <w:ind w:firstLine="480" w:firstLineChars="200"/>
        <w:rPr>
          <w:sz w:val="24"/>
          <w:szCs w:val="24"/>
        </w:rPr>
      </w:pPr>
      <w:r>
        <w:rPr>
          <w:rFonts w:hint="eastAsia"/>
          <w:sz w:val="24"/>
          <w:szCs w:val="24"/>
        </w:rPr>
        <w:t>建筑工业行业标准《建筑地基处理技术规范》（JGJ79-2012）</w:t>
      </w:r>
    </w:p>
    <w:p>
      <w:pPr>
        <w:spacing w:line="360" w:lineRule="auto"/>
        <w:ind w:firstLine="480" w:firstLineChars="200"/>
        <w:rPr>
          <w:sz w:val="24"/>
          <w:szCs w:val="24"/>
        </w:rPr>
      </w:pPr>
      <w:r>
        <w:rPr>
          <w:rFonts w:hint="eastAsia"/>
          <w:sz w:val="24"/>
          <w:szCs w:val="24"/>
        </w:rPr>
        <w:t xml:space="preserve">国家标准《房屋建筑制图统一标准》(GB/T50001-2017) </w:t>
      </w:r>
    </w:p>
    <w:p>
      <w:pPr>
        <w:spacing w:line="360" w:lineRule="auto"/>
        <w:ind w:firstLine="480" w:firstLineChars="200"/>
        <w:rPr>
          <w:sz w:val="24"/>
          <w:szCs w:val="24"/>
        </w:rPr>
      </w:pPr>
      <w:r>
        <w:rPr>
          <w:rFonts w:hint="eastAsia"/>
          <w:sz w:val="24"/>
          <w:szCs w:val="24"/>
        </w:rPr>
        <w:t>以及其他国家规范标准。</w:t>
      </w:r>
    </w:p>
    <w:p>
      <w:pPr>
        <w:spacing w:line="360" w:lineRule="auto"/>
        <w:rPr>
          <w:b/>
          <w:bCs/>
          <w:sz w:val="24"/>
          <w:szCs w:val="24"/>
        </w:rPr>
      </w:pPr>
      <w:r>
        <w:rPr>
          <w:rFonts w:hint="eastAsia"/>
          <w:b/>
          <w:bCs/>
          <w:sz w:val="24"/>
          <w:szCs w:val="24"/>
        </w:rPr>
        <w:t>三、全过程工程监理：</w:t>
      </w:r>
    </w:p>
    <w:p>
      <w:pPr>
        <w:spacing w:line="360" w:lineRule="auto"/>
        <w:ind w:firstLine="480" w:firstLineChars="200"/>
        <w:rPr>
          <w:sz w:val="24"/>
          <w:szCs w:val="24"/>
        </w:rPr>
      </w:pPr>
      <w:r>
        <w:rPr>
          <w:rFonts w:hint="eastAsia"/>
          <w:sz w:val="24"/>
          <w:szCs w:val="24"/>
        </w:rPr>
        <w:t>服务要求：不得设置总代，要求驻场服务。</w:t>
      </w:r>
    </w:p>
    <w:p>
      <w:pPr>
        <w:spacing w:line="360" w:lineRule="auto"/>
        <w:ind w:firstLine="480" w:firstLineChars="200"/>
        <w:rPr>
          <w:sz w:val="24"/>
          <w:szCs w:val="24"/>
        </w:rPr>
      </w:pPr>
      <w:r>
        <w:rPr>
          <w:rFonts w:hint="eastAsia"/>
          <w:sz w:val="24"/>
          <w:szCs w:val="24"/>
        </w:rPr>
        <w:t>建设项目前期阶段：</w:t>
      </w:r>
    </w:p>
    <w:p>
      <w:pPr>
        <w:spacing w:line="360" w:lineRule="auto"/>
        <w:ind w:firstLine="480" w:firstLineChars="200"/>
        <w:rPr>
          <w:sz w:val="24"/>
          <w:szCs w:val="24"/>
        </w:rPr>
      </w:pPr>
      <w:r>
        <w:rPr>
          <w:rFonts w:hint="eastAsia"/>
          <w:sz w:val="24"/>
          <w:szCs w:val="24"/>
        </w:rPr>
        <w:t>全过程监理在建设项目前期阶段的工作，首先是协助项目筹建单位进行项目立项策划和申请，协助编制项目建议书。</w:t>
      </w:r>
    </w:p>
    <w:p>
      <w:pPr>
        <w:spacing w:line="360" w:lineRule="auto"/>
        <w:ind w:firstLine="480" w:firstLineChars="200"/>
        <w:rPr>
          <w:sz w:val="24"/>
          <w:szCs w:val="24"/>
        </w:rPr>
      </w:pPr>
      <w:r>
        <w:rPr>
          <w:rFonts w:hint="eastAsia"/>
          <w:sz w:val="24"/>
          <w:szCs w:val="24"/>
        </w:rPr>
        <w:t>（一）建设项目勘察设计阶段这个阶段监理工作的主要任务：协助业主编制勘察设计招标文件，协助选择勘察设计单位，签订勘察设计合同并组织实施。</w:t>
      </w:r>
    </w:p>
    <w:p>
      <w:pPr>
        <w:spacing w:line="360" w:lineRule="auto"/>
        <w:ind w:firstLine="480" w:firstLineChars="200"/>
        <w:rPr>
          <w:sz w:val="24"/>
          <w:szCs w:val="24"/>
        </w:rPr>
      </w:pPr>
      <w:r>
        <w:rPr>
          <w:rFonts w:hint="eastAsia"/>
          <w:sz w:val="24"/>
          <w:szCs w:val="24"/>
        </w:rPr>
        <w:t>（二）施工准备阶段施工准备阶段的监理工作主要包括：协助业主编制施工招标文件，进行招标开标和评标活动，审查施工单位资质和施工技术及方案，按照“公正、公平、公开”的原则确定施工单位，协助签定工程承建合同；建立监理机构，配备专业技术监理人员，编制监理质量体系文件、监理规划和实施细则等；配备齐全的监理设备和必要的工作生活条件；开展施工环境和开工条件的调查与现场核查，并进行工艺实验；在开工前对控制点进行复测、放样检查验收及审核土石方工程量等。</w:t>
      </w:r>
    </w:p>
    <w:p>
      <w:pPr>
        <w:spacing w:line="360" w:lineRule="auto"/>
        <w:ind w:firstLine="480" w:firstLineChars="200"/>
        <w:rPr>
          <w:sz w:val="24"/>
          <w:szCs w:val="24"/>
        </w:rPr>
      </w:pPr>
      <w:r>
        <w:rPr>
          <w:rFonts w:hint="eastAsia"/>
          <w:sz w:val="24"/>
          <w:szCs w:val="24"/>
        </w:rPr>
        <w:t xml:space="preserve">建设施工阶段施工阶段：主要任务就是对工程建设进行投资控制、质量控制、进度控制；进行合同管理、信息管理工作，独立、自主、公正地协调好项目法人和各承建方之间的关系，充分发挥监理工程师的组织职能、服务职能、控制职能，保障工程按计划高效、优质、经济地顺利完成。 </w:t>
      </w:r>
    </w:p>
    <w:p>
      <w:pPr>
        <w:spacing w:line="360" w:lineRule="auto"/>
        <w:ind w:firstLine="480" w:firstLineChars="200"/>
        <w:rPr>
          <w:sz w:val="24"/>
          <w:szCs w:val="24"/>
        </w:rPr>
      </w:pPr>
      <w:r>
        <w:rPr>
          <w:rFonts w:hint="eastAsia"/>
          <w:sz w:val="24"/>
          <w:szCs w:val="24"/>
        </w:rPr>
        <w:t xml:space="preserve">1、质量控制的全过程监理内容包括：编制各主要工种或各专业的质量控制程序及控制标准；审查施工单位的质量控制体系和措施，审批施工单位提交的图纸、工程设计、工艺流程设计和措施计划；审批工程材料来源和合格证明；审核、签发设计文件及补充；及时答复施工单位提出的建议和意见；对施工工序和工艺质量进行监督；对基础工程、隐蔽工程的质量进行检查、签认和评价，采用“预控”、“程控”和“终控”的三阶段控制方法，对“分项工程”、“分部工程”和“单位工程”这三层次进行质量认证和质量评定工作，及时发现问题，将问题消灭于萌芽状态；组织处理各类工程质量事故；参加工程移交验收或竣工预验收等等。 </w:t>
      </w:r>
    </w:p>
    <w:p>
      <w:pPr>
        <w:spacing w:line="360" w:lineRule="auto"/>
        <w:ind w:firstLine="480" w:firstLineChars="200"/>
        <w:rPr>
          <w:sz w:val="24"/>
          <w:szCs w:val="24"/>
        </w:rPr>
      </w:pPr>
      <w:r>
        <w:rPr>
          <w:rFonts w:hint="eastAsia"/>
          <w:sz w:val="24"/>
          <w:szCs w:val="24"/>
        </w:rPr>
        <w:t xml:space="preserve">2、进度控制：包括协助审查施工招标文件、投标文件、合同文件中涉及工程进度的条款；协助编制工程“控制性总进度计划”；协助业主制定资金供应和实施计划；协助制定材料的采购与供应计划，并督促实施；审查施工单位报送的施工进度计划和施工进度报告，召开进度会，并督促施工单位均衡施工，避免突击抢工赶工局面，分清轻重缓急，处理进度拖延等；在施工过程中随时对工程进度进行分析和评估，定期向业主提交“工程进度分析报告”。 </w:t>
      </w:r>
    </w:p>
    <w:p>
      <w:pPr>
        <w:spacing w:line="360" w:lineRule="auto"/>
        <w:ind w:firstLine="480" w:firstLineChars="200"/>
        <w:rPr>
          <w:sz w:val="24"/>
          <w:szCs w:val="24"/>
        </w:rPr>
      </w:pPr>
      <w:r>
        <w:rPr>
          <w:rFonts w:hint="eastAsia"/>
          <w:sz w:val="24"/>
          <w:szCs w:val="24"/>
        </w:rPr>
        <w:t xml:space="preserve">3、投资控制：包括协助审查施工招标文件、投标文件中有关商务条款和商务文件，协助业主进行合同款谈判工作，进行合同价格调整；协助业主编制投资控制目标和分年度投资计划及支付计划；对新增项目、工程变更、工期调整的经济合理性进行审议并提出审议意见；审查施工单位提交的资金流计划，严格审核施工单位的月计量报告，签发工程款支付凭证；指定避免或减少费用索赔的措施，受理施工索赔申请；编制完工后的最终计量支付，协助业主进行完工结算。 </w:t>
      </w:r>
    </w:p>
    <w:p>
      <w:pPr>
        <w:spacing w:line="360" w:lineRule="auto"/>
        <w:ind w:firstLine="480" w:firstLineChars="200"/>
        <w:rPr>
          <w:sz w:val="24"/>
          <w:szCs w:val="24"/>
        </w:rPr>
      </w:pPr>
      <w:r>
        <w:rPr>
          <w:rFonts w:hint="eastAsia"/>
          <w:sz w:val="24"/>
          <w:szCs w:val="24"/>
        </w:rPr>
        <w:t xml:space="preserve">4、合同管理和信息管理：即本着“公平”、“诚信”和“效率”的原则，“公正”“科学”“及时”地发布指示和作出裁决，不仅促使业主和施工单位履行各自的合同义务，切实充分协调好双方之间的合同行为，同时在业主和施工单位之间建立起一种相互支持、相互促进的伙伴型关系，以便使合同实施结果达到工期、成本和质量的整体最优化结果。 </w:t>
      </w:r>
    </w:p>
    <w:p>
      <w:pPr>
        <w:spacing w:line="360" w:lineRule="auto"/>
        <w:ind w:firstLine="480" w:firstLineChars="200"/>
        <w:rPr>
          <w:sz w:val="24"/>
          <w:szCs w:val="24"/>
        </w:rPr>
      </w:pPr>
      <w:r>
        <w:rPr>
          <w:rFonts w:hint="eastAsia"/>
          <w:sz w:val="24"/>
          <w:szCs w:val="24"/>
        </w:rPr>
        <w:t xml:space="preserve">5、协调工作：包括协调不同施工单位（或承包商）之间、业主与施工单位之间的关系，在业主的授权范围内协调其他关系；解决工程进度、工程质量、工程费用、施工安全、环保要求等各项控制目标之间的矛盾等等。 </w:t>
      </w:r>
    </w:p>
    <w:p>
      <w:pPr>
        <w:spacing w:line="360" w:lineRule="auto"/>
        <w:ind w:firstLine="480" w:firstLineChars="200"/>
        <w:rPr>
          <w:sz w:val="24"/>
          <w:szCs w:val="24"/>
        </w:rPr>
      </w:pPr>
      <w:r>
        <w:rPr>
          <w:rFonts w:hint="eastAsia"/>
          <w:sz w:val="24"/>
          <w:szCs w:val="24"/>
        </w:rPr>
        <w:t xml:space="preserve">（五）竣工验收阶段 </w:t>
      </w:r>
    </w:p>
    <w:p>
      <w:pPr>
        <w:spacing w:line="360" w:lineRule="auto"/>
        <w:ind w:firstLine="480" w:firstLineChars="200"/>
        <w:rPr>
          <w:sz w:val="24"/>
          <w:szCs w:val="24"/>
        </w:rPr>
      </w:pPr>
      <w:r>
        <w:rPr>
          <w:rFonts w:hint="eastAsia"/>
          <w:sz w:val="24"/>
          <w:szCs w:val="24"/>
        </w:rPr>
        <w:t xml:space="preserve">在这一阶段，监理要协助业主主持各分部、单位工程的质量登记初评和验收工作，参加安全鉴定工作，整理提交规范化的监理资料和监理报告，协调建设各方提交竣工验收资料，并保证按时顺利通过上级部门的竣工验收。 </w:t>
      </w:r>
    </w:p>
    <w:p>
      <w:pPr>
        <w:spacing w:line="360" w:lineRule="auto"/>
        <w:ind w:firstLine="480" w:firstLineChars="200"/>
        <w:rPr>
          <w:sz w:val="24"/>
          <w:szCs w:val="24"/>
        </w:rPr>
      </w:pPr>
      <w:r>
        <w:rPr>
          <w:rFonts w:hint="eastAsia"/>
          <w:sz w:val="24"/>
          <w:szCs w:val="24"/>
        </w:rPr>
        <w:t xml:space="preserve">（六）维护保修阶段的监理工作 </w:t>
      </w:r>
    </w:p>
    <w:p>
      <w:pPr>
        <w:spacing w:line="360" w:lineRule="auto"/>
        <w:ind w:firstLine="480" w:firstLineChars="200"/>
        <w:rPr>
          <w:sz w:val="24"/>
          <w:szCs w:val="24"/>
        </w:rPr>
      </w:pPr>
      <w:r>
        <w:rPr>
          <w:rFonts w:hint="eastAsia"/>
          <w:sz w:val="24"/>
          <w:szCs w:val="24"/>
        </w:rPr>
        <w:t xml:space="preserve">维护保修阶段，即工程上的缺陷责任期。工程完工后，需要一段时间进行维护保修，监理工作即制定维护保修阶段的工作计划，按照业主要求，组织保修工程检查，如发现重大质量缺陷，上报建设部门及质监站，鉴定缺陷责任，督促责任方按照合同及规范规定处理，并督促保修工作的执行和验收。 </w:t>
      </w:r>
    </w:p>
    <w:p>
      <w:pPr>
        <w:spacing w:line="360" w:lineRule="auto"/>
        <w:ind w:firstLine="480" w:firstLineChars="200"/>
        <w:rPr>
          <w:sz w:val="24"/>
          <w:szCs w:val="24"/>
        </w:rPr>
      </w:pPr>
      <w:r>
        <w:rPr>
          <w:rFonts w:hint="eastAsia"/>
          <w:sz w:val="24"/>
          <w:szCs w:val="24"/>
        </w:rPr>
        <w:t>服务规范：</w:t>
      </w:r>
    </w:p>
    <w:p>
      <w:pPr>
        <w:spacing w:line="360" w:lineRule="auto"/>
        <w:ind w:firstLine="480" w:firstLineChars="200"/>
        <w:rPr>
          <w:sz w:val="24"/>
          <w:szCs w:val="24"/>
        </w:rPr>
      </w:pPr>
      <w:r>
        <w:rPr>
          <w:rFonts w:hint="eastAsia"/>
          <w:sz w:val="24"/>
          <w:szCs w:val="24"/>
        </w:rPr>
        <w:t>符合建设工程监理规范及及军队的其他要求等。</w:t>
      </w:r>
    </w:p>
    <w:p>
      <w:pPr>
        <w:spacing w:line="360" w:lineRule="auto"/>
        <w:rPr>
          <w:b/>
          <w:bCs/>
          <w:sz w:val="24"/>
          <w:szCs w:val="24"/>
        </w:rPr>
      </w:pPr>
      <w:r>
        <w:rPr>
          <w:rFonts w:hint="eastAsia"/>
          <w:b/>
          <w:bCs/>
          <w:sz w:val="24"/>
          <w:szCs w:val="24"/>
        </w:rPr>
        <w:t>四、全过程造价咨询</w:t>
      </w:r>
    </w:p>
    <w:p>
      <w:pPr>
        <w:spacing w:line="360" w:lineRule="auto"/>
        <w:ind w:firstLine="480" w:firstLineChars="200"/>
        <w:rPr>
          <w:sz w:val="24"/>
          <w:szCs w:val="24"/>
        </w:rPr>
      </w:pPr>
      <w:r>
        <w:rPr>
          <w:rFonts w:hint="eastAsia"/>
          <w:sz w:val="24"/>
          <w:szCs w:val="24"/>
        </w:rPr>
        <w:t>（一）服务要求</w:t>
      </w:r>
    </w:p>
    <w:p>
      <w:pPr>
        <w:spacing w:line="360" w:lineRule="auto"/>
        <w:ind w:firstLine="480" w:firstLineChars="200"/>
        <w:rPr>
          <w:sz w:val="24"/>
          <w:szCs w:val="24"/>
        </w:rPr>
      </w:pPr>
      <w:r>
        <w:rPr>
          <w:rFonts w:hint="eastAsia"/>
          <w:sz w:val="24"/>
          <w:szCs w:val="24"/>
        </w:rPr>
        <w:t>全过程造价咨询一般包括三个阶段：设计阶段、招标阶段、施工阶段，其具体工作内容包括：</w:t>
      </w:r>
    </w:p>
    <w:p>
      <w:pPr>
        <w:spacing w:line="360" w:lineRule="auto"/>
        <w:ind w:firstLine="480" w:firstLineChars="200"/>
        <w:rPr>
          <w:sz w:val="24"/>
          <w:szCs w:val="24"/>
        </w:rPr>
      </w:pPr>
      <w:r>
        <w:rPr>
          <w:rFonts w:hint="eastAsia"/>
          <w:sz w:val="24"/>
          <w:szCs w:val="24"/>
        </w:rPr>
        <w:t>1、前期设计阶段</w:t>
      </w:r>
    </w:p>
    <w:p>
      <w:pPr>
        <w:spacing w:line="360" w:lineRule="auto"/>
        <w:ind w:firstLine="480" w:firstLineChars="200"/>
        <w:rPr>
          <w:sz w:val="24"/>
          <w:szCs w:val="24"/>
        </w:rPr>
      </w:pPr>
      <w:r>
        <w:rPr>
          <w:rFonts w:hint="eastAsia"/>
          <w:sz w:val="24"/>
          <w:szCs w:val="24"/>
        </w:rPr>
        <w:t>目标成本测算、经济指标分析、审核设计概算、指导限额设计、编制并讨论合约规划、总包招标前准备（合同版本选择、合同条款审核、计量原则确定）。</w:t>
      </w:r>
    </w:p>
    <w:p>
      <w:pPr>
        <w:spacing w:line="360" w:lineRule="auto"/>
        <w:ind w:firstLine="480" w:firstLineChars="200"/>
        <w:rPr>
          <w:sz w:val="24"/>
          <w:szCs w:val="24"/>
        </w:rPr>
      </w:pPr>
      <w:r>
        <w:rPr>
          <w:rFonts w:hint="eastAsia"/>
          <w:sz w:val="24"/>
          <w:szCs w:val="24"/>
        </w:rPr>
        <w:t>2、招标阶段</w:t>
      </w:r>
    </w:p>
    <w:p>
      <w:pPr>
        <w:spacing w:line="360" w:lineRule="auto"/>
        <w:ind w:firstLine="480" w:firstLineChars="200"/>
        <w:rPr>
          <w:sz w:val="24"/>
          <w:szCs w:val="24"/>
        </w:rPr>
      </w:pPr>
      <w:r>
        <w:rPr>
          <w:rFonts w:hint="eastAsia"/>
          <w:sz w:val="24"/>
          <w:szCs w:val="24"/>
        </w:rPr>
        <w:t>招标文件准备、清单编制、控制价编制、发标、清标、疑问卷及回复、合同签订。</w:t>
      </w:r>
    </w:p>
    <w:p>
      <w:pPr>
        <w:spacing w:line="360" w:lineRule="auto"/>
        <w:ind w:firstLine="480" w:firstLineChars="200"/>
        <w:rPr>
          <w:sz w:val="24"/>
          <w:szCs w:val="24"/>
        </w:rPr>
      </w:pPr>
      <w:r>
        <w:rPr>
          <w:rFonts w:hint="eastAsia"/>
          <w:sz w:val="24"/>
          <w:szCs w:val="24"/>
        </w:rPr>
        <w:t>3、施工阶段</w:t>
      </w:r>
    </w:p>
    <w:p>
      <w:pPr>
        <w:spacing w:line="360" w:lineRule="auto"/>
        <w:ind w:firstLine="480" w:firstLineChars="200"/>
        <w:rPr>
          <w:sz w:val="24"/>
          <w:szCs w:val="24"/>
        </w:rPr>
      </w:pPr>
      <w:r>
        <w:rPr>
          <w:rFonts w:hint="eastAsia"/>
          <w:sz w:val="24"/>
          <w:szCs w:val="24"/>
        </w:rPr>
        <w:t>合同管理、支付管理、设计变更洽商管理、成本管理、项目财务管理、分包招标评标、索赔管理、保险管理、结算审核等。</w:t>
      </w:r>
    </w:p>
    <w:p>
      <w:pPr>
        <w:spacing w:line="360" w:lineRule="auto"/>
        <w:ind w:firstLine="480" w:firstLineChars="200"/>
        <w:rPr>
          <w:sz w:val="24"/>
          <w:szCs w:val="24"/>
        </w:rPr>
      </w:pPr>
      <w:r>
        <w:rPr>
          <w:rFonts w:hint="eastAsia"/>
          <w:sz w:val="24"/>
          <w:szCs w:val="24"/>
        </w:rPr>
        <w:t>（二）服务规范</w:t>
      </w:r>
    </w:p>
    <w:p>
      <w:pPr>
        <w:spacing w:line="360" w:lineRule="auto"/>
        <w:ind w:firstLine="480" w:firstLineChars="200"/>
        <w:rPr>
          <w:sz w:val="24"/>
          <w:szCs w:val="24"/>
        </w:rPr>
      </w:pPr>
      <w:r>
        <w:rPr>
          <w:rFonts w:hint="eastAsia"/>
          <w:sz w:val="24"/>
          <w:szCs w:val="24"/>
        </w:rPr>
        <w:t>符合</w:t>
      </w:r>
      <w:r>
        <w:fldChar w:fldCharType="begin"/>
      </w:r>
      <w:r>
        <w:instrText xml:space="preserve"> HYPERLINK "https://www.so.com/link?m=bh/BuKPpjH8GhspFCB3fI2WCFHzHNnHGqMK86VnvTsCZ2egDstTBN5e/b6K9jGCevU+rSX5VHQDsltUkaxp9PAoHRPQc4g1pE5rvaBCf5TFtWb4iR0Ut0IL381YAp08Zocaqngo0WwzNwXgSQbk1FSh/q5jJ9miQGeKxmRUG+AhZ7QCjvxbGXJSlWijfj4SkL" \t "https://www.so.com/_blank" </w:instrText>
      </w:r>
      <w:r>
        <w:fldChar w:fldCharType="separate"/>
      </w:r>
      <w:r>
        <w:rPr>
          <w:sz w:val="24"/>
          <w:szCs w:val="24"/>
        </w:rPr>
        <w:t>建设工程造价咨询服务标准</w:t>
      </w:r>
      <w:r>
        <w:rPr>
          <w:sz w:val="24"/>
          <w:szCs w:val="24"/>
        </w:rPr>
        <w:fldChar w:fldCharType="end"/>
      </w:r>
      <w:r>
        <w:rPr>
          <w:rFonts w:hint="eastAsia"/>
          <w:sz w:val="24"/>
          <w:szCs w:val="24"/>
        </w:rPr>
        <w:t>及军队的其他要求等。</w:t>
      </w:r>
    </w:p>
    <w:p>
      <w:pPr>
        <w:spacing w:line="360" w:lineRule="auto"/>
        <w:rPr>
          <w:sz w:val="24"/>
          <w:szCs w:val="24"/>
        </w:rPr>
      </w:pPr>
    </w:p>
    <w:p>
      <w:pPr>
        <w:spacing w:line="360" w:lineRule="auto"/>
        <w:rPr>
          <w:sz w:val="24"/>
          <w:szCs w:val="24"/>
        </w:rPr>
      </w:pPr>
      <w:r>
        <w:rPr>
          <w:rFonts w:hint="eastAsia"/>
          <w:sz w:val="24"/>
          <w:szCs w:val="24"/>
        </w:rPr>
        <w:br w:type="page"/>
      </w:r>
    </w:p>
    <w:p>
      <w:pPr>
        <w:pStyle w:val="5"/>
        <w:spacing w:after="120" w:line="360" w:lineRule="auto"/>
        <w:jc w:val="center"/>
      </w:pPr>
      <w:bookmarkStart w:id="564" w:name="_Toc184916600"/>
      <w:r>
        <w:rPr>
          <w:rFonts w:hint="eastAsia"/>
        </w:rPr>
        <w:t>第五章  合同条款及格式</w:t>
      </w:r>
      <w:bookmarkEnd w:id="564"/>
    </w:p>
    <w:p>
      <w:pPr>
        <w:spacing w:line="460" w:lineRule="exact"/>
        <w:ind w:firstLine="320" w:firstLineChars="100"/>
        <w:jc w:val="center"/>
        <w:outlineLvl w:val="1"/>
        <w:rPr>
          <w:rFonts w:ascii="宋体" w:hAnsi="宋体"/>
          <w:sz w:val="32"/>
          <w:szCs w:val="24"/>
        </w:rPr>
      </w:pPr>
      <w:r>
        <w:rPr>
          <w:rFonts w:hint="eastAsia" w:ascii="宋体" w:hAnsi="宋体"/>
          <w:sz w:val="32"/>
          <w:szCs w:val="24"/>
        </w:rPr>
        <w:t>合作协议</w:t>
      </w:r>
    </w:p>
    <w:p>
      <w:pPr>
        <w:spacing w:line="460" w:lineRule="exact"/>
        <w:rPr>
          <w:rFonts w:ascii="黑体" w:hAnsi="黑体" w:eastAsia="黑体"/>
          <w:sz w:val="24"/>
          <w:szCs w:val="24"/>
          <w:u w:val="single"/>
        </w:rPr>
      </w:pPr>
      <w:r>
        <w:rPr>
          <w:rFonts w:hint="eastAsia" w:ascii="黑体" w:hAnsi="黑体" w:eastAsia="黑体"/>
          <w:sz w:val="24"/>
          <w:szCs w:val="24"/>
        </w:rPr>
        <w:t>甲方：</w:t>
      </w:r>
      <w:r>
        <w:rPr>
          <w:rFonts w:ascii="黑体" w:hAnsi="黑体" w:eastAsia="黑体"/>
          <w:sz w:val="24"/>
          <w:szCs w:val="24"/>
          <w:u w:val="single"/>
        </w:rPr>
        <w:t xml:space="preserve">   </w:t>
      </w:r>
      <w:r>
        <w:rPr>
          <w:rFonts w:hint="eastAsia" w:ascii="黑体" w:hAnsi="黑体" w:eastAsia="黑体"/>
          <w:sz w:val="24"/>
          <w:szCs w:val="24"/>
          <w:u w:val="single"/>
        </w:rPr>
        <w:t xml:space="preserve">         </w:t>
      </w:r>
    </w:p>
    <w:p>
      <w:pPr>
        <w:spacing w:line="460" w:lineRule="exact"/>
        <w:rPr>
          <w:rFonts w:ascii="黑体" w:hAnsi="黑体" w:eastAsia="黑体"/>
          <w:sz w:val="24"/>
          <w:szCs w:val="24"/>
        </w:rPr>
      </w:pPr>
      <w:r>
        <w:rPr>
          <w:rFonts w:hint="eastAsia" w:ascii="黑体" w:hAnsi="黑体" w:eastAsia="黑体"/>
          <w:sz w:val="24"/>
          <w:szCs w:val="24"/>
        </w:rPr>
        <w:t>乙方：</w:t>
      </w:r>
      <w:r>
        <w:rPr>
          <w:rFonts w:hint="eastAsia" w:ascii="黑体" w:hAnsi="黑体" w:eastAsia="黑体"/>
          <w:sz w:val="24"/>
          <w:szCs w:val="24"/>
          <w:u w:val="single"/>
        </w:rPr>
        <w:t xml:space="preserve">                   </w:t>
      </w:r>
    </w:p>
    <w:p>
      <w:pPr>
        <w:spacing w:line="460" w:lineRule="exact"/>
        <w:ind w:firstLine="468" w:firstLineChars="195"/>
        <w:rPr>
          <w:rFonts w:ascii="仿宋_GB2312" w:hAnsi="宋体" w:eastAsia="仿宋_GB2312"/>
          <w:sz w:val="24"/>
          <w:szCs w:val="24"/>
        </w:rPr>
      </w:pPr>
    </w:p>
    <w:p>
      <w:pPr>
        <w:spacing w:line="460" w:lineRule="exact"/>
        <w:ind w:firstLine="470" w:firstLineChars="196"/>
        <w:rPr>
          <w:rFonts w:ascii="宋体" w:hAnsi="宋体"/>
          <w:sz w:val="24"/>
          <w:szCs w:val="24"/>
        </w:rPr>
      </w:pPr>
      <w:r>
        <w:rPr>
          <w:rFonts w:hint="eastAsia" w:ascii="宋体" w:hAnsi="宋体"/>
          <w:sz w:val="24"/>
          <w:szCs w:val="24"/>
        </w:rPr>
        <w:t>经甲方组织的公开招标，并报上级主管部门批准备案，确定乙方为本工程全过程工程咨询合作企业。根据《中华人民共和国民法典》、《中华人民共和国建筑法》及国家和军队有关法律法规规定，遵循平等、自愿、公平和诚实信用的原则，双方就全过程工程咨询及相关事项协商一致，订立本协议。</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第一条  合作内容及期限</w:t>
      </w:r>
    </w:p>
    <w:p>
      <w:pPr>
        <w:spacing w:line="460" w:lineRule="exact"/>
        <w:ind w:firstLine="470" w:firstLineChars="196"/>
        <w:rPr>
          <w:rFonts w:ascii="宋体" w:hAnsi="宋体"/>
          <w:sz w:val="24"/>
          <w:szCs w:val="24"/>
        </w:rPr>
      </w:pPr>
      <w:r>
        <w:rPr>
          <w:rFonts w:hint="eastAsia" w:ascii="宋体" w:hAnsi="宋体"/>
          <w:sz w:val="24"/>
          <w:szCs w:val="24"/>
        </w:rPr>
        <w:t>1.1 乙方根据本协议明确的方式，承担合作期内经甲方上级主管部门或甲方批准的全过程工程咨询任务。</w:t>
      </w:r>
    </w:p>
    <w:p>
      <w:pPr>
        <w:spacing w:line="460" w:lineRule="exact"/>
        <w:ind w:firstLine="470" w:firstLineChars="196"/>
        <w:rPr>
          <w:rFonts w:ascii="宋体" w:hAnsi="宋体"/>
          <w:sz w:val="24"/>
          <w:szCs w:val="24"/>
        </w:rPr>
      </w:pPr>
      <w:r>
        <w:rPr>
          <w:rFonts w:hint="eastAsia" w:ascii="宋体" w:hAnsi="宋体"/>
          <w:sz w:val="24"/>
          <w:szCs w:val="24"/>
        </w:rPr>
        <w:t>1.2主要内容：</w:t>
      </w:r>
    </w:p>
    <w:p>
      <w:pPr>
        <w:spacing w:line="460" w:lineRule="exact"/>
        <w:ind w:firstLine="470" w:firstLineChars="196"/>
        <w:rPr>
          <w:rFonts w:ascii="宋体" w:hAnsi="宋体"/>
          <w:sz w:val="24"/>
          <w:szCs w:val="24"/>
        </w:rPr>
      </w:pPr>
      <w:r>
        <w:rPr>
          <w:rFonts w:hint="eastAsia" w:ascii="宋体" w:hAnsi="宋体"/>
          <w:sz w:val="24"/>
          <w:szCs w:val="24"/>
        </w:rPr>
        <w:t>（1）勘察设计，包括本项目所有建设内容全过程地质勘察、测绘、方案设计、初步设计、施工图设计等工作；其中设计应包含招标人所需的平面图、鸟瞰图等各类效果图制作</w:t>
      </w:r>
    </w:p>
    <w:p>
      <w:pPr>
        <w:spacing w:line="460" w:lineRule="exact"/>
        <w:ind w:firstLine="470" w:firstLineChars="196"/>
        <w:rPr>
          <w:rFonts w:ascii="宋体" w:hAnsi="宋体"/>
          <w:sz w:val="24"/>
          <w:szCs w:val="24"/>
        </w:rPr>
      </w:pPr>
      <w:r>
        <w:rPr>
          <w:rFonts w:hint="eastAsia" w:ascii="宋体" w:hAnsi="宋体"/>
          <w:sz w:val="24"/>
          <w:szCs w:val="24"/>
        </w:rPr>
        <w:t>（2）工程监理，包括本项目所有建设内容全过程监理的投资、进度、质量、保密、廉政控制，安全、信息、合同管理，协调各方关系，协助开展竣工验收移交和归档工程资料等；</w:t>
      </w:r>
    </w:p>
    <w:p>
      <w:pPr>
        <w:spacing w:line="460" w:lineRule="exact"/>
        <w:ind w:firstLine="470" w:firstLineChars="196"/>
        <w:rPr>
          <w:rFonts w:ascii="宋体" w:hAnsi="宋体"/>
          <w:sz w:val="24"/>
          <w:szCs w:val="24"/>
        </w:rPr>
      </w:pPr>
      <w:r>
        <w:rPr>
          <w:rFonts w:hint="eastAsia" w:ascii="宋体" w:hAnsi="宋体"/>
          <w:sz w:val="24"/>
          <w:szCs w:val="24"/>
        </w:rPr>
        <w:t>（3）造价咨询，包括本项目所有建设内容全过程的编审初步设计概算，配合审查工程量清单、施工图预算，审查变更签证价款、工程进度款、工程索赔，协助梳理核实竣工结算和编制竣工决算等工作。</w:t>
      </w:r>
    </w:p>
    <w:p>
      <w:pPr>
        <w:spacing w:line="460" w:lineRule="exact"/>
        <w:ind w:firstLine="470" w:firstLineChars="196"/>
        <w:rPr>
          <w:rFonts w:ascii="宋体" w:hAnsi="宋体"/>
          <w:sz w:val="24"/>
          <w:szCs w:val="24"/>
        </w:rPr>
      </w:pPr>
      <w:r>
        <w:rPr>
          <w:rFonts w:hint="eastAsia" w:ascii="宋体" w:hAnsi="宋体"/>
          <w:sz w:val="24"/>
          <w:szCs w:val="24"/>
        </w:rPr>
        <w:t>1.</w:t>
      </w:r>
      <w:r>
        <w:rPr>
          <w:rFonts w:ascii="宋体" w:hAnsi="宋体"/>
          <w:sz w:val="24"/>
          <w:szCs w:val="24"/>
        </w:rPr>
        <w:t>3</w:t>
      </w:r>
      <w:r>
        <w:rPr>
          <w:rFonts w:hint="eastAsia" w:ascii="宋体" w:hAnsi="宋体"/>
          <w:sz w:val="24"/>
          <w:szCs w:val="24"/>
        </w:rPr>
        <w:t xml:space="preserve"> 乙方提供的全过程工程咨询包括勘察测绘、工程设计、工程监理、造价咨询等业务。</w:t>
      </w:r>
    </w:p>
    <w:p>
      <w:pPr>
        <w:spacing w:line="460" w:lineRule="exact"/>
        <w:ind w:firstLine="470" w:firstLineChars="196"/>
        <w:rPr>
          <w:rFonts w:ascii="宋体" w:hAnsi="宋体"/>
          <w:sz w:val="24"/>
          <w:szCs w:val="24"/>
        </w:rPr>
      </w:pPr>
      <w:r>
        <w:rPr>
          <w:rFonts w:hint="eastAsia" w:ascii="宋体" w:hAnsi="宋体"/>
          <w:sz w:val="24"/>
          <w:szCs w:val="24"/>
        </w:rPr>
        <w:t>1.</w:t>
      </w:r>
      <w:r>
        <w:rPr>
          <w:rFonts w:ascii="宋体" w:hAnsi="宋体"/>
          <w:sz w:val="24"/>
          <w:szCs w:val="24"/>
        </w:rPr>
        <w:t>4</w:t>
      </w:r>
      <w:r>
        <w:rPr>
          <w:rFonts w:hint="eastAsia" w:ascii="宋体" w:hAnsi="宋体"/>
          <w:sz w:val="24"/>
          <w:szCs w:val="24"/>
        </w:rPr>
        <w:t>本项目预计服务期限为</w:t>
      </w:r>
      <w:r>
        <w:rPr>
          <w:rFonts w:ascii="宋体" w:hAnsi="宋体"/>
          <w:sz w:val="24"/>
          <w:szCs w:val="24"/>
        </w:rPr>
        <w:t>24</w:t>
      </w:r>
      <w:r>
        <w:rPr>
          <w:rFonts w:hint="eastAsia" w:ascii="宋体" w:hAnsi="宋体"/>
          <w:sz w:val="24"/>
          <w:szCs w:val="24"/>
        </w:rPr>
        <w:t>个月（实际以工程建设实际时间为准）。</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第二条  合同签订方式</w:t>
      </w:r>
    </w:p>
    <w:p>
      <w:pPr>
        <w:spacing w:line="460" w:lineRule="exact"/>
        <w:ind w:firstLine="470" w:firstLineChars="196"/>
        <w:rPr>
          <w:rFonts w:ascii="宋体" w:hAnsi="宋体"/>
          <w:sz w:val="24"/>
          <w:szCs w:val="24"/>
        </w:rPr>
      </w:pPr>
      <w:r>
        <w:rPr>
          <w:rFonts w:hint="eastAsia" w:ascii="宋体" w:hAnsi="宋体"/>
          <w:sz w:val="24"/>
          <w:szCs w:val="24"/>
        </w:rPr>
        <w:t>2.1待甲方上级正式批准实施项目后，双方按照本协议及招标文件</w:t>
      </w:r>
      <w:r>
        <w:rPr>
          <w:rFonts w:ascii="宋体" w:hAnsi="宋体"/>
          <w:sz w:val="24"/>
          <w:szCs w:val="24"/>
        </w:rPr>
        <w:t>中</w:t>
      </w:r>
      <w:r>
        <w:rPr>
          <w:rFonts w:hint="eastAsia" w:ascii="宋体" w:hAnsi="宋体"/>
          <w:sz w:val="24"/>
          <w:szCs w:val="24"/>
        </w:rPr>
        <w:t>明确的原则计算合同价格，签订全过程工程咨询合同。</w:t>
      </w:r>
    </w:p>
    <w:p>
      <w:pPr>
        <w:spacing w:line="460" w:lineRule="exact"/>
        <w:ind w:firstLine="470" w:firstLineChars="196"/>
        <w:rPr>
          <w:rFonts w:ascii="宋体" w:hAnsi="宋体"/>
          <w:sz w:val="24"/>
          <w:szCs w:val="24"/>
        </w:rPr>
      </w:pPr>
      <w:r>
        <w:rPr>
          <w:rFonts w:hint="eastAsia" w:ascii="宋体" w:hAnsi="宋体"/>
          <w:sz w:val="24"/>
          <w:szCs w:val="24"/>
        </w:rPr>
        <w:t>2.2甲方在发出任务通知或签订合同前有权审核乙方上报的全过程工程咨询总体实施方案并提出修改意见，乙方应当按照要求作出调整、修改、完善，乙方拒绝作出调整、修改、完善的，甲方有权取消其服务单位资格。</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第三条  服务酬金</w:t>
      </w:r>
    </w:p>
    <w:p>
      <w:pPr>
        <w:spacing w:line="460" w:lineRule="exact"/>
        <w:ind w:firstLine="470" w:firstLineChars="196"/>
        <w:rPr>
          <w:rFonts w:ascii="宋体" w:hAnsi="宋体"/>
          <w:sz w:val="24"/>
          <w:szCs w:val="24"/>
        </w:rPr>
      </w:pPr>
      <w:r>
        <w:rPr>
          <w:rFonts w:hint="eastAsia" w:ascii="宋体" w:hAnsi="宋体"/>
          <w:sz w:val="24"/>
          <w:szCs w:val="24"/>
        </w:rPr>
        <w:t>3.1中标费率为：  %（勘察   %，设计  %，工程监理  %，造价咨询  %）。</w:t>
      </w:r>
    </w:p>
    <w:p>
      <w:pPr>
        <w:spacing w:line="460" w:lineRule="exact"/>
        <w:ind w:firstLine="470" w:firstLineChars="196"/>
        <w:rPr>
          <w:rFonts w:ascii="宋体" w:hAnsi="宋体"/>
          <w:sz w:val="24"/>
          <w:szCs w:val="24"/>
        </w:rPr>
      </w:pPr>
      <w:r>
        <w:rPr>
          <w:rFonts w:hint="eastAsia" w:ascii="宋体" w:hAnsi="宋体"/>
          <w:sz w:val="24"/>
          <w:szCs w:val="24"/>
        </w:rPr>
        <w:t>3.2服务酬金以招标文件中合同总价明确的方式确定。</w:t>
      </w:r>
    </w:p>
    <w:p>
      <w:pPr>
        <w:spacing w:line="460" w:lineRule="exact"/>
        <w:ind w:firstLine="470" w:firstLineChars="196"/>
        <w:rPr>
          <w:rFonts w:ascii="宋体" w:hAnsi="宋体"/>
          <w:sz w:val="24"/>
          <w:szCs w:val="24"/>
        </w:rPr>
      </w:pPr>
      <w:r>
        <w:rPr>
          <w:rFonts w:hint="eastAsia" w:ascii="宋体" w:hAnsi="宋体"/>
          <w:sz w:val="24"/>
          <w:szCs w:val="24"/>
        </w:rPr>
        <w:t>3.</w:t>
      </w:r>
      <w:r>
        <w:rPr>
          <w:rFonts w:ascii="宋体" w:hAnsi="宋体"/>
          <w:sz w:val="24"/>
          <w:szCs w:val="24"/>
        </w:rPr>
        <w:t>3</w:t>
      </w:r>
      <w:r>
        <w:rPr>
          <w:rFonts w:hint="eastAsia" w:ascii="宋体" w:hAnsi="宋体"/>
          <w:sz w:val="24"/>
          <w:szCs w:val="24"/>
        </w:rPr>
        <w:t xml:space="preserve"> 服务酬金由甲方统一支付给乙方；涉及分包的，乙方必须按照合同约定按时足额支付给其他承担相应任务的企业。乙方未按此履约的，甲方有权直接代为向相关企业支付。</w:t>
      </w:r>
    </w:p>
    <w:p>
      <w:pPr>
        <w:spacing w:line="460" w:lineRule="exact"/>
        <w:ind w:firstLine="470" w:firstLineChars="196"/>
        <w:rPr>
          <w:rFonts w:ascii="宋体" w:hAnsi="宋体"/>
          <w:sz w:val="24"/>
          <w:szCs w:val="24"/>
        </w:rPr>
      </w:pPr>
      <w:r>
        <w:rPr>
          <w:rFonts w:hint="eastAsia" w:ascii="宋体" w:hAnsi="宋体"/>
          <w:sz w:val="24"/>
          <w:szCs w:val="24"/>
        </w:rPr>
        <w:t>3.</w:t>
      </w:r>
      <w:r>
        <w:rPr>
          <w:rFonts w:ascii="宋体" w:hAnsi="宋体"/>
          <w:sz w:val="24"/>
          <w:szCs w:val="24"/>
        </w:rPr>
        <w:t>4</w:t>
      </w:r>
      <w:r>
        <w:rPr>
          <w:rFonts w:hint="eastAsia" w:ascii="宋体" w:hAnsi="宋体"/>
          <w:sz w:val="24"/>
          <w:szCs w:val="24"/>
        </w:rPr>
        <w:t>酬金支付：按照招标文件</w:t>
      </w:r>
      <w:r>
        <w:rPr>
          <w:rFonts w:ascii="宋体" w:hAnsi="宋体"/>
          <w:sz w:val="24"/>
          <w:szCs w:val="24"/>
        </w:rPr>
        <w:t>中规定执行</w:t>
      </w:r>
      <w:r>
        <w:rPr>
          <w:rFonts w:hint="eastAsia" w:ascii="宋体" w:hAnsi="宋体"/>
          <w:sz w:val="24"/>
          <w:szCs w:val="24"/>
        </w:rPr>
        <w:t>。</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第四条  服务团队成员</w:t>
      </w:r>
    </w:p>
    <w:p>
      <w:pPr>
        <w:spacing w:line="460" w:lineRule="exact"/>
        <w:ind w:firstLine="468" w:firstLineChars="195"/>
        <w:rPr>
          <w:rFonts w:ascii="宋体" w:hAnsi="宋体"/>
          <w:sz w:val="24"/>
          <w:szCs w:val="24"/>
        </w:rPr>
      </w:pPr>
      <w:r>
        <w:rPr>
          <w:rFonts w:hint="eastAsia" w:ascii="宋体" w:hAnsi="宋体"/>
          <w:sz w:val="24"/>
          <w:szCs w:val="24"/>
        </w:rPr>
        <w:t>4.1 总体要求</w:t>
      </w:r>
    </w:p>
    <w:p>
      <w:pPr>
        <w:spacing w:line="460" w:lineRule="exact"/>
        <w:ind w:firstLine="468" w:firstLineChars="195"/>
        <w:rPr>
          <w:rFonts w:ascii="宋体" w:hAnsi="宋体"/>
          <w:sz w:val="24"/>
          <w:szCs w:val="24"/>
        </w:rPr>
      </w:pPr>
      <w:r>
        <w:rPr>
          <w:rFonts w:hint="eastAsia" w:ascii="宋体" w:hAnsi="宋体"/>
          <w:sz w:val="24"/>
          <w:szCs w:val="24"/>
        </w:rPr>
        <w:t>4.1.1 全过程工程咨询团队成员应包括（但不限于）：总咨询师、项目支部书记、副总咨询师、总工程师、各专业咨询负责人及其他团队成员，各副总咨询师可以分别兼任总工程师、工程设计负责人、总监理工程师、造价咨询负责人或其他专业咨询负责人。工程设计负责人、总监理工程师、造价咨询负责人不能互相兼任。</w:t>
      </w:r>
    </w:p>
    <w:p>
      <w:pPr>
        <w:spacing w:line="460" w:lineRule="exact"/>
        <w:ind w:firstLine="468" w:firstLineChars="195"/>
        <w:rPr>
          <w:rFonts w:ascii="宋体" w:hAnsi="宋体"/>
          <w:sz w:val="24"/>
          <w:szCs w:val="24"/>
        </w:rPr>
      </w:pPr>
      <w:r>
        <w:rPr>
          <w:rFonts w:hint="eastAsia" w:ascii="宋体" w:hAnsi="宋体"/>
          <w:sz w:val="24"/>
          <w:szCs w:val="24"/>
        </w:rPr>
        <w:t>4.1.2经甲方批准分包给其他单位的工作，其他单位人员应当任命专业负责人，乙方负责人主要负责组织、协调、审核等工作。</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第五条  甲方权利与义务</w:t>
      </w:r>
    </w:p>
    <w:p>
      <w:pPr>
        <w:spacing w:line="460" w:lineRule="exact"/>
        <w:ind w:firstLine="480" w:firstLineChars="200"/>
        <w:rPr>
          <w:rFonts w:ascii="宋体" w:hAnsi="宋体"/>
          <w:sz w:val="24"/>
          <w:szCs w:val="24"/>
        </w:rPr>
      </w:pPr>
      <w:r>
        <w:rPr>
          <w:rFonts w:hint="eastAsia" w:ascii="宋体" w:hAnsi="宋体"/>
          <w:sz w:val="24"/>
          <w:szCs w:val="24"/>
        </w:rPr>
        <w:t>5.1 在法律法规、规章政策和甲方上级主管部门或甲方权限许可范围内，甲方保证按照上述规则确定服务单位，在本协议签订前甲方已明确服务单位项目的追加项目等特殊情形除外，本协议另有规定的亦除外。</w:t>
      </w:r>
    </w:p>
    <w:p>
      <w:pPr>
        <w:spacing w:line="460" w:lineRule="exact"/>
        <w:ind w:firstLine="480" w:firstLineChars="200"/>
        <w:rPr>
          <w:rFonts w:ascii="宋体" w:hAnsi="宋体"/>
          <w:sz w:val="24"/>
          <w:szCs w:val="24"/>
        </w:rPr>
      </w:pPr>
      <w:r>
        <w:rPr>
          <w:rFonts w:hint="eastAsia" w:ascii="宋体" w:hAnsi="宋体"/>
          <w:sz w:val="24"/>
          <w:szCs w:val="24"/>
        </w:rPr>
        <w:t>5.2 甲方有义务对乙方的价格体系等协议内容保密，不得向合作方以外的单位和人员泄漏。</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第六条  乙方权利与义务</w:t>
      </w:r>
    </w:p>
    <w:p>
      <w:pPr>
        <w:spacing w:line="460" w:lineRule="exact"/>
        <w:ind w:firstLine="470" w:firstLineChars="196"/>
        <w:rPr>
          <w:rFonts w:ascii="宋体" w:hAnsi="宋体"/>
          <w:sz w:val="24"/>
          <w:szCs w:val="24"/>
        </w:rPr>
      </w:pPr>
      <w:r>
        <w:rPr>
          <w:rFonts w:hint="eastAsia" w:ascii="宋体" w:hAnsi="宋体"/>
          <w:sz w:val="24"/>
          <w:szCs w:val="24"/>
        </w:rPr>
        <w:t>6.1 乙方应设立针对甲方的联络专员，统一协调管理与甲方及全过程工程咨询业务联系相关事项。乙方应在每个项目完成后向甲方提交一份履约报告，详细报告项目整体履约情况、出现的问题及解决措施、完善合作的意见建议等。</w:t>
      </w:r>
    </w:p>
    <w:p>
      <w:pPr>
        <w:spacing w:line="460" w:lineRule="exact"/>
        <w:ind w:firstLine="470" w:firstLineChars="196"/>
        <w:rPr>
          <w:rFonts w:ascii="宋体" w:hAnsi="宋体"/>
          <w:sz w:val="24"/>
          <w:szCs w:val="24"/>
        </w:rPr>
      </w:pPr>
      <w:r>
        <w:rPr>
          <w:rFonts w:hint="eastAsia" w:ascii="宋体" w:hAnsi="宋体"/>
          <w:sz w:val="24"/>
          <w:szCs w:val="24"/>
        </w:rPr>
        <w:t>6.2 乙方有义务保证优先满足甲方项目需要，确保维持向甲方项目提供相应服务的资质和能力。</w:t>
      </w:r>
    </w:p>
    <w:p>
      <w:pPr>
        <w:spacing w:line="460" w:lineRule="exact"/>
        <w:ind w:firstLine="470" w:firstLineChars="196"/>
        <w:rPr>
          <w:rFonts w:ascii="宋体" w:hAnsi="宋体"/>
          <w:sz w:val="24"/>
          <w:szCs w:val="24"/>
        </w:rPr>
      </w:pPr>
      <w:r>
        <w:rPr>
          <w:rFonts w:hint="eastAsia" w:ascii="宋体" w:hAnsi="宋体"/>
          <w:sz w:val="24"/>
          <w:szCs w:val="24"/>
        </w:rPr>
        <w:t>6.3 乙方在工程开工后承担服务任务的，应当对前期原始资料齐备的相关文件和行为予以确认或追认。</w:t>
      </w:r>
    </w:p>
    <w:p>
      <w:pPr>
        <w:spacing w:line="460" w:lineRule="exact"/>
        <w:ind w:firstLine="470" w:firstLineChars="196"/>
        <w:rPr>
          <w:rFonts w:ascii="宋体" w:hAnsi="宋体"/>
          <w:sz w:val="24"/>
          <w:szCs w:val="24"/>
        </w:rPr>
      </w:pPr>
      <w:r>
        <w:rPr>
          <w:rFonts w:hint="eastAsia" w:ascii="宋体" w:hAnsi="宋体"/>
          <w:sz w:val="24"/>
          <w:szCs w:val="24"/>
        </w:rPr>
        <w:t>6.4 乙方在为</w:t>
      </w:r>
      <w:r>
        <w:rPr>
          <w:rFonts w:ascii="宋体" w:hAnsi="宋体"/>
          <w:sz w:val="24"/>
          <w:szCs w:val="24"/>
        </w:rPr>
        <w:t>甲方提供服务期间</w:t>
      </w:r>
      <w:r>
        <w:rPr>
          <w:rFonts w:hint="eastAsia" w:ascii="宋体" w:hAnsi="宋体"/>
          <w:sz w:val="24"/>
          <w:szCs w:val="24"/>
        </w:rPr>
        <w:t>，乙方</w:t>
      </w:r>
      <w:r>
        <w:rPr>
          <w:rFonts w:ascii="宋体" w:hAnsi="宋体"/>
          <w:sz w:val="24"/>
          <w:szCs w:val="24"/>
        </w:rPr>
        <w:t>所属人员及设施设备等一切</w:t>
      </w:r>
      <w:r>
        <w:rPr>
          <w:rFonts w:hint="eastAsia" w:ascii="宋体" w:hAnsi="宋体"/>
          <w:sz w:val="24"/>
          <w:szCs w:val="24"/>
        </w:rPr>
        <w:t>安全</w:t>
      </w:r>
      <w:r>
        <w:rPr>
          <w:rFonts w:ascii="宋体" w:hAnsi="宋体"/>
          <w:sz w:val="24"/>
          <w:szCs w:val="24"/>
        </w:rPr>
        <w:t>及损失</w:t>
      </w:r>
      <w:r>
        <w:rPr>
          <w:rFonts w:hint="eastAsia" w:ascii="宋体" w:hAnsi="宋体"/>
          <w:sz w:val="24"/>
          <w:szCs w:val="24"/>
        </w:rPr>
        <w:t>由</w:t>
      </w:r>
      <w:r>
        <w:rPr>
          <w:rFonts w:ascii="宋体" w:hAnsi="宋体"/>
          <w:sz w:val="24"/>
          <w:szCs w:val="24"/>
        </w:rPr>
        <w:t>乙方自行承担</w:t>
      </w:r>
      <w:r>
        <w:rPr>
          <w:rFonts w:hint="eastAsia" w:ascii="宋体" w:hAnsi="宋体"/>
          <w:sz w:val="24"/>
          <w:szCs w:val="24"/>
        </w:rPr>
        <w:t>，甲方不承担任何</w:t>
      </w:r>
      <w:r>
        <w:rPr>
          <w:rFonts w:ascii="宋体" w:hAnsi="宋体"/>
          <w:sz w:val="24"/>
          <w:szCs w:val="24"/>
        </w:rPr>
        <w:t>责任</w:t>
      </w:r>
      <w:r>
        <w:rPr>
          <w:rFonts w:hint="eastAsia" w:ascii="宋体" w:hAnsi="宋体"/>
          <w:sz w:val="24"/>
          <w:szCs w:val="24"/>
        </w:rPr>
        <w:t>。</w:t>
      </w:r>
    </w:p>
    <w:p>
      <w:pPr>
        <w:spacing w:line="460" w:lineRule="exact"/>
        <w:ind w:firstLine="470" w:firstLineChars="196"/>
        <w:rPr>
          <w:rFonts w:ascii="宋体" w:hAnsi="宋体"/>
          <w:sz w:val="24"/>
          <w:szCs w:val="24"/>
        </w:rPr>
      </w:pPr>
      <w:r>
        <w:rPr>
          <w:rFonts w:hint="eastAsia" w:ascii="宋体" w:hAnsi="宋体"/>
          <w:sz w:val="24"/>
          <w:szCs w:val="24"/>
        </w:rPr>
        <w:t>6.</w:t>
      </w:r>
      <w:r>
        <w:rPr>
          <w:rFonts w:ascii="宋体" w:hAnsi="宋体"/>
          <w:sz w:val="24"/>
          <w:szCs w:val="24"/>
        </w:rPr>
        <w:t>5</w:t>
      </w:r>
      <w:r>
        <w:rPr>
          <w:rFonts w:hint="eastAsia" w:ascii="宋体" w:hAnsi="宋体"/>
          <w:sz w:val="24"/>
          <w:szCs w:val="24"/>
        </w:rPr>
        <w:t xml:space="preserve"> 乙方应协调推荐本单位技术、经济、管理等方面优秀专家参加甲方专家组，为甲方提供咨询服务。</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第七条  违约责任</w:t>
      </w:r>
    </w:p>
    <w:p>
      <w:pPr>
        <w:spacing w:line="460" w:lineRule="exact"/>
        <w:ind w:firstLine="480" w:firstLineChars="200"/>
        <w:rPr>
          <w:rFonts w:ascii="宋体" w:hAnsi="宋体"/>
          <w:sz w:val="24"/>
          <w:szCs w:val="24"/>
        </w:rPr>
      </w:pPr>
      <w:r>
        <w:rPr>
          <w:rFonts w:hint="eastAsia" w:ascii="宋体" w:hAnsi="宋体"/>
          <w:sz w:val="24"/>
          <w:szCs w:val="24"/>
        </w:rPr>
        <w:t>7.1 乙方有下列情形之一的，甲方有权利单方终止本协议，乙方应向甲方赔偿全部损失，并承担相应责任：</w:t>
      </w:r>
    </w:p>
    <w:p>
      <w:pPr>
        <w:spacing w:line="460" w:lineRule="exact"/>
        <w:ind w:firstLine="480" w:firstLineChars="200"/>
        <w:rPr>
          <w:rFonts w:ascii="宋体" w:hAnsi="宋体"/>
          <w:sz w:val="24"/>
          <w:szCs w:val="24"/>
        </w:rPr>
      </w:pPr>
      <w:r>
        <w:rPr>
          <w:rFonts w:hint="eastAsia" w:ascii="宋体" w:hAnsi="宋体"/>
          <w:sz w:val="24"/>
          <w:szCs w:val="24"/>
        </w:rPr>
        <w:t>（1）拒绝按照本协议规定与甲方签订并履行服务合同；</w:t>
      </w:r>
    </w:p>
    <w:p>
      <w:pPr>
        <w:spacing w:line="460" w:lineRule="exact"/>
        <w:ind w:firstLine="480" w:firstLineChars="200"/>
        <w:rPr>
          <w:rFonts w:ascii="宋体" w:hAnsi="宋体"/>
          <w:sz w:val="24"/>
          <w:szCs w:val="24"/>
        </w:rPr>
      </w:pPr>
      <w:r>
        <w:rPr>
          <w:rFonts w:hint="eastAsia" w:ascii="宋体" w:hAnsi="宋体"/>
          <w:sz w:val="24"/>
          <w:szCs w:val="24"/>
        </w:rPr>
        <w:t>（2）违反军队廉政、安全、保密等相关规定，被军队审计、纪检、巡视等相关部门调查发现，影响军队形象，造成经济损失的；</w:t>
      </w:r>
    </w:p>
    <w:p>
      <w:pPr>
        <w:spacing w:line="460" w:lineRule="exact"/>
        <w:ind w:firstLine="480" w:firstLineChars="200"/>
        <w:rPr>
          <w:rFonts w:ascii="宋体" w:hAnsi="宋体"/>
          <w:sz w:val="24"/>
          <w:szCs w:val="24"/>
        </w:rPr>
      </w:pPr>
      <w:r>
        <w:rPr>
          <w:rFonts w:hint="eastAsia" w:ascii="宋体" w:hAnsi="宋体"/>
          <w:sz w:val="24"/>
          <w:szCs w:val="24"/>
        </w:rPr>
        <w:t>（3）其他违约行为（包括违反本协议与服务合同规定的任何义务）性质严重、影响恶劣的。</w:t>
      </w:r>
    </w:p>
    <w:p>
      <w:pPr>
        <w:spacing w:line="460" w:lineRule="exact"/>
        <w:ind w:firstLine="480" w:firstLineChars="200"/>
        <w:rPr>
          <w:rFonts w:ascii="宋体" w:hAnsi="宋体"/>
          <w:sz w:val="24"/>
          <w:szCs w:val="24"/>
        </w:rPr>
      </w:pPr>
      <w:r>
        <w:rPr>
          <w:rFonts w:hint="eastAsia" w:ascii="宋体" w:hAnsi="宋体"/>
          <w:sz w:val="24"/>
          <w:szCs w:val="24"/>
        </w:rPr>
        <w:t>7.2任何一方在不符合本协议约定条件的情况下单方终止履行协议的，必须向守约方赔偿因提前终止协议而造成的全部损失。</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第八条  协议有效期与协议终止</w:t>
      </w:r>
    </w:p>
    <w:p>
      <w:pPr>
        <w:spacing w:line="460" w:lineRule="exact"/>
        <w:ind w:firstLine="470" w:firstLineChars="196"/>
        <w:rPr>
          <w:rFonts w:ascii="宋体" w:hAnsi="宋体"/>
          <w:sz w:val="24"/>
          <w:szCs w:val="24"/>
        </w:rPr>
      </w:pPr>
      <w:r>
        <w:rPr>
          <w:rFonts w:hint="eastAsia" w:ascii="宋体" w:hAnsi="宋体"/>
          <w:sz w:val="24"/>
          <w:szCs w:val="24"/>
        </w:rPr>
        <w:t>8.1 本协议有效期至相应合同有效期</w:t>
      </w:r>
      <w:r>
        <w:rPr>
          <w:rFonts w:ascii="宋体" w:hAnsi="宋体"/>
          <w:sz w:val="24"/>
          <w:szCs w:val="24"/>
        </w:rPr>
        <w:t>满</w:t>
      </w:r>
      <w:r>
        <w:rPr>
          <w:rFonts w:hint="eastAsia" w:ascii="宋体" w:hAnsi="宋体"/>
          <w:sz w:val="24"/>
          <w:szCs w:val="24"/>
        </w:rPr>
        <w:t>。</w:t>
      </w:r>
    </w:p>
    <w:p>
      <w:pPr>
        <w:spacing w:line="460" w:lineRule="exact"/>
        <w:ind w:firstLine="470" w:firstLineChars="196"/>
        <w:rPr>
          <w:rFonts w:ascii="宋体" w:hAnsi="宋体"/>
          <w:sz w:val="24"/>
          <w:szCs w:val="24"/>
        </w:rPr>
      </w:pPr>
      <w:r>
        <w:rPr>
          <w:rFonts w:hint="eastAsia" w:ascii="宋体" w:hAnsi="宋体"/>
          <w:sz w:val="24"/>
          <w:szCs w:val="24"/>
        </w:rPr>
        <w:t>8.2 因法律法规、军队规章及政策要求，甲方可以单方面随时终止本协议。</w:t>
      </w:r>
    </w:p>
    <w:p>
      <w:pPr>
        <w:spacing w:line="460" w:lineRule="exact"/>
        <w:ind w:firstLine="470" w:firstLineChars="196"/>
        <w:rPr>
          <w:rFonts w:ascii="宋体" w:hAnsi="宋体"/>
          <w:sz w:val="24"/>
          <w:szCs w:val="24"/>
        </w:rPr>
      </w:pPr>
      <w:r>
        <w:rPr>
          <w:rFonts w:hint="eastAsia" w:ascii="宋体" w:hAnsi="宋体"/>
          <w:sz w:val="24"/>
          <w:szCs w:val="24"/>
        </w:rPr>
        <w:t>8.3 本协议任何一方在符合法律法规和本协议约定条件下提出终止协议的要求，必须提前1个月书面通知对方，在协议终止前双方仍应履行本协议规定的各项义务，否则须承担相应的违约责任。</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第九条  纠纷争议处理方式</w:t>
      </w:r>
    </w:p>
    <w:p>
      <w:pPr>
        <w:spacing w:line="460" w:lineRule="exact"/>
        <w:ind w:firstLine="470" w:firstLineChars="196"/>
        <w:rPr>
          <w:rFonts w:ascii="宋体" w:hAnsi="宋体"/>
          <w:sz w:val="24"/>
          <w:szCs w:val="24"/>
        </w:rPr>
      </w:pPr>
      <w:r>
        <w:rPr>
          <w:rFonts w:hint="eastAsia" w:ascii="宋体" w:hAnsi="宋体"/>
          <w:sz w:val="24"/>
          <w:szCs w:val="24"/>
        </w:rPr>
        <w:t>甲乙双方在履行协议中发生争议的，可以协商解决或申请双方上级主管部门调解。友好协商解决不成、调解不成功的，可以向甲方</w:t>
      </w:r>
      <w:r>
        <w:rPr>
          <w:rFonts w:ascii="宋体" w:hAnsi="宋体"/>
          <w:sz w:val="24"/>
          <w:szCs w:val="24"/>
        </w:rPr>
        <w:t>住所地</w:t>
      </w:r>
      <w:r>
        <w:rPr>
          <w:rFonts w:hint="eastAsia" w:ascii="宋体" w:hAnsi="宋体"/>
          <w:sz w:val="24"/>
          <w:szCs w:val="24"/>
        </w:rPr>
        <w:t>人民法院提起诉讼。</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第十条  协议文件组成</w:t>
      </w:r>
    </w:p>
    <w:p>
      <w:pPr>
        <w:spacing w:line="460" w:lineRule="exact"/>
        <w:ind w:firstLine="470" w:firstLineChars="196"/>
        <w:rPr>
          <w:rFonts w:ascii="宋体" w:hAnsi="宋体"/>
          <w:sz w:val="24"/>
          <w:szCs w:val="24"/>
        </w:rPr>
      </w:pPr>
      <w:r>
        <w:rPr>
          <w:rFonts w:hint="eastAsia" w:ascii="宋体" w:hAnsi="宋体"/>
          <w:sz w:val="24"/>
          <w:szCs w:val="24"/>
        </w:rPr>
        <w:t>组成本协议的文件及解释协议文件的优先顺序如下：</w:t>
      </w:r>
    </w:p>
    <w:p>
      <w:pPr>
        <w:spacing w:line="460" w:lineRule="exact"/>
        <w:ind w:firstLine="470" w:firstLineChars="196"/>
        <w:rPr>
          <w:rFonts w:ascii="宋体" w:hAnsi="宋体"/>
          <w:sz w:val="24"/>
          <w:szCs w:val="24"/>
        </w:rPr>
      </w:pPr>
      <w:r>
        <w:rPr>
          <w:rFonts w:hint="eastAsia" w:ascii="宋体" w:hAnsi="宋体"/>
          <w:sz w:val="24"/>
          <w:szCs w:val="24"/>
        </w:rPr>
        <w:t>（1）本协议书；</w:t>
      </w:r>
    </w:p>
    <w:p>
      <w:pPr>
        <w:spacing w:line="460" w:lineRule="exact"/>
        <w:ind w:firstLine="470" w:firstLineChars="196"/>
        <w:rPr>
          <w:rFonts w:ascii="宋体" w:hAnsi="宋体"/>
          <w:sz w:val="24"/>
          <w:szCs w:val="24"/>
        </w:rPr>
      </w:pPr>
      <w:r>
        <w:rPr>
          <w:rFonts w:hint="eastAsia" w:ascii="宋体" w:hAnsi="宋体"/>
          <w:sz w:val="24"/>
          <w:szCs w:val="24"/>
        </w:rPr>
        <w:t>（2）中标通知书；</w:t>
      </w:r>
    </w:p>
    <w:p>
      <w:pPr>
        <w:spacing w:line="460" w:lineRule="exact"/>
        <w:ind w:firstLine="470" w:firstLineChars="196"/>
        <w:rPr>
          <w:rFonts w:ascii="宋体" w:hAnsi="宋体"/>
          <w:sz w:val="24"/>
          <w:szCs w:val="24"/>
        </w:rPr>
      </w:pPr>
      <w:r>
        <w:rPr>
          <w:rFonts w:hint="eastAsia" w:ascii="宋体" w:hAnsi="宋体"/>
          <w:sz w:val="24"/>
          <w:szCs w:val="24"/>
        </w:rPr>
        <w:t>（3）报价函及附录；</w:t>
      </w:r>
    </w:p>
    <w:p>
      <w:pPr>
        <w:spacing w:line="460" w:lineRule="exact"/>
        <w:ind w:firstLine="470" w:firstLineChars="196"/>
        <w:rPr>
          <w:rFonts w:ascii="宋体" w:hAnsi="宋体"/>
          <w:sz w:val="24"/>
          <w:szCs w:val="24"/>
        </w:rPr>
      </w:pPr>
      <w:r>
        <w:rPr>
          <w:rFonts w:hint="eastAsia" w:ascii="宋体" w:hAnsi="宋体"/>
          <w:sz w:val="24"/>
          <w:szCs w:val="24"/>
        </w:rPr>
        <w:t>（4）本协议书附件；</w:t>
      </w:r>
    </w:p>
    <w:p>
      <w:pPr>
        <w:spacing w:line="460" w:lineRule="exact"/>
        <w:ind w:firstLine="470" w:firstLineChars="196"/>
        <w:rPr>
          <w:rFonts w:ascii="宋体" w:hAnsi="宋体"/>
          <w:sz w:val="24"/>
          <w:szCs w:val="24"/>
        </w:rPr>
      </w:pPr>
      <w:r>
        <w:rPr>
          <w:rFonts w:hint="eastAsia" w:ascii="宋体" w:hAnsi="宋体"/>
          <w:sz w:val="24"/>
          <w:szCs w:val="24"/>
        </w:rPr>
        <w:t>（5）经澄清、说明、调整、优化和承诺后的投标文件；</w:t>
      </w:r>
    </w:p>
    <w:p>
      <w:pPr>
        <w:spacing w:line="460" w:lineRule="exact"/>
        <w:ind w:firstLine="470" w:firstLineChars="196"/>
        <w:rPr>
          <w:rFonts w:ascii="宋体" w:hAnsi="宋体"/>
          <w:sz w:val="24"/>
          <w:szCs w:val="24"/>
        </w:rPr>
      </w:pPr>
      <w:r>
        <w:rPr>
          <w:rFonts w:hint="eastAsia" w:ascii="宋体" w:hAnsi="宋体"/>
          <w:sz w:val="24"/>
          <w:szCs w:val="24"/>
        </w:rPr>
        <w:t>（6）其他合同文件：公开招标文件及答疑文件。</w:t>
      </w:r>
    </w:p>
    <w:p>
      <w:pPr>
        <w:spacing w:line="460" w:lineRule="exact"/>
        <w:ind w:firstLine="470" w:firstLineChars="196"/>
        <w:rPr>
          <w:rFonts w:ascii="宋体" w:hAnsi="宋体"/>
          <w:sz w:val="24"/>
          <w:szCs w:val="24"/>
        </w:rPr>
      </w:pPr>
      <w:r>
        <w:rPr>
          <w:rFonts w:hint="eastAsia" w:ascii="宋体" w:hAnsi="宋体"/>
          <w:sz w:val="24"/>
          <w:szCs w:val="24"/>
        </w:rPr>
        <w:t>上述合同组成文件互为补充和解释。在协议订立及履行过程中形成的与协议有关的文件均构成协议文件组成部分，并根据其性质确定优先解释顺序，属于同一类内容的文件，以最新签署的为准。在订立具体项目服务合同过程中，经双方书面同意，对协议文件作出修改的，以修改内容为准。</w:t>
      </w:r>
      <w:r>
        <w:rPr>
          <w:rFonts w:ascii="宋体" w:hAnsi="宋体"/>
          <w:sz w:val="24"/>
          <w:szCs w:val="24"/>
        </w:rPr>
        <w:t>所有</w:t>
      </w:r>
      <w:r>
        <w:rPr>
          <w:rFonts w:hint="eastAsia" w:ascii="宋体" w:hAnsi="宋体"/>
          <w:sz w:val="24"/>
          <w:szCs w:val="24"/>
        </w:rPr>
        <w:t>对</w:t>
      </w:r>
      <w:r>
        <w:rPr>
          <w:rFonts w:ascii="宋体" w:hAnsi="宋体"/>
          <w:sz w:val="24"/>
          <w:szCs w:val="24"/>
        </w:rPr>
        <w:t>本</w:t>
      </w:r>
      <w:r>
        <w:rPr>
          <w:rFonts w:hint="eastAsia" w:ascii="宋体" w:hAnsi="宋体"/>
          <w:sz w:val="24"/>
          <w:szCs w:val="24"/>
        </w:rPr>
        <w:t>协议</w:t>
      </w:r>
      <w:r>
        <w:rPr>
          <w:rFonts w:ascii="宋体" w:hAnsi="宋体"/>
          <w:sz w:val="24"/>
          <w:szCs w:val="24"/>
        </w:rPr>
        <w:t>的修订、补充、删除或者变更均以书面形式</w:t>
      </w:r>
      <w:r>
        <w:rPr>
          <w:rFonts w:hint="eastAsia" w:ascii="宋体" w:hAnsi="宋体"/>
          <w:sz w:val="24"/>
          <w:szCs w:val="24"/>
        </w:rPr>
        <w:t>完成</w:t>
      </w:r>
      <w:r>
        <w:rPr>
          <w:rFonts w:ascii="宋体" w:hAnsi="宋体"/>
          <w:sz w:val="24"/>
          <w:szCs w:val="24"/>
        </w:rPr>
        <w:t>并需双方授权代表签字后生效。</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第十一条  协议份数</w:t>
      </w:r>
    </w:p>
    <w:p>
      <w:pPr>
        <w:spacing w:line="460" w:lineRule="exact"/>
        <w:ind w:firstLine="470" w:firstLineChars="196"/>
        <w:rPr>
          <w:rFonts w:ascii="宋体" w:hAnsi="宋体"/>
          <w:sz w:val="24"/>
          <w:szCs w:val="24"/>
        </w:rPr>
      </w:pPr>
      <w:r>
        <w:rPr>
          <w:rFonts w:hint="eastAsia" w:ascii="宋体" w:hAnsi="宋体"/>
          <w:sz w:val="24"/>
          <w:szCs w:val="24"/>
        </w:rPr>
        <w:t>本合同正本一式贰份，双方各执壹份；副本一式陆份，甲方执叁份，乙方执叁份，每份均具有同等法律效力。当正本与副本不一致时，以正本为准。甲方拥有对本协议条款的解释权。</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第十二条  协议生效</w:t>
      </w:r>
    </w:p>
    <w:p>
      <w:pPr>
        <w:spacing w:line="460" w:lineRule="exact"/>
        <w:ind w:firstLine="480" w:firstLineChars="200"/>
        <w:rPr>
          <w:rFonts w:ascii="宋体" w:hAnsi="宋体"/>
          <w:sz w:val="24"/>
          <w:szCs w:val="24"/>
        </w:rPr>
      </w:pPr>
      <w:r>
        <w:rPr>
          <w:rFonts w:hint="eastAsia" w:ascii="宋体" w:hAnsi="宋体"/>
          <w:sz w:val="24"/>
          <w:szCs w:val="24"/>
        </w:rPr>
        <w:t xml:space="preserve">本协议自双方签字、盖章之日起生效，签约日期：     年     月 </w:t>
      </w:r>
      <w:r>
        <w:rPr>
          <w:rFonts w:ascii="宋体" w:hAnsi="宋体"/>
          <w:sz w:val="24"/>
          <w:szCs w:val="24"/>
        </w:rPr>
        <w:t xml:space="preserve"> </w:t>
      </w:r>
      <w:r>
        <w:rPr>
          <w:rFonts w:hint="eastAsia" w:ascii="宋体" w:hAnsi="宋体"/>
          <w:sz w:val="24"/>
          <w:szCs w:val="24"/>
        </w:rPr>
        <w:t xml:space="preserve"> 日。签订地点为  。</w:t>
      </w:r>
    </w:p>
    <w:p>
      <w:pPr>
        <w:spacing w:line="460" w:lineRule="exact"/>
        <w:ind w:firstLine="470" w:firstLineChars="196"/>
        <w:rPr>
          <w:rFonts w:ascii="黑体" w:hAnsi="黑体" w:eastAsia="黑体"/>
          <w:sz w:val="24"/>
          <w:szCs w:val="24"/>
        </w:rPr>
      </w:pPr>
      <w:r>
        <w:rPr>
          <w:rFonts w:hint="eastAsia" w:ascii="黑体" w:hAnsi="黑体" w:eastAsia="黑体"/>
          <w:sz w:val="24"/>
          <w:szCs w:val="24"/>
        </w:rPr>
        <w:t>第十三条  附则</w:t>
      </w:r>
    </w:p>
    <w:p>
      <w:pPr>
        <w:spacing w:line="460" w:lineRule="exact"/>
        <w:ind w:firstLine="480" w:firstLineChars="200"/>
        <w:rPr>
          <w:rFonts w:ascii="宋体" w:hAnsi="宋体"/>
          <w:sz w:val="24"/>
          <w:szCs w:val="24"/>
        </w:rPr>
      </w:pPr>
      <w:r>
        <w:rPr>
          <w:rFonts w:hint="eastAsia" w:ascii="宋体" w:hAnsi="宋体"/>
          <w:sz w:val="24"/>
          <w:szCs w:val="24"/>
        </w:rPr>
        <w:t>1</w:t>
      </w:r>
      <w:r>
        <w:rPr>
          <w:rFonts w:ascii="宋体" w:hAnsi="宋体"/>
          <w:sz w:val="24"/>
          <w:szCs w:val="24"/>
        </w:rPr>
        <w:t>3</w:t>
      </w:r>
      <w:r>
        <w:rPr>
          <w:rFonts w:hint="eastAsia" w:ascii="宋体" w:hAnsi="宋体"/>
          <w:sz w:val="24"/>
          <w:szCs w:val="24"/>
        </w:rPr>
        <w:t>.1 确因工作需要，甲方也可以将协议约定之外类型工程的全过程工程咨询委托乙方承担，乙方不得拒绝，其管理办法参照本协议执行。</w:t>
      </w:r>
    </w:p>
    <w:p>
      <w:pPr>
        <w:spacing w:line="460" w:lineRule="exact"/>
        <w:ind w:firstLine="480" w:firstLineChars="200"/>
        <w:rPr>
          <w:rFonts w:ascii="宋体" w:hAnsi="宋体"/>
          <w:sz w:val="24"/>
          <w:szCs w:val="24"/>
        </w:rPr>
      </w:pPr>
      <w:r>
        <w:rPr>
          <w:rFonts w:hint="eastAsia" w:ascii="宋体" w:hAnsi="宋体"/>
          <w:sz w:val="24"/>
          <w:szCs w:val="24"/>
        </w:rPr>
        <w:t>1</w:t>
      </w:r>
      <w:r>
        <w:rPr>
          <w:rFonts w:ascii="宋体" w:hAnsi="宋体"/>
          <w:sz w:val="24"/>
          <w:szCs w:val="24"/>
        </w:rPr>
        <w:t>3</w:t>
      </w:r>
      <w:r>
        <w:rPr>
          <w:rFonts w:hint="eastAsia" w:ascii="宋体" w:hAnsi="宋体"/>
          <w:sz w:val="24"/>
          <w:szCs w:val="24"/>
        </w:rPr>
        <w:t>.2 本协议由甲方负责解释。其他未尽事宜，按照国家和军队有关法律、法规、规章相关规定执行。</w:t>
      </w: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1200" w:firstLineChars="500"/>
        <w:rPr>
          <w:rFonts w:ascii="仿宋_GB2312" w:hAnsi="宋体" w:eastAsia="仿宋_GB2312"/>
          <w:sz w:val="24"/>
          <w:szCs w:val="24"/>
        </w:rPr>
      </w:pPr>
    </w:p>
    <w:tbl>
      <w:tblPr>
        <w:tblStyle w:val="88"/>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5" w:type="dxa"/>
        </w:tblCellMar>
      </w:tblPr>
      <w:tblGrid>
        <w:gridCol w:w="4111"/>
        <w:gridCol w:w="4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1239" w:hRule="atLeast"/>
          <w:jc w:val="center"/>
        </w:trPr>
        <w:tc>
          <w:tcPr>
            <w:tcW w:w="4111" w:type="dxa"/>
          </w:tcPr>
          <w:p>
            <w:pPr>
              <w:spacing w:line="380" w:lineRule="exact"/>
              <w:rPr>
                <w:rFonts w:ascii="宋体" w:hAnsi="宋体"/>
                <w:szCs w:val="21"/>
              </w:rPr>
            </w:pPr>
            <w:r>
              <w:rPr>
                <w:rFonts w:hint="eastAsia" w:ascii="宋体" w:hAnsi="宋体"/>
                <w:szCs w:val="21"/>
              </w:rPr>
              <w:t>甲方：XXX</w:t>
            </w:r>
          </w:p>
          <w:p>
            <w:pPr>
              <w:spacing w:line="380" w:lineRule="exact"/>
              <w:ind w:firstLine="840" w:firstLineChars="400"/>
              <w:rPr>
                <w:rFonts w:ascii="宋体" w:hAnsi="宋体"/>
                <w:szCs w:val="21"/>
              </w:rPr>
            </w:pPr>
            <w:r>
              <w:rPr>
                <w:rFonts w:hint="eastAsia" w:ascii="宋体" w:hAnsi="宋体"/>
                <w:szCs w:val="21"/>
              </w:rPr>
              <w:t>（签章）</w:t>
            </w:r>
          </w:p>
        </w:tc>
        <w:tc>
          <w:tcPr>
            <w:tcW w:w="4226" w:type="dxa"/>
          </w:tcPr>
          <w:p>
            <w:pPr>
              <w:spacing w:line="380" w:lineRule="exact"/>
              <w:rPr>
                <w:rFonts w:ascii="宋体" w:hAnsi="宋体"/>
                <w:szCs w:val="21"/>
              </w:rPr>
            </w:pPr>
            <w:r>
              <w:rPr>
                <w:rFonts w:hint="eastAsia" w:ascii="宋体" w:hAnsi="宋体"/>
                <w:szCs w:val="21"/>
              </w:rPr>
              <w:t>乙方：</w:t>
            </w:r>
          </w:p>
          <w:p>
            <w:pPr>
              <w:spacing w:line="380" w:lineRule="exact"/>
              <w:ind w:firstLine="840" w:firstLineChars="400"/>
              <w:rPr>
                <w:rFonts w:ascii="宋体" w:hAnsi="宋体"/>
                <w:szCs w:val="21"/>
              </w:rPr>
            </w:pPr>
            <w:r>
              <w:rPr>
                <w:rFonts w:hint="eastAsia" w:ascii="宋体" w:hAnsi="宋体"/>
                <w:szCs w:val="21"/>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1361" w:hRule="atLeast"/>
          <w:jc w:val="center"/>
        </w:trPr>
        <w:tc>
          <w:tcPr>
            <w:tcW w:w="4111" w:type="dxa"/>
          </w:tcPr>
          <w:p>
            <w:pPr>
              <w:spacing w:line="320" w:lineRule="exact"/>
              <w:rPr>
                <w:rFonts w:ascii="宋体" w:hAnsi="宋体"/>
                <w:szCs w:val="21"/>
              </w:rPr>
            </w:pPr>
            <w:r>
              <w:rPr>
                <w:rFonts w:hint="eastAsia" w:ascii="宋体" w:hAnsi="宋体"/>
                <w:szCs w:val="21"/>
              </w:rPr>
              <w:t>法定代表人或其</w:t>
            </w:r>
          </w:p>
          <w:p>
            <w:pPr>
              <w:spacing w:line="320" w:lineRule="exact"/>
              <w:rPr>
                <w:rFonts w:ascii="宋体" w:hAnsi="宋体"/>
                <w:szCs w:val="21"/>
              </w:rPr>
            </w:pPr>
            <w:r>
              <w:rPr>
                <w:rFonts w:hint="eastAsia" w:ascii="宋体" w:hAnsi="宋体"/>
                <w:szCs w:val="21"/>
              </w:rPr>
              <w:t xml:space="preserve">授权人（签字或签章）： </w:t>
            </w:r>
          </w:p>
        </w:tc>
        <w:tc>
          <w:tcPr>
            <w:tcW w:w="4226" w:type="dxa"/>
          </w:tcPr>
          <w:p>
            <w:pPr>
              <w:spacing w:line="320" w:lineRule="exact"/>
              <w:rPr>
                <w:rFonts w:ascii="宋体" w:hAnsi="宋体"/>
                <w:szCs w:val="21"/>
              </w:rPr>
            </w:pPr>
            <w:r>
              <w:rPr>
                <w:rFonts w:hint="eastAsia" w:ascii="宋体" w:hAnsi="宋体"/>
                <w:szCs w:val="21"/>
              </w:rPr>
              <w:t>法定代表人或其</w:t>
            </w:r>
          </w:p>
          <w:p>
            <w:pPr>
              <w:spacing w:line="320" w:lineRule="exact"/>
              <w:rPr>
                <w:rFonts w:ascii="宋体" w:hAnsi="宋体"/>
                <w:szCs w:val="21"/>
              </w:rPr>
            </w:pPr>
            <w:r>
              <w:rPr>
                <w:rFonts w:hint="eastAsia" w:ascii="宋体" w:hAnsi="宋体"/>
                <w:szCs w:val="21"/>
              </w:rPr>
              <w:t xml:space="preserve">授权人（签字或签章）：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476" w:hRule="atLeast"/>
          <w:jc w:val="center"/>
        </w:trPr>
        <w:tc>
          <w:tcPr>
            <w:tcW w:w="4111" w:type="dxa"/>
            <w:vAlign w:val="center"/>
          </w:tcPr>
          <w:p>
            <w:pPr>
              <w:spacing w:line="320" w:lineRule="exact"/>
              <w:rPr>
                <w:rFonts w:ascii="宋体" w:hAnsi="宋体"/>
                <w:szCs w:val="21"/>
              </w:rPr>
            </w:pPr>
            <w:r>
              <w:rPr>
                <w:rFonts w:hint="eastAsia" w:ascii="宋体" w:hAnsi="宋体"/>
                <w:szCs w:val="21"/>
              </w:rPr>
              <w:t>地址：</w:t>
            </w:r>
          </w:p>
        </w:tc>
        <w:tc>
          <w:tcPr>
            <w:tcW w:w="4226" w:type="dxa"/>
            <w:vAlign w:val="center"/>
          </w:tcPr>
          <w:p>
            <w:pPr>
              <w:jc w:val="left"/>
              <w:rPr>
                <w:rFonts w:ascii="宋体" w:hAnsi="宋体"/>
              </w:rPr>
            </w:pPr>
            <w:r>
              <w:rPr>
                <w:rFonts w:hint="eastAsia" w:ascii="宋体" w:hAnsi="宋体"/>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476" w:hRule="atLeast"/>
          <w:jc w:val="center"/>
        </w:trPr>
        <w:tc>
          <w:tcPr>
            <w:tcW w:w="4111" w:type="dxa"/>
            <w:vAlign w:val="center"/>
          </w:tcPr>
          <w:p>
            <w:pPr>
              <w:spacing w:line="320" w:lineRule="exact"/>
              <w:rPr>
                <w:rFonts w:ascii="宋体" w:hAnsi="宋体"/>
                <w:szCs w:val="21"/>
              </w:rPr>
            </w:pPr>
            <w:r>
              <w:rPr>
                <w:rFonts w:hint="eastAsia" w:ascii="宋体" w:hAnsi="宋体"/>
                <w:szCs w:val="21"/>
              </w:rPr>
              <w:t>邮政编码：</w:t>
            </w:r>
          </w:p>
        </w:tc>
        <w:tc>
          <w:tcPr>
            <w:tcW w:w="4226" w:type="dxa"/>
            <w:vAlign w:val="center"/>
          </w:tcPr>
          <w:p>
            <w:pPr>
              <w:spacing w:line="320" w:lineRule="exact"/>
              <w:rPr>
                <w:rFonts w:ascii="宋体" w:hAnsi="宋体"/>
                <w:szCs w:val="21"/>
              </w:rPr>
            </w:pPr>
            <w:r>
              <w:rPr>
                <w:rFonts w:hint="eastAsia" w:ascii="宋体" w:hAnsi="宋体"/>
                <w:szCs w:val="21"/>
              </w:rPr>
              <w:t xml:space="preserve">邮政编码：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476" w:hRule="atLeast"/>
          <w:jc w:val="center"/>
        </w:trPr>
        <w:tc>
          <w:tcPr>
            <w:tcW w:w="4111" w:type="dxa"/>
            <w:vAlign w:val="center"/>
          </w:tcPr>
          <w:p>
            <w:pPr>
              <w:spacing w:line="320" w:lineRule="exact"/>
              <w:rPr>
                <w:rFonts w:ascii="宋体" w:hAnsi="宋体"/>
                <w:szCs w:val="21"/>
              </w:rPr>
            </w:pPr>
            <w:r>
              <w:rPr>
                <w:rFonts w:hint="eastAsia" w:ascii="宋体" w:hAnsi="宋体"/>
                <w:szCs w:val="21"/>
              </w:rPr>
              <w:t>电    话：</w:t>
            </w:r>
          </w:p>
        </w:tc>
        <w:tc>
          <w:tcPr>
            <w:tcW w:w="4226" w:type="dxa"/>
            <w:vAlign w:val="center"/>
          </w:tcPr>
          <w:p>
            <w:pPr>
              <w:spacing w:line="320" w:lineRule="exact"/>
              <w:rPr>
                <w:rFonts w:ascii="宋体" w:hAnsi="宋体"/>
                <w:szCs w:val="21"/>
              </w:rPr>
            </w:pPr>
            <w:r>
              <w:rPr>
                <w:rFonts w:hint="eastAsia" w:ascii="宋体" w:hAnsi="宋体"/>
                <w:szCs w:val="21"/>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476" w:hRule="atLeast"/>
          <w:jc w:val="center"/>
        </w:trPr>
        <w:tc>
          <w:tcPr>
            <w:tcW w:w="4111" w:type="dxa"/>
            <w:vAlign w:val="center"/>
          </w:tcPr>
          <w:p>
            <w:pPr>
              <w:spacing w:line="320" w:lineRule="exact"/>
              <w:rPr>
                <w:rFonts w:ascii="宋体" w:hAnsi="宋体"/>
                <w:szCs w:val="21"/>
              </w:rPr>
            </w:pPr>
            <w:r>
              <w:rPr>
                <w:rFonts w:hint="eastAsia" w:ascii="宋体" w:hAnsi="宋体"/>
                <w:szCs w:val="21"/>
              </w:rPr>
              <w:t>传    真：</w:t>
            </w:r>
          </w:p>
        </w:tc>
        <w:tc>
          <w:tcPr>
            <w:tcW w:w="4226" w:type="dxa"/>
            <w:vAlign w:val="center"/>
          </w:tcPr>
          <w:p>
            <w:pPr>
              <w:spacing w:line="320" w:lineRule="exact"/>
              <w:rPr>
                <w:rFonts w:ascii="宋体" w:hAnsi="宋体"/>
                <w:szCs w:val="21"/>
              </w:rPr>
            </w:pPr>
            <w:r>
              <w:rPr>
                <w:rFonts w:hint="eastAsia" w:ascii="宋体" w:hAnsi="宋体"/>
                <w:szCs w:val="21"/>
              </w:rPr>
              <w:t>传    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476" w:hRule="atLeast"/>
          <w:jc w:val="center"/>
        </w:trPr>
        <w:tc>
          <w:tcPr>
            <w:tcW w:w="4111" w:type="dxa"/>
            <w:vAlign w:val="center"/>
          </w:tcPr>
          <w:p>
            <w:pPr>
              <w:spacing w:line="320" w:lineRule="exact"/>
              <w:rPr>
                <w:rFonts w:ascii="宋体" w:hAnsi="宋体"/>
                <w:szCs w:val="21"/>
              </w:rPr>
            </w:pPr>
            <w:r>
              <w:rPr>
                <w:rFonts w:hint="eastAsia" w:ascii="宋体" w:hAnsi="宋体"/>
                <w:szCs w:val="21"/>
              </w:rPr>
              <w:t>开户银行：</w:t>
            </w:r>
          </w:p>
        </w:tc>
        <w:tc>
          <w:tcPr>
            <w:tcW w:w="4226" w:type="dxa"/>
            <w:vAlign w:val="center"/>
          </w:tcPr>
          <w:p>
            <w:pPr>
              <w:spacing w:line="320" w:lineRule="exact"/>
              <w:rPr>
                <w:rFonts w:ascii="宋体" w:hAnsi="宋体"/>
                <w:szCs w:val="21"/>
              </w:rPr>
            </w:pPr>
            <w:r>
              <w:rPr>
                <w:rFonts w:hint="eastAsia" w:ascii="宋体" w:hAnsi="宋体"/>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4111" w:type="dxa"/>
            <w:vAlign w:val="center"/>
          </w:tcPr>
          <w:p>
            <w:pPr>
              <w:spacing w:line="320" w:lineRule="exact"/>
              <w:rPr>
                <w:rFonts w:ascii="宋体" w:hAnsi="宋体"/>
                <w:szCs w:val="21"/>
              </w:rPr>
            </w:pPr>
            <w:r>
              <w:rPr>
                <w:rFonts w:hint="eastAsia" w:ascii="宋体" w:hAnsi="宋体"/>
                <w:szCs w:val="21"/>
              </w:rPr>
              <w:t>账户名称：</w:t>
            </w:r>
          </w:p>
        </w:tc>
        <w:tc>
          <w:tcPr>
            <w:tcW w:w="4226" w:type="dxa"/>
            <w:vAlign w:val="center"/>
          </w:tcPr>
          <w:p>
            <w:pPr>
              <w:spacing w:line="320" w:lineRule="exact"/>
              <w:rPr>
                <w:rFonts w:ascii="宋体" w:hAnsi="宋体"/>
                <w:szCs w:val="21"/>
              </w:rPr>
            </w:pPr>
            <w:r>
              <w:rPr>
                <w:rFonts w:hint="eastAsia" w:ascii="宋体" w:hAnsi="宋体"/>
                <w:szCs w:val="21"/>
              </w:rPr>
              <w:t>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476" w:hRule="atLeast"/>
          <w:jc w:val="center"/>
        </w:trPr>
        <w:tc>
          <w:tcPr>
            <w:tcW w:w="4111" w:type="dxa"/>
            <w:vAlign w:val="center"/>
          </w:tcPr>
          <w:p>
            <w:pPr>
              <w:spacing w:line="320" w:lineRule="exact"/>
              <w:rPr>
                <w:rFonts w:ascii="宋体" w:hAnsi="宋体"/>
                <w:szCs w:val="21"/>
              </w:rPr>
            </w:pPr>
            <w:r>
              <w:rPr>
                <w:rFonts w:hint="eastAsia" w:ascii="宋体" w:hAnsi="宋体"/>
                <w:szCs w:val="21"/>
              </w:rPr>
              <w:t>账    号：</w:t>
            </w:r>
          </w:p>
        </w:tc>
        <w:tc>
          <w:tcPr>
            <w:tcW w:w="4226" w:type="dxa"/>
            <w:vAlign w:val="center"/>
          </w:tcPr>
          <w:p>
            <w:pPr>
              <w:spacing w:line="320" w:lineRule="exact"/>
              <w:rPr>
                <w:rFonts w:ascii="宋体" w:hAnsi="宋体"/>
                <w:szCs w:val="21"/>
              </w:rPr>
            </w:pPr>
            <w:r>
              <w:rPr>
                <w:rFonts w:hint="eastAsia" w:ascii="宋体" w:hAnsi="宋体"/>
                <w:szCs w:val="21"/>
              </w:rPr>
              <w:t>账    号：</w:t>
            </w:r>
          </w:p>
        </w:tc>
      </w:tr>
    </w:tbl>
    <w:p>
      <w:pPr>
        <w:spacing w:line="460" w:lineRule="exact"/>
        <w:ind w:firstLine="480" w:firstLineChars="200"/>
        <w:rPr>
          <w:rFonts w:ascii="仿宋_GB2312" w:hAnsi="宋体" w:eastAsia="仿宋_GB2312"/>
          <w:sz w:val="24"/>
          <w:szCs w:val="24"/>
        </w:rPr>
      </w:pPr>
    </w:p>
    <w:p>
      <w:pPr>
        <w:spacing w:line="460" w:lineRule="exact"/>
        <w:rPr>
          <w:rFonts w:ascii="仿宋_GB2312" w:hAnsi="宋体" w:eastAsia="仿宋_GB2312"/>
          <w:sz w:val="24"/>
          <w:szCs w:val="24"/>
        </w:rPr>
      </w:pPr>
    </w:p>
    <w:p>
      <w:pPr>
        <w:spacing w:line="460" w:lineRule="exact"/>
        <w:rPr>
          <w:rFonts w:ascii="仿宋_GB2312" w:hAnsi="宋体" w:eastAsia="仿宋_GB2312"/>
          <w:sz w:val="24"/>
          <w:szCs w:val="24"/>
        </w:rPr>
      </w:pPr>
    </w:p>
    <w:p>
      <w:pPr>
        <w:spacing w:line="460" w:lineRule="exact"/>
        <w:rPr>
          <w:rFonts w:ascii="仿宋_GB2312" w:hAnsi="宋体" w:eastAsia="仿宋_GB2312"/>
          <w:sz w:val="24"/>
          <w:szCs w:val="24"/>
        </w:rPr>
      </w:pPr>
    </w:p>
    <w:p>
      <w:pPr>
        <w:spacing w:line="460" w:lineRule="exact"/>
        <w:rPr>
          <w:rFonts w:ascii="仿宋_GB2312" w:hAnsi="宋体" w:eastAsia="仿宋_GB2312"/>
          <w:sz w:val="24"/>
          <w:szCs w:val="24"/>
        </w:rPr>
      </w:pPr>
    </w:p>
    <w:p>
      <w:pPr>
        <w:spacing w:line="460" w:lineRule="exact"/>
        <w:rPr>
          <w:rFonts w:ascii="仿宋_GB2312" w:hAnsi="宋体" w:eastAsia="仿宋_GB2312"/>
          <w:sz w:val="24"/>
          <w:szCs w:val="24"/>
        </w:rPr>
      </w:pPr>
    </w:p>
    <w:p>
      <w:pPr>
        <w:spacing w:line="460" w:lineRule="exact"/>
        <w:rPr>
          <w:rFonts w:ascii="仿宋_GB2312" w:hAnsi="宋体" w:eastAsia="仿宋_GB2312"/>
          <w:sz w:val="24"/>
          <w:szCs w:val="24"/>
        </w:rPr>
      </w:pPr>
    </w:p>
    <w:p>
      <w:pPr>
        <w:spacing w:line="460" w:lineRule="exact"/>
        <w:jc w:val="left"/>
        <w:rPr>
          <w:rFonts w:ascii="黑体" w:hAnsi="黑体" w:eastAsia="黑体"/>
          <w:szCs w:val="24"/>
        </w:rPr>
      </w:pPr>
    </w:p>
    <w:p>
      <w:pPr>
        <w:spacing w:line="460" w:lineRule="exact"/>
        <w:jc w:val="left"/>
        <w:rPr>
          <w:rFonts w:ascii="黑体" w:hAnsi="黑体" w:eastAsia="黑体"/>
          <w:szCs w:val="24"/>
        </w:rPr>
      </w:pPr>
    </w:p>
    <w:p>
      <w:pPr>
        <w:widowControl/>
        <w:jc w:val="left"/>
        <w:rPr>
          <w:rFonts w:ascii="黑体" w:hAnsi="黑体" w:eastAsia="黑体"/>
          <w:szCs w:val="24"/>
        </w:rPr>
      </w:pPr>
      <w:r>
        <w:rPr>
          <w:rFonts w:ascii="黑体" w:hAnsi="黑体" w:eastAsia="黑体"/>
          <w:szCs w:val="24"/>
        </w:rPr>
        <w:br w:type="page"/>
      </w:r>
    </w:p>
    <w:p>
      <w:pPr>
        <w:spacing w:line="460" w:lineRule="exact"/>
        <w:jc w:val="left"/>
        <w:outlineLvl w:val="1"/>
        <w:rPr>
          <w:rFonts w:ascii="黑体" w:hAnsi="黑体" w:eastAsia="黑体"/>
          <w:szCs w:val="24"/>
        </w:rPr>
      </w:pPr>
      <w:bookmarkStart w:id="565" w:name="_Toc184916601"/>
      <w:r>
        <w:rPr>
          <w:rFonts w:hint="eastAsia" w:ascii="黑体" w:hAnsi="黑体" w:eastAsia="黑体"/>
          <w:szCs w:val="24"/>
        </w:rPr>
        <w:t>附件1</w:t>
      </w:r>
      <w:bookmarkEnd w:id="565"/>
    </w:p>
    <w:p>
      <w:pPr>
        <w:spacing w:line="460" w:lineRule="exact"/>
        <w:ind w:firstLine="320" w:firstLineChars="100"/>
        <w:jc w:val="center"/>
        <w:rPr>
          <w:rFonts w:ascii="宋体" w:hAnsi="宋体"/>
          <w:sz w:val="32"/>
          <w:szCs w:val="24"/>
        </w:rPr>
      </w:pPr>
      <w:bookmarkStart w:id="566" w:name="_Toc387244117"/>
      <w:bookmarkStart w:id="567" w:name="_Toc531850392"/>
      <w:bookmarkStart w:id="568" w:name="_Toc532553171"/>
      <w:bookmarkStart w:id="569" w:name="_Toc387244119"/>
      <w:bookmarkStart w:id="570" w:name="_Toc532553097"/>
      <w:r>
        <w:rPr>
          <w:rFonts w:hint="eastAsia" w:ascii="宋体" w:hAnsi="宋体"/>
          <w:sz w:val="32"/>
          <w:szCs w:val="24"/>
        </w:rPr>
        <w:t>全过程工程咨询服务合同</w:t>
      </w:r>
    </w:p>
    <w:p>
      <w:pPr>
        <w:spacing w:line="460" w:lineRule="exact"/>
        <w:jc w:val="center"/>
        <w:rPr>
          <w:rFonts w:ascii="楷体_GB2312" w:hAnsi="黑体" w:eastAsia="楷体_GB2312"/>
          <w:sz w:val="28"/>
          <w:szCs w:val="32"/>
        </w:rPr>
      </w:pPr>
      <w:r>
        <w:rPr>
          <w:rFonts w:hint="eastAsia" w:ascii="楷体_GB2312" w:hAnsi="黑体" w:eastAsia="楷体_GB2312"/>
          <w:sz w:val="28"/>
          <w:szCs w:val="32"/>
        </w:rPr>
        <w:t>（主要内容）</w:t>
      </w:r>
    </w:p>
    <w:p>
      <w:pPr>
        <w:spacing w:line="460" w:lineRule="exact"/>
        <w:rPr>
          <w:rFonts w:ascii="楷体_GB2312" w:hAnsi="黑体" w:eastAsia="楷体_GB2312"/>
          <w:sz w:val="32"/>
          <w:szCs w:val="32"/>
        </w:rPr>
      </w:pPr>
    </w:p>
    <w:p>
      <w:pPr>
        <w:jc w:val="center"/>
        <w:outlineLvl w:val="2"/>
        <w:rPr>
          <w:sz w:val="32"/>
          <w:szCs w:val="28"/>
        </w:rPr>
      </w:pPr>
      <w:bookmarkStart w:id="571" w:name="_Toc532553045"/>
      <w:bookmarkStart w:id="572" w:name="_Toc532553119"/>
      <w:bookmarkStart w:id="573" w:name="_Toc531850339"/>
      <w:r>
        <w:rPr>
          <w:rFonts w:hint="eastAsia"/>
          <w:sz w:val="32"/>
          <w:szCs w:val="28"/>
        </w:rPr>
        <w:t>第一部分  合同协议书</w:t>
      </w:r>
      <w:bookmarkEnd w:id="566"/>
      <w:bookmarkEnd w:id="571"/>
      <w:bookmarkEnd w:id="572"/>
      <w:bookmarkEnd w:id="573"/>
    </w:p>
    <w:p>
      <w:pPr>
        <w:spacing w:after="120" w:line="460" w:lineRule="exact"/>
        <w:rPr>
          <w:rFonts w:ascii="宋体" w:hAnsi="宋体"/>
          <w:sz w:val="24"/>
          <w:szCs w:val="24"/>
        </w:rPr>
      </w:pPr>
      <w:r>
        <w:rPr>
          <w:rFonts w:hint="eastAsia" w:ascii="宋体" w:hAnsi="宋体"/>
          <w:sz w:val="24"/>
          <w:szCs w:val="24"/>
        </w:rPr>
        <w:t>委托人（全称）：</w:t>
      </w:r>
      <w:r>
        <w:rPr>
          <w:rFonts w:ascii="宋体" w:hAnsi="宋体"/>
          <w:sz w:val="24"/>
          <w:szCs w:val="24"/>
        </w:rPr>
        <w:t>__________________________________________________________</w:t>
      </w:r>
    </w:p>
    <w:p>
      <w:pPr>
        <w:spacing w:after="120" w:line="460" w:lineRule="exact"/>
        <w:rPr>
          <w:rFonts w:ascii="宋体" w:hAnsi="宋体"/>
          <w:sz w:val="24"/>
          <w:szCs w:val="24"/>
        </w:rPr>
      </w:pPr>
      <w:r>
        <w:rPr>
          <w:rFonts w:hint="eastAsia" w:ascii="宋体" w:hAnsi="宋体"/>
          <w:sz w:val="24"/>
          <w:szCs w:val="24"/>
        </w:rPr>
        <w:t>受托人（全称）：</w:t>
      </w:r>
      <w:r>
        <w:rPr>
          <w:rFonts w:ascii="宋体" w:hAnsi="宋体"/>
          <w:sz w:val="24"/>
          <w:szCs w:val="24"/>
        </w:rPr>
        <w:t>__________________________________________________________</w:t>
      </w:r>
    </w:p>
    <w:p>
      <w:pPr>
        <w:spacing w:after="120" w:line="460" w:lineRule="exact"/>
        <w:rPr>
          <w:rFonts w:ascii="宋体" w:hAnsi="宋体"/>
          <w:sz w:val="24"/>
          <w:szCs w:val="24"/>
        </w:rPr>
      </w:pPr>
      <w:r>
        <w:rPr>
          <w:rFonts w:hint="eastAsia" w:ascii="宋体" w:hAnsi="宋体"/>
          <w:sz w:val="24"/>
          <w:szCs w:val="24"/>
        </w:rPr>
        <w:t>根据《中华人民共和国民法典》《中华人民共和国建筑法》及相关法律法规，遵循平等、自愿、公平和诚信的原则，双方就</w:t>
      </w:r>
      <w:r>
        <w:rPr>
          <w:rFonts w:ascii="宋体" w:hAnsi="宋体"/>
          <w:sz w:val="24"/>
          <w:szCs w:val="24"/>
        </w:rPr>
        <w:t>____________________________</w:t>
      </w:r>
      <w:r>
        <w:rPr>
          <w:rFonts w:hint="eastAsia" w:ascii="宋体" w:hAnsi="宋体"/>
          <w:sz w:val="24"/>
          <w:szCs w:val="24"/>
        </w:rPr>
        <w:t>项目工程建设全过程咨询服务及有关事项协商一致，共同达成如下协议：</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574" w:name="_Toc2284"/>
      <w:bookmarkStart w:id="575" w:name="_Toc184916602"/>
      <w:bookmarkStart w:id="576" w:name="_Toc18155955"/>
      <w:bookmarkStart w:id="577" w:name="_Toc13962"/>
      <w:bookmarkStart w:id="578" w:name="_Toc21675"/>
      <w:bookmarkStart w:id="579" w:name="_Toc56155169"/>
      <w:bookmarkStart w:id="580" w:name="_Toc14983"/>
      <w:bookmarkStart w:id="581" w:name="_Toc472523115"/>
      <w:r>
        <w:rPr>
          <w:rFonts w:hint="eastAsia" w:ascii="宋体" w:hAnsi="宋体" w:cs="黑体"/>
          <w:b/>
          <w:sz w:val="24"/>
          <w:szCs w:val="24"/>
        </w:rPr>
        <w:t>一、项目</w:t>
      </w:r>
      <w:r>
        <w:rPr>
          <w:rFonts w:ascii="宋体" w:hAnsi="宋体" w:cs="黑体"/>
          <w:b/>
          <w:sz w:val="24"/>
          <w:szCs w:val="24"/>
        </w:rPr>
        <w:t>概况</w:t>
      </w:r>
      <w:bookmarkEnd w:id="574"/>
      <w:bookmarkEnd w:id="575"/>
      <w:bookmarkEnd w:id="576"/>
      <w:bookmarkEnd w:id="577"/>
      <w:bookmarkEnd w:id="578"/>
      <w:bookmarkEnd w:id="579"/>
      <w:bookmarkEnd w:id="580"/>
      <w:bookmarkEnd w:id="581"/>
    </w:p>
    <w:p>
      <w:pPr>
        <w:numPr>
          <w:ilvl w:val="0"/>
          <w:numId w:val="2"/>
        </w:numPr>
        <w:adjustRightInd w:val="0"/>
        <w:snapToGrid w:val="0"/>
        <w:spacing w:after="120" w:line="360" w:lineRule="auto"/>
        <w:ind w:left="0" w:firstLine="476"/>
        <w:rPr>
          <w:sz w:val="24"/>
          <w:szCs w:val="24"/>
        </w:rPr>
      </w:pPr>
      <w:r>
        <w:rPr>
          <w:sz w:val="24"/>
          <w:szCs w:val="24"/>
        </w:rPr>
        <w:t>项目名称：______________________________________________________。</w:t>
      </w:r>
    </w:p>
    <w:p>
      <w:pPr>
        <w:numPr>
          <w:ilvl w:val="0"/>
          <w:numId w:val="2"/>
        </w:numPr>
        <w:adjustRightInd w:val="0"/>
        <w:snapToGrid w:val="0"/>
        <w:spacing w:after="120" w:line="360" w:lineRule="auto"/>
        <w:ind w:left="0" w:firstLine="476"/>
        <w:rPr>
          <w:sz w:val="24"/>
          <w:szCs w:val="24"/>
        </w:rPr>
      </w:pPr>
      <w:r>
        <w:rPr>
          <w:sz w:val="24"/>
          <w:szCs w:val="24"/>
        </w:rPr>
        <w:t>项目地点：______________________________________________________。</w:t>
      </w:r>
    </w:p>
    <w:p>
      <w:pPr>
        <w:numPr>
          <w:ilvl w:val="0"/>
          <w:numId w:val="2"/>
        </w:numPr>
        <w:adjustRightInd w:val="0"/>
        <w:snapToGrid w:val="0"/>
        <w:spacing w:after="120" w:line="360" w:lineRule="auto"/>
        <w:ind w:left="0" w:firstLine="476"/>
        <w:rPr>
          <w:sz w:val="24"/>
          <w:szCs w:val="24"/>
        </w:rPr>
      </w:pPr>
      <w:r>
        <w:rPr>
          <w:sz w:val="24"/>
          <w:szCs w:val="24"/>
        </w:rPr>
        <w:t>建设内容：______________________________________________________。</w:t>
      </w:r>
    </w:p>
    <w:p>
      <w:pPr>
        <w:numPr>
          <w:ilvl w:val="0"/>
          <w:numId w:val="2"/>
        </w:numPr>
        <w:adjustRightInd w:val="0"/>
        <w:snapToGrid w:val="0"/>
        <w:spacing w:after="120" w:line="360" w:lineRule="auto"/>
        <w:ind w:left="0" w:firstLine="476"/>
        <w:rPr>
          <w:sz w:val="24"/>
          <w:szCs w:val="24"/>
        </w:rPr>
      </w:pPr>
      <w:r>
        <w:rPr>
          <w:sz w:val="24"/>
          <w:szCs w:val="24"/>
        </w:rPr>
        <w:t>建设规模：______________________________________________________。</w:t>
      </w:r>
    </w:p>
    <w:p>
      <w:pPr>
        <w:numPr>
          <w:ilvl w:val="0"/>
          <w:numId w:val="2"/>
        </w:numPr>
        <w:adjustRightInd w:val="0"/>
        <w:snapToGrid w:val="0"/>
        <w:spacing w:after="120" w:line="360" w:lineRule="auto"/>
        <w:ind w:left="0" w:firstLine="476"/>
        <w:rPr>
          <w:sz w:val="24"/>
          <w:szCs w:val="24"/>
        </w:rPr>
      </w:pPr>
      <w:r>
        <w:rPr>
          <w:sz w:val="24"/>
          <w:szCs w:val="24"/>
        </w:rPr>
        <w:t>投资金额（    阶段）：__________________________________________。</w:t>
      </w:r>
    </w:p>
    <w:p>
      <w:pPr>
        <w:numPr>
          <w:ilvl w:val="0"/>
          <w:numId w:val="2"/>
        </w:numPr>
        <w:adjustRightInd w:val="0"/>
        <w:snapToGrid w:val="0"/>
        <w:spacing w:after="120" w:line="360" w:lineRule="auto"/>
        <w:ind w:left="0" w:firstLine="476"/>
        <w:rPr>
          <w:sz w:val="24"/>
          <w:szCs w:val="24"/>
        </w:rPr>
      </w:pPr>
      <w:r>
        <w:rPr>
          <w:sz w:val="24"/>
          <w:szCs w:val="24"/>
        </w:rPr>
        <w:t>资金来源：______________________________________________________。</w:t>
      </w:r>
    </w:p>
    <w:p>
      <w:pPr>
        <w:numPr>
          <w:ilvl w:val="0"/>
          <w:numId w:val="2"/>
        </w:numPr>
        <w:adjustRightInd w:val="0"/>
        <w:snapToGrid w:val="0"/>
        <w:spacing w:after="120" w:line="360" w:lineRule="auto"/>
        <w:ind w:left="0" w:firstLine="476"/>
        <w:rPr>
          <w:sz w:val="24"/>
          <w:szCs w:val="24"/>
          <w:u w:val="single"/>
        </w:rPr>
      </w:pPr>
      <w:r>
        <w:rPr>
          <w:sz w:val="24"/>
          <w:szCs w:val="24"/>
        </w:rPr>
        <w:t>资金到位情况：__________________________________________________。</w:t>
      </w:r>
    </w:p>
    <w:p>
      <w:pPr>
        <w:numPr>
          <w:ilvl w:val="0"/>
          <w:numId w:val="2"/>
        </w:numPr>
        <w:adjustRightInd w:val="0"/>
        <w:snapToGrid w:val="0"/>
        <w:spacing w:after="120" w:line="360" w:lineRule="auto"/>
        <w:ind w:left="0" w:firstLine="476"/>
        <w:rPr>
          <w:sz w:val="24"/>
          <w:szCs w:val="24"/>
        </w:rPr>
      </w:pPr>
      <w:r>
        <w:rPr>
          <w:sz w:val="24"/>
          <w:szCs w:val="24"/>
        </w:rPr>
        <w:t>项目周期：______________________________________________________。</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582" w:name="_Toc18155956"/>
      <w:bookmarkStart w:id="583" w:name="_Toc22936"/>
      <w:bookmarkStart w:id="584" w:name="_Toc1465322968"/>
      <w:bookmarkStart w:id="585" w:name="_Toc56155170"/>
      <w:bookmarkStart w:id="586" w:name="_Toc13217"/>
      <w:bookmarkStart w:id="587" w:name="_Toc10512"/>
      <w:bookmarkStart w:id="588" w:name="_Toc15293"/>
      <w:bookmarkStart w:id="589" w:name="_Toc184916603"/>
      <w:r>
        <w:rPr>
          <w:rFonts w:hint="eastAsia" w:ascii="宋体" w:hAnsi="宋体" w:cs="黑体"/>
          <w:b/>
          <w:sz w:val="24"/>
          <w:szCs w:val="24"/>
        </w:rPr>
        <w:t>二</w:t>
      </w:r>
      <w:r>
        <w:rPr>
          <w:rFonts w:ascii="宋体" w:hAnsi="宋体" w:cs="黑体"/>
          <w:b/>
          <w:sz w:val="24"/>
          <w:szCs w:val="24"/>
        </w:rPr>
        <w:t>、服务</w:t>
      </w:r>
      <w:bookmarkEnd w:id="582"/>
      <w:bookmarkEnd w:id="583"/>
      <w:bookmarkEnd w:id="584"/>
      <w:bookmarkEnd w:id="585"/>
      <w:r>
        <w:rPr>
          <w:rFonts w:hint="eastAsia" w:ascii="宋体" w:hAnsi="宋体" w:cs="黑体"/>
          <w:b/>
          <w:sz w:val="24"/>
          <w:szCs w:val="24"/>
        </w:rPr>
        <w:t>内容</w:t>
      </w:r>
      <w:bookmarkEnd w:id="586"/>
      <w:bookmarkEnd w:id="587"/>
      <w:bookmarkEnd w:id="588"/>
      <w:bookmarkEnd w:id="589"/>
    </w:p>
    <w:p>
      <w:pPr>
        <w:spacing w:after="120"/>
        <w:rPr>
          <w:sz w:val="24"/>
          <w:szCs w:val="24"/>
        </w:rPr>
      </w:pPr>
      <w:r>
        <w:rPr>
          <w:rFonts w:hint="eastAsia"/>
          <w:sz w:val="24"/>
          <w:szCs w:val="24"/>
        </w:rPr>
        <w:t>受托人向委托人提供的工程建设全过程咨询服务内容为（根据本合同约定达成一致的委托人的委托范围和实际需求进行勾选）：</w:t>
      </w:r>
    </w:p>
    <w:p>
      <w:pPr>
        <w:spacing w:after="120" w:line="336" w:lineRule="auto"/>
        <w:rPr>
          <w:sz w:val="24"/>
          <w:szCs w:val="24"/>
        </w:rPr>
      </w:pPr>
      <w:r>
        <w:rPr>
          <w:rFonts w:hint="eastAsia"/>
          <w:sz w:val="24"/>
          <w:szCs w:val="24"/>
        </w:rPr>
        <w:t>（一）工程建设全过程咨询</w:t>
      </w:r>
    </w:p>
    <w:p>
      <w:pPr>
        <w:spacing w:after="120" w:line="336" w:lineRule="auto"/>
        <w:ind w:left="425"/>
        <w:rPr>
          <w:sz w:val="24"/>
          <w:szCs w:val="24"/>
        </w:rPr>
      </w:pPr>
      <w:r>
        <w:rPr>
          <w:rFonts w:hint="eastAsia"/>
          <w:sz w:val="24"/>
          <w:szCs w:val="24"/>
        </w:rPr>
        <w:t>□ 工程报批报建服务：</w:t>
      </w:r>
      <w:r>
        <w:rPr>
          <w:sz w:val="24"/>
          <w:szCs w:val="24"/>
        </w:rPr>
        <w:t>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工程勘察设计管理，</w:t>
      </w:r>
      <w:r>
        <w:rPr>
          <w:sz w:val="24"/>
          <w:szCs w:val="24"/>
        </w:rPr>
        <w:t>包括</w:t>
      </w:r>
      <w:r>
        <w:rPr>
          <w:rFonts w:hint="eastAsia"/>
          <w:sz w:val="24"/>
          <w:szCs w:val="24"/>
        </w:rPr>
        <w:t>：</w:t>
      </w:r>
    </w:p>
    <w:p>
      <w:pPr>
        <w:spacing w:after="120" w:line="336" w:lineRule="auto"/>
        <w:ind w:left="425" w:firstLine="960" w:firstLineChars="400"/>
        <w:rPr>
          <w:sz w:val="24"/>
          <w:szCs w:val="24"/>
        </w:rPr>
      </w:pPr>
      <w:r>
        <w:rPr>
          <w:rFonts w:hint="eastAsia"/>
          <w:sz w:val="24"/>
          <w:szCs w:val="24"/>
        </w:rPr>
        <w:t>□ 工程勘察管理：_</w:t>
      </w:r>
      <w:r>
        <w:rPr>
          <w:sz w:val="24"/>
          <w:szCs w:val="24"/>
        </w:rPr>
        <w:t>___________________________________________</w:t>
      </w:r>
      <w:r>
        <w:rPr>
          <w:rFonts w:hint="eastAsia"/>
          <w:sz w:val="24"/>
          <w:szCs w:val="24"/>
        </w:rPr>
        <w:t>。</w:t>
      </w:r>
    </w:p>
    <w:p>
      <w:pPr>
        <w:spacing w:after="120" w:line="336" w:lineRule="auto"/>
        <w:ind w:left="425" w:firstLine="960" w:firstLineChars="400"/>
        <w:rPr>
          <w:sz w:val="24"/>
          <w:szCs w:val="24"/>
        </w:rPr>
      </w:pPr>
      <w:r>
        <w:rPr>
          <w:rFonts w:hint="eastAsia"/>
          <w:sz w:val="24"/>
          <w:szCs w:val="24"/>
        </w:rPr>
        <w:t>□ 工程设计管理：_</w:t>
      </w:r>
      <w:r>
        <w:rPr>
          <w:sz w:val="24"/>
          <w:szCs w:val="24"/>
        </w:rPr>
        <w:t>___________________________________________</w:t>
      </w:r>
      <w:r>
        <w:rPr>
          <w:rFonts w:hint="eastAsia"/>
          <w:sz w:val="24"/>
          <w:szCs w:val="24"/>
        </w:rPr>
        <w:t>。</w:t>
      </w:r>
    </w:p>
    <w:p>
      <w:pPr>
        <w:spacing w:after="120" w:line="336" w:lineRule="auto"/>
        <w:ind w:left="425" w:firstLine="960" w:firstLineChars="400"/>
        <w:rPr>
          <w:sz w:val="24"/>
          <w:szCs w:val="24"/>
        </w:rPr>
      </w:pPr>
      <w:r>
        <w:rPr>
          <w:rFonts w:hint="eastAsia"/>
          <w:sz w:val="24"/>
          <w:szCs w:val="24"/>
        </w:rPr>
        <w:t>□ 其他：_</w:t>
      </w:r>
      <w:r>
        <w:rPr>
          <w:sz w:val="24"/>
          <w:szCs w:val="24"/>
        </w:rPr>
        <w:t>___________________________________________________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工程勘察设计服务，包</w:t>
      </w:r>
      <w:r>
        <w:rPr>
          <w:sz w:val="24"/>
          <w:szCs w:val="24"/>
        </w:rPr>
        <w:t>括</w:t>
      </w:r>
      <w:r>
        <w:rPr>
          <w:rFonts w:hint="eastAsia"/>
          <w:sz w:val="24"/>
          <w:szCs w:val="24"/>
        </w:rPr>
        <w:t>：</w:t>
      </w:r>
    </w:p>
    <w:p>
      <w:pPr>
        <w:spacing w:after="120" w:line="336" w:lineRule="auto"/>
        <w:ind w:left="425" w:firstLine="960" w:firstLineChars="400"/>
        <w:rPr>
          <w:sz w:val="24"/>
          <w:szCs w:val="24"/>
        </w:rPr>
      </w:pPr>
      <w:r>
        <w:rPr>
          <w:rFonts w:hint="eastAsia"/>
          <w:sz w:val="24"/>
          <w:szCs w:val="24"/>
        </w:rPr>
        <w:t>□ 工程勘察：_</w:t>
      </w:r>
      <w:r>
        <w:rPr>
          <w:sz w:val="24"/>
          <w:szCs w:val="24"/>
        </w:rPr>
        <w:t>_______________________________________________</w:t>
      </w:r>
      <w:r>
        <w:rPr>
          <w:rFonts w:hint="eastAsia"/>
          <w:sz w:val="24"/>
          <w:szCs w:val="24"/>
        </w:rPr>
        <w:t>。</w:t>
      </w:r>
    </w:p>
    <w:p>
      <w:pPr>
        <w:spacing w:after="120" w:line="336" w:lineRule="auto"/>
        <w:ind w:left="425" w:firstLine="960" w:firstLineChars="400"/>
        <w:rPr>
          <w:sz w:val="24"/>
          <w:szCs w:val="24"/>
        </w:rPr>
      </w:pPr>
      <w:r>
        <w:rPr>
          <w:rFonts w:hint="eastAsia"/>
          <w:sz w:val="24"/>
          <w:szCs w:val="24"/>
        </w:rPr>
        <w:t>□ 方案设计：_</w:t>
      </w:r>
      <w:r>
        <w:rPr>
          <w:sz w:val="24"/>
          <w:szCs w:val="24"/>
        </w:rPr>
        <w:t>_______________________________________________</w:t>
      </w:r>
      <w:r>
        <w:rPr>
          <w:rFonts w:hint="eastAsia"/>
          <w:sz w:val="24"/>
          <w:szCs w:val="24"/>
        </w:rPr>
        <w:t>。</w:t>
      </w:r>
    </w:p>
    <w:p>
      <w:pPr>
        <w:spacing w:after="120" w:line="336" w:lineRule="auto"/>
        <w:ind w:left="425" w:firstLine="960" w:firstLineChars="400"/>
        <w:rPr>
          <w:sz w:val="24"/>
          <w:szCs w:val="24"/>
        </w:rPr>
      </w:pPr>
      <w:r>
        <w:rPr>
          <w:rFonts w:hint="eastAsia"/>
          <w:sz w:val="24"/>
          <w:szCs w:val="24"/>
        </w:rPr>
        <w:t>□ 初步设计：_</w:t>
      </w:r>
      <w:r>
        <w:rPr>
          <w:sz w:val="24"/>
          <w:szCs w:val="24"/>
        </w:rPr>
        <w:t>_______________________________________________</w:t>
      </w:r>
      <w:r>
        <w:rPr>
          <w:rFonts w:hint="eastAsia"/>
          <w:sz w:val="24"/>
          <w:szCs w:val="24"/>
        </w:rPr>
        <w:t>。</w:t>
      </w:r>
    </w:p>
    <w:p>
      <w:pPr>
        <w:spacing w:after="120" w:line="336" w:lineRule="auto"/>
        <w:ind w:left="425" w:firstLine="960" w:firstLineChars="400"/>
        <w:rPr>
          <w:sz w:val="24"/>
          <w:szCs w:val="24"/>
        </w:rPr>
      </w:pPr>
      <w:r>
        <w:rPr>
          <w:rFonts w:hint="eastAsia"/>
          <w:sz w:val="24"/>
          <w:szCs w:val="24"/>
        </w:rPr>
        <w:t>□ 施工图设计：_</w:t>
      </w:r>
      <w:r>
        <w:rPr>
          <w:sz w:val="24"/>
          <w:szCs w:val="24"/>
        </w:rPr>
        <w:t>_____________________________________________</w:t>
      </w:r>
      <w:r>
        <w:rPr>
          <w:rFonts w:hint="eastAsia"/>
          <w:sz w:val="24"/>
          <w:szCs w:val="24"/>
        </w:rPr>
        <w:t>。</w:t>
      </w:r>
    </w:p>
    <w:p>
      <w:pPr>
        <w:spacing w:after="120" w:line="336" w:lineRule="auto"/>
        <w:ind w:left="425" w:firstLine="960" w:firstLineChars="400"/>
        <w:rPr>
          <w:sz w:val="24"/>
          <w:szCs w:val="24"/>
        </w:rPr>
      </w:pPr>
      <w:r>
        <w:rPr>
          <w:rFonts w:hint="eastAsia"/>
          <w:sz w:val="24"/>
          <w:szCs w:val="24"/>
        </w:rPr>
        <w:t>□ 其他：_</w:t>
      </w:r>
      <w:r>
        <w:rPr>
          <w:sz w:val="24"/>
          <w:szCs w:val="24"/>
        </w:rPr>
        <w:t>___________________________________________________</w:t>
      </w:r>
      <w:r>
        <w:rPr>
          <w:rFonts w:hint="eastAsia"/>
          <w:sz w:val="24"/>
          <w:szCs w:val="24"/>
        </w:rPr>
        <w:t>。</w:t>
      </w:r>
    </w:p>
    <w:p>
      <w:pPr>
        <w:spacing w:after="120" w:line="336" w:lineRule="auto"/>
        <w:ind w:left="425"/>
        <w:jc w:val="left"/>
        <w:rPr>
          <w:sz w:val="24"/>
          <w:szCs w:val="24"/>
        </w:rPr>
      </w:pPr>
      <w:r>
        <w:rPr>
          <w:rFonts w:hint="eastAsia"/>
          <w:sz w:val="24"/>
          <w:szCs w:val="24"/>
        </w:rPr>
        <w:t>□ 工程造价咨询，包括：</w:t>
      </w:r>
      <w:r>
        <w:rPr>
          <w:sz w:val="24"/>
          <w:szCs w:val="24"/>
        </w:rPr>
        <w:t>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工程招标采购咨询，</w:t>
      </w:r>
      <w:r>
        <w:rPr>
          <w:sz w:val="24"/>
          <w:szCs w:val="24"/>
        </w:rPr>
        <w:t>包括</w:t>
      </w:r>
      <w:r>
        <w:rPr>
          <w:rFonts w:hint="eastAsia"/>
          <w:sz w:val="24"/>
          <w:szCs w:val="24"/>
        </w:rPr>
        <w:t>：</w:t>
      </w:r>
    </w:p>
    <w:p>
      <w:pPr>
        <w:spacing w:after="120" w:line="336" w:lineRule="auto"/>
        <w:ind w:left="425"/>
        <w:rPr>
          <w:sz w:val="24"/>
          <w:szCs w:val="24"/>
        </w:rPr>
      </w:pPr>
      <w:r>
        <w:rPr>
          <w:rFonts w:hint="eastAsia"/>
          <w:sz w:val="24"/>
          <w:szCs w:val="24"/>
        </w:rPr>
        <w:t xml:space="preserve">  </w:t>
      </w:r>
      <w:r>
        <w:rPr>
          <w:sz w:val="24"/>
          <w:szCs w:val="24"/>
        </w:rPr>
        <w:t xml:space="preserve">  </w:t>
      </w:r>
      <w:r>
        <w:rPr>
          <w:rFonts w:hint="eastAsia"/>
          <w:sz w:val="24"/>
          <w:szCs w:val="24"/>
        </w:rPr>
        <w:t>□ 工程监理招标代理：_</w:t>
      </w:r>
      <w:r>
        <w:rPr>
          <w:sz w:val="24"/>
          <w:szCs w:val="24"/>
        </w:rPr>
        <w:t>_______________________________________</w:t>
      </w:r>
      <w:r>
        <w:rPr>
          <w:rFonts w:hint="eastAsia"/>
          <w:sz w:val="24"/>
          <w:szCs w:val="24"/>
        </w:rPr>
        <w:t>。</w:t>
      </w:r>
    </w:p>
    <w:p>
      <w:pPr>
        <w:spacing w:after="120" w:line="336" w:lineRule="auto"/>
        <w:ind w:left="425" w:firstLine="960" w:firstLineChars="400"/>
        <w:rPr>
          <w:sz w:val="24"/>
          <w:szCs w:val="24"/>
        </w:rPr>
      </w:pPr>
      <w:r>
        <w:rPr>
          <w:rFonts w:hint="eastAsia"/>
          <w:sz w:val="24"/>
          <w:szCs w:val="24"/>
        </w:rPr>
        <w:t>□ 工程施工招标代理：_</w:t>
      </w:r>
      <w:r>
        <w:rPr>
          <w:sz w:val="24"/>
          <w:szCs w:val="24"/>
        </w:rPr>
        <w:t>_______________________________________</w:t>
      </w:r>
      <w:r>
        <w:rPr>
          <w:rFonts w:hint="eastAsia"/>
          <w:sz w:val="24"/>
          <w:szCs w:val="24"/>
        </w:rPr>
        <w:t>。</w:t>
      </w:r>
    </w:p>
    <w:p>
      <w:pPr>
        <w:spacing w:after="120" w:line="336" w:lineRule="auto"/>
        <w:ind w:left="425" w:firstLine="960" w:firstLineChars="400"/>
        <w:jc w:val="left"/>
        <w:rPr>
          <w:sz w:val="24"/>
          <w:szCs w:val="24"/>
        </w:rPr>
      </w:pPr>
      <w:r>
        <w:rPr>
          <w:rFonts w:hint="eastAsia"/>
          <w:sz w:val="24"/>
          <w:szCs w:val="24"/>
        </w:rPr>
        <w:t>□ 材料设备采购招标代理：</w:t>
      </w:r>
      <w:r>
        <w:rPr>
          <w:sz w:val="24"/>
          <w:szCs w:val="24"/>
        </w:rPr>
        <w:t>____________________________________</w:t>
      </w:r>
      <w:r>
        <w:rPr>
          <w:rFonts w:hint="eastAsia"/>
          <w:sz w:val="24"/>
          <w:szCs w:val="24"/>
        </w:rPr>
        <w:t>。</w:t>
      </w:r>
    </w:p>
    <w:p>
      <w:pPr>
        <w:spacing w:after="120" w:line="336" w:lineRule="auto"/>
        <w:ind w:left="425" w:firstLine="960" w:firstLineChars="400"/>
        <w:rPr>
          <w:sz w:val="24"/>
          <w:szCs w:val="24"/>
        </w:rPr>
      </w:pPr>
      <w:r>
        <w:rPr>
          <w:rFonts w:hint="eastAsia"/>
          <w:sz w:val="24"/>
          <w:szCs w:val="24"/>
        </w:rPr>
        <w:t>□ 其他：_</w:t>
      </w:r>
      <w:r>
        <w:rPr>
          <w:sz w:val="24"/>
          <w:szCs w:val="24"/>
        </w:rPr>
        <w:t>___________________________________________________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施工项目管理：_</w:t>
      </w:r>
      <w:r>
        <w:rPr>
          <w:sz w:val="24"/>
          <w:szCs w:val="24"/>
        </w:rPr>
        <w:t>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工程监理服务：</w:t>
      </w:r>
      <w:r>
        <w:rPr>
          <w:sz w:val="24"/>
          <w:szCs w:val="24"/>
        </w:rPr>
        <w:t>________________________________________________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其他：_</w:t>
      </w:r>
      <w:r>
        <w:rPr>
          <w:sz w:val="24"/>
          <w:szCs w:val="24"/>
        </w:rPr>
        <w:t>_______________________________________________________</w:t>
      </w:r>
      <w:r>
        <w:rPr>
          <w:rFonts w:hint="eastAsia"/>
          <w:sz w:val="24"/>
          <w:szCs w:val="24"/>
        </w:rPr>
        <w:t>。</w:t>
      </w:r>
    </w:p>
    <w:p>
      <w:pPr>
        <w:spacing w:after="120" w:line="336" w:lineRule="auto"/>
        <w:rPr>
          <w:b/>
          <w:sz w:val="24"/>
          <w:szCs w:val="24"/>
        </w:rPr>
      </w:pPr>
      <w:r>
        <w:rPr>
          <w:rFonts w:hint="eastAsia"/>
          <w:sz w:val="24"/>
          <w:szCs w:val="24"/>
        </w:rPr>
        <w:t xml:space="preserve">（二） </w:t>
      </w:r>
      <w:r>
        <w:rPr>
          <w:rFonts w:hint="eastAsia"/>
          <w:bCs/>
          <w:sz w:val="24"/>
          <w:szCs w:val="24"/>
        </w:rPr>
        <w:t>其他专项咨询</w:t>
      </w:r>
    </w:p>
    <w:p>
      <w:pPr>
        <w:spacing w:after="120" w:line="336" w:lineRule="auto"/>
        <w:ind w:left="425"/>
        <w:rPr>
          <w:sz w:val="24"/>
          <w:szCs w:val="24"/>
        </w:rPr>
      </w:pPr>
      <w:r>
        <w:rPr>
          <w:rFonts w:hint="eastAsia"/>
          <w:sz w:val="24"/>
          <w:szCs w:val="24"/>
        </w:rPr>
        <w:t>□ 项目融资咨询：_</w:t>
      </w:r>
      <w:r>
        <w:rPr>
          <w:sz w:val="24"/>
          <w:szCs w:val="24"/>
        </w:rPr>
        <w:t>________________________________________________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信息技术咨询：_</w:t>
      </w:r>
      <w:r>
        <w:rPr>
          <w:sz w:val="24"/>
          <w:szCs w:val="24"/>
        </w:rPr>
        <w:t>________________________________________________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风险管理咨询：_</w:t>
      </w:r>
      <w:r>
        <w:rPr>
          <w:sz w:val="24"/>
          <w:szCs w:val="24"/>
        </w:rPr>
        <w:t>________________________________________________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项目后评价咨询：_</w:t>
      </w:r>
      <w:r>
        <w:rPr>
          <w:sz w:val="24"/>
          <w:szCs w:val="24"/>
        </w:rPr>
        <w:t>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建筑节能与绿色建筑咨询：_</w:t>
      </w:r>
      <w:r>
        <w:rPr>
          <w:sz w:val="24"/>
          <w:szCs w:val="24"/>
        </w:rPr>
        <w:t>______________________________________</w:t>
      </w:r>
      <w:r>
        <w:rPr>
          <w:rFonts w:hint="eastAsia"/>
          <w:sz w:val="24"/>
          <w:szCs w:val="24"/>
        </w:rPr>
        <w:t>。</w:t>
      </w:r>
    </w:p>
    <w:p>
      <w:pPr>
        <w:spacing w:after="120" w:line="336" w:lineRule="auto"/>
        <w:ind w:left="425"/>
        <w:rPr>
          <w:sz w:val="24"/>
          <w:szCs w:val="24"/>
        </w:rPr>
      </w:pPr>
      <w:r>
        <w:rPr>
          <w:rFonts w:hint="eastAsia"/>
          <w:sz w:val="24"/>
          <w:szCs w:val="24"/>
        </w:rPr>
        <w:t>□ 工程保险咨询：_</w:t>
      </w:r>
      <w:r>
        <w:rPr>
          <w:sz w:val="24"/>
          <w:szCs w:val="24"/>
        </w:rPr>
        <w:t>________________________________________________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 其他：_</w:t>
      </w:r>
      <w:r>
        <w:rPr>
          <w:sz w:val="24"/>
          <w:szCs w:val="24"/>
        </w:rPr>
        <w:t>________________________________________________________</w:t>
      </w:r>
      <w:r>
        <w:rPr>
          <w:rFonts w:hint="eastAsia"/>
          <w:sz w:val="24"/>
          <w:szCs w:val="24"/>
        </w:rPr>
        <w:t>。</w:t>
      </w:r>
    </w:p>
    <w:p>
      <w:pPr>
        <w:spacing w:after="120" w:line="336" w:lineRule="auto"/>
        <w:ind w:left="425"/>
        <w:rPr>
          <w:sz w:val="24"/>
          <w:szCs w:val="24"/>
        </w:rPr>
      </w:pPr>
      <w:r>
        <w:rPr>
          <w:rFonts w:hint="eastAsia"/>
          <w:sz w:val="24"/>
          <w:szCs w:val="24"/>
        </w:rPr>
        <w:t>受托人向委托人提供投资决策综合性咨询等服务的，可在合同附件1中另行约定。</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590" w:name="_Toc184916604"/>
      <w:bookmarkStart w:id="591" w:name="_Toc1262486975"/>
      <w:bookmarkStart w:id="592" w:name="_Toc17120"/>
      <w:bookmarkStart w:id="593" w:name="_Toc13876"/>
      <w:bookmarkStart w:id="594" w:name="_Toc18155957"/>
      <w:bookmarkStart w:id="595" w:name="_Toc23598"/>
      <w:bookmarkStart w:id="596" w:name="_Toc56155171"/>
      <w:bookmarkStart w:id="597" w:name="_Toc11035"/>
      <w:r>
        <w:rPr>
          <w:rFonts w:hint="eastAsia" w:ascii="宋体" w:hAnsi="宋体" w:cs="黑体"/>
          <w:b/>
          <w:sz w:val="24"/>
          <w:szCs w:val="24"/>
        </w:rPr>
        <w:t>三</w:t>
      </w:r>
      <w:r>
        <w:rPr>
          <w:rFonts w:ascii="宋体" w:hAnsi="宋体" w:cs="黑体"/>
          <w:b/>
          <w:sz w:val="24"/>
          <w:szCs w:val="24"/>
        </w:rPr>
        <w:t>、委托</w:t>
      </w:r>
      <w:r>
        <w:rPr>
          <w:rFonts w:hint="eastAsia" w:ascii="宋体" w:hAnsi="宋体" w:cs="黑体"/>
          <w:b/>
          <w:sz w:val="24"/>
          <w:szCs w:val="24"/>
        </w:rPr>
        <w:t>人</w:t>
      </w:r>
      <w:r>
        <w:rPr>
          <w:rFonts w:ascii="宋体" w:hAnsi="宋体" w:cs="黑体"/>
          <w:b/>
          <w:sz w:val="24"/>
          <w:szCs w:val="24"/>
        </w:rPr>
        <w:t>代表与咨询项目</w:t>
      </w:r>
      <w:r>
        <w:rPr>
          <w:rFonts w:hint="eastAsia" w:ascii="宋体" w:hAnsi="宋体" w:cs="黑体"/>
          <w:b/>
          <w:sz w:val="24"/>
          <w:szCs w:val="24"/>
        </w:rPr>
        <w:t>总</w:t>
      </w:r>
      <w:r>
        <w:rPr>
          <w:rFonts w:ascii="宋体" w:hAnsi="宋体" w:cs="黑体"/>
          <w:b/>
          <w:sz w:val="24"/>
          <w:szCs w:val="24"/>
        </w:rPr>
        <w:t>负责人</w:t>
      </w:r>
      <w:bookmarkEnd w:id="590"/>
      <w:bookmarkEnd w:id="591"/>
      <w:bookmarkEnd w:id="592"/>
      <w:bookmarkEnd w:id="593"/>
      <w:bookmarkEnd w:id="594"/>
      <w:bookmarkEnd w:id="595"/>
      <w:bookmarkEnd w:id="596"/>
      <w:bookmarkEnd w:id="597"/>
    </w:p>
    <w:p>
      <w:pPr>
        <w:adjustRightInd w:val="0"/>
        <w:snapToGrid w:val="0"/>
        <w:spacing w:after="120" w:line="360" w:lineRule="auto"/>
        <w:ind w:firstLine="420"/>
        <w:rPr>
          <w:rFonts w:ascii="黑体" w:hAnsi="黑体" w:eastAsia="黑体" w:cs="黑体"/>
          <w:sz w:val="24"/>
          <w:szCs w:val="24"/>
        </w:rPr>
      </w:pPr>
      <w:r>
        <w:rPr>
          <w:sz w:val="24"/>
          <w:szCs w:val="24"/>
        </w:rPr>
        <w:t>1. 委</w:t>
      </w:r>
      <w:r>
        <w:rPr>
          <w:rFonts w:hint="eastAsia" w:ascii="宋体" w:hAnsi="宋体" w:cs="黑体"/>
          <w:sz w:val="24"/>
          <w:szCs w:val="24"/>
        </w:rPr>
        <w:t>托人代表：_</w:t>
      </w:r>
      <w:r>
        <w:rPr>
          <w:rFonts w:ascii="宋体" w:hAnsi="宋体" w:cs="黑体"/>
          <w:sz w:val="24"/>
          <w:szCs w:val="24"/>
        </w:rPr>
        <w:t>_________________</w:t>
      </w:r>
      <w:r>
        <w:rPr>
          <w:rFonts w:hint="eastAsia" w:ascii="宋体" w:hAnsi="宋体" w:cs="黑体"/>
          <w:sz w:val="24"/>
          <w:szCs w:val="24"/>
        </w:rPr>
        <w:t>，□身份证号：</w:t>
      </w:r>
      <w:r>
        <w:rPr>
          <w:rFonts w:ascii="宋体" w:hAnsi="宋体" w:cs="黑体"/>
          <w:sz w:val="24"/>
          <w:szCs w:val="24"/>
        </w:rPr>
        <w:t>__________________________</w:t>
      </w:r>
      <w:r>
        <w:rPr>
          <w:rFonts w:hint="eastAsia" w:ascii="宋体" w:hAnsi="宋体" w:cs="黑体"/>
          <w:sz w:val="24"/>
          <w:szCs w:val="24"/>
        </w:rPr>
        <w:t>，□其他证件号：</w:t>
      </w:r>
      <w:r>
        <w:rPr>
          <w:rFonts w:ascii="宋体" w:hAnsi="宋体" w:cs="黑体"/>
          <w:sz w:val="24"/>
          <w:szCs w:val="24"/>
        </w:rPr>
        <w:t>__________________________</w:t>
      </w:r>
      <w:r>
        <w:rPr>
          <w:rFonts w:hint="eastAsia" w:ascii="宋体" w:hAnsi="宋体" w:cs="黑体"/>
          <w:sz w:val="24"/>
          <w:szCs w:val="24"/>
        </w:rPr>
        <w:t>。</w:t>
      </w:r>
    </w:p>
    <w:p>
      <w:pPr>
        <w:adjustRightInd w:val="0"/>
        <w:snapToGrid w:val="0"/>
        <w:spacing w:after="120" w:line="360" w:lineRule="auto"/>
        <w:ind w:firstLine="420"/>
        <w:rPr>
          <w:rFonts w:cs="黑体"/>
          <w:sz w:val="24"/>
          <w:szCs w:val="21"/>
        </w:rPr>
      </w:pPr>
      <w:r>
        <w:rPr>
          <w:rFonts w:hint="eastAsia" w:cs="黑体"/>
          <w:sz w:val="24"/>
          <w:szCs w:val="21"/>
        </w:rPr>
        <w:t>2. 咨询项目总负责人：</w:t>
      </w:r>
      <w:r>
        <w:rPr>
          <w:rFonts w:ascii="宋体" w:hAnsi="宋体" w:cs="黑体"/>
          <w:sz w:val="24"/>
          <w:szCs w:val="24"/>
        </w:rPr>
        <w:t>_____________</w:t>
      </w:r>
      <w:r>
        <w:rPr>
          <w:rFonts w:hint="eastAsia" w:ascii="宋体" w:hAnsi="宋体" w:cs="黑体"/>
          <w:sz w:val="24"/>
          <w:szCs w:val="24"/>
        </w:rPr>
        <w:t>，□身份证号：</w:t>
      </w:r>
      <w:r>
        <w:rPr>
          <w:rFonts w:ascii="宋体" w:hAnsi="宋体" w:cs="黑体"/>
          <w:sz w:val="24"/>
          <w:szCs w:val="24"/>
        </w:rPr>
        <w:t>__________________________</w:t>
      </w:r>
      <w:r>
        <w:rPr>
          <w:rFonts w:hint="eastAsia" w:ascii="宋体" w:hAnsi="宋体" w:cs="黑体"/>
          <w:sz w:val="24"/>
          <w:szCs w:val="24"/>
        </w:rPr>
        <w:t>，□其他证件号：</w:t>
      </w:r>
      <w:r>
        <w:rPr>
          <w:rFonts w:ascii="宋体" w:hAnsi="宋体" w:cs="黑体"/>
          <w:sz w:val="24"/>
          <w:szCs w:val="24"/>
        </w:rPr>
        <w:t>__________________________</w:t>
      </w:r>
      <w:r>
        <w:rPr>
          <w:rFonts w:hint="eastAsia" w:cs="黑体"/>
          <w:sz w:val="24"/>
          <w:szCs w:val="21"/>
        </w:rPr>
        <w:t>。</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598" w:name="_Toc21713"/>
      <w:bookmarkStart w:id="599" w:name="_Toc184916605"/>
      <w:bookmarkStart w:id="600" w:name="_Toc27003"/>
      <w:bookmarkStart w:id="601" w:name="_Toc9696"/>
      <w:r>
        <w:rPr>
          <w:rFonts w:hint="eastAsia" w:ascii="宋体" w:hAnsi="宋体" w:cs="黑体"/>
          <w:b/>
          <w:sz w:val="24"/>
          <w:szCs w:val="24"/>
        </w:rPr>
        <w:t>四</w:t>
      </w:r>
      <w:r>
        <w:rPr>
          <w:rFonts w:ascii="宋体" w:hAnsi="宋体" w:cs="黑体"/>
          <w:b/>
          <w:sz w:val="24"/>
          <w:szCs w:val="24"/>
        </w:rPr>
        <w:t>、</w:t>
      </w:r>
      <w:r>
        <w:rPr>
          <w:rFonts w:hint="eastAsia" w:ascii="宋体" w:hAnsi="宋体" w:cs="黑体"/>
          <w:b/>
          <w:sz w:val="24"/>
          <w:szCs w:val="24"/>
        </w:rPr>
        <w:t>签约合同价</w:t>
      </w:r>
      <w:bookmarkEnd w:id="598"/>
      <w:bookmarkEnd w:id="599"/>
      <w:bookmarkEnd w:id="600"/>
      <w:bookmarkEnd w:id="601"/>
    </w:p>
    <w:p>
      <w:pPr>
        <w:numPr>
          <w:ilvl w:val="0"/>
          <w:numId w:val="3"/>
        </w:numPr>
        <w:adjustRightInd w:val="0"/>
        <w:snapToGrid w:val="0"/>
        <w:spacing w:after="120" w:line="360" w:lineRule="auto"/>
        <w:ind w:firstLine="480" w:firstLineChars="200"/>
        <w:rPr>
          <w:rFonts w:ascii="宋体" w:hAnsi="宋体"/>
          <w:sz w:val="24"/>
          <w:szCs w:val="24"/>
        </w:rPr>
      </w:pPr>
      <w:r>
        <w:rPr>
          <w:rFonts w:hint="eastAsia" w:ascii="宋体" w:hAnsi="宋体"/>
          <w:sz w:val="24"/>
          <w:szCs w:val="24"/>
        </w:rPr>
        <w:t>本项目工程建设全过程咨询服务签约合同价（含税）为：人民币（大写）</w:t>
      </w:r>
      <w:r>
        <w:rPr>
          <w:rFonts w:ascii="宋体" w:hAnsi="宋体"/>
          <w:sz w:val="24"/>
          <w:szCs w:val="24"/>
        </w:rPr>
        <w:t>_____________________________</w:t>
      </w:r>
      <w:r>
        <w:rPr>
          <w:rFonts w:hint="eastAsia" w:ascii="宋体" w:hAnsi="宋体"/>
          <w:sz w:val="24"/>
          <w:szCs w:val="24"/>
        </w:rPr>
        <w:t>（</w:t>
      </w:r>
      <w:r>
        <w:rPr>
          <w:rFonts w:ascii="宋体" w:hAnsi="宋体"/>
          <w:sz w:val="24"/>
          <w:szCs w:val="24"/>
        </w:rPr>
        <w:t>¥_______________</w:t>
      </w:r>
      <w:r>
        <w:rPr>
          <w:rFonts w:hint="eastAsia" w:ascii="宋体" w:hAnsi="宋体"/>
          <w:sz w:val="24"/>
          <w:szCs w:val="24"/>
        </w:rPr>
        <w:t>）元。</w:t>
      </w:r>
    </w:p>
    <w:p>
      <w:pPr>
        <w:numPr>
          <w:ilvl w:val="0"/>
          <w:numId w:val="3"/>
        </w:numPr>
        <w:adjustRightInd w:val="0"/>
        <w:snapToGrid w:val="0"/>
        <w:spacing w:after="120" w:line="360" w:lineRule="auto"/>
        <w:ind w:firstLine="480" w:firstLineChars="200"/>
        <w:rPr>
          <w:rFonts w:ascii="宋体" w:hAnsi="宋体"/>
          <w:sz w:val="24"/>
          <w:szCs w:val="24"/>
        </w:rPr>
      </w:pPr>
      <w:r>
        <w:rPr>
          <w:rFonts w:hint="eastAsia" w:ascii="宋体" w:hAnsi="宋体"/>
          <w:sz w:val="24"/>
          <w:szCs w:val="24"/>
        </w:rPr>
        <w:t>签约合同价</w:t>
      </w:r>
      <w:r>
        <w:rPr>
          <w:rFonts w:ascii="宋体" w:hAnsi="宋体"/>
          <w:sz w:val="24"/>
          <w:szCs w:val="24"/>
        </w:rPr>
        <w:t>具体构成</w:t>
      </w:r>
      <w:r>
        <w:rPr>
          <w:rFonts w:hint="eastAsia" w:ascii="宋体" w:hAnsi="宋体"/>
          <w:sz w:val="24"/>
          <w:szCs w:val="24"/>
        </w:rPr>
        <w:t>及合同价计取</w:t>
      </w:r>
      <w:r>
        <w:rPr>
          <w:rFonts w:ascii="宋体" w:hAnsi="宋体"/>
          <w:sz w:val="24"/>
          <w:szCs w:val="24"/>
        </w:rPr>
        <w:t>方式详见下表。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524"/>
        <w:gridCol w:w="1210"/>
        <w:gridCol w:w="1801"/>
        <w:gridCol w:w="799"/>
        <w:gridCol w:w="988"/>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8" w:type="pct"/>
            <w:vAlign w:val="center"/>
          </w:tcPr>
          <w:p>
            <w:pPr>
              <w:jc w:val="center"/>
              <w:rPr>
                <w:rFonts w:cs="黑体"/>
                <w:sz w:val="24"/>
                <w:szCs w:val="21"/>
              </w:rPr>
            </w:pPr>
            <w:r>
              <w:rPr>
                <w:rFonts w:hint="eastAsia" w:cs="黑体"/>
                <w:sz w:val="24"/>
                <w:szCs w:val="21"/>
              </w:rPr>
              <w:t>序号</w:t>
            </w:r>
          </w:p>
        </w:tc>
        <w:tc>
          <w:tcPr>
            <w:tcW w:w="841" w:type="pct"/>
            <w:vAlign w:val="center"/>
          </w:tcPr>
          <w:p>
            <w:pPr>
              <w:jc w:val="center"/>
              <w:rPr>
                <w:rFonts w:cs="黑体"/>
                <w:sz w:val="24"/>
                <w:szCs w:val="21"/>
              </w:rPr>
            </w:pPr>
            <w:r>
              <w:rPr>
                <w:rFonts w:hint="eastAsia" w:cs="黑体"/>
                <w:sz w:val="24"/>
                <w:szCs w:val="21"/>
              </w:rPr>
              <w:t>专项咨询服务内容</w:t>
            </w:r>
          </w:p>
        </w:tc>
        <w:tc>
          <w:tcPr>
            <w:tcW w:w="668" w:type="pct"/>
            <w:vAlign w:val="center"/>
          </w:tcPr>
          <w:p>
            <w:pPr>
              <w:jc w:val="center"/>
              <w:rPr>
                <w:rFonts w:cs="黑体"/>
                <w:sz w:val="24"/>
                <w:szCs w:val="21"/>
              </w:rPr>
            </w:pPr>
            <w:r>
              <w:rPr>
                <w:rFonts w:hint="eastAsia" w:cs="黑体"/>
                <w:sz w:val="24"/>
                <w:szCs w:val="21"/>
              </w:rPr>
              <w:t>签约合同价</w:t>
            </w:r>
            <w:r>
              <w:rPr>
                <w:rFonts w:cs="黑体"/>
                <w:sz w:val="24"/>
                <w:szCs w:val="21"/>
              </w:rPr>
              <w:t>（</w:t>
            </w:r>
            <w:r>
              <w:rPr>
                <w:rFonts w:hint="eastAsia" w:cs="黑体"/>
                <w:sz w:val="24"/>
                <w:szCs w:val="21"/>
              </w:rPr>
              <w:t>万元</w:t>
            </w:r>
            <w:r>
              <w:rPr>
                <w:rFonts w:cs="黑体"/>
                <w:sz w:val="24"/>
                <w:szCs w:val="21"/>
              </w:rPr>
              <w:t>）</w:t>
            </w:r>
          </w:p>
        </w:tc>
        <w:tc>
          <w:tcPr>
            <w:tcW w:w="994" w:type="pct"/>
          </w:tcPr>
          <w:p>
            <w:pPr>
              <w:jc w:val="center"/>
              <w:rPr>
                <w:rFonts w:cs="黑体"/>
                <w:sz w:val="24"/>
                <w:szCs w:val="21"/>
              </w:rPr>
            </w:pPr>
            <w:r>
              <w:rPr>
                <w:rFonts w:hint="eastAsia" w:cs="黑体"/>
                <w:sz w:val="24"/>
                <w:szCs w:val="21"/>
              </w:rPr>
              <w:t>合同价计取</w:t>
            </w:r>
            <w:r>
              <w:rPr>
                <w:rFonts w:cs="黑体"/>
                <w:sz w:val="24"/>
                <w:szCs w:val="21"/>
              </w:rPr>
              <w:t>方式</w:t>
            </w:r>
          </w:p>
        </w:tc>
        <w:tc>
          <w:tcPr>
            <w:tcW w:w="441" w:type="pct"/>
            <w:vAlign w:val="center"/>
          </w:tcPr>
          <w:p>
            <w:pPr>
              <w:jc w:val="center"/>
              <w:rPr>
                <w:rFonts w:cs="黑体"/>
                <w:sz w:val="24"/>
                <w:szCs w:val="21"/>
              </w:rPr>
            </w:pPr>
            <w:r>
              <w:rPr>
                <w:rFonts w:hint="eastAsia" w:cs="黑体"/>
                <w:sz w:val="24"/>
                <w:szCs w:val="21"/>
              </w:rPr>
              <w:t>税率</w:t>
            </w:r>
          </w:p>
        </w:tc>
        <w:tc>
          <w:tcPr>
            <w:tcW w:w="545" w:type="pct"/>
            <w:vAlign w:val="center"/>
          </w:tcPr>
          <w:p>
            <w:pPr>
              <w:jc w:val="center"/>
              <w:rPr>
                <w:rFonts w:cs="黑体"/>
                <w:sz w:val="24"/>
                <w:szCs w:val="21"/>
              </w:rPr>
            </w:pPr>
            <w:r>
              <w:rPr>
                <w:rFonts w:hint="eastAsia" w:cs="黑体"/>
                <w:sz w:val="24"/>
                <w:szCs w:val="21"/>
              </w:rPr>
              <w:t>税金</w:t>
            </w:r>
          </w:p>
          <w:p>
            <w:pPr>
              <w:jc w:val="center"/>
              <w:rPr>
                <w:rFonts w:cs="黑体"/>
                <w:sz w:val="24"/>
                <w:szCs w:val="21"/>
              </w:rPr>
            </w:pPr>
            <w:r>
              <w:rPr>
                <w:rFonts w:hint="eastAsia" w:cs="黑体"/>
                <w:sz w:val="24"/>
                <w:szCs w:val="21"/>
              </w:rPr>
              <w:t>（万元）</w:t>
            </w:r>
          </w:p>
        </w:tc>
        <w:tc>
          <w:tcPr>
            <w:tcW w:w="1044" w:type="pct"/>
            <w:vAlign w:val="center"/>
          </w:tcPr>
          <w:p>
            <w:pPr>
              <w:jc w:val="center"/>
              <w:rPr>
                <w:rFonts w:cs="黑体"/>
                <w:sz w:val="24"/>
                <w:szCs w:val="21"/>
              </w:rPr>
            </w:pPr>
            <w:r>
              <w:rPr>
                <w:rFonts w:hint="eastAsia" w:cs="黑体"/>
                <w:sz w:val="24"/>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8" w:type="pct"/>
            <w:vAlign w:val="center"/>
          </w:tcPr>
          <w:p>
            <w:pPr>
              <w:adjustRightInd w:val="0"/>
              <w:snapToGrid w:val="0"/>
              <w:jc w:val="center"/>
              <w:rPr>
                <w:rFonts w:cs="黑体"/>
                <w:sz w:val="24"/>
                <w:szCs w:val="21"/>
              </w:rPr>
            </w:pPr>
            <w:r>
              <w:rPr>
                <w:rFonts w:hint="eastAsia" w:cs="黑体"/>
                <w:sz w:val="24"/>
                <w:szCs w:val="21"/>
              </w:rPr>
              <w:t>1</w:t>
            </w:r>
          </w:p>
        </w:tc>
        <w:tc>
          <w:tcPr>
            <w:tcW w:w="841" w:type="pct"/>
            <w:vAlign w:val="center"/>
          </w:tcPr>
          <w:p>
            <w:pPr>
              <w:adjustRightInd w:val="0"/>
              <w:snapToGrid w:val="0"/>
              <w:spacing w:line="360" w:lineRule="auto"/>
              <w:rPr>
                <w:rFonts w:cs="黑体"/>
                <w:sz w:val="24"/>
                <w:szCs w:val="21"/>
              </w:rPr>
            </w:pPr>
            <w:r>
              <w:rPr>
                <w:rFonts w:hint="eastAsia" w:ascii="宋体" w:hAnsi="宋体"/>
                <w:sz w:val="24"/>
                <w:szCs w:val="24"/>
              </w:rPr>
              <w:t>勘察设计酬金</w:t>
            </w:r>
          </w:p>
        </w:tc>
        <w:tc>
          <w:tcPr>
            <w:tcW w:w="668" w:type="pct"/>
            <w:vAlign w:val="center"/>
          </w:tcPr>
          <w:p>
            <w:pPr>
              <w:adjustRightInd w:val="0"/>
              <w:snapToGrid w:val="0"/>
              <w:spacing w:line="360" w:lineRule="auto"/>
              <w:rPr>
                <w:rFonts w:cs="黑体"/>
                <w:sz w:val="24"/>
                <w:szCs w:val="21"/>
              </w:rPr>
            </w:pPr>
          </w:p>
        </w:tc>
        <w:tc>
          <w:tcPr>
            <w:tcW w:w="994" w:type="pct"/>
            <w:vAlign w:val="center"/>
          </w:tcPr>
          <w:p>
            <w:pPr>
              <w:adjustRightInd w:val="0"/>
              <w:snapToGrid w:val="0"/>
              <w:spacing w:line="360" w:lineRule="auto"/>
              <w:rPr>
                <w:rFonts w:cs="黑体"/>
                <w:sz w:val="24"/>
                <w:szCs w:val="21"/>
              </w:rPr>
            </w:pPr>
            <w:r>
              <w:rPr>
                <w:rFonts w:hint="eastAsia" w:ascii="宋体" w:hAnsi="宋体"/>
                <w:szCs w:val="21"/>
              </w:rPr>
              <w:t>计费基数为经审核后的施工图预算</w:t>
            </w:r>
          </w:p>
        </w:tc>
        <w:tc>
          <w:tcPr>
            <w:tcW w:w="441" w:type="pct"/>
          </w:tcPr>
          <w:p>
            <w:pPr>
              <w:adjustRightInd w:val="0"/>
              <w:snapToGrid w:val="0"/>
              <w:spacing w:line="360" w:lineRule="auto"/>
              <w:rPr>
                <w:rFonts w:cs="黑体"/>
                <w:sz w:val="24"/>
                <w:szCs w:val="21"/>
              </w:rPr>
            </w:pPr>
          </w:p>
        </w:tc>
        <w:tc>
          <w:tcPr>
            <w:tcW w:w="545" w:type="pct"/>
          </w:tcPr>
          <w:p>
            <w:pPr>
              <w:adjustRightInd w:val="0"/>
              <w:snapToGrid w:val="0"/>
              <w:spacing w:line="360" w:lineRule="auto"/>
              <w:rPr>
                <w:rFonts w:cs="黑体"/>
                <w:sz w:val="24"/>
                <w:szCs w:val="21"/>
              </w:rPr>
            </w:pPr>
          </w:p>
        </w:tc>
        <w:tc>
          <w:tcPr>
            <w:tcW w:w="1044" w:type="pct"/>
            <w:vAlign w:val="center"/>
          </w:tcPr>
          <w:p>
            <w:pPr>
              <w:adjustRightInd w:val="0"/>
              <w:snapToGrid w:val="0"/>
              <w:spacing w:line="360" w:lineRule="auto"/>
              <w:rPr>
                <w:rFonts w:ascii="宋体" w:hAnsi="宋体"/>
                <w:szCs w:val="21"/>
              </w:rPr>
            </w:pPr>
            <w:r>
              <w:rPr>
                <w:rFonts w:hint="eastAsia" w:ascii="宋体" w:hAnsi="宋体"/>
                <w:szCs w:val="21"/>
              </w:rPr>
              <w:t>收费标准：参照原</w:t>
            </w:r>
            <w:r>
              <w:rPr>
                <w:rFonts w:ascii="宋体" w:hAnsi="宋体"/>
                <w:szCs w:val="21"/>
              </w:rPr>
              <w:t>国家计委、建设部《工程勘察设计收费管理规定》</w:t>
            </w:r>
            <w:r>
              <w:rPr>
                <w:rFonts w:hint="eastAsia" w:ascii="宋体" w:hAnsi="宋体"/>
                <w:szCs w:val="21"/>
              </w:rPr>
              <w:t>（计价格[2002</w:t>
            </w:r>
            <w:r>
              <w:rPr>
                <w:rFonts w:ascii="宋体" w:hAnsi="宋体"/>
                <w:szCs w:val="21"/>
              </w:rPr>
              <w:t>]</w:t>
            </w:r>
            <w:r>
              <w:rPr>
                <w:rFonts w:hint="eastAsia" w:ascii="宋体" w:hAnsi="宋体"/>
                <w:szCs w:val="21"/>
              </w:rPr>
              <w:t>10号），施工图预算乘以费率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8" w:type="pct"/>
            <w:vAlign w:val="center"/>
          </w:tcPr>
          <w:p>
            <w:pPr>
              <w:adjustRightInd w:val="0"/>
              <w:snapToGrid w:val="0"/>
              <w:jc w:val="center"/>
              <w:rPr>
                <w:rFonts w:cs="黑体"/>
                <w:sz w:val="24"/>
                <w:szCs w:val="21"/>
              </w:rPr>
            </w:pPr>
            <w:r>
              <w:rPr>
                <w:rFonts w:hint="eastAsia" w:cs="黑体"/>
                <w:sz w:val="24"/>
                <w:szCs w:val="21"/>
              </w:rPr>
              <w:t>2</w:t>
            </w:r>
          </w:p>
        </w:tc>
        <w:tc>
          <w:tcPr>
            <w:tcW w:w="841" w:type="pct"/>
            <w:vAlign w:val="center"/>
          </w:tcPr>
          <w:p>
            <w:pPr>
              <w:adjustRightInd w:val="0"/>
              <w:snapToGrid w:val="0"/>
              <w:spacing w:line="360" w:lineRule="auto"/>
              <w:rPr>
                <w:rFonts w:cs="黑体"/>
                <w:sz w:val="24"/>
                <w:szCs w:val="21"/>
              </w:rPr>
            </w:pPr>
            <w:r>
              <w:rPr>
                <w:rFonts w:hint="eastAsia" w:ascii="宋体" w:hAnsi="宋体"/>
                <w:sz w:val="24"/>
                <w:szCs w:val="24"/>
              </w:rPr>
              <w:t>工程监理酬金</w:t>
            </w:r>
          </w:p>
        </w:tc>
        <w:tc>
          <w:tcPr>
            <w:tcW w:w="668" w:type="pct"/>
            <w:vAlign w:val="center"/>
          </w:tcPr>
          <w:p>
            <w:pPr>
              <w:adjustRightInd w:val="0"/>
              <w:snapToGrid w:val="0"/>
              <w:spacing w:line="360" w:lineRule="auto"/>
              <w:rPr>
                <w:rFonts w:cs="黑体"/>
                <w:sz w:val="24"/>
                <w:szCs w:val="21"/>
              </w:rPr>
            </w:pPr>
          </w:p>
        </w:tc>
        <w:tc>
          <w:tcPr>
            <w:tcW w:w="994" w:type="pct"/>
            <w:vAlign w:val="center"/>
          </w:tcPr>
          <w:p>
            <w:pPr>
              <w:adjustRightInd w:val="0"/>
              <w:snapToGrid w:val="0"/>
              <w:spacing w:line="360" w:lineRule="auto"/>
              <w:rPr>
                <w:rFonts w:cs="黑体"/>
                <w:sz w:val="24"/>
                <w:szCs w:val="21"/>
              </w:rPr>
            </w:pPr>
            <w:r>
              <w:rPr>
                <w:rFonts w:hint="eastAsia" w:ascii="宋体" w:hAnsi="宋体"/>
                <w:szCs w:val="21"/>
              </w:rPr>
              <w:t>计费基数为经审核后的施工图预算</w:t>
            </w:r>
          </w:p>
        </w:tc>
        <w:tc>
          <w:tcPr>
            <w:tcW w:w="441" w:type="pct"/>
          </w:tcPr>
          <w:p>
            <w:pPr>
              <w:adjustRightInd w:val="0"/>
              <w:snapToGrid w:val="0"/>
              <w:spacing w:line="360" w:lineRule="auto"/>
              <w:rPr>
                <w:rFonts w:cs="黑体"/>
                <w:sz w:val="24"/>
                <w:szCs w:val="21"/>
              </w:rPr>
            </w:pPr>
          </w:p>
        </w:tc>
        <w:tc>
          <w:tcPr>
            <w:tcW w:w="545" w:type="pct"/>
          </w:tcPr>
          <w:p>
            <w:pPr>
              <w:adjustRightInd w:val="0"/>
              <w:snapToGrid w:val="0"/>
              <w:spacing w:line="360" w:lineRule="auto"/>
              <w:rPr>
                <w:rFonts w:cs="黑体"/>
                <w:sz w:val="24"/>
                <w:szCs w:val="21"/>
              </w:rPr>
            </w:pPr>
          </w:p>
        </w:tc>
        <w:tc>
          <w:tcPr>
            <w:tcW w:w="1044" w:type="pct"/>
            <w:vAlign w:val="center"/>
          </w:tcPr>
          <w:p>
            <w:pPr>
              <w:adjustRightInd w:val="0"/>
              <w:snapToGrid w:val="0"/>
              <w:spacing w:line="360" w:lineRule="auto"/>
              <w:rPr>
                <w:rFonts w:ascii="宋体" w:hAnsi="宋体"/>
                <w:szCs w:val="21"/>
              </w:rPr>
            </w:pPr>
            <w:r>
              <w:rPr>
                <w:rFonts w:hint="eastAsia" w:ascii="宋体" w:hAnsi="宋体"/>
                <w:szCs w:val="21"/>
              </w:rPr>
              <w:t>收费标准：参照原国家发展改革委、建设部《建设工程监理与相关服务收费管理规定》（发改价格[2007]670号文），施工图预算乘以费率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8" w:type="pct"/>
            <w:vAlign w:val="center"/>
          </w:tcPr>
          <w:p>
            <w:pPr>
              <w:adjustRightInd w:val="0"/>
              <w:snapToGrid w:val="0"/>
              <w:jc w:val="center"/>
              <w:rPr>
                <w:rFonts w:cs="黑体"/>
                <w:sz w:val="24"/>
                <w:szCs w:val="21"/>
              </w:rPr>
            </w:pPr>
            <w:r>
              <w:rPr>
                <w:rFonts w:hint="eastAsia" w:cs="黑体"/>
                <w:sz w:val="24"/>
                <w:szCs w:val="21"/>
              </w:rPr>
              <w:t>3</w:t>
            </w:r>
          </w:p>
        </w:tc>
        <w:tc>
          <w:tcPr>
            <w:tcW w:w="841" w:type="pct"/>
            <w:vAlign w:val="center"/>
          </w:tcPr>
          <w:p>
            <w:pPr>
              <w:adjustRightInd w:val="0"/>
              <w:snapToGrid w:val="0"/>
              <w:spacing w:line="360" w:lineRule="auto"/>
              <w:rPr>
                <w:rFonts w:cs="黑体"/>
                <w:sz w:val="24"/>
                <w:szCs w:val="21"/>
              </w:rPr>
            </w:pPr>
            <w:r>
              <w:rPr>
                <w:rFonts w:hint="eastAsia" w:ascii="宋体" w:hAnsi="宋体"/>
                <w:sz w:val="24"/>
                <w:szCs w:val="24"/>
              </w:rPr>
              <w:t>造价咨询酬金</w:t>
            </w:r>
          </w:p>
        </w:tc>
        <w:tc>
          <w:tcPr>
            <w:tcW w:w="668" w:type="pct"/>
            <w:vAlign w:val="center"/>
          </w:tcPr>
          <w:p>
            <w:pPr>
              <w:adjustRightInd w:val="0"/>
              <w:snapToGrid w:val="0"/>
              <w:spacing w:line="360" w:lineRule="auto"/>
              <w:rPr>
                <w:rFonts w:cs="黑体"/>
                <w:sz w:val="24"/>
                <w:szCs w:val="21"/>
              </w:rPr>
            </w:pPr>
          </w:p>
        </w:tc>
        <w:tc>
          <w:tcPr>
            <w:tcW w:w="994" w:type="pct"/>
            <w:vAlign w:val="center"/>
          </w:tcPr>
          <w:p>
            <w:pPr>
              <w:adjustRightInd w:val="0"/>
              <w:snapToGrid w:val="0"/>
              <w:spacing w:line="360" w:lineRule="auto"/>
              <w:rPr>
                <w:rFonts w:cs="黑体"/>
                <w:sz w:val="24"/>
                <w:szCs w:val="21"/>
              </w:rPr>
            </w:pPr>
            <w:r>
              <w:rPr>
                <w:rFonts w:hint="eastAsia" w:ascii="宋体" w:hAnsi="宋体"/>
                <w:szCs w:val="21"/>
              </w:rPr>
              <w:t>计费基数为经审核后的施工图预算</w:t>
            </w:r>
          </w:p>
        </w:tc>
        <w:tc>
          <w:tcPr>
            <w:tcW w:w="441" w:type="pct"/>
          </w:tcPr>
          <w:p>
            <w:pPr>
              <w:adjustRightInd w:val="0"/>
              <w:snapToGrid w:val="0"/>
              <w:spacing w:line="360" w:lineRule="auto"/>
              <w:rPr>
                <w:rFonts w:cs="黑体"/>
                <w:sz w:val="24"/>
                <w:szCs w:val="21"/>
              </w:rPr>
            </w:pPr>
          </w:p>
        </w:tc>
        <w:tc>
          <w:tcPr>
            <w:tcW w:w="545" w:type="pct"/>
          </w:tcPr>
          <w:p>
            <w:pPr>
              <w:adjustRightInd w:val="0"/>
              <w:snapToGrid w:val="0"/>
              <w:spacing w:line="360" w:lineRule="auto"/>
              <w:rPr>
                <w:rFonts w:cs="黑体"/>
                <w:sz w:val="24"/>
                <w:szCs w:val="21"/>
              </w:rPr>
            </w:pPr>
          </w:p>
        </w:tc>
        <w:tc>
          <w:tcPr>
            <w:tcW w:w="1044" w:type="pct"/>
            <w:vAlign w:val="center"/>
          </w:tcPr>
          <w:p>
            <w:pPr>
              <w:adjustRightInd w:val="0"/>
              <w:snapToGrid w:val="0"/>
              <w:spacing w:line="360" w:lineRule="auto"/>
              <w:rPr>
                <w:rFonts w:ascii="宋体" w:hAnsi="宋体"/>
                <w:szCs w:val="21"/>
              </w:rPr>
            </w:pPr>
            <w:r>
              <w:rPr>
                <w:rFonts w:hint="eastAsia" w:ascii="宋体" w:hAnsi="宋体"/>
                <w:szCs w:val="21"/>
              </w:rPr>
              <w:t>收费标准：参照原安徽省物价局、建设厅《关于重新制定工程造价咨询服务收费项目及标准的通知》（皖价服[2007]86号文），施工图预算乘以费率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8" w:type="pct"/>
            <w:vAlign w:val="center"/>
          </w:tcPr>
          <w:p>
            <w:pPr>
              <w:adjustRightInd w:val="0"/>
              <w:snapToGrid w:val="0"/>
              <w:jc w:val="center"/>
              <w:rPr>
                <w:rFonts w:cs="黑体"/>
                <w:sz w:val="24"/>
                <w:szCs w:val="21"/>
              </w:rPr>
            </w:pPr>
            <w:r>
              <w:rPr>
                <w:rFonts w:hint="eastAsia" w:cs="黑体"/>
                <w:sz w:val="24"/>
                <w:szCs w:val="21"/>
              </w:rPr>
              <w:t>……</w:t>
            </w:r>
          </w:p>
        </w:tc>
        <w:tc>
          <w:tcPr>
            <w:tcW w:w="841" w:type="pct"/>
            <w:vAlign w:val="center"/>
          </w:tcPr>
          <w:p>
            <w:pPr>
              <w:adjustRightInd w:val="0"/>
              <w:snapToGrid w:val="0"/>
              <w:spacing w:line="360" w:lineRule="auto"/>
              <w:rPr>
                <w:rFonts w:cs="黑体"/>
                <w:sz w:val="24"/>
                <w:szCs w:val="21"/>
              </w:rPr>
            </w:pPr>
          </w:p>
        </w:tc>
        <w:tc>
          <w:tcPr>
            <w:tcW w:w="668" w:type="pct"/>
            <w:vAlign w:val="center"/>
          </w:tcPr>
          <w:p>
            <w:pPr>
              <w:adjustRightInd w:val="0"/>
              <w:snapToGrid w:val="0"/>
              <w:spacing w:line="360" w:lineRule="auto"/>
              <w:rPr>
                <w:rFonts w:cs="黑体"/>
                <w:sz w:val="24"/>
                <w:szCs w:val="21"/>
              </w:rPr>
            </w:pPr>
          </w:p>
        </w:tc>
        <w:tc>
          <w:tcPr>
            <w:tcW w:w="994" w:type="pct"/>
          </w:tcPr>
          <w:p>
            <w:pPr>
              <w:adjustRightInd w:val="0"/>
              <w:snapToGrid w:val="0"/>
              <w:spacing w:line="360" w:lineRule="auto"/>
              <w:rPr>
                <w:rFonts w:cs="黑体"/>
                <w:sz w:val="24"/>
                <w:szCs w:val="21"/>
              </w:rPr>
            </w:pPr>
          </w:p>
        </w:tc>
        <w:tc>
          <w:tcPr>
            <w:tcW w:w="441" w:type="pct"/>
          </w:tcPr>
          <w:p>
            <w:pPr>
              <w:adjustRightInd w:val="0"/>
              <w:snapToGrid w:val="0"/>
              <w:spacing w:line="360" w:lineRule="auto"/>
              <w:rPr>
                <w:rFonts w:cs="黑体"/>
                <w:sz w:val="24"/>
                <w:szCs w:val="21"/>
              </w:rPr>
            </w:pPr>
          </w:p>
        </w:tc>
        <w:tc>
          <w:tcPr>
            <w:tcW w:w="545" w:type="pct"/>
          </w:tcPr>
          <w:p>
            <w:pPr>
              <w:adjustRightInd w:val="0"/>
              <w:snapToGrid w:val="0"/>
              <w:spacing w:line="360" w:lineRule="auto"/>
              <w:rPr>
                <w:rFonts w:cs="黑体"/>
                <w:sz w:val="24"/>
                <w:szCs w:val="21"/>
              </w:rPr>
            </w:pPr>
          </w:p>
        </w:tc>
        <w:tc>
          <w:tcPr>
            <w:tcW w:w="1044" w:type="pct"/>
          </w:tcPr>
          <w:p>
            <w:pPr>
              <w:adjustRightInd w:val="0"/>
              <w:snapToGrid w:val="0"/>
              <w:spacing w:line="360" w:lineRule="auto"/>
              <w:rPr>
                <w:rFonts w:cs="黑体"/>
                <w:sz w:val="24"/>
                <w:szCs w:val="21"/>
              </w:rPr>
            </w:pPr>
          </w:p>
        </w:tc>
      </w:tr>
    </w:tbl>
    <w:p>
      <w:pPr>
        <w:spacing w:after="120"/>
        <w:rPr>
          <w:rFonts w:cs="宋体"/>
          <w:sz w:val="24"/>
          <w:szCs w:val="24"/>
          <w:shd w:val="clear" w:color="auto" w:fill="FFFFFF"/>
        </w:rPr>
      </w:pPr>
      <w:bookmarkStart w:id="602" w:name="_Toc9056"/>
      <w:bookmarkStart w:id="603" w:name="_Toc1629387647"/>
      <w:bookmarkStart w:id="604" w:name="_Toc18155960"/>
      <w:bookmarkStart w:id="605" w:name="_Toc56155173"/>
      <w:r>
        <w:rPr>
          <w:rFonts w:hint="eastAsia" w:cs="宋体"/>
          <w:sz w:val="24"/>
          <w:szCs w:val="24"/>
          <w:shd w:val="clear" w:color="auto" w:fill="FFFFFF"/>
        </w:rPr>
        <w:t>上述费用已包含国家规定的增值税税金。</w:t>
      </w:r>
    </w:p>
    <w:p>
      <w:pPr>
        <w:adjustRightInd w:val="0"/>
        <w:snapToGrid w:val="0"/>
        <w:spacing w:after="120" w:line="360" w:lineRule="auto"/>
        <w:ind w:firstLine="480" w:firstLineChars="200"/>
        <w:rPr>
          <w:sz w:val="24"/>
          <w:szCs w:val="24"/>
        </w:rPr>
      </w:pPr>
      <w:r>
        <w:rPr>
          <w:rFonts w:hint="eastAsia"/>
          <w:sz w:val="24"/>
          <w:szCs w:val="24"/>
        </w:rPr>
        <w:t>全过程工程咨询服务费总额=勘察设计单项服务费+工程监理单项服务费+造价咨询单项服务费</w:t>
      </w:r>
    </w:p>
    <w:p>
      <w:pPr>
        <w:adjustRightInd w:val="0"/>
        <w:snapToGrid w:val="0"/>
        <w:spacing w:after="120" w:line="360" w:lineRule="auto"/>
        <w:ind w:firstLine="480" w:firstLineChars="200"/>
        <w:rPr>
          <w:rFonts w:ascii="宋体" w:hAnsi="宋体"/>
          <w:sz w:val="24"/>
          <w:szCs w:val="24"/>
          <w:highlight w:val="none"/>
        </w:rPr>
      </w:pPr>
      <w:r>
        <w:rPr>
          <w:rFonts w:hint="eastAsia" w:ascii="宋体" w:hAnsi="宋体"/>
          <w:sz w:val="24"/>
          <w:szCs w:val="24"/>
          <w:highlight w:val="none"/>
        </w:rPr>
        <w:t>付款方式：</w:t>
      </w:r>
      <w:r>
        <w:rPr>
          <w:rFonts w:hint="eastAsia" w:ascii="宋体" w:hAnsi="宋体"/>
          <w:sz w:val="24"/>
          <w:szCs w:val="24"/>
          <w:highlight w:val="none"/>
          <w:lang w:eastAsia="zh-CN"/>
        </w:rPr>
        <w:t>完成勘察设计工作及图审合格，完成工程量清单和招标控制价编制经委托人确认后，支付至</w:t>
      </w:r>
      <w:r>
        <w:rPr>
          <w:rFonts w:hint="eastAsia" w:ascii="宋体" w:hAnsi="宋体"/>
          <w:sz w:val="24"/>
          <w:szCs w:val="24"/>
          <w:highlight w:val="none"/>
          <w:lang w:val="en-US" w:eastAsia="zh-CN"/>
        </w:rPr>
        <w:t>50%的合同价款；项目开工后30天内，委托人支付至60%的合同价款；工程整体竣工验收合格，按监理规范提交完整的监理内业资料后，委托人30天内支付至80%的合同价款；工程完成结算审核和决算编报，并按相关规定要求归档完成后，委托人30天内一次性结清余款</w:t>
      </w:r>
      <w:r>
        <w:rPr>
          <w:rFonts w:hint="eastAsia" w:ascii="宋体" w:hAnsi="宋体"/>
          <w:sz w:val="24"/>
          <w:szCs w:val="24"/>
          <w:highlight w:val="none"/>
        </w:rPr>
        <w:t>。</w:t>
      </w:r>
    </w:p>
    <w:p>
      <w:pPr>
        <w:adjustRightInd w:val="0"/>
        <w:snapToGrid w:val="0"/>
        <w:spacing w:after="120" w:line="360" w:lineRule="auto"/>
        <w:ind w:firstLine="480" w:firstLineChars="200"/>
        <w:rPr>
          <w:rFonts w:ascii="宋体" w:hAnsi="宋体"/>
          <w:sz w:val="24"/>
          <w:szCs w:val="24"/>
          <w:highlight w:val="none"/>
        </w:rPr>
      </w:pPr>
      <w:r>
        <w:rPr>
          <w:rFonts w:hint="eastAsia" w:ascii="宋体" w:hAnsi="宋体"/>
          <w:sz w:val="24"/>
          <w:szCs w:val="24"/>
          <w:highlight w:val="none"/>
        </w:rPr>
        <w:t>以上的单项服务费用据实结算，计算方法为实际计费基数×报价费率。</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606" w:name="_Toc985"/>
      <w:bookmarkStart w:id="607" w:name="_Toc12630"/>
      <w:bookmarkStart w:id="608" w:name="_Toc184916606"/>
      <w:bookmarkStart w:id="609" w:name="_Toc21039"/>
      <w:r>
        <w:rPr>
          <w:rFonts w:hint="eastAsia" w:ascii="宋体" w:hAnsi="宋体" w:cs="黑体"/>
          <w:b/>
          <w:sz w:val="24"/>
          <w:szCs w:val="24"/>
        </w:rPr>
        <w:t>五</w:t>
      </w:r>
      <w:r>
        <w:rPr>
          <w:rFonts w:ascii="宋体" w:hAnsi="宋体" w:cs="黑体"/>
          <w:b/>
          <w:sz w:val="24"/>
          <w:szCs w:val="24"/>
        </w:rPr>
        <w:t>、服务期限</w:t>
      </w:r>
      <w:bookmarkEnd w:id="602"/>
      <w:bookmarkEnd w:id="603"/>
      <w:bookmarkEnd w:id="604"/>
      <w:bookmarkEnd w:id="605"/>
      <w:bookmarkEnd w:id="606"/>
      <w:bookmarkEnd w:id="607"/>
      <w:bookmarkEnd w:id="608"/>
      <w:bookmarkEnd w:id="609"/>
    </w:p>
    <w:p>
      <w:pPr>
        <w:spacing w:after="120"/>
        <w:rPr>
          <w:sz w:val="24"/>
          <w:szCs w:val="24"/>
        </w:rPr>
      </w:pPr>
      <w:r>
        <w:rPr>
          <w:rFonts w:hint="eastAsia"/>
          <w:sz w:val="24"/>
          <w:szCs w:val="24"/>
        </w:rPr>
        <w:t>本项目工程建设全过程咨询服务期限计划自_</w:t>
      </w:r>
      <w:r>
        <w:rPr>
          <w:sz w:val="24"/>
          <w:szCs w:val="24"/>
        </w:rPr>
        <w:t>____</w:t>
      </w:r>
      <w:r>
        <w:rPr>
          <w:rFonts w:hint="eastAsia"/>
          <w:sz w:val="24"/>
          <w:szCs w:val="24"/>
        </w:rPr>
        <w:t>年</w:t>
      </w:r>
      <w:r>
        <w:rPr>
          <w:sz w:val="24"/>
          <w:szCs w:val="24"/>
        </w:rPr>
        <w:t>____</w:t>
      </w:r>
      <w:r>
        <w:rPr>
          <w:rFonts w:hint="eastAsia"/>
          <w:sz w:val="24"/>
          <w:szCs w:val="24"/>
        </w:rPr>
        <w:t>月</w:t>
      </w:r>
      <w:r>
        <w:rPr>
          <w:sz w:val="24"/>
          <w:szCs w:val="24"/>
        </w:rPr>
        <w:t>____</w:t>
      </w:r>
      <w:r>
        <w:rPr>
          <w:rFonts w:hint="eastAsia"/>
          <w:sz w:val="24"/>
          <w:szCs w:val="24"/>
        </w:rPr>
        <w:t>日至_</w:t>
      </w:r>
      <w:r>
        <w:rPr>
          <w:sz w:val="24"/>
          <w:szCs w:val="24"/>
        </w:rPr>
        <w:t>____</w:t>
      </w:r>
      <w:r>
        <w:rPr>
          <w:rFonts w:hint="eastAsia"/>
          <w:sz w:val="24"/>
          <w:szCs w:val="24"/>
        </w:rPr>
        <w:t>年</w:t>
      </w:r>
      <w:r>
        <w:rPr>
          <w:sz w:val="24"/>
          <w:szCs w:val="24"/>
        </w:rPr>
        <w:t>____</w:t>
      </w:r>
      <w:r>
        <w:rPr>
          <w:rFonts w:hint="eastAsia"/>
          <w:sz w:val="24"/>
          <w:szCs w:val="24"/>
        </w:rPr>
        <w:t>月</w:t>
      </w:r>
      <w:r>
        <w:rPr>
          <w:sz w:val="24"/>
          <w:szCs w:val="24"/>
        </w:rPr>
        <w:t>____</w:t>
      </w:r>
      <w:r>
        <w:rPr>
          <w:rFonts w:hint="eastAsia"/>
          <w:sz w:val="24"/>
          <w:szCs w:val="24"/>
        </w:rPr>
        <w:t>日止，共计</w:t>
      </w:r>
      <w:r>
        <w:rPr>
          <w:sz w:val="24"/>
          <w:szCs w:val="24"/>
        </w:rPr>
        <w:t>______</w:t>
      </w:r>
      <w:r>
        <w:rPr>
          <w:rFonts w:hint="eastAsia"/>
          <w:sz w:val="24"/>
          <w:szCs w:val="24"/>
        </w:rPr>
        <w:t>天。</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610" w:name="_Toc26405"/>
      <w:bookmarkStart w:id="611" w:name="_Ref13590530"/>
      <w:bookmarkStart w:id="612" w:name="_Toc56155174"/>
      <w:bookmarkStart w:id="613" w:name="_Toc1835048599"/>
      <w:bookmarkStart w:id="614" w:name="_Ref14039879"/>
      <w:bookmarkStart w:id="615" w:name="_Toc18155961"/>
      <w:bookmarkStart w:id="616" w:name="_Toc19508"/>
      <w:bookmarkStart w:id="617" w:name="_Toc184916607"/>
      <w:bookmarkStart w:id="618" w:name="_Toc1218"/>
      <w:bookmarkStart w:id="619" w:name="_Toc15534"/>
      <w:r>
        <w:rPr>
          <w:rFonts w:hint="eastAsia" w:ascii="宋体" w:hAnsi="宋体" w:cs="黑体"/>
          <w:b/>
          <w:sz w:val="24"/>
          <w:szCs w:val="24"/>
        </w:rPr>
        <w:t>六</w:t>
      </w:r>
      <w:r>
        <w:rPr>
          <w:rFonts w:ascii="宋体" w:hAnsi="宋体" w:cs="黑体"/>
          <w:b/>
          <w:sz w:val="24"/>
          <w:szCs w:val="24"/>
        </w:rPr>
        <w:t>、</w:t>
      </w:r>
      <w:r>
        <w:rPr>
          <w:rFonts w:hint="eastAsia" w:ascii="宋体" w:hAnsi="宋体" w:cs="黑体"/>
          <w:b/>
          <w:sz w:val="24"/>
          <w:szCs w:val="24"/>
        </w:rPr>
        <w:t>合同文件</w:t>
      </w:r>
      <w:bookmarkEnd w:id="610"/>
      <w:bookmarkEnd w:id="611"/>
      <w:bookmarkEnd w:id="612"/>
      <w:bookmarkEnd w:id="613"/>
      <w:bookmarkEnd w:id="614"/>
      <w:bookmarkEnd w:id="615"/>
      <w:r>
        <w:rPr>
          <w:rFonts w:hint="eastAsia" w:ascii="宋体" w:hAnsi="宋体" w:cs="黑体"/>
          <w:b/>
          <w:sz w:val="24"/>
          <w:szCs w:val="24"/>
        </w:rPr>
        <w:t>构成</w:t>
      </w:r>
      <w:bookmarkEnd w:id="616"/>
      <w:bookmarkEnd w:id="617"/>
      <w:bookmarkEnd w:id="618"/>
      <w:bookmarkEnd w:id="619"/>
    </w:p>
    <w:p>
      <w:pPr>
        <w:spacing w:after="120"/>
        <w:rPr>
          <w:sz w:val="24"/>
          <w:szCs w:val="24"/>
        </w:rPr>
      </w:pPr>
      <w:r>
        <w:rPr>
          <w:rFonts w:hint="eastAsia"/>
          <w:sz w:val="24"/>
          <w:szCs w:val="24"/>
        </w:rPr>
        <w:t>构成本合同的</w:t>
      </w:r>
      <w:r>
        <w:rPr>
          <w:sz w:val="24"/>
          <w:szCs w:val="24"/>
        </w:rPr>
        <w:t>文件</w:t>
      </w:r>
      <w:r>
        <w:rPr>
          <w:rFonts w:hint="eastAsia"/>
          <w:sz w:val="24"/>
          <w:szCs w:val="24"/>
        </w:rPr>
        <w:t>包括</w:t>
      </w:r>
      <w:r>
        <w:rPr>
          <w:sz w:val="24"/>
          <w:szCs w:val="24"/>
        </w:rPr>
        <w:t>：</w:t>
      </w:r>
    </w:p>
    <w:p>
      <w:pPr>
        <w:numPr>
          <w:ilvl w:val="0"/>
          <w:numId w:val="4"/>
        </w:numPr>
        <w:adjustRightInd w:val="0"/>
        <w:snapToGrid w:val="0"/>
        <w:spacing w:after="120" w:line="360" w:lineRule="auto"/>
        <w:ind w:firstLine="480" w:firstLineChars="200"/>
        <w:rPr>
          <w:sz w:val="24"/>
          <w:szCs w:val="24"/>
        </w:rPr>
      </w:pPr>
      <w:r>
        <w:rPr>
          <w:sz w:val="24"/>
          <w:szCs w:val="24"/>
        </w:rPr>
        <w:t>本</w:t>
      </w:r>
      <w:r>
        <w:rPr>
          <w:rFonts w:hint="eastAsia"/>
          <w:sz w:val="24"/>
          <w:szCs w:val="24"/>
        </w:rPr>
        <w:t>合同</w:t>
      </w:r>
      <w:r>
        <w:rPr>
          <w:sz w:val="24"/>
          <w:szCs w:val="24"/>
        </w:rPr>
        <w:t>协议书；</w:t>
      </w:r>
    </w:p>
    <w:p>
      <w:pPr>
        <w:numPr>
          <w:ilvl w:val="0"/>
          <w:numId w:val="4"/>
        </w:numPr>
        <w:adjustRightInd w:val="0"/>
        <w:snapToGrid w:val="0"/>
        <w:spacing w:after="120" w:line="360" w:lineRule="auto"/>
        <w:ind w:firstLine="480" w:firstLineChars="200"/>
        <w:rPr>
          <w:sz w:val="24"/>
          <w:szCs w:val="24"/>
        </w:rPr>
      </w:pPr>
      <w:r>
        <w:rPr>
          <w:rFonts w:hint="eastAsia"/>
          <w:sz w:val="24"/>
          <w:szCs w:val="24"/>
        </w:rPr>
        <w:t>招标文件（如有）；</w:t>
      </w:r>
    </w:p>
    <w:p>
      <w:pPr>
        <w:numPr>
          <w:ilvl w:val="0"/>
          <w:numId w:val="4"/>
        </w:numPr>
        <w:adjustRightInd w:val="0"/>
        <w:snapToGrid w:val="0"/>
        <w:spacing w:after="120" w:line="360" w:lineRule="auto"/>
        <w:ind w:firstLine="480" w:firstLineChars="200"/>
        <w:rPr>
          <w:sz w:val="24"/>
          <w:szCs w:val="24"/>
        </w:rPr>
      </w:pPr>
      <w:r>
        <w:rPr>
          <w:sz w:val="24"/>
          <w:szCs w:val="24"/>
        </w:rPr>
        <w:t>中标通知书（如有）；</w:t>
      </w:r>
    </w:p>
    <w:p>
      <w:pPr>
        <w:numPr>
          <w:ilvl w:val="0"/>
          <w:numId w:val="4"/>
        </w:numPr>
        <w:adjustRightInd w:val="0"/>
        <w:snapToGrid w:val="0"/>
        <w:spacing w:after="120" w:line="360" w:lineRule="auto"/>
        <w:ind w:firstLine="480" w:firstLineChars="200"/>
        <w:rPr>
          <w:sz w:val="24"/>
          <w:szCs w:val="24"/>
        </w:rPr>
      </w:pPr>
      <w:r>
        <w:rPr>
          <w:sz w:val="24"/>
          <w:szCs w:val="24"/>
        </w:rPr>
        <w:t>投标函及其附录（如有）；</w:t>
      </w:r>
    </w:p>
    <w:p>
      <w:pPr>
        <w:numPr>
          <w:ilvl w:val="0"/>
          <w:numId w:val="4"/>
        </w:numPr>
        <w:adjustRightInd w:val="0"/>
        <w:snapToGrid w:val="0"/>
        <w:spacing w:after="120" w:line="360" w:lineRule="auto"/>
        <w:ind w:firstLine="480" w:firstLineChars="200"/>
        <w:rPr>
          <w:sz w:val="24"/>
          <w:szCs w:val="24"/>
        </w:rPr>
      </w:pPr>
      <w:r>
        <w:rPr>
          <w:sz w:val="24"/>
          <w:szCs w:val="24"/>
        </w:rPr>
        <w:t>专用合同条款及附件；</w:t>
      </w:r>
    </w:p>
    <w:p>
      <w:pPr>
        <w:numPr>
          <w:ilvl w:val="0"/>
          <w:numId w:val="4"/>
        </w:numPr>
        <w:adjustRightInd w:val="0"/>
        <w:snapToGrid w:val="0"/>
        <w:spacing w:after="120" w:line="360" w:lineRule="auto"/>
        <w:ind w:firstLine="480" w:firstLineChars="200"/>
        <w:rPr>
          <w:sz w:val="24"/>
          <w:szCs w:val="24"/>
        </w:rPr>
      </w:pPr>
      <w:r>
        <w:rPr>
          <w:sz w:val="24"/>
          <w:szCs w:val="24"/>
        </w:rPr>
        <w:t>通用合同条款；</w:t>
      </w:r>
    </w:p>
    <w:p>
      <w:pPr>
        <w:numPr>
          <w:ilvl w:val="0"/>
          <w:numId w:val="4"/>
        </w:numPr>
        <w:adjustRightInd w:val="0"/>
        <w:snapToGrid w:val="0"/>
        <w:spacing w:after="120" w:line="360" w:lineRule="auto"/>
        <w:ind w:firstLine="480" w:firstLineChars="200"/>
        <w:rPr>
          <w:sz w:val="24"/>
          <w:szCs w:val="24"/>
        </w:rPr>
      </w:pPr>
      <w:r>
        <w:rPr>
          <w:sz w:val="24"/>
          <w:szCs w:val="24"/>
        </w:rPr>
        <w:t>技术标准和要求；</w:t>
      </w:r>
    </w:p>
    <w:p>
      <w:pPr>
        <w:numPr>
          <w:ilvl w:val="0"/>
          <w:numId w:val="4"/>
        </w:numPr>
        <w:adjustRightInd w:val="0"/>
        <w:snapToGrid w:val="0"/>
        <w:spacing w:after="120" w:line="360" w:lineRule="auto"/>
        <w:ind w:firstLine="480" w:firstLineChars="200"/>
        <w:rPr>
          <w:sz w:val="24"/>
          <w:szCs w:val="24"/>
        </w:rPr>
      </w:pPr>
      <w:r>
        <w:rPr>
          <w:sz w:val="24"/>
          <w:szCs w:val="24"/>
        </w:rPr>
        <w:t>其他合同文件。</w:t>
      </w:r>
    </w:p>
    <w:p>
      <w:pPr>
        <w:adjustRightInd w:val="0"/>
        <w:snapToGrid w:val="0"/>
        <w:spacing w:after="120" w:line="360" w:lineRule="auto"/>
        <w:ind w:firstLine="480" w:firstLineChars="200"/>
        <w:rPr>
          <w:sz w:val="24"/>
          <w:szCs w:val="24"/>
        </w:rPr>
      </w:pPr>
      <w:r>
        <w:rPr>
          <w:rFonts w:hint="eastAsia"/>
          <w:sz w:val="24"/>
          <w:szCs w:val="24"/>
        </w:rPr>
        <w:t>在</w:t>
      </w:r>
      <w:r>
        <w:rPr>
          <w:sz w:val="24"/>
          <w:szCs w:val="24"/>
        </w:rPr>
        <w:t>合同订立及履行过程中</w:t>
      </w:r>
      <w:r>
        <w:rPr>
          <w:rFonts w:hint="eastAsia"/>
          <w:sz w:val="24"/>
          <w:szCs w:val="24"/>
        </w:rPr>
        <w:t>形成</w:t>
      </w:r>
      <w:r>
        <w:rPr>
          <w:sz w:val="24"/>
          <w:szCs w:val="24"/>
        </w:rPr>
        <w:t>的与合同有关的文件</w:t>
      </w:r>
      <w:r>
        <w:rPr>
          <w:rFonts w:hint="eastAsia"/>
          <w:sz w:val="24"/>
          <w:szCs w:val="24"/>
        </w:rPr>
        <w:t>均构成</w:t>
      </w:r>
      <w:r>
        <w:rPr>
          <w:sz w:val="24"/>
          <w:szCs w:val="24"/>
        </w:rPr>
        <w:t>合同</w:t>
      </w:r>
      <w:r>
        <w:rPr>
          <w:rFonts w:hint="eastAsia"/>
          <w:sz w:val="24"/>
          <w:szCs w:val="24"/>
        </w:rPr>
        <w:t>文件</w:t>
      </w:r>
      <w:r>
        <w:rPr>
          <w:sz w:val="24"/>
          <w:szCs w:val="24"/>
        </w:rPr>
        <w:t>组成部分。</w:t>
      </w:r>
    </w:p>
    <w:p>
      <w:pPr>
        <w:adjustRightInd w:val="0"/>
        <w:snapToGrid w:val="0"/>
        <w:spacing w:after="120" w:line="360" w:lineRule="auto"/>
        <w:ind w:firstLine="480" w:firstLineChars="200"/>
        <w:rPr>
          <w:sz w:val="24"/>
          <w:szCs w:val="24"/>
        </w:rPr>
      </w:pPr>
      <w:r>
        <w:rPr>
          <w:sz w:val="24"/>
          <w:szCs w:val="24"/>
        </w:rPr>
        <w:t>上述各项合同文件包括双方就该项合同文件所作出的补充和修改，属于同一类内容的合同文件应以最新签署的为准。专用合同条款及附件须经合同当事人</w:t>
      </w:r>
      <w:r>
        <w:rPr>
          <w:rFonts w:hint="eastAsia"/>
          <w:sz w:val="24"/>
          <w:szCs w:val="24"/>
        </w:rPr>
        <w:t>签名</w:t>
      </w:r>
      <w:r>
        <w:rPr>
          <w:sz w:val="24"/>
          <w:szCs w:val="24"/>
        </w:rPr>
        <w:t>或盖章。</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620" w:name="_Toc16779"/>
      <w:bookmarkStart w:id="621" w:name="_Toc56155175"/>
      <w:bookmarkStart w:id="622" w:name="_Toc28697"/>
      <w:bookmarkStart w:id="623" w:name="_Toc778713891"/>
      <w:bookmarkStart w:id="624" w:name="_Toc18155962"/>
      <w:bookmarkStart w:id="625" w:name="_Toc20992"/>
      <w:bookmarkStart w:id="626" w:name="_Toc24177"/>
      <w:bookmarkStart w:id="627" w:name="_Toc184916608"/>
      <w:r>
        <w:rPr>
          <w:rFonts w:hint="eastAsia" w:ascii="宋体" w:hAnsi="宋体" w:cs="黑体"/>
          <w:b/>
          <w:sz w:val="24"/>
          <w:szCs w:val="24"/>
        </w:rPr>
        <w:t>七</w:t>
      </w:r>
      <w:r>
        <w:rPr>
          <w:rFonts w:ascii="宋体" w:hAnsi="宋体" w:cs="黑体"/>
          <w:b/>
          <w:sz w:val="24"/>
          <w:szCs w:val="24"/>
        </w:rPr>
        <w:t>、</w:t>
      </w:r>
      <w:r>
        <w:rPr>
          <w:rFonts w:hint="eastAsia" w:ascii="宋体" w:hAnsi="宋体" w:cs="黑体"/>
          <w:b/>
          <w:sz w:val="24"/>
          <w:szCs w:val="24"/>
        </w:rPr>
        <w:t>承诺</w:t>
      </w:r>
      <w:bookmarkEnd w:id="620"/>
      <w:bookmarkEnd w:id="621"/>
      <w:bookmarkEnd w:id="622"/>
      <w:bookmarkEnd w:id="623"/>
      <w:bookmarkEnd w:id="624"/>
      <w:bookmarkEnd w:id="625"/>
      <w:bookmarkEnd w:id="626"/>
      <w:bookmarkEnd w:id="627"/>
    </w:p>
    <w:p>
      <w:pPr>
        <w:numPr>
          <w:ilvl w:val="0"/>
          <w:numId w:val="5"/>
        </w:numPr>
        <w:adjustRightInd w:val="0"/>
        <w:snapToGrid w:val="0"/>
        <w:spacing w:after="120" w:line="360" w:lineRule="auto"/>
        <w:ind w:left="0" w:firstLine="425"/>
        <w:rPr>
          <w:sz w:val="24"/>
          <w:szCs w:val="24"/>
        </w:rPr>
      </w:pPr>
      <w:r>
        <w:rPr>
          <w:sz w:val="24"/>
          <w:szCs w:val="24"/>
        </w:rPr>
        <w:t>委托人向</w:t>
      </w:r>
      <w:r>
        <w:rPr>
          <w:rFonts w:hint="eastAsia"/>
          <w:sz w:val="24"/>
          <w:szCs w:val="24"/>
        </w:rPr>
        <w:t>受托人</w:t>
      </w:r>
      <w:r>
        <w:rPr>
          <w:sz w:val="24"/>
          <w:szCs w:val="24"/>
        </w:rPr>
        <w:t>承诺，按照法律法规履行项目</w:t>
      </w:r>
      <w:r>
        <w:rPr>
          <w:rFonts w:hint="eastAsia"/>
          <w:sz w:val="24"/>
          <w:szCs w:val="24"/>
        </w:rPr>
        <w:t>审批</w:t>
      </w:r>
      <w:r>
        <w:rPr>
          <w:sz w:val="24"/>
          <w:szCs w:val="24"/>
        </w:rPr>
        <w:t>、核准或备案手续，按照合同约定派遣相应人员，提供咨询服务所需的资料和条</w:t>
      </w:r>
      <w:r>
        <w:rPr>
          <w:rFonts w:hint="eastAsia"/>
          <w:sz w:val="24"/>
          <w:szCs w:val="24"/>
        </w:rPr>
        <w:t>件</w:t>
      </w:r>
      <w:r>
        <w:rPr>
          <w:sz w:val="24"/>
          <w:szCs w:val="24"/>
        </w:rPr>
        <w:t>，并按照合同约定的期限和方式支付服务费用</w:t>
      </w:r>
      <w:r>
        <w:rPr>
          <w:rFonts w:hint="eastAsia"/>
          <w:sz w:val="24"/>
          <w:szCs w:val="24"/>
        </w:rPr>
        <w:t>及</w:t>
      </w:r>
      <w:r>
        <w:rPr>
          <w:sz w:val="24"/>
          <w:szCs w:val="24"/>
        </w:rPr>
        <w:t>其他应支付款项。</w:t>
      </w:r>
    </w:p>
    <w:p>
      <w:pPr>
        <w:numPr>
          <w:ilvl w:val="0"/>
          <w:numId w:val="5"/>
        </w:numPr>
        <w:adjustRightInd w:val="0"/>
        <w:snapToGrid w:val="0"/>
        <w:spacing w:after="120" w:line="360" w:lineRule="auto"/>
        <w:ind w:left="0" w:firstLine="425"/>
        <w:rPr>
          <w:rFonts w:ascii="宋体" w:hAnsi="宋体" w:cs="黑体"/>
          <w:sz w:val="24"/>
          <w:szCs w:val="24"/>
        </w:rPr>
      </w:pPr>
      <w:r>
        <w:rPr>
          <w:rFonts w:hint="eastAsia"/>
          <w:sz w:val="24"/>
          <w:szCs w:val="24"/>
        </w:rPr>
        <w:t>受托人</w:t>
      </w:r>
      <w:r>
        <w:rPr>
          <w:sz w:val="24"/>
          <w:szCs w:val="24"/>
        </w:rPr>
        <w:t>向</w:t>
      </w:r>
      <w:r>
        <w:rPr>
          <w:rFonts w:hint="eastAsia" w:ascii="宋体" w:hAnsi="宋体" w:cs="黑体"/>
          <w:sz w:val="24"/>
          <w:szCs w:val="24"/>
        </w:rPr>
        <w:t>委托人承诺，按照法律法规、相关标准及合同约定提供工程建设全过程咨询服务</w:t>
      </w:r>
      <w:r>
        <w:rPr>
          <w:rFonts w:ascii="宋体" w:hAnsi="宋体" w:cs="黑体"/>
          <w:sz w:val="24"/>
          <w:szCs w:val="24"/>
        </w:rPr>
        <w:t>。</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628" w:name="_Toc31849"/>
      <w:bookmarkStart w:id="629" w:name="_Toc1512269408"/>
      <w:bookmarkStart w:id="630" w:name="_Toc26848"/>
      <w:bookmarkStart w:id="631" w:name="_Toc184916609"/>
      <w:bookmarkStart w:id="632" w:name="_Toc56155176"/>
      <w:bookmarkStart w:id="633" w:name="_Toc6898"/>
      <w:bookmarkStart w:id="634" w:name="_Toc18155963"/>
      <w:bookmarkStart w:id="635" w:name="_Toc21232"/>
      <w:r>
        <w:rPr>
          <w:rFonts w:hint="eastAsia" w:ascii="宋体" w:hAnsi="宋体" w:cs="黑体"/>
          <w:b/>
          <w:sz w:val="24"/>
          <w:szCs w:val="24"/>
        </w:rPr>
        <w:t>八</w:t>
      </w:r>
      <w:r>
        <w:rPr>
          <w:rFonts w:ascii="宋体" w:hAnsi="宋体" w:cs="黑体"/>
          <w:b/>
          <w:sz w:val="24"/>
          <w:szCs w:val="24"/>
        </w:rPr>
        <w:t>、</w:t>
      </w:r>
      <w:r>
        <w:rPr>
          <w:rFonts w:hint="eastAsia" w:ascii="宋体" w:hAnsi="宋体" w:cs="黑体"/>
          <w:b/>
          <w:sz w:val="24"/>
          <w:szCs w:val="24"/>
        </w:rPr>
        <w:t>词语含义</w:t>
      </w:r>
      <w:bookmarkEnd w:id="628"/>
      <w:bookmarkEnd w:id="629"/>
      <w:bookmarkEnd w:id="630"/>
      <w:bookmarkEnd w:id="631"/>
      <w:bookmarkEnd w:id="632"/>
      <w:bookmarkEnd w:id="633"/>
      <w:bookmarkEnd w:id="634"/>
      <w:bookmarkEnd w:id="635"/>
    </w:p>
    <w:p>
      <w:pPr>
        <w:adjustRightInd w:val="0"/>
        <w:snapToGrid w:val="0"/>
        <w:spacing w:after="120" w:line="360" w:lineRule="auto"/>
        <w:ind w:firstLine="480" w:firstLineChars="200"/>
        <w:rPr>
          <w:rFonts w:ascii="宋体" w:hAnsi="宋体" w:cs="黑体"/>
          <w:sz w:val="24"/>
          <w:szCs w:val="24"/>
        </w:rPr>
      </w:pPr>
      <w:r>
        <w:rPr>
          <w:rFonts w:hint="eastAsia" w:ascii="宋体" w:hAnsi="宋体" w:cs="黑体"/>
          <w:sz w:val="24"/>
          <w:szCs w:val="24"/>
        </w:rPr>
        <w:t>合同协议书中的词语含义与通用合同条款和专用合同条款中的含义相同。</w:t>
      </w:r>
    </w:p>
    <w:p>
      <w:pPr>
        <w:tabs>
          <w:tab w:val="left" w:pos="567"/>
          <w:tab w:val="left" w:pos="960"/>
        </w:tabs>
        <w:adjustRightInd w:val="0"/>
        <w:snapToGrid w:val="0"/>
        <w:spacing w:after="120" w:line="360" w:lineRule="auto"/>
        <w:ind w:firstLine="482" w:firstLineChars="200"/>
        <w:jc w:val="left"/>
        <w:rPr>
          <w:rFonts w:ascii="宋体" w:hAnsi="宋体" w:cs="黑体"/>
          <w:b/>
          <w:sz w:val="24"/>
          <w:szCs w:val="24"/>
        </w:rPr>
      </w:pPr>
      <w:bookmarkStart w:id="636" w:name="_Toc1976911908"/>
      <w:bookmarkStart w:id="637" w:name="_Toc18155964"/>
      <w:bookmarkStart w:id="638" w:name="_Toc18"/>
      <w:bookmarkStart w:id="639" w:name="_Toc19542"/>
      <w:bookmarkStart w:id="640" w:name="_Toc31756"/>
      <w:bookmarkStart w:id="641" w:name="_Toc184916610"/>
      <w:bookmarkStart w:id="642" w:name="_Toc56155177"/>
      <w:bookmarkStart w:id="643" w:name="_Toc15053"/>
      <w:r>
        <w:rPr>
          <w:rFonts w:hint="eastAsia" w:ascii="宋体" w:hAnsi="宋体" w:cs="黑体"/>
          <w:b/>
          <w:sz w:val="24"/>
          <w:szCs w:val="24"/>
        </w:rPr>
        <w:t>九</w:t>
      </w:r>
      <w:r>
        <w:rPr>
          <w:rFonts w:ascii="宋体" w:hAnsi="宋体" w:cs="黑体"/>
          <w:b/>
          <w:sz w:val="24"/>
          <w:szCs w:val="24"/>
        </w:rPr>
        <w:t>、</w:t>
      </w:r>
      <w:r>
        <w:rPr>
          <w:rFonts w:hint="eastAsia" w:ascii="宋体" w:hAnsi="宋体" w:cs="黑体"/>
          <w:b/>
          <w:sz w:val="24"/>
          <w:szCs w:val="24"/>
        </w:rPr>
        <w:t>合同订立和生效</w:t>
      </w:r>
      <w:bookmarkEnd w:id="636"/>
      <w:bookmarkEnd w:id="637"/>
      <w:bookmarkEnd w:id="638"/>
      <w:bookmarkEnd w:id="639"/>
      <w:bookmarkEnd w:id="640"/>
      <w:bookmarkEnd w:id="641"/>
      <w:bookmarkEnd w:id="642"/>
      <w:bookmarkEnd w:id="643"/>
    </w:p>
    <w:p>
      <w:pPr>
        <w:numPr>
          <w:ilvl w:val="0"/>
          <w:numId w:val="6"/>
        </w:numPr>
        <w:adjustRightInd w:val="0"/>
        <w:snapToGrid w:val="0"/>
        <w:spacing w:after="120" w:line="360" w:lineRule="auto"/>
        <w:ind w:left="0" w:firstLine="425"/>
        <w:rPr>
          <w:sz w:val="24"/>
          <w:szCs w:val="24"/>
        </w:rPr>
      </w:pPr>
      <w:r>
        <w:rPr>
          <w:sz w:val="24"/>
          <w:szCs w:val="24"/>
        </w:rPr>
        <w:t>合同订立时间：_________年_____月_____日</w:t>
      </w:r>
      <w:r>
        <w:rPr>
          <w:rFonts w:hint="eastAsia"/>
          <w:sz w:val="24"/>
          <w:szCs w:val="24"/>
        </w:rPr>
        <w:t>。</w:t>
      </w:r>
    </w:p>
    <w:p>
      <w:pPr>
        <w:numPr>
          <w:ilvl w:val="0"/>
          <w:numId w:val="6"/>
        </w:numPr>
        <w:adjustRightInd w:val="0"/>
        <w:snapToGrid w:val="0"/>
        <w:spacing w:after="120" w:line="360" w:lineRule="auto"/>
        <w:ind w:left="0" w:firstLine="425"/>
        <w:rPr>
          <w:sz w:val="24"/>
          <w:szCs w:val="24"/>
        </w:rPr>
      </w:pPr>
      <w:r>
        <w:rPr>
          <w:sz w:val="24"/>
          <w:szCs w:val="24"/>
        </w:rPr>
        <w:t>合同订立地点：_________________________</w:t>
      </w:r>
      <w:r>
        <w:rPr>
          <w:rFonts w:hint="eastAsia"/>
          <w:sz w:val="24"/>
          <w:szCs w:val="24"/>
        </w:rPr>
        <w:t>。</w:t>
      </w:r>
    </w:p>
    <w:p>
      <w:pPr>
        <w:numPr>
          <w:ilvl w:val="0"/>
          <w:numId w:val="6"/>
        </w:numPr>
        <w:adjustRightInd w:val="0"/>
        <w:snapToGrid w:val="0"/>
        <w:spacing w:after="120" w:line="360" w:lineRule="auto"/>
        <w:ind w:left="0" w:firstLine="425"/>
        <w:rPr>
          <w:rFonts w:ascii="宋体" w:hAnsi="宋体" w:cs="黑体"/>
          <w:sz w:val="24"/>
          <w:szCs w:val="24"/>
        </w:rPr>
      </w:pPr>
      <w:r>
        <w:rPr>
          <w:sz w:val="24"/>
          <w:szCs w:val="24"/>
        </w:rPr>
        <w:t>本合同经双</w:t>
      </w:r>
      <w:r>
        <w:rPr>
          <w:rFonts w:hint="eastAsia" w:ascii="宋体" w:hAnsi="宋体" w:cs="黑体"/>
          <w:sz w:val="24"/>
          <w:szCs w:val="24"/>
        </w:rPr>
        <w:t>方</w:t>
      </w:r>
      <w:r>
        <w:rPr>
          <w:rFonts w:hint="eastAsia" w:ascii="宋体" w:hAnsi="宋体" w:cs="宋体"/>
          <w:sz w:val="24"/>
          <w:szCs w:val="24"/>
          <w:shd w:val="clear" w:color="auto" w:fill="FFFFFF"/>
        </w:rPr>
        <w:t>签名</w:t>
      </w:r>
      <w:r>
        <w:rPr>
          <w:rFonts w:hint="eastAsia" w:ascii="宋体" w:hAnsi="宋体" w:cs="黑体"/>
          <w:sz w:val="24"/>
          <w:szCs w:val="24"/>
        </w:rPr>
        <w:t>或盖章后成立，并自</w:t>
      </w:r>
      <w:r>
        <w:rPr>
          <w:rFonts w:ascii="宋体" w:hAnsi="宋体" w:cs="黑体"/>
          <w:sz w:val="24"/>
          <w:szCs w:val="24"/>
        </w:rPr>
        <w:t>______________________________</w:t>
      </w:r>
      <w:r>
        <w:rPr>
          <w:rFonts w:hint="eastAsia" w:ascii="宋体" w:hAnsi="宋体" w:cs="黑体"/>
          <w:sz w:val="24"/>
          <w:szCs w:val="24"/>
        </w:rPr>
        <w:t>生效。</w:t>
      </w:r>
    </w:p>
    <w:p>
      <w:pPr>
        <w:numPr>
          <w:ilvl w:val="0"/>
          <w:numId w:val="6"/>
        </w:numPr>
        <w:adjustRightInd w:val="0"/>
        <w:snapToGrid w:val="0"/>
        <w:spacing w:after="120" w:line="360" w:lineRule="auto"/>
        <w:ind w:left="0" w:firstLine="425"/>
        <w:rPr>
          <w:sz w:val="24"/>
          <w:szCs w:val="24"/>
        </w:rPr>
      </w:pPr>
      <w:r>
        <w:rPr>
          <w:sz w:val="24"/>
          <w:szCs w:val="24"/>
        </w:rPr>
        <w:t>本合同一式____份，均具有同等法律效力，委托人执____份，</w:t>
      </w:r>
      <w:r>
        <w:rPr>
          <w:rFonts w:hint="eastAsia"/>
          <w:sz w:val="24"/>
          <w:szCs w:val="24"/>
        </w:rPr>
        <w:t>受托人</w:t>
      </w:r>
      <w:r>
        <w:rPr>
          <w:sz w:val="24"/>
          <w:szCs w:val="24"/>
        </w:rPr>
        <w:t>执____份。</w:t>
      </w:r>
    </w:p>
    <w:p>
      <w:pPr>
        <w:widowControl/>
        <w:jc w:val="left"/>
        <w:rPr>
          <w:rFonts w:ascii="黑体" w:hAnsi="黑体" w:eastAsia="黑体"/>
          <w:sz w:val="24"/>
          <w:szCs w:val="24"/>
        </w:rPr>
      </w:pPr>
      <w:r>
        <w:rPr>
          <w:rFonts w:ascii="黑体" w:hAnsi="黑体" w:eastAsia="黑体"/>
          <w:sz w:val="24"/>
          <w:szCs w:val="24"/>
        </w:rPr>
        <w:br w:type="page"/>
      </w:r>
    </w:p>
    <w:p>
      <w:pPr>
        <w:spacing w:line="460" w:lineRule="exact"/>
        <w:ind w:firstLine="480" w:firstLineChars="200"/>
        <w:rPr>
          <w:rFonts w:ascii="黑体" w:hAnsi="黑体" w:eastAsia="黑体"/>
          <w:sz w:val="24"/>
          <w:szCs w:val="24"/>
        </w:rPr>
      </w:pPr>
    </w:p>
    <w:p>
      <w:pPr>
        <w:jc w:val="center"/>
        <w:outlineLvl w:val="2"/>
        <w:rPr>
          <w:sz w:val="32"/>
          <w:szCs w:val="28"/>
        </w:rPr>
      </w:pPr>
      <w:bookmarkStart w:id="644" w:name="_Toc532553046"/>
      <w:bookmarkStart w:id="645" w:name="_Toc531850340"/>
      <w:bookmarkStart w:id="646" w:name="_Toc532553120"/>
      <w:r>
        <w:rPr>
          <w:rFonts w:hint="eastAsia"/>
          <w:sz w:val="32"/>
          <w:szCs w:val="28"/>
        </w:rPr>
        <w:t>第二部分  通用</w:t>
      </w:r>
      <w:bookmarkEnd w:id="644"/>
      <w:bookmarkEnd w:id="645"/>
      <w:bookmarkEnd w:id="646"/>
      <w:r>
        <w:rPr>
          <w:rFonts w:hint="eastAsia"/>
          <w:sz w:val="32"/>
          <w:szCs w:val="28"/>
        </w:rPr>
        <w:t>合同条款</w:t>
      </w:r>
    </w:p>
    <w:p>
      <w:pPr>
        <w:spacing w:line="460" w:lineRule="exact"/>
        <w:jc w:val="center"/>
        <w:rPr>
          <w:rFonts w:asciiTheme="minorEastAsia" w:hAnsiTheme="minorEastAsia" w:eastAsiaTheme="minorEastAsia"/>
          <w:sz w:val="24"/>
        </w:rPr>
      </w:pPr>
      <w:r>
        <w:rPr>
          <w:rFonts w:hint="eastAsia" w:asciiTheme="minorEastAsia" w:hAnsiTheme="minorEastAsia" w:eastAsiaTheme="minorEastAsia"/>
          <w:sz w:val="24"/>
        </w:rPr>
        <w:t>（GF—2024—2612）房屋建筑和市政基础设施项目工程建设全过程咨询服务合同（示范文本）</w:t>
      </w:r>
    </w:p>
    <w:p>
      <w:pPr>
        <w:jc w:val="center"/>
        <w:outlineLvl w:val="2"/>
        <w:rPr>
          <w:sz w:val="32"/>
          <w:szCs w:val="28"/>
        </w:rPr>
      </w:pPr>
      <w:r>
        <w:rPr>
          <w:rFonts w:hint="eastAsia"/>
        </w:rPr>
        <w:br w:type="page"/>
      </w:r>
      <w:bookmarkStart w:id="647" w:name="_Toc531850350"/>
      <w:bookmarkStart w:id="648" w:name="_Toc532553130"/>
      <w:bookmarkStart w:id="649" w:name="_Toc532553056"/>
      <w:r>
        <w:rPr>
          <w:rFonts w:hint="eastAsia"/>
          <w:sz w:val="32"/>
          <w:szCs w:val="28"/>
        </w:rPr>
        <w:t>第三部分</w:t>
      </w:r>
      <w:r>
        <w:rPr>
          <w:sz w:val="32"/>
          <w:szCs w:val="28"/>
        </w:rPr>
        <w:t xml:space="preserve">  </w:t>
      </w:r>
      <w:r>
        <w:rPr>
          <w:rFonts w:hint="eastAsia"/>
          <w:sz w:val="32"/>
          <w:szCs w:val="28"/>
        </w:rPr>
        <w:t>专用</w:t>
      </w:r>
      <w:bookmarkEnd w:id="647"/>
      <w:bookmarkEnd w:id="648"/>
      <w:bookmarkEnd w:id="649"/>
      <w:r>
        <w:rPr>
          <w:rFonts w:hint="eastAsia"/>
          <w:sz w:val="32"/>
          <w:szCs w:val="28"/>
        </w:rPr>
        <w:t>合同条款（主要内容）</w:t>
      </w:r>
    </w:p>
    <w:p>
      <w:pPr>
        <w:keepNext/>
        <w:keepLines/>
        <w:spacing w:line="440" w:lineRule="exact"/>
        <w:rPr>
          <w:rFonts w:ascii="仿宋_GB2312" w:eastAsia="仿宋_GB2312"/>
          <w:sz w:val="24"/>
          <w:szCs w:val="24"/>
        </w:rPr>
      </w:pPr>
      <w:bookmarkStart w:id="650" w:name="_Toc13779"/>
      <w:bookmarkStart w:id="651" w:name="_Toc17673"/>
      <w:bookmarkStart w:id="652" w:name="_Toc29871"/>
      <w:bookmarkStart w:id="653" w:name="_Toc448911874"/>
      <w:bookmarkStart w:id="654" w:name="_Toc11512"/>
      <w:bookmarkStart w:id="655" w:name="_Toc23465"/>
      <w:bookmarkStart w:id="656" w:name="_Toc3867"/>
      <w:bookmarkStart w:id="657" w:name="_Toc351203633"/>
      <w:bookmarkStart w:id="658" w:name="_Toc13141"/>
      <w:bookmarkStart w:id="659" w:name="_Toc8598"/>
      <w:bookmarkStart w:id="660" w:name="_Toc22447"/>
    </w:p>
    <w:p>
      <w:pPr>
        <w:keepNext/>
        <w:keepLines/>
        <w:spacing w:before="120" w:after="120" w:line="460" w:lineRule="exact"/>
        <w:jc w:val="left"/>
        <w:rPr>
          <w:rFonts w:ascii="楷体_GB2312" w:eastAsia="楷体_GB2312"/>
          <w:bCs/>
          <w:sz w:val="24"/>
          <w:szCs w:val="24"/>
        </w:rPr>
      </w:pPr>
      <w:r>
        <w:rPr>
          <w:rFonts w:hint="eastAsia" w:ascii="楷体_GB2312" w:eastAsia="楷体_GB2312"/>
          <w:bCs/>
          <w:sz w:val="24"/>
          <w:szCs w:val="24"/>
        </w:rPr>
        <w:t>1</w:t>
      </w:r>
      <w:bookmarkStart w:id="661" w:name="_Toc297120456"/>
      <w:bookmarkStart w:id="662" w:name="_Toc296347155"/>
      <w:bookmarkStart w:id="663" w:name="_Toc296890984"/>
      <w:bookmarkStart w:id="664" w:name="_Toc297048342"/>
      <w:bookmarkStart w:id="665" w:name="_Toc296503156"/>
      <w:bookmarkStart w:id="666" w:name="_Toc296944495"/>
      <w:bookmarkStart w:id="667" w:name="_Toc292559361"/>
      <w:bookmarkStart w:id="668" w:name="_Toc296346657"/>
      <w:bookmarkStart w:id="669" w:name="_Toc296891196"/>
      <w:bookmarkStart w:id="670" w:name="_Toc292559866"/>
      <w:r>
        <w:rPr>
          <w:rFonts w:hint="eastAsia" w:ascii="楷体_GB2312" w:eastAsia="楷体_GB2312"/>
          <w:bCs/>
          <w:sz w:val="24"/>
          <w:szCs w:val="24"/>
        </w:rPr>
        <w:t>.一般约定</w:t>
      </w:r>
      <w:bookmarkEnd w:id="650"/>
      <w:bookmarkEnd w:id="651"/>
      <w:bookmarkEnd w:id="652"/>
      <w:bookmarkEnd w:id="653"/>
      <w:bookmarkEnd w:id="654"/>
      <w:bookmarkEnd w:id="655"/>
      <w:bookmarkEnd w:id="656"/>
      <w:bookmarkEnd w:id="657"/>
      <w:bookmarkEnd w:id="658"/>
      <w:bookmarkEnd w:id="659"/>
      <w:bookmarkEnd w:id="660"/>
    </w:p>
    <w:bookmarkEnd w:id="661"/>
    <w:bookmarkEnd w:id="662"/>
    <w:bookmarkEnd w:id="663"/>
    <w:bookmarkEnd w:id="664"/>
    <w:bookmarkEnd w:id="665"/>
    <w:bookmarkEnd w:id="666"/>
    <w:bookmarkEnd w:id="667"/>
    <w:bookmarkEnd w:id="668"/>
    <w:bookmarkEnd w:id="669"/>
    <w:bookmarkEnd w:id="670"/>
    <w:p>
      <w:pPr>
        <w:keepNext/>
        <w:keepLines/>
        <w:spacing w:before="120" w:after="120" w:line="460" w:lineRule="exact"/>
        <w:jc w:val="left"/>
        <w:rPr>
          <w:rFonts w:ascii="楷体_GB2312" w:eastAsia="楷体_GB2312"/>
          <w:bCs/>
          <w:sz w:val="24"/>
          <w:szCs w:val="24"/>
        </w:rPr>
      </w:pPr>
      <w:bookmarkStart w:id="671" w:name="_Toc5234"/>
      <w:bookmarkStart w:id="672" w:name="_Toc448911875"/>
      <w:r>
        <w:rPr>
          <w:rFonts w:hint="eastAsia" w:ascii="楷体_GB2312" w:eastAsia="楷体_GB2312"/>
          <w:bCs/>
          <w:sz w:val="24"/>
          <w:szCs w:val="24"/>
        </w:rPr>
        <w:t>1.1 词语定义</w:t>
      </w:r>
      <w:bookmarkEnd w:id="671"/>
      <w:bookmarkEnd w:id="672"/>
    </w:p>
    <w:p>
      <w:pPr>
        <w:spacing w:line="460" w:lineRule="exact"/>
        <w:ind w:firstLine="480" w:firstLineChars="200"/>
        <w:rPr>
          <w:rFonts w:ascii="宋体" w:hAnsi="宋体"/>
          <w:kern w:val="0"/>
          <w:sz w:val="24"/>
          <w:szCs w:val="24"/>
        </w:rPr>
      </w:pPr>
      <w:r>
        <w:rPr>
          <w:rFonts w:hint="eastAsia" w:ascii="宋体" w:hAnsi="宋体" w:cs="华文中宋"/>
          <w:kern w:val="0"/>
          <w:sz w:val="24"/>
          <w:szCs w:val="24"/>
        </w:rPr>
        <w:t>1.1.1合同</w:t>
      </w:r>
    </w:p>
    <w:p>
      <w:pPr>
        <w:widowControl/>
        <w:spacing w:line="460" w:lineRule="exact"/>
        <w:ind w:firstLine="420"/>
        <w:rPr>
          <w:rFonts w:ascii="宋体" w:hAnsi="宋体"/>
          <w:kern w:val="0"/>
          <w:sz w:val="24"/>
          <w:szCs w:val="24"/>
        </w:rPr>
      </w:pPr>
      <w:r>
        <w:rPr>
          <w:rFonts w:hint="eastAsia" w:ascii="宋体" w:hAnsi="宋体" w:cs="华文中宋"/>
          <w:kern w:val="0"/>
          <w:sz w:val="24"/>
          <w:szCs w:val="24"/>
        </w:rPr>
        <w:t>1.1.1.10其他合同文件包括：①</w:t>
      </w:r>
      <w:r>
        <w:rPr>
          <w:rFonts w:hint="eastAsia" w:ascii="宋体" w:hAnsi="宋体" w:cs="Calibri"/>
          <w:kern w:val="0"/>
          <w:sz w:val="24"/>
          <w:szCs w:val="24"/>
          <w:u w:val="single"/>
        </w:rPr>
        <w:t>评标过程中的澄清、说明或补正纪要等评标报告所附与合同履行相关的文件；②合同履行过程中有关工程的洽商、变更等书面协议书或文件；……。</w:t>
      </w:r>
    </w:p>
    <w:p>
      <w:pPr>
        <w:spacing w:line="460" w:lineRule="exact"/>
        <w:ind w:firstLine="480" w:firstLineChars="200"/>
        <w:rPr>
          <w:rFonts w:ascii="宋体" w:hAnsi="宋体"/>
          <w:sz w:val="24"/>
          <w:szCs w:val="24"/>
        </w:rPr>
      </w:pPr>
      <w:r>
        <w:rPr>
          <w:rFonts w:hint="eastAsia" w:ascii="宋体" w:hAnsi="宋体" w:cs="华文中宋"/>
          <w:sz w:val="24"/>
          <w:szCs w:val="24"/>
        </w:rPr>
        <w:t>1.1.2 合同当事人及其他相关方</w:t>
      </w:r>
    </w:p>
    <w:p>
      <w:pPr>
        <w:spacing w:line="460" w:lineRule="exact"/>
        <w:ind w:firstLine="480" w:firstLineChars="200"/>
        <w:rPr>
          <w:rFonts w:ascii="宋体" w:hAnsi="宋体"/>
          <w:sz w:val="24"/>
          <w:szCs w:val="24"/>
        </w:rPr>
      </w:pPr>
      <w:r>
        <w:rPr>
          <w:rFonts w:hint="eastAsia" w:ascii="宋体" w:hAnsi="宋体" w:cs="华文中宋"/>
          <w:sz w:val="24"/>
          <w:szCs w:val="24"/>
        </w:rPr>
        <w:t>1.1.2.1勘察方：</w:t>
      </w:r>
    </w:p>
    <w:p>
      <w:pPr>
        <w:spacing w:line="460" w:lineRule="exact"/>
        <w:ind w:firstLine="480" w:firstLineChars="200"/>
        <w:rPr>
          <w:rFonts w:ascii="宋体" w:hAnsi="宋体"/>
          <w:sz w:val="24"/>
          <w:szCs w:val="24"/>
        </w:rPr>
      </w:pPr>
      <w:r>
        <w:rPr>
          <w:rFonts w:hint="eastAsia" w:ascii="宋体" w:hAnsi="宋体" w:cs="华文中宋"/>
          <w:sz w:val="24"/>
          <w:szCs w:val="24"/>
        </w:rPr>
        <w:t>名称：</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资质类别和等级：</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联系电话：</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电子信箱：</w:t>
      </w:r>
      <w:r>
        <w:rPr>
          <w:rFonts w:hint="eastAsia" w:ascii="宋体" w:hAnsi="宋体" w:cs="华文中宋"/>
          <w:sz w:val="24"/>
          <w:szCs w:val="24"/>
          <w:u w:val="single"/>
        </w:rPr>
        <w:t>                </w:t>
      </w:r>
      <w:r>
        <w:rPr>
          <w:rFonts w:hint="eastAsia" w:ascii="宋体" w:hAnsi="宋体" w:cs="华文中宋"/>
          <w:sz w:val="24"/>
          <w:szCs w:val="24"/>
        </w:rPr>
        <w:t>；</w:t>
      </w:r>
    </w:p>
    <w:p>
      <w:pPr>
        <w:tabs>
          <w:tab w:val="left" w:pos="6090"/>
        </w:tabs>
        <w:spacing w:line="460" w:lineRule="exact"/>
        <w:ind w:firstLine="480" w:firstLineChars="200"/>
        <w:rPr>
          <w:rFonts w:ascii="宋体" w:hAnsi="宋体" w:cs="华文中宋"/>
          <w:sz w:val="24"/>
          <w:szCs w:val="24"/>
        </w:rPr>
      </w:pPr>
      <w:r>
        <w:rPr>
          <w:rFonts w:hint="eastAsia" w:ascii="宋体" w:hAnsi="宋体" w:cs="华文中宋"/>
          <w:sz w:val="24"/>
          <w:szCs w:val="24"/>
        </w:rPr>
        <w:t>通信地址：</w:t>
      </w:r>
      <w:r>
        <w:rPr>
          <w:rFonts w:hint="eastAsia" w:ascii="宋体" w:hAnsi="宋体" w:cs="华文中宋"/>
          <w:sz w:val="24"/>
          <w:szCs w:val="24"/>
          <w:u w:val="single"/>
        </w:rPr>
        <w:t xml:space="preserve">                            </w:t>
      </w:r>
      <w:r>
        <w:rPr>
          <w:rFonts w:hint="eastAsia" w:ascii="宋体" w:hAnsi="宋体" w:cs="华文中宋"/>
          <w:sz w:val="24"/>
          <w:szCs w:val="24"/>
        </w:rPr>
        <w:t>。</w:t>
      </w:r>
      <w:r>
        <w:rPr>
          <w:rFonts w:ascii="宋体" w:hAnsi="宋体" w:cs="华文中宋"/>
          <w:sz w:val="24"/>
          <w:szCs w:val="24"/>
        </w:rPr>
        <w:tab/>
      </w:r>
    </w:p>
    <w:p>
      <w:pPr>
        <w:spacing w:line="460" w:lineRule="exact"/>
        <w:ind w:firstLine="480" w:firstLineChars="200"/>
        <w:rPr>
          <w:rFonts w:ascii="宋体" w:hAnsi="宋体"/>
          <w:sz w:val="24"/>
          <w:szCs w:val="24"/>
        </w:rPr>
      </w:pPr>
      <w:r>
        <w:rPr>
          <w:rFonts w:hint="eastAsia" w:ascii="宋体" w:hAnsi="宋体" w:cs="华文中宋"/>
          <w:sz w:val="24"/>
          <w:szCs w:val="24"/>
        </w:rPr>
        <w:t>1.1.2.2设计方：</w:t>
      </w:r>
    </w:p>
    <w:p>
      <w:pPr>
        <w:spacing w:line="460" w:lineRule="exact"/>
        <w:ind w:firstLine="480" w:firstLineChars="200"/>
        <w:rPr>
          <w:rFonts w:ascii="宋体" w:hAnsi="宋体"/>
          <w:sz w:val="24"/>
          <w:szCs w:val="24"/>
        </w:rPr>
      </w:pPr>
      <w:r>
        <w:rPr>
          <w:rFonts w:hint="eastAsia" w:ascii="宋体" w:hAnsi="宋体" w:cs="华文中宋"/>
          <w:sz w:val="24"/>
          <w:szCs w:val="24"/>
        </w:rPr>
        <w:t>名称：</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资质类别和等级：</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联系电话：</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电子信箱：</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通信地址：</w:t>
      </w:r>
      <w:r>
        <w:rPr>
          <w:rFonts w:hint="eastAsia" w:ascii="宋体" w:hAnsi="宋体" w:cs="华文中宋"/>
          <w:sz w:val="24"/>
          <w:szCs w:val="24"/>
          <w:u w:val="single"/>
        </w:rPr>
        <w:t xml:space="preserve">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1.1.2.3监理方：</w:t>
      </w:r>
    </w:p>
    <w:p>
      <w:pPr>
        <w:spacing w:line="460" w:lineRule="exact"/>
        <w:ind w:firstLine="480" w:firstLineChars="200"/>
        <w:rPr>
          <w:rFonts w:ascii="宋体" w:hAnsi="宋体"/>
          <w:sz w:val="24"/>
          <w:szCs w:val="24"/>
        </w:rPr>
      </w:pPr>
      <w:r>
        <w:rPr>
          <w:rFonts w:hint="eastAsia" w:ascii="宋体" w:hAnsi="宋体" w:cs="华文中宋"/>
          <w:sz w:val="24"/>
          <w:szCs w:val="24"/>
        </w:rPr>
        <w:t>名称：</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资质类别和等级：</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联系电话：</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电子信箱：</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通信地址：</w:t>
      </w:r>
      <w:r>
        <w:rPr>
          <w:rFonts w:hint="eastAsia" w:ascii="宋体" w:hAnsi="宋体" w:cs="华文中宋"/>
          <w:sz w:val="24"/>
          <w:szCs w:val="24"/>
          <w:u w:val="single"/>
        </w:rPr>
        <w:t xml:space="preserve">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1.1.2.4 造价咨询方：</w:t>
      </w:r>
    </w:p>
    <w:p>
      <w:pPr>
        <w:spacing w:line="460" w:lineRule="exact"/>
        <w:ind w:firstLine="480" w:firstLineChars="200"/>
        <w:rPr>
          <w:rFonts w:ascii="宋体" w:hAnsi="宋体"/>
          <w:sz w:val="24"/>
          <w:szCs w:val="24"/>
        </w:rPr>
      </w:pPr>
      <w:r>
        <w:rPr>
          <w:rFonts w:hint="eastAsia" w:ascii="宋体" w:hAnsi="宋体" w:cs="华文中宋"/>
          <w:sz w:val="24"/>
          <w:szCs w:val="24"/>
        </w:rPr>
        <w:t>名称：</w:t>
      </w:r>
      <w:r>
        <w:rPr>
          <w:rFonts w:hint="eastAsia" w:ascii="宋体" w:hAnsi="宋体" w:cs="华文中宋"/>
          <w:sz w:val="24"/>
          <w:szCs w:val="24"/>
          <w:u w:val="single"/>
        </w:rPr>
        <w:t>    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资质类别和等级：</w:t>
      </w:r>
      <w:r>
        <w:rPr>
          <w:rFonts w:hint="eastAsia" w:ascii="宋体" w:hAnsi="宋体" w:cs="华文中宋"/>
          <w:sz w:val="24"/>
          <w:szCs w:val="24"/>
          <w:u w:val="single"/>
        </w:rPr>
        <w:t>  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联系电话：</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电子信箱：</w:t>
      </w:r>
      <w:r>
        <w:rPr>
          <w:rFonts w:hint="eastAsia" w:ascii="宋体" w:hAnsi="宋体" w:cs="华文中宋"/>
          <w:sz w:val="24"/>
          <w:szCs w:val="24"/>
          <w:u w:val="single"/>
        </w:rPr>
        <w:t>               </w:t>
      </w:r>
      <w:r>
        <w:rPr>
          <w:rFonts w:hint="eastAsia" w:ascii="宋体" w:hAnsi="宋体" w:cs="华文中宋"/>
          <w:sz w:val="24"/>
          <w:szCs w:val="24"/>
        </w:rPr>
        <w:t>；</w:t>
      </w:r>
    </w:p>
    <w:p>
      <w:pPr>
        <w:spacing w:line="460" w:lineRule="exact"/>
        <w:ind w:firstLine="480" w:firstLineChars="200"/>
        <w:rPr>
          <w:rFonts w:ascii="宋体" w:hAnsi="宋体"/>
          <w:sz w:val="24"/>
          <w:szCs w:val="24"/>
        </w:rPr>
      </w:pPr>
      <w:r>
        <w:rPr>
          <w:rFonts w:hint="eastAsia" w:ascii="宋体" w:hAnsi="宋体" w:cs="华文中宋"/>
          <w:sz w:val="24"/>
          <w:szCs w:val="24"/>
        </w:rPr>
        <w:t>通信地址：</w:t>
      </w:r>
      <w:r>
        <w:rPr>
          <w:rFonts w:hint="eastAsia" w:ascii="宋体" w:hAnsi="宋体" w:cs="华文中宋"/>
          <w:sz w:val="24"/>
          <w:szCs w:val="24"/>
          <w:u w:val="single"/>
        </w:rPr>
        <w:t>                           ；</w:t>
      </w:r>
    </w:p>
    <w:p>
      <w:pPr>
        <w:keepNext/>
        <w:keepLines/>
        <w:spacing w:before="120" w:after="120" w:line="460" w:lineRule="exact"/>
        <w:jc w:val="left"/>
        <w:rPr>
          <w:rFonts w:ascii="楷体_GB2312" w:eastAsia="楷体_GB2312"/>
          <w:bCs/>
          <w:sz w:val="24"/>
          <w:szCs w:val="24"/>
        </w:rPr>
      </w:pPr>
      <w:bookmarkStart w:id="673" w:name="_Toc6269"/>
      <w:bookmarkStart w:id="674" w:name="_Toc448911876"/>
      <w:r>
        <w:rPr>
          <w:rFonts w:hint="eastAsia" w:ascii="楷体_GB2312" w:eastAsia="楷体_GB2312"/>
          <w:bCs/>
          <w:sz w:val="24"/>
          <w:szCs w:val="24"/>
        </w:rPr>
        <w:t>1.3法律</w:t>
      </w:r>
      <w:bookmarkEnd w:id="673"/>
      <w:bookmarkEnd w:id="674"/>
    </w:p>
    <w:p>
      <w:pPr>
        <w:spacing w:line="460" w:lineRule="exact"/>
        <w:ind w:firstLine="480" w:firstLineChars="200"/>
        <w:rPr>
          <w:rFonts w:ascii="宋体" w:hAnsi="宋体"/>
          <w:sz w:val="24"/>
          <w:szCs w:val="24"/>
        </w:rPr>
      </w:pPr>
      <w:r>
        <w:rPr>
          <w:rFonts w:hint="eastAsia" w:ascii="宋体" w:hAnsi="宋体" w:cs="华文中宋"/>
          <w:sz w:val="24"/>
          <w:szCs w:val="24"/>
        </w:rPr>
        <w:t>适用于合同的其他规范性文件：</w:t>
      </w:r>
      <w:r>
        <w:rPr>
          <w:rFonts w:hint="eastAsia" w:ascii="宋体" w:hAnsi="宋体" w:cs="华文中宋"/>
          <w:sz w:val="24"/>
          <w:szCs w:val="24"/>
          <w:u w:val="single"/>
        </w:rPr>
        <w:t xml:space="preserve">    （有特殊要求的填写）       </w:t>
      </w:r>
      <w:r>
        <w:rPr>
          <w:rFonts w:hint="eastAsia" w:ascii="宋体" w:hAnsi="宋体" w:cs="华文中宋"/>
          <w:sz w:val="24"/>
          <w:szCs w:val="24"/>
        </w:rPr>
        <w:t>。</w:t>
      </w:r>
    </w:p>
    <w:p>
      <w:pPr>
        <w:keepNext/>
        <w:keepLines/>
        <w:spacing w:before="120" w:after="120" w:line="460" w:lineRule="exact"/>
        <w:jc w:val="left"/>
        <w:rPr>
          <w:rFonts w:ascii="楷体_GB2312" w:eastAsia="楷体_GB2312"/>
          <w:bCs/>
          <w:sz w:val="24"/>
          <w:szCs w:val="24"/>
        </w:rPr>
      </w:pPr>
      <w:bookmarkStart w:id="675" w:name="_Toc448911877"/>
      <w:bookmarkStart w:id="676" w:name="_Toc30493"/>
      <w:r>
        <w:rPr>
          <w:rFonts w:hint="eastAsia" w:ascii="楷体_GB2312" w:eastAsia="楷体_GB2312"/>
          <w:bCs/>
          <w:sz w:val="24"/>
          <w:szCs w:val="24"/>
        </w:rPr>
        <w:t>1.4标准和规范</w:t>
      </w:r>
      <w:bookmarkEnd w:id="675"/>
      <w:bookmarkEnd w:id="676"/>
    </w:p>
    <w:p>
      <w:pPr>
        <w:spacing w:line="460" w:lineRule="exact"/>
        <w:ind w:firstLine="480" w:firstLineChars="200"/>
        <w:rPr>
          <w:rFonts w:ascii="宋体" w:hAnsi="宋体" w:cs="华文中宋"/>
          <w:sz w:val="24"/>
          <w:szCs w:val="24"/>
        </w:rPr>
      </w:pPr>
      <w:r>
        <w:rPr>
          <w:rFonts w:hint="eastAsia" w:ascii="宋体" w:hAnsi="宋体" w:cs="华文中宋"/>
          <w:sz w:val="24"/>
          <w:szCs w:val="24"/>
        </w:rPr>
        <w:t>1.4.1适用于工程的标准规范包括：（有特殊要求的，填写相关标准规范名称） ；</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1.4.3发包人对工程的技术标准和功能要求的特殊要求：（发包人要求严于或高于现行国家、行业或地方标准的，填写相关要求） 。</w:t>
      </w:r>
    </w:p>
    <w:p>
      <w:pPr>
        <w:keepNext/>
        <w:keepLines/>
        <w:spacing w:before="120" w:after="120" w:line="460" w:lineRule="exact"/>
        <w:jc w:val="left"/>
        <w:rPr>
          <w:rFonts w:ascii="楷体_GB2312" w:eastAsia="楷体_GB2312"/>
          <w:bCs/>
          <w:sz w:val="24"/>
          <w:szCs w:val="24"/>
        </w:rPr>
      </w:pPr>
      <w:bookmarkStart w:id="677" w:name="_Toc448911878"/>
      <w:bookmarkStart w:id="678" w:name="_Toc31016"/>
      <w:r>
        <w:rPr>
          <w:rFonts w:hint="eastAsia" w:ascii="楷体_GB2312" w:eastAsia="楷体_GB2312"/>
          <w:bCs/>
          <w:sz w:val="24"/>
          <w:szCs w:val="24"/>
        </w:rPr>
        <w:t>1.5 合同文件的优先顺序</w:t>
      </w:r>
      <w:bookmarkEnd w:id="677"/>
      <w:bookmarkEnd w:id="678"/>
    </w:p>
    <w:p>
      <w:pPr>
        <w:spacing w:line="460" w:lineRule="exact"/>
        <w:ind w:firstLine="480" w:firstLineChars="200"/>
        <w:rPr>
          <w:rFonts w:ascii="宋体" w:hAnsi="宋体" w:cs="华文中宋"/>
          <w:sz w:val="24"/>
          <w:szCs w:val="24"/>
        </w:rPr>
      </w:pPr>
      <w:r>
        <w:rPr>
          <w:rFonts w:hint="eastAsia" w:ascii="宋体" w:hAnsi="宋体" w:cs="华文中宋"/>
          <w:sz w:val="24"/>
          <w:szCs w:val="24"/>
        </w:rPr>
        <w:t>合同文件组成及优先顺序为：（1）合同协议书；（2）中标通知书；（3）投标函及投标函附录；（4）专用合同条款；（5）通用合同条款；（6）技术标准和要求；（7）其他合同文件。</w:t>
      </w:r>
    </w:p>
    <w:p>
      <w:pPr>
        <w:adjustRightInd w:val="0"/>
        <w:snapToGrid w:val="0"/>
        <w:spacing w:line="460" w:lineRule="exact"/>
        <w:rPr>
          <w:rFonts w:ascii="仿宋_GB2312" w:eastAsia="仿宋_GB2312"/>
          <w:sz w:val="24"/>
          <w:szCs w:val="24"/>
        </w:rPr>
      </w:pPr>
    </w:p>
    <w:p>
      <w:pPr>
        <w:keepNext/>
        <w:keepLines/>
        <w:spacing w:before="120" w:after="120" w:line="460" w:lineRule="exact"/>
        <w:jc w:val="left"/>
        <w:rPr>
          <w:rFonts w:ascii="楷体_GB2312" w:eastAsia="楷体_GB2312"/>
          <w:bCs/>
          <w:sz w:val="24"/>
          <w:szCs w:val="24"/>
        </w:rPr>
      </w:pPr>
      <w:bookmarkStart w:id="679" w:name="_Toc532553132"/>
      <w:bookmarkStart w:id="680" w:name="_Toc509302667"/>
      <w:bookmarkStart w:id="681" w:name="_Toc478373433"/>
      <w:bookmarkStart w:id="682" w:name="_Toc532553058"/>
      <w:bookmarkStart w:id="683" w:name="_Toc478380037"/>
      <w:bookmarkStart w:id="684" w:name="_Toc531850352"/>
      <w:r>
        <w:rPr>
          <w:rFonts w:hint="eastAsia" w:ascii="楷体_GB2312" w:eastAsia="楷体_GB2312"/>
          <w:bCs/>
          <w:sz w:val="24"/>
          <w:szCs w:val="24"/>
        </w:rPr>
        <w:t>2. 乙方的义务</w:t>
      </w:r>
      <w:bookmarkEnd w:id="679"/>
      <w:bookmarkEnd w:id="680"/>
      <w:bookmarkEnd w:id="681"/>
      <w:bookmarkEnd w:id="682"/>
      <w:bookmarkEnd w:id="683"/>
      <w:bookmarkEnd w:id="684"/>
    </w:p>
    <w:p>
      <w:pPr>
        <w:spacing w:line="460" w:lineRule="exact"/>
        <w:ind w:firstLine="482" w:firstLineChars="200"/>
        <w:rPr>
          <w:rFonts w:ascii="楷体_GB2312" w:hAnsi="宋体" w:eastAsia="楷体_GB2312" w:cs="宋体"/>
          <w:b/>
          <w:kern w:val="0"/>
          <w:sz w:val="24"/>
          <w:szCs w:val="24"/>
        </w:rPr>
      </w:pPr>
      <w:r>
        <w:rPr>
          <w:rFonts w:hint="eastAsia" w:ascii="楷体_GB2312" w:hAnsi="宋体" w:eastAsia="楷体_GB2312" w:cs="宋体"/>
          <w:b/>
          <w:kern w:val="0"/>
          <w:sz w:val="24"/>
          <w:szCs w:val="24"/>
        </w:rPr>
        <w:t>2.1</w:t>
      </w:r>
      <w:r>
        <w:rPr>
          <w:rFonts w:hint="eastAsia" w:ascii="楷体" w:hAnsi="楷体" w:eastAsia="楷体" w:cs="宋体"/>
          <w:b/>
          <w:kern w:val="0"/>
          <w:sz w:val="24"/>
          <w:szCs w:val="24"/>
        </w:rPr>
        <w:t>全过程工程咨询依据</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2.1.1 依据包括：</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1）全过程工程咨询依据包括：国家、军队、安徽省现行法律法规、标准规范，以及工程所在国与所在地的法律法规、标准规范；甲方提供的立项文件、合同文件、技术标准、指示要求等。适用于本合同的法律包括中华人民共和国法律法规，中国人民解放军法规规章，以及工程所在国与所在地的法律法规规章。国家部委、地方政府及行业规章、标准规范与军队规定矛盾的，按照军队规定执行。</w:t>
      </w:r>
    </w:p>
    <w:p>
      <w:pPr>
        <w:adjustRightInd w:val="0"/>
        <w:snapToGrid w:val="0"/>
        <w:spacing w:line="460" w:lineRule="exact"/>
        <w:ind w:firstLine="482" w:firstLineChars="200"/>
        <w:rPr>
          <w:rFonts w:ascii="仿宋_GB2312" w:eastAsia="仿宋_GB2312" w:cs="宋体"/>
          <w:sz w:val="24"/>
          <w:szCs w:val="24"/>
        </w:rPr>
      </w:pPr>
      <w:r>
        <w:rPr>
          <w:rFonts w:hint="eastAsia" w:ascii="楷体_GB2312" w:hAnsi="宋体" w:eastAsia="楷体_GB2312" w:cs="宋体"/>
          <w:b/>
          <w:kern w:val="0"/>
          <w:sz w:val="24"/>
          <w:szCs w:val="24"/>
        </w:rPr>
        <w:t>2.2 全过程工程咨询机构和人员</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2</w:t>
      </w:r>
      <w:r>
        <w:rPr>
          <w:rFonts w:ascii="宋体" w:hAnsi="宋体" w:cs="华文中宋"/>
          <w:sz w:val="24"/>
          <w:szCs w:val="24"/>
        </w:rPr>
        <w:t>.</w:t>
      </w:r>
      <w:r>
        <w:rPr>
          <w:rFonts w:hint="eastAsia" w:ascii="宋体" w:hAnsi="宋体" w:cs="华文中宋"/>
          <w:sz w:val="24"/>
          <w:szCs w:val="24"/>
        </w:rPr>
        <w:t>2.1 全过程工程咨询机构人员配备见附录1。</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2.2.4 更换乙方员的其他情形：未经甲方或甲方代表书面同意，乙方不得减少、替换全过程工程咨询机构人员。更换全过程工程咨询机构总咨询师、项目支部书记、副总咨询师、总工程师、各专业咨询服务负责人（全过程工程咨询机构主要管理人员，下同）的，由甲方批准，更换其他人员的，由甲方代表批准并报甲方备案。担任本项目全过程工程咨询机构各岗位人员的资格、学历、职称、业绩等须符合工程及相应岗位要求，接受甲方和质量监督部门的审查考核。</w:t>
      </w:r>
    </w:p>
    <w:p>
      <w:pPr>
        <w:spacing w:line="460" w:lineRule="exact"/>
        <w:ind w:firstLine="482" w:firstLineChars="200"/>
        <w:rPr>
          <w:rFonts w:ascii="楷体_GB2312" w:hAnsi="宋体" w:eastAsia="楷体_GB2312" w:cs="宋体"/>
          <w:b/>
          <w:kern w:val="0"/>
          <w:sz w:val="24"/>
          <w:szCs w:val="24"/>
        </w:rPr>
      </w:pPr>
      <w:r>
        <w:rPr>
          <w:rFonts w:hint="eastAsia" w:ascii="楷体_GB2312" w:hAnsi="宋体" w:eastAsia="楷体_GB2312" w:cs="宋体"/>
          <w:b/>
          <w:kern w:val="0"/>
          <w:sz w:val="24"/>
          <w:szCs w:val="24"/>
        </w:rPr>
        <w:t>2.3 履行职责</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2.3.1 全过程工程咨询总咨询师职责：（1）本项目乙方的授权代理人、总负责人、总联系人、总协调人；（2）领导管理全过程工程咨询机构，明确各部门各岗位工作职责，建立全过程工程咨询工作制度，主持编制全过程工程咨询实施方案；（3）其他合同约定的职责和甲方明确的与实施工程相关的职责。</w:t>
      </w:r>
    </w:p>
    <w:p>
      <w:pPr>
        <w:spacing w:line="460" w:lineRule="exact"/>
        <w:ind w:firstLine="482" w:firstLineChars="200"/>
        <w:rPr>
          <w:rFonts w:ascii="楷体_GB2312" w:hAnsi="宋体" w:eastAsia="楷体_GB2312" w:cs="宋体"/>
          <w:b/>
          <w:kern w:val="0"/>
          <w:sz w:val="24"/>
          <w:szCs w:val="24"/>
        </w:rPr>
      </w:pPr>
      <w:r>
        <w:rPr>
          <w:rFonts w:hint="eastAsia" w:ascii="楷体_GB2312" w:hAnsi="宋体" w:eastAsia="楷体_GB2312" w:cs="宋体"/>
          <w:b/>
          <w:kern w:val="0"/>
          <w:sz w:val="24"/>
          <w:szCs w:val="24"/>
        </w:rPr>
        <w:t>2.4提交报告</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乙方应提交报告的种类、时间和份数：（1）确定为本项目乙方后7天内，提交全过程工程咨询总体实施方案，并在签订合同后按照甲方要求和项目实际情况修改完善。（2）月度工作报告，在当月25日前提交，总结上月21日至本月20日工作情况，因节假日或甲方工作需要调整提交时间的按甲方指示执行。</w:t>
      </w:r>
      <w:r>
        <w:rPr>
          <w:rFonts w:ascii="宋体" w:hAnsi="宋体" w:cs="华文中宋"/>
          <w:sz w:val="24"/>
          <w:szCs w:val="24"/>
        </w:rPr>
        <w:t>专项</w:t>
      </w:r>
      <w:r>
        <w:rPr>
          <w:rFonts w:hint="eastAsia" w:ascii="宋体" w:hAnsi="宋体" w:cs="华文中宋"/>
          <w:sz w:val="24"/>
          <w:szCs w:val="24"/>
        </w:rPr>
        <w:t>报告根据甲方书面要求的内容和时间提交。（3）每次发出整改通知等材料后，按照甲方指示要求提交相关材料。（4）本工程竣工验收合格后15日内，向甲方提交完整准确且符合竣工验收备案要求的全过程工程咨询及其他相关资料。（5）在甲方指定期限内提交甲方认为应当提交的其他资料。如无特别说明，乙方向甲方提交各类资料时，应提供纸质版4份，电子版1份。根据实际工作需要，甲方也可以要求乙方增加提供文件资料份数。</w:t>
      </w:r>
    </w:p>
    <w:p>
      <w:pPr>
        <w:keepNext/>
        <w:keepLines/>
        <w:spacing w:before="120" w:after="120" w:line="460" w:lineRule="exact"/>
        <w:jc w:val="left"/>
        <w:rPr>
          <w:rFonts w:ascii="楷体_GB2312" w:eastAsia="楷体_GB2312"/>
          <w:bCs/>
          <w:sz w:val="24"/>
          <w:szCs w:val="24"/>
        </w:rPr>
      </w:pPr>
      <w:bookmarkStart w:id="685" w:name="_Toc532553059"/>
      <w:bookmarkStart w:id="686" w:name="_Toc478380038"/>
      <w:bookmarkStart w:id="687" w:name="_Toc478373434"/>
      <w:bookmarkStart w:id="688" w:name="_Toc531850353"/>
      <w:bookmarkStart w:id="689" w:name="_Toc509302668"/>
      <w:bookmarkStart w:id="690" w:name="_Toc532553133"/>
      <w:r>
        <w:rPr>
          <w:rFonts w:hint="eastAsia" w:ascii="楷体_GB2312" w:eastAsia="楷体_GB2312"/>
          <w:bCs/>
          <w:sz w:val="24"/>
          <w:szCs w:val="24"/>
        </w:rPr>
        <w:t>3. 甲方的义务</w:t>
      </w:r>
      <w:bookmarkEnd w:id="685"/>
      <w:bookmarkEnd w:id="686"/>
      <w:bookmarkEnd w:id="687"/>
      <w:bookmarkEnd w:id="688"/>
      <w:bookmarkEnd w:id="689"/>
      <w:bookmarkEnd w:id="690"/>
      <w:r>
        <w:rPr>
          <w:rFonts w:hint="eastAsia" w:ascii="楷体_GB2312" w:eastAsia="楷体_GB2312"/>
          <w:bCs/>
          <w:sz w:val="24"/>
          <w:szCs w:val="24"/>
        </w:rPr>
        <w:t xml:space="preserve">  </w:t>
      </w:r>
    </w:p>
    <w:p>
      <w:pPr>
        <w:spacing w:line="460" w:lineRule="exact"/>
        <w:ind w:firstLine="482" w:firstLineChars="200"/>
        <w:rPr>
          <w:rFonts w:ascii="楷体_GB2312" w:hAnsi="宋体" w:eastAsia="楷体_GB2312" w:cs="宋体"/>
          <w:b/>
          <w:kern w:val="0"/>
          <w:sz w:val="24"/>
          <w:szCs w:val="24"/>
        </w:rPr>
      </w:pPr>
      <w:r>
        <w:rPr>
          <w:rFonts w:hint="eastAsia" w:ascii="楷体_GB2312" w:hAnsi="宋体" w:eastAsia="楷体_GB2312" w:cs="宋体"/>
          <w:b/>
          <w:kern w:val="0"/>
          <w:sz w:val="24"/>
          <w:szCs w:val="24"/>
        </w:rPr>
        <w:t>3.1 提供资料</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签订合同生效时，甲方应按照下表无偿向乙方提供工程有关的资料：</w:t>
      </w:r>
    </w:p>
    <w:p>
      <w:pPr>
        <w:spacing w:line="460" w:lineRule="exact"/>
        <w:jc w:val="center"/>
        <w:rPr>
          <w:rFonts w:ascii="楷体_GB2312" w:hAnsi="宋体" w:eastAsia="楷体_GB2312" w:cs="宋体"/>
          <w:b/>
          <w:kern w:val="0"/>
          <w:sz w:val="24"/>
          <w:szCs w:val="24"/>
        </w:rPr>
      </w:pPr>
      <w:r>
        <w:rPr>
          <w:rFonts w:hint="eastAsia" w:ascii="楷体_GB2312" w:hAnsi="宋体" w:eastAsia="楷体_GB2312" w:cs="宋体"/>
          <w:b/>
          <w:kern w:val="0"/>
          <w:sz w:val="24"/>
          <w:szCs w:val="24"/>
        </w:rPr>
        <w:t>甲方提供的资料</w:t>
      </w:r>
    </w:p>
    <w:tbl>
      <w:tblPr>
        <w:tblStyle w:val="8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91"/>
        <w:gridCol w:w="2148"/>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vAlign w:val="center"/>
          </w:tcPr>
          <w:p>
            <w:pPr>
              <w:adjustRightInd w:val="0"/>
              <w:snapToGrid w:val="0"/>
              <w:jc w:val="center"/>
              <w:rPr>
                <w:rFonts w:ascii="黑体" w:hAnsi="黑体" w:eastAsia="黑体" w:cs="宋体"/>
                <w:sz w:val="24"/>
                <w:szCs w:val="24"/>
              </w:rPr>
            </w:pPr>
            <w:r>
              <w:rPr>
                <w:rFonts w:hint="eastAsia" w:ascii="黑体" w:hAnsi="黑体" w:eastAsia="黑体" w:cs="宋体"/>
                <w:sz w:val="24"/>
                <w:szCs w:val="24"/>
              </w:rPr>
              <w:t>名称</w:t>
            </w:r>
          </w:p>
        </w:tc>
        <w:tc>
          <w:tcPr>
            <w:tcW w:w="1491" w:type="dxa"/>
            <w:vAlign w:val="center"/>
          </w:tcPr>
          <w:p>
            <w:pPr>
              <w:adjustRightInd w:val="0"/>
              <w:snapToGrid w:val="0"/>
              <w:jc w:val="center"/>
              <w:rPr>
                <w:rFonts w:ascii="黑体" w:hAnsi="黑体" w:eastAsia="黑体" w:cs="宋体"/>
                <w:sz w:val="24"/>
                <w:szCs w:val="24"/>
              </w:rPr>
            </w:pPr>
            <w:r>
              <w:rPr>
                <w:rFonts w:hint="eastAsia" w:ascii="黑体" w:hAnsi="黑体" w:eastAsia="黑体" w:cs="宋体"/>
                <w:sz w:val="24"/>
                <w:szCs w:val="24"/>
              </w:rPr>
              <w:t>份数</w:t>
            </w:r>
          </w:p>
        </w:tc>
        <w:tc>
          <w:tcPr>
            <w:tcW w:w="2148" w:type="dxa"/>
            <w:vAlign w:val="center"/>
          </w:tcPr>
          <w:p>
            <w:pPr>
              <w:adjustRightInd w:val="0"/>
              <w:snapToGrid w:val="0"/>
              <w:jc w:val="center"/>
              <w:rPr>
                <w:rFonts w:ascii="黑体" w:hAnsi="黑体" w:eastAsia="黑体" w:cs="宋体"/>
                <w:sz w:val="24"/>
                <w:szCs w:val="24"/>
              </w:rPr>
            </w:pPr>
            <w:r>
              <w:rPr>
                <w:rFonts w:hint="eastAsia" w:ascii="黑体" w:hAnsi="黑体" w:eastAsia="黑体" w:cs="宋体"/>
                <w:sz w:val="24"/>
                <w:szCs w:val="24"/>
              </w:rPr>
              <w:t>提供时间</w:t>
            </w:r>
          </w:p>
        </w:tc>
        <w:tc>
          <w:tcPr>
            <w:tcW w:w="2081" w:type="dxa"/>
            <w:vAlign w:val="center"/>
          </w:tcPr>
          <w:p>
            <w:pPr>
              <w:adjustRightInd w:val="0"/>
              <w:snapToGrid w:val="0"/>
              <w:jc w:val="center"/>
              <w:rPr>
                <w:rFonts w:ascii="黑体" w:hAnsi="黑体" w:eastAsia="黑体" w:cs="宋体"/>
                <w:sz w:val="24"/>
                <w:szCs w:val="24"/>
              </w:rPr>
            </w:pPr>
            <w:r>
              <w:rPr>
                <w:rFonts w:hint="eastAsia" w:ascii="黑体" w:hAnsi="黑体" w:eastAsia="黑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pPr>
              <w:snapToGrid w:val="0"/>
              <w:spacing w:line="460" w:lineRule="exact"/>
              <w:rPr>
                <w:rFonts w:ascii="仿宋_GB2312" w:eastAsia="仿宋_GB2312"/>
                <w:kern w:val="0"/>
                <w:sz w:val="24"/>
                <w:szCs w:val="24"/>
              </w:rPr>
            </w:pPr>
            <w:r>
              <w:rPr>
                <w:rFonts w:hint="eastAsia" w:ascii="仿宋_GB2312" w:hAnsi="宋体" w:eastAsia="仿宋_GB2312"/>
                <w:kern w:val="0"/>
                <w:sz w:val="24"/>
                <w:szCs w:val="24"/>
              </w:rPr>
              <w:t>工程立项文件</w:t>
            </w:r>
          </w:p>
        </w:tc>
        <w:tc>
          <w:tcPr>
            <w:tcW w:w="1491" w:type="dxa"/>
            <w:vAlign w:val="center"/>
          </w:tcPr>
          <w:p>
            <w:pPr>
              <w:snapToGrid w:val="0"/>
              <w:spacing w:line="460" w:lineRule="exact"/>
              <w:jc w:val="center"/>
              <w:rPr>
                <w:rFonts w:ascii="仿宋_GB2312" w:eastAsia="仿宋_GB2312"/>
                <w:kern w:val="0"/>
                <w:sz w:val="24"/>
                <w:szCs w:val="24"/>
              </w:rPr>
            </w:pPr>
          </w:p>
        </w:tc>
        <w:tc>
          <w:tcPr>
            <w:tcW w:w="2148" w:type="dxa"/>
            <w:vAlign w:val="center"/>
          </w:tcPr>
          <w:p>
            <w:pPr>
              <w:snapToGrid w:val="0"/>
              <w:spacing w:line="460" w:lineRule="exact"/>
              <w:rPr>
                <w:rFonts w:ascii="仿宋_GB2312" w:eastAsia="仿宋_GB2312"/>
                <w:kern w:val="0"/>
                <w:sz w:val="24"/>
                <w:szCs w:val="24"/>
              </w:rPr>
            </w:pPr>
          </w:p>
        </w:tc>
        <w:tc>
          <w:tcPr>
            <w:tcW w:w="2081" w:type="dxa"/>
            <w:vMerge w:val="restart"/>
            <w:vAlign w:val="center"/>
          </w:tcPr>
          <w:p>
            <w:pPr>
              <w:snapToGrid w:val="0"/>
              <w:spacing w:line="360" w:lineRule="exact"/>
              <w:rPr>
                <w:rFonts w:ascii="仿宋_GB2312" w:eastAsia="仿宋_GB2312"/>
                <w:kern w:val="0"/>
                <w:sz w:val="24"/>
                <w:szCs w:val="24"/>
              </w:rPr>
            </w:pPr>
            <w:r>
              <w:rPr>
                <w:rFonts w:hint="eastAsia" w:ascii="仿宋_GB2312" w:eastAsia="仿宋_GB2312"/>
                <w:kern w:val="0"/>
                <w:sz w:val="24"/>
                <w:szCs w:val="24"/>
              </w:rPr>
              <w:t>所需资料根据具体项目情况确定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pPr>
              <w:snapToGrid w:val="0"/>
              <w:spacing w:line="460" w:lineRule="exact"/>
              <w:rPr>
                <w:rFonts w:ascii="仿宋_GB2312" w:eastAsia="仿宋_GB2312"/>
                <w:kern w:val="0"/>
                <w:sz w:val="24"/>
                <w:szCs w:val="24"/>
              </w:rPr>
            </w:pPr>
            <w:r>
              <w:rPr>
                <w:rFonts w:hint="eastAsia" w:ascii="仿宋_GB2312" w:eastAsia="仿宋_GB2312"/>
                <w:sz w:val="24"/>
                <w:szCs w:val="24"/>
              </w:rPr>
              <w:t>……</w:t>
            </w:r>
          </w:p>
        </w:tc>
        <w:tc>
          <w:tcPr>
            <w:tcW w:w="1491" w:type="dxa"/>
            <w:vAlign w:val="center"/>
          </w:tcPr>
          <w:p>
            <w:pPr>
              <w:snapToGrid w:val="0"/>
              <w:spacing w:line="460" w:lineRule="exact"/>
              <w:rPr>
                <w:rFonts w:ascii="仿宋_GB2312" w:eastAsia="仿宋_GB2312"/>
                <w:kern w:val="0"/>
                <w:sz w:val="24"/>
                <w:szCs w:val="24"/>
              </w:rPr>
            </w:pPr>
          </w:p>
        </w:tc>
        <w:tc>
          <w:tcPr>
            <w:tcW w:w="2148" w:type="dxa"/>
            <w:vAlign w:val="center"/>
          </w:tcPr>
          <w:p>
            <w:pPr>
              <w:snapToGrid w:val="0"/>
              <w:spacing w:line="460" w:lineRule="exact"/>
              <w:rPr>
                <w:rFonts w:ascii="仿宋_GB2312" w:eastAsia="仿宋_GB2312"/>
                <w:kern w:val="0"/>
                <w:sz w:val="24"/>
                <w:szCs w:val="24"/>
              </w:rPr>
            </w:pPr>
          </w:p>
        </w:tc>
        <w:tc>
          <w:tcPr>
            <w:tcW w:w="2081" w:type="dxa"/>
            <w:vMerge w:val="continue"/>
            <w:vAlign w:val="center"/>
          </w:tcPr>
          <w:p>
            <w:pPr>
              <w:snapToGrid w:val="0"/>
              <w:spacing w:line="460" w:lineRule="exact"/>
              <w:rPr>
                <w:rFonts w:ascii="仿宋_GB2312" w:eastAsia="仿宋_GB2312"/>
                <w:kern w:val="0"/>
                <w:sz w:val="24"/>
                <w:szCs w:val="24"/>
              </w:rPr>
            </w:pPr>
          </w:p>
        </w:tc>
      </w:tr>
    </w:tbl>
    <w:p>
      <w:pPr>
        <w:spacing w:line="460" w:lineRule="exact"/>
        <w:ind w:firstLine="482" w:firstLineChars="200"/>
        <w:rPr>
          <w:rFonts w:ascii="楷体_GB2312" w:hAnsi="宋体" w:eastAsia="楷体_GB2312" w:cs="宋体"/>
          <w:b/>
          <w:kern w:val="0"/>
          <w:sz w:val="24"/>
          <w:szCs w:val="24"/>
        </w:rPr>
      </w:pPr>
      <w:r>
        <w:rPr>
          <w:rFonts w:hint="eastAsia" w:ascii="楷体_GB2312" w:hAnsi="宋体" w:eastAsia="楷体_GB2312" w:cs="宋体"/>
          <w:b/>
          <w:kern w:val="0"/>
          <w:sz w:val="24"/>
          <w:szCs w:val="24"/>
        </w:rPr>
        <w:t>3.2 甲方代表</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甲方代表为：</w:t>
      </w:r>
      <w:r>
        <w:rPr>
          <w:rFonts w:hint="eastAsia" w:ascii="宋体" w:hAnsi="宋体" w:cs="华文中宋"/>
          <w:sz w:val="24"/>
          <w:szCs w:val="24"/>
          <w:u w:val="single"/>
        </w:rPr>
        <w:t xml:space="preserve"> </w:t>
      </w:r>
      <w:r>
        <w:rPr>
          <w:rFonts w:ascii="宋体" w:hAnsi="宋体" w:cs="华文中宋"/>
          <w:sz w:val="24"/>
          <w:szCs w:val="24"/>
          <w:u w:val="single"/>
        </w:rPr>
        <w:t xml:space="preserve">  </w:t>
      </w:r>
      <w:r>
        <w:rPr>
          <w:rFonts w:hint="eastAsia" w:ascii="宋体" w:hAnsi="宋体" w:cs="华文中宋"/>
          <w:sz w:val="24"/>
          <w:szCs w:val="24"/>
          <w:u w:val="single"/>
        </w:rPr>
        <w:t xml:space="preserve">          </w:t>
      </w:r>
      <w:r>
        <w:rPr>
          <w:rFonts w:hint="eastAsia" w:ascii="宋体" w:hAnsi="宋体" w:cs="华文中宋"/>
          <w:sz w:val="24"/>
          <w:szCs w:val="24"/>
        </w:rPr>
        <w:t xml:space="preserve">                              。</w:t>
      </w:r>
    </w:p>
    <w:p>
      <w:pPr>
        <w:keepNext/>
        <w:keepLines/>
        <w:spacing w:before="120" w:after="120" w:line="460" w:lineRule="exact"/>
        <w:jc w:val="left"/>
        <w:rPr>
          <w:rFonts w:ascii="楷体_GB2312" w:eastAsia="楷体_GB2312"/>
          <w:bCs/>
          <w:sz w:val="24"/>
          <w:szCs w:val="24"/>
        </w:rPr>
      </w:pPr>
      <w:bookmarkStart w:id="691" w:name="_Toc509302674"/>
      <w:bookmarkStart w:id="692" w:name="_Toc478380039"/>
      <w:bookmarkStart w:id="693" w:name="_Toc532553134"/>
      <w:bookmarkStart w:id="694" w:name="_Toc531850354"/>
      <w:bookmarkStart w:id="695" w:name="_Toc532553060"/>
      <w:bookmarkStart w:id="696" w:name="_Toc478373435"/>
      <w:r>
        <w:rPr>
          <w:rFonts w:ascii="楷体_GB2312" w:eastAsia="楷体_GB2312"/>
          <w:bCs/>
          <w:sz w:val="24"/>
          <w:szCs w:val="24"/>
        </w:rPr>
        <w:t xml:space="preserve">4. </w:t>
      </w:r>
      <w:r>
        <w:rPr>
          <w:rFonts w:hint="eastAsia" w:ascii="楷体_GB2312" w:eastAsia="楷体_GB2312"/>
          <w:bCs/>
          <w:sz w:val="24"/>
          <w:szCs w:val="24"/>
        </w:rPr>
        <w:t>违约责任</w:t>
      </w:r>
      <w:bookmarkEnd w:id="691"/>
      <w:bookmarkEnd w:id="692"/>
      <w:bookmarkEnd w:id="693"/>
      <w:bookmarkEnd w:id="694"/>
      <w:bookmarkEnd w:id="695"/>
      <w:bookmarkEnd w:id="696"/>
    </w:p>
    <w:p>
      <w:pPr>
        <w:spacing w:line="460" w:lineRule="exact"/>
        <w:ind w:firstLine="482" w:firstLineChars="200"/>
        <w:rPr>
          <w:rFonts w:ascii="楷体_GB2312" w:hAnsi="宋体" w:eastAsia="楷体_GB2312" w:cs="宋体"/>
          <w:b/>
          <w:kern w:val="0"/>
          <w:sz w:val="24"/>
          <w:szCs w:val="24"/>
        </w:rPr>
      </w:pPr>
      <w:r>
        <w:rPr>
          <w:rFonts w:hint="eastAsia" w:ascii="楷体_GB2312" w:hAnsi="宋体" w:eastAsia="楷体_GB2312" w:cs="宋体"/>
          <w:b/>
          <w:kern w:val="0"/>
          <w:sz w:val="24"/>
          <w:szCs w:val="24"/>
        </w:rPr>
        <w:t>4.1 甲方的违约责任</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因甲方原因导致全过程阶段成果文件编制进度延误低于 20 天的，甲方可书面递交延期申请，经甲方书面批准后，继续履行本合同；超过 20 天的，咨询人可申请解除本合同，并要求甲方对已完成工作量予以结算。</w:t>
      </w:r>
    </w:p>
    <w:p>
      <w:pPr>
        <w:spacing w:line="460" w:lineRule="exact"/>
        <w:ind w:firstLine="482" w:firstLineChars="200"/>
        <w:rPr>
          <w:rFonts w:ascii="宋体" w:hAnsi="宋体" w:cs="华文中宋"/>
          <w:b/>
          <w:bCs/>
          <w:sz w:val="24"/>
          <w:szCs w:val="24"/>
        </w:rPr>
      </w:pPr>
      <w:r>
        <w:rPr>
          <w:rFonts w:hint="eastAsia" w:ascii="宋体" w:hAnsi="宋体" w:cs="华文中宋"/>
          <w:b/>
          <w:bCs/>
          <w:sz w:val="24"/>
          <w:szCs w:val="24"/>
        </w:rPr>
        <w:t>4.2 乙方方违约责任</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以下处罚分项累计计算，不设上限，甲方有权从合同价款中直接扣除。因乙方违约造成甲方经济损失的，乙方还需继续承担赔偿责任，甲方可从合同价款中直接扣除。</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4.2.1 进度延误违约责任</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进度延误以提交甲方审核前，定稿的阶段成果文件交付时间延误为进度延误衡量标准。除经甲方书面批准的延期申请，其他进度延误问题均由乙方自行承担，甲方可视情对乙方处以罚款，计算方式为每延期一天，扣除合同价的 2 % 。</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4.2.2 技术质量违约责任</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①若全过程工程咨询服务任何一项成果文件经复核误差率超过3%，超出3%部分的审核绩效费用由乙方支付，甲方可根据乙方后期工作完成情况扣除合同价的20%～50%。</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②若全过程工程咨询服务任何一项成果文件出现遗漏、错误，导致后期需变更签证，引起施工费用增加超过施工合同总价5%的部分，由乙方承担100% .</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③因乙方原因造成工程质量事故，所引发的损失由乙方承担，甲方有权扣除直接受损失部分的全过程工程咨询费。</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4.2.3 服务承诺违约责任</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①乙方未经甲方书面批准，擅自更换乙方代表的，按每次合同价10%处以罚款。</w:t>
      </w:r>
    </w:p>
    <w:p>
      <w:pPr>
        <w:spacing w:line="460" w:lineRule="exact"/>
        <w:ind w:firstLine="480" w:firstLineChars="200"/>
        <w:rPr>
          <w:rFonts w:ascii="宋体" w:hAnsi="宋体" w:cs="华文中宋"/>
          <w:sz w:val="24"/>
          <w:szCs w:val="24"/>
        </w:rPr>
      </w:pPr>
      <w:r>
        <w:rPr>
          <w:rFonts w:hint="eastAsia" w:ascii="宋体" w:hAnsi="宋体" w:cs="华文中宋"/>
          <w:sz w:val="24"/>
          <w:szCs w:val="24"/>
        </w:rPr>
        <w:t>②乙方违反乙方义务，出现拒绝到场办公、提供技术咨询等情况的，甲方可对乙方处以合同价10% - 70% 的罚款，情节严重的，甲方可拒付全过程工程咨询费，并追究其法律责任。</w:t>
      </w:r>
    </w:p>
    <w:p>
      <w:pPr>
        <w:spacing w:line="460" w:lineRule="exact"/>
        <w:ind w:firstLine="480" w:firstLineChars="200"/>
        <w:rPr>
          <w:rFonts w:ascii="仿宋_GB2312" w:hAnsi="宋体" w:eastAsia="仿宋_GB2312" w:cs="宋体"/>
          <w:sz w:val="24"/>
          <w:szCs w:val="24"/>
        </w:rPr>
      </w:pPr>
      <w:r>
        <w:rPr>
          <w:rFonts w:hint="eastAsia" w:ascii="宋体" w:hAnsi="宋体" w:cs="华文中宋"/>
          <w:sz w:val="24"/>
          <w:szCs w:val="24"/>
        </w:rPr>
        <w:t>③因乙方保管不善，致使甲方提供的文件资料泄露或丢失，或乙方未经甲方书面同意，擅自向第三人泄露、转让甲方具有知识产权的文件和资料的，甲方可对乙方处以合同价 10 % - 70 %的罚款，情节严重的，甲方可拒付全过程工程咨询服务费，并追究</w:t>
      </w:r>
      <w:r>
        <w:rPr>
          <w:rFonts w:hint="eastAsia" w:ascii="仿宋_GB2312" w:hAnsi="宋体" w:eastAsia="仿宋_GB2312" w:cs="宋体"/>
          <w:sz w:val="24"/>
          <w:szCs w:val="24"/>
        </w:rPr>
        <w:t>其法律责任。</w:t>
      </w:r>
    </w:p>
    <w:p>
      <w:pPr>
        <w:spacing w:line="460" w:lineRule="exact"/>
        <w:ind w:firstLine="482" w:firstLineChars="200"/>
        <w:rPr>
          <w:rFonts w:ascii="宋体" w:hAnsi="宋体" w:cs="华文中宋"/>
          <w:sz w:val="24"/>
          <w:szCs w:val="24"/>
        </w:rPr>
      </w:pPr>
      <w:r>
        <w:rPr>
          <w:rFonts w:ascii="宋体" w:hAnsi="宋体" w:cs="华文中宋"/>
          <w:b/>
          <w:sz w:val="24"/>
          <w:szCs w:val="24"/>
        </w:rPr>
        <w:t>4.2.4具体的罚款细则详见招标人有关制度规定，见附件；招标人拥有最终解释权。</w:t>
      </w:r>
    </w:p>
    <w:p>
      <w:pPr>
        <w:spacing w:line="460" w:lineRule="exac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5. </w:t>
      </w:r>
      <w:bookmarkStart w:id="697" w:name="_Toc522389771"/>
      <w:bookmarkStart w:id="698" w:name="_Toc532553073"/>
      <w:bookmarkStart w:id="699" w:name="_Toc509302702"/>
      <w:bookmarkStart w:id="700" w:name="_Toc521351583"/>
      <w:bookmarkStart w:id="701" w:name="_Toc532553147"/>
      <w:bookmarkStart w:id="702" w:name="_Toc531850367"/>
      <w:r>
        <w:rPr>
          <w:rFonts w:hint="eastAsia" w:ascii="仿宋_GB2312" w:hAnsi="宋体" w:eastAsia="仿宋_GB2312" w:cs="宋体"/>
          <w:sz w:val="24"/>
          <w:szCs w:val="24"/>
        </w:rPr>
        <w:t>相关要求</w:t>
      </w:r>
    </w:p>
    <w:bookmarkEnd w:id="697"/>
    <w:bookmarkEnd w:id="698"/>
    <w:bookmarkEnd w:id="699"/>
    <w:bookmarkEnd w:id="700"/>
    <w:bookmarkEnd w:id="701"/>
    <w:bookmarkEnd w:id="702"/>
    <w:p>
      <w:pPr>
        <w:spacing w:line="460" w:lineRule="exact"/>
        <w:ind w:firstLine="480" w:firstLineChars="200"/>
        <w:rPr>
          <w:rFonts w:ascii="宋体" w:hAnsi="宋体" w:cs="华文中宋"/>
          <w:sz w:val="24"/>
          <w:szCs w:val="24"/>
        </w:rPr>
      </w:pPr>
      <w:r>
        <w:rPr>
          <w:rFonts w:hint="eastAsia" w:ascii="宋体" w:hAnsi="宋体" w:cs="华文中宋"/>
          <w:sz w:val="24"/>
          <w:szCs w:val="24"/>
        </w:rPr>
        <w:t>见招标文件第四章服务技术标准和要求内容</w:t>
      </w:r>
    </w:p>
    <w:p>
      <w:pPr>
        <w:keepNext/>
        <w:keepLines/>
        <w:spacing w:before="120" w:after="120" w:line="460" w:lineRule="exact"/>
        <w:jc w:val="left"/>
        <w:rPr>
          <w:rFonts w:ascii="楷体_GB2312" w:eastAsia="楷体_GB2312"/>
          <w:bCs/>
          <w:sz w:val="24"/>
          <w:szCs w:val="24"/>
        </w:rPr>
      </w:pPr>
    </w:p>
    <w:p>
      <w:pPr>
        <w:spacing w:line="460" w:lineRule="exact"/>
        <w:ind w:firstLine="480" w:firstLineChars="200"/>
        <w:rPr>
          <w:rFonts w:ascii="仿宋_GB2312" w:hAnsi="宋体" w:eastAsia="仿宋_GB2312" w:cs="宋体"/>
          <w:sz w:val="24"/>
          <w:szCs w:val="24"/>
        </w:rPr>
      </w:pPr>
    </w:p>
    <w:p>
      <w:pPr>
        <w:spacing w:line="460" w:lineRule="exact"/>
        <w:ind w:firstLine="480" w:firstLineChars="200"/>
        <w:rPr>
          <w:rFonts w:ascii="仿宋_GB2312" w:hAnsi="宋体" w:eastAsia="仿宋_GB2312" w:cs="宋体"/>
          <w:sz w:val="24"/>
          <w:szCs w:val="24"/>
        </w:rPr>
      </w:pPr>
    </w:p>
    <w:p>
      <w:pPr>
        <w:spacing w:line="460" w:lineRule="exact"/>
        <w:ind w:firstLine="480" w:firstLineChars="200"/>
        <w:rPr>
          <w:rFonts w:ascii="仿宋_GB2312" w:hAnsi="宋体" w:eastAsia="仿宋_GB2312" w:cs="宋体"/>
          <w:sz w:val="24"/>
          <w:szCs w:val="24"/>
        </w:rPr>
      </w:pPr>
    </w:p>
    <w:p>
      <w:pPr>
        <w:spacing w:line="460" w:lineRule="exact"/>
        <w:ind w:firstLine="480" w:firstLineChars="200"/>
        <w:rPr>
          <w:rFonts w:ascii="仿宋_GB2312" w:hAnsi="宋体" w:eastAsia="仿宋_GB2312" w:cs="宋体"/>
          <w:sz w:val="24"/>
          <w:szCs w:val="24"/>
        </w:rPr>
      </w:pPr>
    </w:p>
    <w:bookmarkEnd w:id="561"/>
    <w:bookmarkEnd w:id="562"/>
    <w:bookmarkEnd w:id="567"/>
    <w:bookmarkEnd w:id="568"/>
    <w:bookmarkEnd w:id="569"/>
    <w:bookmarkEnd w:id="570"/>
    <w:p>
      <w:pPr>
        <w:rPr>
          <w:rFonts w:ascii="黑体" w:hAnsi="黑体" w:eastAsia="黑体"/>
          <w:sz w:val="32"/>
          <w:szCs w:val="32"/>
        </w:rPr>
      </w:pPr>
      <w:bookmarkStart w:id="703" w:name="_Toc440038048"/>
      <w:bookmarkStart w:id="704" w:name="_Toc439856940"/>
      <w:bookmarkStart w:id="705" w:name="_Toc439696736"/>
      <w:r>
        <w:rPr>
          <w:rFonts w:hint="eastAsia" w:ascii="黑体" w:hAnsi="黑体" w:eastAsia="黑体"/>
          <w:sz w:val="32"/>
          <w:szCs w:val="32"/>
        </w:rPr>
        <w:br w:type="page"/>
      </w:r>
    </w:p>
    <w:p>
      <w:pPr>
        <w:pStyle w:val="5"/>
        <w:spacing w:after="120" w:line="360" w:lineRule="auto"/>
        <w:jc w:val="center"/>
        <w:rPr>
          <w:rFonts w:ascii="仿宋_GB2312" w:hAnsi="宋体" w:eastAsia="仿宋_GB2312"/>
          <w:sz w:val="24"/>
          <w:szCs w:val="24"/>
        </w:rPr>
      </w:pPr>
      <w:bookmarkStart w:id="706" w:name="_Toc184916611"/>
      <w:r>
        <w:rPr>
          <w:rFonts w:hint="eastAsia"/>
        </w:rPr>
        <w:t>第六章  投标文件格式</w:t>
      </w:r>
      <w:bookmarkEnd w:id="703"/>
      <w:bookmarkEnd w:id="704"/>
      <w:bookmarkEnd w:id="705"/>
      <w:r>
        <w:rPr>
          <w:rFonts w:hint="eastAsia"/>
        </w:rPr>
        <w:t>及要求</w:t>
      </w:r>
      <w:bookmarkEnd w:id="706"/>
      <w:r>
        <w:rPr>
          <w:rFonts w:ascii="仿宋_GB2312" w:hAnsi="宋体" w:eastAsia="仿宋_GB2312"/>
          <w:szCs w:val="21"/>
        </w:rPr>
        <w:br w:type="page"/>
      </w:r>
      <w:r>
        <w:rPr>
          <w:rFonts w:hint="eastAsia" w:ascii="仿宋_GB2312" w:hAnsi="宋体" w:eastAsia="仿宋_GB2312"/>
          <w:sz w:val="24"/>
          <w:szCs w:val="24"/>
        </w:rPr>
        <w:t>【封面及扉页】</w:t>
      </w:r>
    </w:p>
    <w:p>
      <w:pPr>
        <w:spacing w:line="560" w:lineRule="exact"/>
        <w:jc w:val="center"/>
        <w:rPr>
          <w:rFonts w:ascii="仿宋_GB2312" w:hAnsi="宋体" w:eastAsia="仿宋_GB2312"/>
          <w:sz w:val="28"/>
          <w:szCs w:val="28"/>
        </w:rPr>
      </w:pPr>
      <w:r>
        <w:rPr>
          <w:rFonts w:hint="eastAsia" w:ascii="仿宋_GB2312" w:hAnsi="宋体" w:eastAsia="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4490085</wp:posOffset>
                </wp:positionH>
                <wp:positionV relativeFrom="paragraph">
                  <wp:posOffset>-340995</wp:posOffset>
                </wp:positionV>
                <wp:extent cx="1113155" cy="37084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113155" cy="370840"/>
                        </a:xfrm>
                        <a:prstGeom prst="rect">
                          <a:avLst/>
                        </a:prstGeom>
                        <a:solidFill>
                          <a:srgbClr val="FFFFFF"/>
                        </a:solidFill>
                        <a:ln w="15875" cap="flat" cmpd="sng">
                          <a:solidFill>
                            <a:srgbClr val="FF0000"/>
                          </a:solidFill>
                          <a:prstDash val="solid"/>
                          <a:miter/>
                          <a:headEnd type="none" w="med" len="med"/>
                          <a:tailEnd type="none" w="med" len="med"/>
                        </a:ln>
                      </wps:spPr>
                      <wps:txbx>
                        <w:txbxContent>
                          <w:p>
                            <w:pPr>
                              <w:rPr>
                                <w:rFonts w:ascii="黑体" w:hAnsi="黑体" w:eastAsia="黑体"/>
                                <w:color w:val="FF0000"/>
                                <w:sz w:val="32"/>
                                <w:szCs w:val="32"/>
                              </w:rPr>
                            </w:pPr>
                            <w:r>
                              <w:rPr>
                                <w:rFonts w:hint="eastAsia" w:ascii="黑体" w:hAnsi="黑体" w:eastAsia="黑体"/>
                                <w:color w:val="FF0000"/>
                                <w:sz w:val="32"/>
                                <w:szCs w:val="32"/>
                              </w:rPr>
                              <w:t>正/副  本</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6" o:spt="202" type="#_x0000_t202" style="position:absolute;left:0pt;margin-left:353.55pt;margin-top:-26.85pt;height:29.2pt;width:87.65pt;z-index:251661312;mso-width-relative:page;mso-height-relative:margin;mso-height-percent:200;" fillcolor="#FFFFFF" filled="t" stroked="t" coordsize="21600,21600" o:gfxdata="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Oh&#10;PEvaAAAACQEAAA8AAAAAAAAAAQAgAAAAIgAAAGRycy9kb3ducmV2LnhtbFBLAQIUABQAAAAIAIdO&#10;4kAm+MpNIQIAAF8EAAAOAAAAAAAAAAEAIAAAACkBAABkcnMvZTJvRG9jLnhtbFBLBQYAAAAABgAG&#10;AFkBAAC8BQAAAAA=&#10;">
                <v:fill on="t" focussize="0,0"/>
                <v:stroke weight="1.25pt" color="#FF0000" joinstyle="miter"/>
                <v:imagedata o:title=""/>
                <o:lock v:ext="edit" aspectratio="f"/>
                <v:textbox style="mso-fit-shape-to-text:t;">
                  <w:txbxContent>
                    <w:p>
                      <w:pPr>
                        <w:rPr>
                          <w:rFonts w:ascii="黑体" w:hAnsi="黑体" w:eastAsia="黑体"/>
                          <w:color w:val="FF0000"/>
                          <w:sz w:val="32"/>
                          <w:szCs w:val="32"/>
                        </w:rPr>
                      </w:pPr>
                      <w:r>
                        <w:rPr>
                          <w:rFonts w:hint="eastAsia" w:ascii="黑体" w:hAnsi="黑体" w:eastAsia="黑体"/>
                          <w:color w:val="FF0000"/>
                          <w:sz w:val="32"/>
                          <w:szCs w:val="32"/>
                        </w:rPr>
                        <w:t>正/副  本</w:t>
                      </w:r>
                    </w:p>
                  </w:txbxContent>
                </v:textbox>
              </v:shape>
            </w:pict>
          </mc:Fallback>
        </mc:AlternateContent>
      </w:r>
    </w:p>
    <w:p>
      <w:pPr>
        <w:spacing w:line="560" w:lineRule="exact"/>
        <w:jc w:val="center"/>
        <w:rPr>
          <w:rFonts w:ascii="仿宋_GB2312" w:hAnsi="宋体" w:eastAsia="仿宋_GB2312"/>
          <w:sz w:val="28"/>
          <w:szCs w:val="28"/>
        </w:rPr>
      </w:pPr>
    </w:p>
    <w:p>
      <w:pPr>
        <w:snapToGrid w:val="0"/>
        <w:spacing w:line="580" w:lineRule="exact"/>
        <w:jc w:val="center"/>
        <w:rPr>
          <w:rFonts w:ascii="黑体" w:eastAsia="黑体"/>
          <w:sz w:val="52"/>
          <w:szCs w:val="52"/>
        </w:rPr>
      </w:pPr>
      <w:r>
        <w:rPr>
          <w:rFonts w:hint="eastAsia" w:ascii="黑体" w:eastAsia="黑体"/>
          <w:sz w:val="52"/>
          <w:szCs w:val="52"/>
        </w:rPr>
        <w:t>投 标 文 件</w:t>
      </w:r>
    </w:p>
    <w:p>
      <w:pPr>
        <w:snapToGrid w:val="0"/>
        <w:spacing w:line="580" w:lineRule="exact"/>
        <w:jc w:val="cente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r>
        <w:rPr>
          <w:rFonts w:hint="eastAsia" w:ascii="黑体" w:eastAsia="黑体"/>
          <w:sz w:val="44"/>
          <w:szCs w:val="44"/>
        </w:rPr>
        <w:t>项目名称：</w:t>
      </w:r>
      <w:r>
        <w:rPr>
          <w:rFonts w:hint="eastAsia" w:ascii="黑体" w:eastAsia="黑体"/>
          <w:sz w:val="44"/>
          <w:szCs w:val="44"/>
          <w:highlight w:val="none"/>
        </w:rPr>
        <w:t>3122工程全过程工程咨询（2025-JJDCBG-G1004）</w:t>
      </w:r>
    </w:p>
    <w:p>
      <w:pPr>
        <w:snapToGrid w:val="0"/>
        <w:spacing w:line="580" w:lineRule="exact"/>
        <w:jc w:val="center"/>
        <w:rPr>
          <w:rFonts w:eastAsia="仿宋_GB2312"/>
          <w:sz w:val="36"/>
        </w:rPr>
      </w:pPr>
      <w:r>
        <w:rPr>
          <w:rFonts w:hint="eastAsia" w:ascii="黑体" w:eastAsia="黑体"/>
          <w:sz w:val="44"/>
          <w:szCs w:val="44"/>
        </w:rPr>
        <w:t xml:space="preserve">          </w:t>
      </w:r>
    </w:p>
    <w:p>
      <w:pPr>
        <w:snapToGrid w:val="0"/>
        <w:spacing w:line="580" w:lineRule="exact"/>
        <w:jc w:val="center"/>
        <w:rPr>
          <w:rFonts w:eastAsia="仿宋_GB2312"/>
          <w:sz w:val="36"/>
        </w:rPr>
      </w:pPr>
    </w:p>
    <w:p>
      <w:pPr>
        <w:spacing w:line="580" w:lineRule="exact"/>
        <w:rPr>
          <w:rFonts w:eastAsia="仿宋_GB2312"/>
          <w:sz w:val="36"/>
        </w:rPr>
      </w:pPr>
    </w:p>
    <w:p>
      <w:pPr>
        <w:spacing w:line="580" w:lineRule="exact"/>
        <w:ind w:firstLine="1760" w:firstLineChars="550"/>
        <w:rPr>
          <w:rFonts w:ascii="楷体_GB2312" w:eastAsia="楷体_GB2312"/>
          <w:sz w:val="32"/>
          <w:szCs w:val="32"/>
        </w:rPr>
      </w:pPr>
      <w:r>
        <w:rPr>
          <w:rFonts w:hint="eastAsia" w:ascii="楷体_GB2312" w:eastAsia="楷体_GB2312"/>
          <w:sz w:val="32"/>
          <w:szCs w:val="32"/>
        </w:rPr>
        <w:t>投标人：                  （公章）</w:t>
      </w:r>
    </w:p>
    <w:p>
      <w:pPr>
        <w:spacing w:line="580" w:lineRule="exact"/>
        <w:ind w:firstLine="1760" w:firstLineChars="550"/>
        <w:rPr>
          <w:rFonts w:ascii="楷体_GB2312" w:eastAsia="楷体_GB2312"/>
          <w:sz w:val="32"/>
          <w:szCs w:val="32"/>
        </w:rPr>
      </w:pPr>
      <w:r>
        <w:rPr>
          <w:rFonts w:hint="eastAsia" w:ascii="楷体_GB2312" w:eastAsia="楷体_GB2312"/>
          <w:sz w:val="32"/>
          <w:szCs w:val="32"/>
        </w:rPr>
        <w:t>法定代表人</w:t>
      </w:r>
    </w:p>
    <w:p>
      <w:pPr>
        <w:spacing w:line="580" w:lineRule="exact"/>
        <w:ind w:firstLine="1760" w:firstLineChars="550"/>
        <w:rPr>
          <w:rFonts w:ascii="楷体_GB2312" w:eastAsia="楷体_GB2312"/>
          <w:sz w:val="32"/>
          <w:szCs w:val="32"/>
        </w:rPr>
      </w:pPr>
      <w:r>
        <w:rPr>
          <w:rFonts w:hint="eastAsia" w:ascii="楷体_GB2312" w:eastAsia="楷体_GB2312"/>
          <w:sz w:val="32"/>
          <w:szCs w:val="32"/>
        </w:rPr>
        <w:t>或其委托代理人：          （签字或盖章）</w:t>
      </w:r>
    </w:p>
    <w:p>
      <w:pPr>
        <w:spacing w:line="580" w:lineRule="exact"/>
        <w:jc w:val="center"/>
        <w:rPr>
          <w:rFonts w:ascii="楷体_GB2312" w:eastAsia="楷体_GB2312"/>
          <w:sz w:val="32"/>
          <w:szCs w:val="32"/>
        </w:rPr>
      </w:pPr>
    </w:p>
    <w:p>
      <w:pPr>
        <w:spacing w:line="580" w:lineRule="exact"/>
        <w:rPr>
          <w:rFonts w:ascii="楷体_GB2312" w:eastAsia="楷体_GB2312"/>
          <w:sz w:val="32"/>
          <w:szCs w:val="32"/>
        </w:rPr>
      </w:pPr>
    </w:p>
    <w:p>
      <w:pPr>
        <w:spacing w:line="580" w:lineRule="exact"/>
        <w:jc w:val="center"/>
        <w:rPr>
          <w:rFonts w:ascii="楷体_GB2312" w:eastAsia="楷体_GB2312"/>
          <w:sz w:val="32"/>
          <w:szCs w:val="32"/>
        </w:rPr>
      </w:pPr>
      <w:r>
        <w:rPr>
          <w:rFonts w:hint="eastAsia" w:ascii="楷体_GB2312" w:eastAsia="楷体_GB2312"/>
          <w:sz w:val="32"/>
          <w:szCs w:val="32"/>
        </w:rPr>
        <w:t>年    月    日</w:t>
      </w:r>
    </w:p>
    <w:p>
      <w:pPr>
        <w:snapToGrid w:val="0"/>
        <w:spacing w:line="580" w:lineRule="exact"/>
        <w:jc w:val="center"/>
        <w:outlineLvl w:val="1"/>
        <w:rPr>
          <w:rFonts w:ascii="楷体_GB2312" w:eastAsia="楷体_GB2312"/>
          <w:sz w:val="32"/>
          <w:szCs w:val="32"/>
        </w:rPr>
      </w:pPr>
      <w:r>
        <w:rPr>
          <w:rFonts w:ascii="楷体_GB2312" w:eastAsia="楷体_GB2312"/>
          <w:sz w:val="32"/>
          <w:szCs w:val="32"/>
        </w:rPr>
        <w:br w:type="page"/>
      </w:r>
      <w:bookmarkStart w:id="707" w:name="_Toc184916612"/>
      <w:r>
        <w:rPr>
          <w:rFonts w:hint="eastAsia" w:ascii="黑体" w:eastAsia="黑体"/>
          <w:sz w:val="44"/>
          <w:szCs w:val="44"/>
        </w:rPr>
        <w:t>（第一部分  价格部分）</w:t>
      </w:r>
      <w:bookmarkEnd w:id="707"/>
    </w:p>
    <w:p>
      <w:pPr>
        <w:spacing w:line="360" w:lineRule="auto"/>
        <w:jc w:val="center"/>
        <w:rPr>
          <w:rFonts w:ascii="方正小标宋简体" w:hAnsi="黑体" w:eastAsia="方正小标宋简体"/>
          <w:sz w:val="32"/>
          <w:szCs w:val="32"/>
        </w:rPr>
      </w:pPr>
    </w:p>
    <w:p>
      <w:pPr>
        <w:spacing w:line="580" w:lineRule="exact"/>
        <w:ind w:firstLine="4140" w:firstLineChars="1150"/>
        <w:rPr>
          <w:rFonts w:ascii="楷体_GB2312" w:eastAsia="楷体_GB2312"/>
          <w:sz w:val="36"/>
          <w:szCs w:val="36"/>
        </w:rPr>
      </w:pPr>
      <w:r>
        <w:rPr>
          <w:rFonts w:hint="eastAsia" w:ascii="楷体_GB2312" w:eastAsia="楷体_GB2312"/>
          <w:sz w:val="36"/>
          <w:szCs w:val="36"/>
        </w:rPr>
        <w:t>目  录</w:t>
      </w:r>
    </w:p>
    <w:p>
      <w:pPr>
        <w:spacing w:line="360" w:lineRule="auto"/>
        <w:ind w:left="280" w:hanging="280" w:hangingChars="100"/>
        <w:rPr>
          <w:rFonts w:ascii="黑体" w:hAnsi="黑体" w:eastAsia="黑体"/>
          <w:sz w:val="28"/>
          <w:szCs w:val="28"/>
        </w:rPr>
      </w:pPr>
    </w:p>
    <w:p>
      <w:pPr>
        <w:numPr>
          <w:ilvl w:val="0"/>
          <w:numId w:val="7"/>
        </w:numPr>
        <w:spacing w:line="360" w:lineRule="auto"/>
        <w:ind w:left="280" w:hanging="280" w:hangingChars="100"/>
        <w:rPr>
          <w:rFonts w:ascii="黑体" w:hAnsi="黑体" w:eastAsia="黑体"/>
          <w:sz w:val="28"/>
          <w:szCs w:val="28"/>
        </w:rPr>
      </w:pPr>
      <w:r>
        <w:rPr>
          <w:rFonts w:hint="eastAsia" w:ascii="黑体" w:hAnsi="黑体" w:eastAsia="黑体"/>
          <w:sz w:val="28"/>
          <w:szCs w:val="28"/>
        </w:rPr>
        <w:t>投标报价函………………………………………………………………X</w:t>
      </w:r>
    </w:p>
    <w:p>
      <w:pPr>
        <w:numPr>
          <w:ilvl w:val="0"/>
          <w:numId w:val="7"/>
        </w:numPr>
        <w:spacing w:line="360" w:lineRule="auto"/>
        <w:ind w:left="280" w:hanging="280" w:hangingChars="100"/>
        <w:rPr>
          <w:rFonts w:ascii="黑体" w:hAnsi="黑体" w:eastAsia="黑体"/>
          <w:sz w:val="28"/>
          <w:szCs w:val="28"/>
        </w:rPr>
      </w:pPr>
      <w:r>
        <w:rPr>
          <w:rFonts w:hint="eastAsia" w:ascii="黑体" w:hAnsi="黑体" w:eastAsia="黑体"/>
          <w:sz w:val="28"/>
          <w:szCs w:val="28"/>
        </w:rPr>
        <w:t>法定代表人身份证明书…………………………………………………X</w:t>
      </w:r>
    </w:p>
    <w:p>
      <w:pPr>
        <w:spacing w:line="360" w:lineRule="auto"/>
        <w:ind w:left="280" w:hanging="280" w:hangingChars="100"/>
        <w:rPr>
          <w:rFonts w:ascii="黑体" w:hAnsi="黑体" w:eastAsia="黑体"/>
          <w:sz w:val="28"/>
          <w:szCs w:val="28"/>
        </w:rPr>
      </w:pPr>
      <w:r>
        <w:rPr>
          <w:rFonts w:hint="eastAsia" w:ascii="黑体" w:hAnsi="黑体" w:eastAsia="黑体"/>
          <w:sz w:val="28"/>
          <w:szCs w:val="28"/>
        </w:rPr>
        <w:t>三、授权委托书………………………………………………………………X</w:t>
      </w:r>
    </w:p>
    <w:p>
      <w:pPr>
        <w:spacing w:line="360" w:lineRule="auto"/>
        <w:ind w:left="280" w:hanging="280" w:hangingChars="100"/>
        <w:rPr>
          <w:rFonts w:ascii="黑体" w:hAnsi="黑体" w:eastAsia="黑体"/>
          <w:sz w:val="28"/>
          <w:szCs w:val="28"/>
        </w:rPr>
      </w:pPr>
      <w:r>
        <w:rPr>
          <w:rFonts w:hint="eastAsia" w:ascii="黑体" w:hAnsi="黑体" w:eastAsia="黑体"/>
          <w:sz w:val="28"/>
          <w:szCs w:val="28"/>
        </w:rPr>
        <w:t>四、投标保证金………………………………………………………………X</w:t>
      </w:r>
    </w:p>
    <w:p>
      <w:pPr>
        <w:spacing w:line="580" w:lineRule="exact"/>
        <w:jc w:val="center"/>
        <w:outlineLvl w:val="2"/>
        <w:rPr>
          <w:rFonts w:ascii="黑体" w:hAnsi="黑体" w:eastAsia="黑体"/>
          <w:sz w:val="32"/>
          <w:szCs w:val="32"/>
        </w:rPr>
      </w:pPr>
      <w:r>
        <w:rPr>
          <w:rFonts w:ascii="黑体" w:hAnsi="黑体" w:eastAsia="黑体"/>
          <w:b/>
          <w:sz w:val="32"/>
          <w:szCs w:val="32"/>
        </w:rPr>
        <w:br w:type="page"/>
      </w:r>
      <w:bookmarkStart w:id="708" w:name="_Toc184916613"/>
      <w:r>
        <w:rPr>
          <w:rFonts w:hint="eastAsia" w:ascii="黑体" w:hAnsi="黑体" w:eastAsia="黑体"/>
          <w:sz w:val="32"/>
          <w:szCs w:val="32"/>
        </w:rPr>
        <w:t>一、投标报价函</w:t>
      </w:r>
      <w:bookmarkEnd w:id="708"/>
    </w:p>
    <w:p>
      <w:pPr>
        <w:spacing w:before="240" w:beforeLines="100" w:line="460" w:lineRule="exact"/>
        <w:ind w:firstLine="472" w:firstLineChars="196"/>
        <w:rPr>
          <w:rFonts w:ascii="楷体_GB2312" w:hAnsi="宋体" w:eastAsia="楷体_GB2312"/>
          <w:b/>
          <w:sz w:val="24"/>
          <w:szCs w:val="24"/>
        </w:rPr>
      </w:pPr>
      <w:r>
        <w:rPr>
          <w:rFonts w:hint="eastAsia" w:ascii="楷体_GB2312" w:hAnsi="宋体" w:eastAsia="楷体_GB2312"/>
          <w:b/>
          <w:sz w:val="24"/>
          <w:szCs w:val="24"/>
        </w:rPr>
        <w:t>（一）报价函</w:t>
      </w:r>
    </w:p>
    <w:p>
      <w:pPr>
        <w:spacing w:line="460" w:lineRule="exact"/>
        <w:rPr>
          <w:rFonts w:ascii="楷体_GB2312" w:hAnsi="宋体" w:eastAsia="楷体_GB2312"/>
          <w:sz w:val="24"/>
          <w:szCs w:val="24"/>
        </w:rPr>
      </w:pPr>
      <w:r>
        <w:rPr>
          <w:rFonts w:hint="eastAsia" w:ascii="楷体_GB2312" w:hAnsi="宋体" w:eastAsia="楷体_GB2312"/>
          <w:sz w:val="24"/>
          <w:szCs w:val="24"/>
        </w:rPr>
        <w:t>致：</w:t>
      </w:r>
      <w:r>
        <w:rPr>
          <w:rFonts w:hint="eastAsia" w:ascii="楷体_GB2312" w:hAnsi="宋体" w:eastAsia="楷体_GB2312"/>
          <w:sz w:val="24"/>
          <w:szCs w:val="24"/>
          <w:u w:val="single"/>
        </w:rPr>
        <w:t>某单位</w:t>
      </w:r>
    </w:p>
    <w:p>
      <w:pPr>
        <w:keepNext w:val="0"/>
        <w:keepLines w:val="0"/>
        <w:pageBreakBefore w:val="0"/>
        <w:widowControl w:val="0"/>
        <w:numPr>
          <w:ilvl w:val="0"/>
          <w:numId w:val="8"/>
        </w:numPr>
        <w:kinsoku/>
        <w:wordWrap w:val="0"/>
        <w:overflowPunct w:val="0"/>
        <w:topLinePunct w:val="0"/>
        <w:autoSpaceDE/>
        <w:autoSpaceDN/>
        <w:bidi w:val="0"/>
        <w:adjustRightInd/>
        <w:snapToGrid/>
        <w:spacing w:line="460" w:lineRule="exact"/>
        <w:ind w:firstLine="482"/>
        <w:textAlignment w:val="auto"/>
        <w:rPr>
          <w:rFonts w:ascii="宋体" w:hAnsi="宋体"/>
          <w:sz w:val="24"/>
          <w:szCs w:val="24"/>
        </w:rPr>
      </w:pPr>
      <w:r>
        <w:rPr>
          <w:rFonts w:hint="eastAsia" w:ascii="宋体" w:hAnsi="宋体"/>
          <w:sz w:val="24"/>
          <w:szCs w:val="24"/>
        </w:rPr>
        <w:t>在充分研究</w:t>
      </w:r>
      <w:r>
        <w:rPr>
          <w:rFonts w:hint="eastAsia" w:ascii="宋体" w:hAnsi="宋体"/>
          <w:sz w:val="24"/>
          <w:szCs w:val="24"/>
          <w:highlight w:val="none"/>
          <w:u w:val="single"/>
        </w:rPr>
        <w:t>3122工程全过程工程咨询（2025-JJDCBG-G1004）</w:t>
      </w:r>
      <w:r>
        <w:rPr>
          <w:rFonts w:hint="eastAsia" w:ascii="宋体" w:hAnsi="宋体"/>
          <w:sz w:val="24"/>
          <w:szCs w:val="24"/>
          <w:highlight w:val="none"/>
        </w:rPr>
        <w:t>招标文件的全部内容后，我方决定接受招标文件提出的全部条件，愿意以</w:t>
      </w:r>
      <w:r>
        <w:rPr>
          <w:rFonts w:hint="eastAsia" w:ascii="宋体" w:hAnsi="宋体"/>
          <w:sz w:val="24"/>
          <w:szCs w:val="24"/>
          <w:highlight w:val="none"/>
          <w:u w:val="none"/>
          <w:lang w:val="en-US" w:eastAsia="zh-CN"/>
        </w:rPr>
        <w:t>投标报价</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none"/>
          <w:lang w:val="en-US" w:eastAsia="zh-CN"/>
        </w:rPr>
        <w:t>万元（</w:t>
      </w:r>
      <w:r>
        <w:rPr>
          <w:rFonts w:hint="eastAsia" w:ascii="宋体" w:hAnsi="宋体"/>
          <w:sz w:val="24"/>
          <w:szCs w:val="24"/>
          <w:highlight w:val="none"/>
          <w:lang w:val="en-US" w:eastAsia="zh-CN"/>
        </w:rPr>
        <w:t>折合</w:t>
      </w:r>
      <w:r>
        <w:rPr>
          <w:rFonts w:hint="eastAsia" w:ascii="宋体" w:hAnsi="宋体"/>
          <w:sz w:val="24"/>
          <w:szCs w:val="24"/>
          <w:highlight w:val="none"/>
        </w:rPr>
        <w:t>费率</w:t>
      </w:r>
      <w:r>
        <w:rPr>
          <w:rFonts w:hint="eastAsia" w:ascii="宋体" w:hAnsi="宋体"/>
          <w:sz w:val="24"/>
          <w:szCs w:val="24"/>
          <w:highlight w:val="none"/>
          <w:u w:val="single"/>
        </w:rPr>
        <w:t xml:space="preserve">    </w:t>
      </w:r>
      <w:r>
        <w:rPr>
          <w:rFonts w:hint="eastAsia" w:ascii="宋体" w:hAnsi="宋体"/>
          <w:sz w:val="24"/>
          <w:szCs w:val="24"/>
          <w:highlight w:val="none"/>
        </w:rPr>
        <w:t>%</w:t>
      </w:r>
      <w:r>
        <w:rPr>
          <w:rFonts w:hint="eastAsia" w:ascii="宋体" w:hAnsi="宋体"/>
          <w:sz w:val="24"/>
          <w:szCs w:val="24"/>
          <w:highlight w:val="none"/>
          <w:u w:val="none"/>
          <w:lang w:val="en-US" w:eastAsia="zh-CN"/>
        </w:rPr>
        <w:t>）</w:t>
      </w:r>
      <w:r>
        <w:rPr>
          <w:rFonts w:hint="eastAsia" w:ascii="楷体_GB2312" w:hAnsi="宋体" w:eastAsia="楷体_GB2312"/>
          <w:sz w:val="24"/>
          <w:szCs w:val="24"/>
          <w:highlight w:val="none"/>
        </w:rPr>
        <w:t>（</w:t>
      </w:r>
      <w:r>
        <w:rPr>
          <w:rFonts w:hint="eastAsia" w:ascii="楷体_GB2312" w:hAnsi="宋体" w:eastAsia="楷体_GB2312"/>
          <w:sz w:val="24"/>
          <w:szCs w:val="24"/>
          <w:highlight w:val="none"/>
          <w:lang w:val="en-US" w:eastAsia="zh-CN"/>
        </w:rPr>
        <w:t>其中勘察设计费</w:t>
      </w:r>
      <w:r>
        <w:rPr>
          <w:rFonts w:hint="eastAsia" w:ascii="楷体_GB2312" w:hAnsi="宋体" w:eastAsia="楷体_GB2312"/>
          <w:sz w:val="24"/>
          <w:szCs w:val="24"/>
          <w:highlight w:val="none"/>
          <w:u w:val="single"/>
          <w:lang w:val="en-US" w:eastAsia="zh-CN"/>
        </w:rPr>
        <w:t xml:space="preserve">       </w:t>
      </w:r>
      <w:r>
        <w:rPr>
          <w:rFonts w:hint="eastAsia" w:ascii="楷体_GB2312" w:hAnsi="宋体" w:eastAsia="楷体_GB2312"/>
          <w:sz w:val="24"/>
          <w:szCs w:val="24"/>
          <w:highlight w:val="none"/>
          <w:lang w:val="en-US" w:eastAsia="zh-CN"/>
        </w:rPr>
        <w:t>万元（折合</w:t>
      </w:r>
      <w:r>
        <w:rPr>
          <w:rFonts w:hint="eastAsia" w:ascii="楷体_GB2312" w:hAnsi="宋体" w:eastAsia="楷体_GB2312"/>
          <w:sz w:val="24"/>
          <w:szCs w:val="24"/>
          <w:highlight w:val="none"/>
        </w:rPr>
        <w:t>费率</w:t>
      </w:r>
      <w:r>
        <w:rPr>
          <w:rFonts w:hint="eastAsia" w:ascii="楷体_GB2312" w:hAnsi="宋体" w:eastAsia="楷体_GB2312"/>
          <w:sz w:val="24"/>
          <w:szCs w:val="24"/>
          <w:highlight w:val="none"/>
          <w:u w:val="single"/>
        </w:rPr>
        <w:t xml:space="preserve">    </w:t>
      </w:r>
      <w:r>
        <w:rPr>
          <w:rFonts w:hint="eastAsia" w:ascii="楷体_GB2312" w:hAnsi="宋体" w:eastAsia="楷体_GB2312"/>
          <w:sz w:val="24"/>
          <w:szCs w:val="24"/>
          <w:highlight w:val="none"/>
        </w:rPr>
        <w:t>%</w:t>
      </w:r>
      <w:r>
        <w:rPr>
          <w:rFonts w:hint="eastAsia" w:ascii="楷体_GB2312" w:hAnsi="宋体" w:eastAsia="楷体_GB2312"/>
          <w:sz w:val="24"/>
          <w:szCs w:val="24"/>
          <w:highlight w:val="none"/>
          <w:lang w:val="en-US" w:eastAsia="zh-CN"/>
        </w:rPr>
        <w:t>）</w:t>
      </w:r>
      <w:r>
        <w:rPr>
          <w:rFonts w:hint="eastAsia" w:ascii="楷体_GB2312" w:hAnsi="宋体" w:eastAsia="楷体_GB2312"/>
          <w:sz w:val="24"/>
          <w:szCs w:val="24"/>
          <w:highlight w:val="none"/>
        </w:rPr>
        <w:t>；</w:t>
      </w:r>
      <w:r>
        <w:rPr>
          <w:rFonts w:hint="eastAsia" w:ascii="楷体_GB2312" w:hAnsi="宋体" w:eastAsia="楷体_GB2312"/>
          <w:sz w:val="24"/>
          <w:szCs w:val="24"/>
          <w:highlight w:val="none"/>
          <w:lang w:val="en-US" w:eastAsia="zh-CN"/>
        </w:rPr>
        <w:t>工程监理费</w:t>
      </w:r>
      <w:r>
        <w:rPr>
          <w:rFonts w:hint="eastAsia" w:ascii="楷体_GB2312" w:hAnsi="宋体" w:eastAsia="楷体_GB2312"/>
          <w:sz w:val="24"/>
          <w:szCs w:val="24"/>
          <w:highlight w:val="none"/>
          <w:u w:val="single"/>
          <w:lang w:val="en-US" w:eastAsia="zh-CN"/>
        </w:rPr>
        <w:t xml:space="preserve">      </w:t>
      </w:r>
      <w:r>
        <w:rPr>
          <w:rFonts w:hint="eastAsia" w:ascii="楷体_GB2312" w:hAnsi="宋体" w:eastAsia="楷体_GB2312"/>
          <w:sz w:val="24"/>
          <w:szCs w:val="24"/>
          <w:highlight w:val="none"/>
          <w:lang w:val="en-US" w:eastAsia="zh-CN"/>
        </w:rPr>
        <w:t>万元（折合费率</w:t>
      </w:r>
      <w:r>
        <w:rPr>
          <w:rFonts w:hint="eastAsia" w:ascii="楷体_GB2312" w:hAnsi="宋体" w:eastAsia="楷体_GB2312"/>
          <w:sz w:val="24"/>
          <w:szCs w:val="24"/>
          <w:highlight w:val="none"/>
          <w:u w:val="single"/>
          <w:lang w:val="en-US" w:eastAsia="zh-CN"/>
        </w:rPr>
        <w:t xml:space="preserve">    </w:t>
      </w:r>
      <w:r>
        <w:rPr>
          <w:rFonts w:hint="eastAsia" w:ascii="楷体_GB2312" w:hAnsi="宋体" w:eastAsia="楷体_GB2312"/>
          <w:sz w:val="24"/>
          <w:szCs w:val="24"/>
          <w:highlight w:val="none"/>
          <w:lang w:val="en-US" w:eastAsia="zh-CN"/>
        </w:rPr>
        <w:t>%）；造价咨询</w:t>
      </w:r>
      <w:r>
        <w:rPr>
          <w:rFonts w:hint="eastAsia" w:ascii="楷体_GB2312" w:hAnsi="宋体" w:eastAsia="楷体_GB2312"/>
          <w:sz w:val="24"/>
          <w:szCs w:val="24"/>
          <w:highlight w:val="none"/>
          <w:u w:val="single"/>
          <w:lang w:val="en-US" w:eastAsia="zh-CN"/>
        </w:rPr>
        <w:t xml:space="preserve">     </w:t>
      </w:r>
      <w:r>
        <w:rPr>
          <w:rFonts w:hint="eastAsia" w:ascii="楷体_GB2312" w:hAnsi="宋体" w:eastAsia="楷体_GB2312"/>
          <w:sz w:val="24"/>
          <w:szCs w:val="24"/>
          <w:highlight w:val="none"/>
          <w:lang w:val="en-US" w:eastAsia="zh-CN"/>
        </w:rPr>
        <w:t>万元（折合费率</w:t>
      </w:r>
      <w:r>
        <w:rPr>
          <w:rFonts w:hint="eastAsia" w:ascii="楷体_GB2312" w:hAnsi="宋体" w:eastAsia="楷体_GB2312"/>
          <w:sz w:val="24"/>
          <w:szCs w:val="24"/>
          <w:highlight w:val="none"/>
          <w:u w:val="single"/>
          <w:lang w:val="en-US" w:eastAsia="zh-CN"/>
        </w:rPr>
        <w:t xml:space="preserve">    </w:t>
      </w:r>
      <w:r>
        <w:rPr>
          <w:rFonts w:hint="eastAsia" w:ascii="楷体_GB2312" w:hAnsi="宋体" w:eastAsia="楷体_GB2312"/>
          <w:sz w:val="24"/>
          <w:szCs w:val="24"/>
          <w:highlight w:val="none"/>
          <w:lang w:val="en-US" w:eastAsia="zh-CN"/>
        </w:rPr>
        <w:t>%）</w:t>
      </w:r>
      <w:r>
        <w:rPr>
          <w:rFonts w:hint="eastAsia" w:ascii="楷体_GB2312" w:hAnsi="宋体" w:eastAsia="楷体_GB2312"/>
          <w:sz w:val="24"/>
          <w:szCs w:val="24"/>
          <w:highlight w:val="none"/>
        </w:rPr>
        <w:t>）</w:t>
      </w:r>
      <w:r>
        <w:rPr>
          <w:rFonts w:hint="eastAsia" w:ascii="宋体" w:hAnsi="宋体"/>
          <w:sz w:val="24"/>
          <w:szCs w:val="24"/>
          <w:highlight w:val="none"/>
          <w:u w:val="none"/>
          <w:lang w:val="en-US" w:eastAsia="zh-CN"/>
        </w:rPr>
        <w:t>，</w:t>
      </w:r>
      <w:r>
        <w:rPr>
          <w:rFonts w:hint="eastAsia" w:ascii="宋体" w:hAnsi="宋体"/>
          <w:sz w:val="24"/>
          <w:szCs w:val="24"/>
          <w:highlight w:val="none"/>
        </w:rPr>
        <w:t>承担3122工程全过程工程咨询（2025-JJDCBG-G1004）</w:t>
      </w:r>
      <w:r>
        <w:rPr>
          <w:rFonts w:hint="eastAsia" w:ascii="宋体" w:hAnsi="宋体"/>
          <w:sz w:val="24"/>
          <w:szCs w:val="24"/>
        </w:rPr>
        <w:t>服务采购全部工作。</w:t>
      </w:r>
    </w:p>
    <w:p>
      <w:pPr>
        <w:spacing w:line="460" w:lineRule="exact"/>
        <w:ind w:firstLine="480"/>
        <w:rPr>
          <w:rFonts w:ascii="宋体" w:hAnsi="宋体" w:cs="宋体"/>
          <w:kern w:val="0"/>
          <w:sz w:val="24"/>
          <w:szCs w:val="24"/>
        </w:rPr>
      </w:pPr>
      <w:r>
        <w:rPr>
          <w:rFonts w:hint="eastAsia" w:ascii="宋体" w:hAnsi="宋体"/>
          <w:sz w:val="24"/>
          <w:szCs w:val="24"/>
        </w:rPr>
        <w:t xml:space="preserve">2. </w:t>
      </w:r>
      <w:r>
        <w:rPr>
          <w:rFonts w:hint="eastAsia" w:ascii="宋体" w:hAnsi="宋体" w:cs="宋体"/>
          <w:kern w:val="0"/>
          <w:sz w:val="24"/>
          <w:szCs w:val="24"/>
        </w:rPr>
        <w:t>我方承诺在投标有效期内，不主动修改、撤回投标文件，本投标文件及我公司做出的补充承诺将始终对我公司具有约束力，直至你单位退回我公司的投标保证金为止。如我公司成为中标人，至我公司完成具体项目合同和（或）</w:t>
      </w:r>
      <w:r>
        <w:rPr>
          <w:rFonts w:hint="eastAsia" w:ascii="宋体" w:hAnsi="宋体"/>
          <w:sz w:val="24"/>
          <w:szCs w:val="24"/>
        </w:rPr>
        <w:t>3122工程全过程工程咨询（2025-JJDCBG-G1004）服务采购</w:t>
      </w:r>
      <w:r>
        <w:rPr>
          <w:rFonts w:hint="eastAsia" w:ascii="宋体" w:hAnsi="宋体" w:cs="宋体"/>
          <w:kern w:val="0"/>
          <w:sz w:val="24"/>
          <w:szCs w:val="24"/>
        </w:rPr>
        <w:t>合作协议规定由我公司履行的全部义务止，本投标文件及我公司做出的补充承诺将始终对我公司具有约束力。</w:t>
      </w:r>
    </w:p>
    <w:p>
      <w:pPr>
        <w:spacing w:line="460" w:lineRule="exact"/>
        <w:ind w:firstLine="480" w:firstLineChars="200"/>
        <w:rPr>
          <w:rFonts w:ascii="宋体" w:hAnsi="宋体"/>
          <w:sz w:val="24"/>
          <w:szCs w:val="24"/>
        </w:rPr>
      </w:pPr>
      <w:r>
        <w:rPr>
          <w:rFonts w:ascii="宋体" w:hAnsi="宋体"/>
          <w:sz w:val="24"/>
          <w:szCs w:val="24"/>
        </w:rPr>
        <w:t>3</w:t>
      </w:r>
      <w:r>
        <w:rPr>
          <w:rFonts w:hint="eastAsia" w:ascii="宋体" w:hAnsi="宋体"/>
          <w:sz w:val="24"/>
          <w:szCs w:val="24"/>
        </w:rPr>
        <w:t>. 如果我方投标文件被接受，成为中标单位，我们将按照招标文件要求和招标过程中的承诺按期完成保密条件建设，与招标人签订具体项目合同</w:t>
      </w:r>
      <w:r>
        <w:rPr>
          <w:rFonts w:hint="eastAsia" w:ascii="宋体" w:hAnsi="宋体"/>
          <w:sz w:val="24"/>
          <w:szCs w:val="24"/>
          <w:u w:val="single"/>
        </w:rPr>
        <w:t>和（或）3122工程全过程工程咨询（2025-JJDCBG-G1004）服务采购合作协议</w:t>
      </w:r>
      <w:r>
        <w:rPr>
          <w:rFonts w:hint="eastAsia" w:ascii="宋体" w:hAnsi="宋体"/>
          <w:sz w:val="24"/>
          <w:szCs w:val="24"/>
        </w:rPr>
        <w:t>，按照合同和协议约定，高效优质完成相应服务任务。</w:t>
      </w:r>
    </w:p>
    <w:p>
      <w:pPr>
        <w:spacing w:line="460" w:lineRule="exact"/>
        <w:ind w:firstLine="480" w:firstLineChars="200"/>
        <w:rPr>
          <w:rFonts w:ascii="宋体" w:hAnsi="宋体"/>
          <w:sz w:val="24"/>
          <w:szCs w:val="24"/>
        </w:rPr>
      </w:pPr>
      <w:r>
        <w:rPr>
          <w:rFonts w:ascii="宋体" w:hAnsi="宋体"/>
          <w:sz w:val="24"/>
          <w:szCs w:val="24"/>
        </w:rPr>
        <w:t>4</w:t>
      </w:r>
      <w:r>
        <w:rPr>
          <w:rFonts w:hint="eastAsia" w:ascii="宋体" w:hAnsi="宋体"/>
          <w:sz w:val="24"/>
          <w:szCs w:val="24"/>
        </w:rPr>
        <w:t>. 我方承诺，我方提交的模拟工程方案设计成果归你单位所有。</w:t>
      </w:r>
    </w:p>
    <w:p>
      <w:pPr>
        <w:autoSpaceDE w:val="0"/>
        <w:autoSpaceDN w:val="0"/>
        <w:adjustRightInd w:val="0"/>
        <w:spacing w:line="460" w:lineRule="exact"/>
        <w:ind w:firstLine="480" w:firstLineChars="200"/>
        <w:jc w:val="left"/>
        <w:rPr>
          <w:rFonts w:ascii="宋体" w:hAnsi="宋体" w:cs="宋体"/>
          <w:kern w:val="0"/>
          <w:sz w:val="24"/>
          <w:szCs w:val="24"/>
        </w:rPr>
      </w:pPr>
      <w:r>
        <w:rPr>
          <w:rFonts w:ascii="宋体" w:hAnsi="宋体" w:cs="宋体"/>
          <w:kern w:val="0"/>
          <w:sz w:val="24"/>
          <w:szCs w:val="24"/>
        </w:rPr>
        <w:t>5</w:t>
      </w:r>
      <w:r>
        <w:rPr>
          <w:rFonts w:hint="eastAsia" w:ascii="宋体" w:hAnsi="宋体" w:cs="宋体"/>
          <w:kern w:val="0"/>
          <w:sz w:val="24"/>
          <w:szCs w:val="24"/>
        </w:rPr>
        <w:t>．我方承诺，不以任何形式干扰招标工作。如我方未成为中标人，你方有权不作任何解释。</w:t>
      </w:r>
    </w:p>
    <w:p>
      <w:pPr>
        <w:wordWrap w:val="0"/>
        <w:spacing w:line="460" w:lineRule="exact"/>
        <w:ind w:right="-87" w:firstLine="4080" w:firstLineChars="1700"/>
        <w:rPr>
          <w:rFonts w:ascii="宋体" w:hAnsi="宋体"/>
          <w:sz w:val="24"/>
          <w:szCs w:val="24"/>
        </w:rPr>
      </w:pPr>
    </w:p>
    <w:p>
      <w:pPr>
        <w:wordWrap w:val="0"/>
        <w:spacing w:line="460" w:lineRule="exact"/>
        <w:ind w:right="-87" w:firstLine="4080" w:firstLineChars="1700"/>
        <w:rPr>
          <w:rFonts w:ascii="宋体" w:hAnsi="宋体"/>
          <w:sz w:val="24"/>
          <w:szCs w:val="24"/>
          <w:u w:val="single"/>
        </w:rPr>
      </w:pPr>
      <w:r>
        <w:rPr>
          <w:rFonts w:hint="eastAsia" w:ascii="宋体" w:hAnsi="宋体"/>
          <w:sz w:val="24"/>
          <w:szCs w:val="24"/>
        </w:rPr>
        <w:t>投标人：</w:t>
      </w:r>
      <w:r>
        <w:rPr>
          <w:rFonts w:hint="eastAsia" w:ascii="宋体" w:hAnsi="宋体"/>
          <w:sz w:val="24"/>
          <w:szCs w:val="24"/>
          <w:u w:val="single"/>
        </w:rPr>
        <w:t xml:space="preserve">                 </w:t>
      </w:r>
      <w:r>
        <w:rPr>
          <w:rFonts w:hint="eastAsia" w:ascii="宋体" w:hAnsi="宋体"/>
          <w:sz w:val="24"/>
          <w:szCs w:val="24"/>
        </w:rPr>
        <w:t>（公章）</w:t>
      </w:r>
    </w:p>
    <w:p>
      <w:pPr>
        <w:spacing w:line="460" w:lineRule="exact"/>
        <w:ind w:left="4678" w:leftChars="799" w:hanging="3000" w:hangingChars="1250"/>
        <w:rPr>
          <w:rFonts w:ascii="宋体" w:hAnsi="宋体"/>
          <w:sz w:val="24"/>
          <w:szCs w:val="24"/>
        </w:rPr>
      </w:pPr>
      <w:r>
        <w:rPr>
          <w:rFonts w:hint="eastAsia" w:ascii="宋体" w:hAnsi="宋体"/>
          <w:sz w:val="24"/>
          <w:szCs w:val="24"/>
        </w:rPr>
        <w:t xml:space="preserve">                    法定代表人</w:t>
      </w:r>
    </w:p>
    <w:p>
      <w:pPr>
        <w:wordWrap w:val="0"/>
        <w:spacing w:line="460" w:lineRule="exact"/>
        <w:ind w:right="-87" w:firstLine="4080" w:firstLineChars="1700"/>
        <w:rPr>
          <w:rFonts w:ascii="宋体" w:hAnsi="宋体"/>
          <w:sz w:val="24"/>
          <w:szCs w:val="24"/>
        </w:rPr>
      </w:pPr>
      <w:r>
        <w:rPr>
          <w:rFonts w:hint="eastAsia" w:ascii="宋体" w:hAnsi="宋体"/>
          <w:sz w:val="24"/>
          <w:szCs w:val="24"/>
        </w:rPr>
        <w:t>或其委托代理人（签字或盖章）：</w:t>
      </w:r>
    </w:p>
    <w:p>
      <w:pPr>
        <w:wordWrap w:val="0"/>
        <w:spacing w:line="460" w:lineRule="exact"/>
        <w:ind w:right="-87" w:firstLine="4080" w:firstLineChars="1700"/>
        <w:rPr>
          <w:rFonts w:ascii="宋体" w:hAnsi="宋体"/>
          <w:sz w:val="24"/>
          <w:szCs w:val="24"/>
        </w:rPr>
      </w:pPr>
      <w:r>
        <w:rPr>
          <w:rFonts w:ascii="宋体" w:hAnsi="宋体"/>
          <w:sz w:val="24"/>
          <w:szCs w:val="24"/>
        </w:rPr>
        <w:t xml:space="preserve">  </w:t>
      </w:r>
      <w:r>
        <w:rPr>
          <w:rFonts w:hint="eastAsia" w:ascii="宋体" w:hAnsi="宋体"/>
          <w:sz w:val="24"/>
          <w:szCs w:val="24"/>
        </w:rPr>
        <w:t>年  月  日</w:t>
      </w:r>
    </w:p>
    <w:p>
      <w:pPr>
        <w:spacing w:line="580" w:lineRule="exact"/>
        <w:jc w:val="center"/>
        <w:outlineLvl w:val="2"/>
        <w:rPr>
          <w:rFonts w:ascii="黑体" w:hAnsi="黑体" w:eastAsia="黑体"/>
          <w:sz w:val="32"/>
          <w:szCs w:val="32"/>
        </w:rPr>
      </w:pPr>
      <w:r>
        <w:rPr>
          <w:rFonts w:ascii="仿宋_GB2312" w:hAnsi="宋体" w:eastAsia="仿宋_GB2312"/>
          <w:sz w:val="24"/>
          <w:szCs w:val="24"/>
        </w:rPr>
        <w:br w:type="page"/>
      </w:r>
      <w:bookmarkStart w:id="709" w:name="_Toc184916614"/>
      <w:r>
        <w:rPr>
          <w:rFonts w:hint="eastAsia" w:ascii="黑体" w:hAnsi="黑体" w:eastAsia="黑体"/>
          <w:sz w:val="32"/>
          <w:szCs w:val="32"/>
        </w:rPr>
        <w:t>二、法定代表人身份证明书</w:t>
      </w:r>
      <w:bookmarkEnd w:id="709"/>
    </w:p>
    <w:p>
      <w:pPr>
        <w:spacing w:line="460" w:lineRule="exact"/>
        <w:rPr>
          <w:rFonts w:ascii="仿宋_GB2312" w:hAnsi="宋体" w:eastAsia="仿宋_GB2312"/>
          <w:szCs w:val="21"/>
        </w:rPr>
      </w:pPr>
    </w:p>
    <w:p>
      <w:pPr>
        <w:spacing w:line="460" w:lineRule="exact"/>
        <w:ind w:firstLine="480" w:firstLineChars="200"/>
        <w:rPr>
          <w:rFonts w:ascii="宋体" w:hAnsi="宋体"/>
          <w:sz w:val="24"/>
          <w:szCs w:val="24"/>
        </w:rPr>
      </w:pPr>
      <w:r>
        <w:rPr>
          <w:rFonts w:hint="eastAsia" w:ascii="宋体" w:hAnsi="宋体"/>
          <w:sz w:val="24"/>
          <w:szCs w:val="24"/>
        </w:rPr>
        <w:t xml:space="preserve">投 标 人：                                                             </w:t>
      </w:r>
    </w:p>
    <w:p>
      <w:pPr>
        <w:spacing w:line="460" w:lineRule="exact"/>
        <w:ind w:firstLine="480" w:firstLineChars="200"/>
        <w:rPr>
          <w:rFonts w:ascii="宋体" w:hAnsi="宋体"/>
          <w:sz w:val="24"/>
          <w:szCs w:val="24"/>
        </w:rPr>
      </w:pPr>
      <w:r>
        <w:rPr>
          <w:rFonts w:hint="eastAsia" w:ascii="宋体" w:hAnsi="宋体"/>
          <w:sz w:val="24"/>
          <w:szCs w:val="24"/>
        </w:rPr>
        <w:t xml:space="preserve">单位性质：                                                            </w:t>
      </w:r>
    </w:p>
    <w:p>
      <w:pPr>
        <w:spacing w:line="460" w:lineRule="exact"/>
        <w:ind w:firstLine="480" w:firstLineChars="200"/>
        <w:rPr>
          <w:rFonts w:ascii="宋体" w:hAnsi="宋体"/>
          <w:sz w:val="24"/>
          <w:szCs w:val="24"/>
        </w:rPr>
      </w:pPr>
      <w:r>
        <w:rPr>
          <w:rFonts w:hint="eastAsia" w:ascii="宋体" w:hAnsi="宋体"/>
          <w:sz w:val="24"/>
          <w:szCs w:val="24"/>
        </w:rPr>
        <w:t xml:space="preserve">地    址：                                                             </w:t>
      </w:r>
    </w:p>
    <w:p>
      <w:pPr>
        <w:spacing w:line="460" w:lineRule="exact"/>
        <w:ind w:firstLine="480" w:firstLineChars="200"/>
        <w:rPr>
          <w:rFonts w:ascii="宋体" w:hAnsi="宋体"/>
          <w:sz w:val="24"/>
          <w:szCs w:val="24"/>
        </w:rPr>
      </w:pPr>
      <w:r>
        <w:rPr>
          <w:rFonts w:hint="eastAsia" w:ascii="宋体" w:hAnsi="宋体"/>
          <w:sz w:val="24"/>
          <w:szCs w:val="24"/>
        </w:rPr>
        <w:t>成立时间：                   年                   月                日</w:t>
      </w:r>
    </w:p>
    <w:p>
      <w:pPr>
        <w:spacing w:line="460" w:lineRule="exact"/>
        <w:ind w:firstLine="480" w:firstLineChars="200"/>
        <w:rPr>
          <w:rFonts w:ascii="宋体" w:hAnsi="宋体"/>
          <w:sz w:val="24"/>
          <w:szCs w:val="24"/>
        </w:rPr>
      </w:pPr>
      <w:r>
        <w:rPr>
          <w:rFonts w:hint="eastAsia" w:ascii="宋体" w:hAnsi="宋体"/>
          <w:sz w:val="24"/>
          <w:szCs w:val="24"/>
        </w:rPr>
        <w:t xml:space="preserve">经营期限：                                                             </w:t>
      </w:r>
    </w:p>
    <w:p>
      <w:pPr>
        <w:spacing w:line="460" w:lineRule="exact"/>
        <w:ind w:firstLine="480" w:firstLineChars="200"/>
        <w:rPr>
          <w:rFonts w:ascii="宋体" w:hAnsi="宋体"/>
          <w:sz w:val="24"/>
          <w:szCs w:val="24"/>
        </w:rPr>
      </w:pPr>
      <w:r>
        <w:rPr>
          <w:rFonts w:hint="eastAsia" w:ascii="宋体" w:hAnsi="宋体"/>
          <w:sz w:val="24"/>
          <w:szCs w:val="24"/>
        </w:rPr>
        <w:t xml:space="preserve">姓    名：                           性    别：                       </w:t>
      </w:r>
    </w:p>
    <w:p>
      <w:pPr>
        <w:spacing w:line="460" w:lineRule="exact"/>
        <w:ind w:firstLine="480" w:firstLineChars="200"/>
        <w:rPr>
          <w:rFonts w:ascii="宋体" w:hAnsi="宋体"/>
          <w:sz w:val="24"/>
          <w:szCs w:val="24"/>
        </w:rPr>
      </w:pPr>
      <w:r>
        <w:rPr>
          <w:rFonts w:hint="eastAsia" w:ascii="宋体" w:hAnsi="宋体"/>
          <w:sz w:val="24"/>
          <w:szCs w:val="24"/>
        </w:rPr>
        <w:t xml:space="preserve">年    龄：                           职    务：                       </w:t>
      </w:r>
    </w:p>
    <w:p>
      <w:pPr>
        <w:spacing w:line="460" w:lineRule="exact"/>
        <w:ind w:firstLine="480" w:firstLineChars="200"/>
        <w:rPr>
          <w:rFonts w:ascii="宋体" w:hAnsi="宋体"/>
          <w:sz w:val="24"/>
          <w:szCs w:val="24"/>
        </w:rPr>
      </w:pPr>
      <w:r>
        <w:rPr>
          <w:rFonts w:hint="eastAsia" w:ascii="宋体" w:hAnsi="宋体"/>
          <w:sz w:val="24"/>
          <w:szCs w:val="24"/>
        </w:rPr>
        <w:t>系                                          （投标人名称）的法定代表人。</w:t>
      </w: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r>
        <w:rPr>
          <w:rFonts w:hint="eastAsia" w:ascii="宋体" w:hAnsi="宋体"/>
          <w:sz w:val="24"/>
          <w:szCs w:val="24"/>
        </w:rPr>
        <w:t>特此证明。</w:t>
      </w:r>
    </w:p>
    <w:p>
      <w:pPr>
        <w:spacing w:line="460" w:lineRule="exact"/>
        <w:ind w:firstLine="480" w:firstLineChars="200"/>
        <w:rPr>
          <w:rFonts w:ascii="宋体" w:hAnsi="宋体"/>
          <w:sz w:val="24"/>
          <w:szCs w:val="24"/>
        </w:rPr>
      </w:pPr>
      <w:r>
        <w:rPr>
          <w:rFonts w:hint="eastAsia" w:ascii="宋体" w:hAnsi="宋体"/>
          <w:sz w:val="24"/>
          <w:szCs w:val="24"/>
        </w:rPr>
        <w:t>附：法定代表人身份证复印件</w:t>
      </w: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3600" w:firstLineChars="1500"/>
        <w:rPr>
          <w:rFonts w:ascii="宋体" w:hAnsi="宋体"/>
          <w:sz w:val="24"/>
          <w:szCs w:val="24"/>
        </w:rPr>
      </w:pPr>
      <w:r>
        <w:rPr>
          <w:rFonts w:hint="eastAsia" w:ascii="宋体" w:hAnsi="宋体"/>
          <w:sz w:val="24"/>
          <w:szCs w:val="24"/>
        </w:rPr>
        <w:t>投标人：                      （公章）</w:t>
      </w:r>
    </w:p>
    <w:p>
      <w:pPr>
        <w:spacing w:line="460" w:lineRule="exact"/>
        <w:ind w:firstLine="5160" w:firstLineChars="2150"/>
        <w:rPr>
          <w:rFonts w:ascii="宋体" w:hAnsi="宋体"/>
          <w:sz w:val="24"/>
          <w:szCs w:val="24"/>
        </w:rPr>
      </w:pPr>
    </w:p>
    <w:p>
      <w:pPr>
        <w:spacing w:line="460" w:lineRule="exact"/>
        <w:ind w:firstLine="4680" w:firstLineChars="1950"/>
        <w:rPr>
          <w:rFonts w:ascii="宋体" w:hAnsi="宋体"/>
          <w:sz w:val="24"/>
          <w:szCs w:val="24"/>
        </w:rPr>
      </w:pPr>
      <w:r>
        <w:rPr>
          <w:rFonts w:ascii="宋体" w:hAnsi="宋体"/>
          <w:sz w:val="24"/>
          <w:szCs w:val="24"/>
        </w:rPr>
        <w:t xml:space="preserve">  </w:t>
      </w:r>
      <w:r>
        <w:rPr>
          <w:rFonts w:hint="eastAsia" w:ascii="宋体" w:hAnsi="宋体"/>
          <w:sz w:val="24"/>
          <w:szCs w:val="24"/>
        </w:rPr>
        <w:t>年    月    日</w:t>
      </w:r>
    </w:p>
    <w:p>
      <w:pPr>
        <w:spacing w:line="460" w:lineRule="exact"/>
        <w:ind w:firstLine="5160" w:firstLineChars="2150"/>
        <w:rPr>
          <w:rFonts w:ascii="宋体" w:hAnsi="宋体"/>
          <w:sz w:val="24"/>
          <w:szCs w:val="24"/>
        </w:rPr>
      </w:pPr>
    </w:p>
    <w:p>
      <w:pPr>
        <w:spacing w:line="460" w:lineRule="exact"/>
        <w:ind w:firstLine="5160" w:firstLineChars="2150"/>
        <w:rPr>
          <w:rFonts w:ascii="仿宋_GB2312" w:hAnsi="宋体" w:eastAsia="仿宋_GB2312"/>
          <w:sz w:val="24"/>
          <w:szCs w:val="24"/>
        </w:rPr>
      </w:pPr>
    </w:p>
    <w:p>
      <w:pPr>
        <w:spacing w:line="460" w:lineRule="exact"/>
        <w:ind w:firstLine="5160" w:firstLineChars="2150"/>
        <w:rPr>
          <w:rFonts w:ascii="仿宋_GB2312" w:hAnsi="宋体" w:eastAsia="仿宋_GB2312"/>
          <w:sz w:val="24"/>
          <w:szCs w:val="24"/>
        </w:rPr>
      </w:pPr>
    </w:p>
    <w:p>
      <w:pPr>
        <w:spacing w:line="460" w:lineRule="exact"/>
        <w:ind w:firstLine="5160" w:firstLineChars="2150"/>
        <w:rPr>
          <w:rFonts w:ascii="仿宋_GB2312" w:hAnsi="宋体" w:eastAsia="仿宋_GB2312"/>
          <w:sz w:val="24"/>
          <w:szCs w:val="24"/>
        </w:rPr>
      </w:pPr>
    </w:p>
    <w:p>
      <w:pPr>
        <w:spacing w:line="460" w:lineRule="exact"/>
        <w:ind w:firstLine="5160" w:firstLineChars="2150"/>
        <w:rPr>
          <w:rFonts w:ascii="仿宋_GB2312" w:hAnsi="宋体" w:eastAsia="仿宋_GB2312"/>
          <w:sz w:val="24"/>
          <w:szCs w:val="24"/>
        </w:rPr>
      </w:pPr>
    </w:p>
    <w:p>
      <w:pPr>
        <w:spacing w:line="460" w:lineRule="exact"/>
        <w:rPr>
          <w:rFonts w:ascii="仿宋_GB2312" w:hAnsi="宋体" w:eastAsia="仿宋_GB2312"/>
          <w:b/>
          <w:sz w:val="24"/>
          <w:szCs w:val="24"/>
        </w:rPr>
      </w:pPr>
    </w:p>
    <w:p>
      <w:pPr>
        <w:spacing w:line="460" w:lineRule="exact"/>
        <w:rPr>
          <w:rFonts w:ascii="仿宋_GB2312" w:hAnsi="宋体" w:eastAsia="仿宋_GB2312"/>
          <w:b/>
          <w:sz w:val="24"/>
          <w:szCs w:val="24"/>
        </w:rPr>
      </w:pPr>
    </w:p>
    <w:p>
      <w:pPr>
        <w:spacing w:line="580" w:lineRule="exact"/>
        <w:jc w:val="center"/>
        <w:outlineLvl w:val="2"/>
        <w:rPr>
          <w:rFonts w:ascii="黑体" w:hAnsi="黑体" w:eastAsia="黑体"/>
          <w:sz w:val="32"/>
          <w:szCs w:val="32"/>
        </w:rPr>
      </w:pPr>
      <w:r>
        <w:rPr>
          <w:rFonts w:hint="eastAsia" w:ascii="仿宋_GB2312" w:hAnsi="宋体" w:eastAsia="仿宋_GB2312"/>
          <w:sz w:val="24"/>
          <w:szCs w:val="24"/>
        </w:rPr>
        <w:br w:type="page"/>
      </w:r>
      <w:bookmarkStart w:id="710" w:name="_Toc184916615"/>
      <w:r>
        <w:rPr>
          <w:rFonts w:hint="eastAsia" w:ascii="黑体" w:hAnsi="黑体" w:eastAsia="黑体"/>
          <w:sz w:val="32"/>
          <w:szCs w:val="32"/>
        </w:rPr>
        <w:t>三、授权委托书</w:t>
      </w:r>
      <w:bookmarkEnd w:id="710"/>
    </w:p>
    <w:p>
      <w:pPr>
        <w:spacing w:line="460" w:lineRule="exact"/>
        <w:ind w:firstLine="480" w:firstLineChars="200"/>
        <w:rPr>
          <w:rFonts w:ascii="仿宋_GB2312" w:hAnsi="宋体" w:eastAsia="仿宋_GB2312"/>
          <w:sz w:val="24"/>
          <w:szCs w:val="24"/>
        </w:rPr>
      </w:pPr>
    </w:p>
    <w:p>
      <w:pPr>
        <w:spacing w:line="460" w:lineRule="exact"/>
        <w:ind w:firstLine="480" w:firstLineChars="200"/>
        <w:rPr>
          <w:rFonts w:ascii="宋体" w:hAnsi="宋体"/>
          <w:sz w:val="24"/>
          <w:szCs w:val="24"/>
        </w:rPr>
      </w:pPr>
      <w:r>
        <w:rPr>
          <w:rFonts w:hint="eastAsia" w:ascii="宋体" w:hAnsi="宋体"/>
          <w:sz w:val="24"/>
          <w:szCs w:val="24"/>
        </w:rPr>
        <w:t>本人        （姓名）系             （投标人名称）的法定代表人，现委托本单位人员         （姓名）为我方代理人。代理人根据授权，以我方名义签署、澄清、说明、补正、递交、撤回、修改       （项目名称）投标文件及方案比选文件，签订合作协议及服务合同、处理有关事宜（向有关监督管理部门投诉另行授权），其法律后果由我方承担。</w:t>
      </w:r>
    </w:p>
    <w:p>
      <w:pPr>
        <w:spacing w:line="460" w:lineRule="exact"/>
        <w:ind w:firstLine="480" w:firstLineChars="200"/>
        <w:rPr>
          <w:rFonts w:ascii="宋体" w:hAnsi="宋体"/>
          <w:sz w:val="24"/>
          <w:szCs w:val="24"/>
        </w:rPr>
      </w:pPr>
      <w:r>
        <w:rPr>
          <w:rFonts w:hint="eastAsia" w:ascii="宋体" w:hAnsi="宋体"/>
          <w:sz w:val="24"/>
          <w:szCs w:val="24"/>
        </w:rPr>
        <w:t>委托期限：         【开始时间为招标公告发布之日，终止日期不早于投标有效期期满之日】</w:t>
      </w:r>
    </w:p>
    <w:p>
      <w:pPr>
        <w:spacing w:line="460" w:lineRule="exact"/>
        <w:ind w:firstLine="480" w:firstLineChars="200"/>
        <w:rPr>
          <w:rFonts w:ascii="宋体" w:hAnsi="宋体"/>
          <w:sz w:val="24"/>
          <w:szCs w:val="24"/>
        </w:rPr>
      </w:pPr>
      <w:r>
        <w:rPr>
          <w:rFonts w:hint="eastAsia" w:ascii="宋体" w:hAnsi="宋体"/>
          <w:sz w:val="24"/>
          <w:szCs w:val="24"/>
        </w:rPr>
        <w:t>代理人无转委托权。</w:t>
      </w:r>
    </w:p>
    <w:p>
      <w:pPr>
        <w:spacing w:line="460" w:lineRule="exact"/>
        <w:ind w:firstLine="480" w:firstLineChars="200"/>
        <w:rPr>
          <w:rFonts w:ascii="宋体" w:hAnsi="宋体"/>
          <w:sz w:val="24"/>
          <w:szCs w:val="24"/>
        </w:rPr>
      </w:pPr>
      <w:r>
        <w:rPr>
          <w:rFonts w:hint="eastAsia" w:ascii="宋体" w:hAnsi="宋体"/>
          <w:sz w:val="24"/>
          <w:szCs w:val="24"/>
        </w:rPr>
        <w:t>附：（1）法定代表人身份证复印件【上一项“法定代表人身份证明书”已提供的，本项不再提供】</w:t>
      </w:r>
    </w:p>
    <w:p>
      <w:pPr>
        <w:spacing w:line="460" w:lineRule="exact"/>
        <w:ind w:firstLine="840" w:firstLineChars="350"/>
        <w:rPr>
          <w:rFonts w:ascii="宋体" w:hAnsi="宋体"/>
          <w:sz w:val="24"/>
          <w:szCs w:val="24"/>
        </w:rPr>
      </w:pPr>
      <w:r>
        <w:rPr>
          <w:rFonts w:hint="eastAsia" w:ascii="宋体" w:hAnsi="宋体"/>
          <w:sz w:val="24"/>
          <w:szCs w:val="24"/>
        </w:rPr>
        <w:t>（2）委托代理人身份证复印件</w:t>
      </w:r>
    </w:p>
    <w:p>
      <w:pPr>
        <w:spacing w:line="460" w:lineRule="exact"/>
        <w:ind w:firstLine="840" w:firstLineChars="350"/>
        <w:rPr>
          <w:rFonts w:ascii="宋体" w:hAnsi="宋体"/>
          <w:sz w:val="24"/>
          <w:szCs w:val="24"/>
        </w:rPr>
      </w:pPr>
      <w:r>
        <w:rPr>
          <w:rFonts w:hint="eastAsia" w:ascii="宋体" w:hAnsi="宋体"/>
          <w:sz w:val="24"/>
          <w:szCs w:val="24"/>
        </w:rPr>
        <w:t>（3）委托代理人</w:t>
      </w:r>
      <w:r>
        <w:rPr>
          <w:rFonts w:ascii="宋体" w:hAnsi="宋体"/>
          <w:sz w:val="24"/>
          <w:szCs w:val="24"/>
        </w:rPr>
        <w:t>最近6个月连续缴费的养老保险复印件</w:t>
      </w:r>
    </w:p>
    <w:p>
      <w:pPr>
        <w:spacing w:line="460" w:lineRule="exact"/>
        <w:ind w:firstLine="3360" w:firstLineChars="1400"/>
        <w:jc w:val="left"/>
        <w:rPr>
          <w:rFonts w:ascii="宋体" w:hAnsi="宋体"/>
          <w:sz w:val="24"/>
          <w:szCs w:val="24"/>
        </w:rPr>
      </w:pPr>
      <w:r>
        <w:rPr>
          <w:rFonts w:hint="eastAsia" w:ascii="宋体" w:hAnsi="宋体"/>
          <w:sz w:val="24"/>
          <w:szCs w:val="24"/>
        </w:rPr>
        <w:t>投  标  人：                 （公章）</w:t>
      </w:r>
    </w:p>
    <w:p>
      <w:pPr>
        <w:spacing w:line="460" w:lineRule="exact"/>
        <w:ind w:firstLine="3360" w:firstLineChars="1400"/>
        <w:jc w:val="left"/>
        <w:rPr>
          <w:rFonts w:ascii="宋体" w:hAnsi="宋体"/>
          <w:sz w:val="24"/>
          <w:szCs w:val="24"/>
        </w:rPr>
      </w:pPr>
      <w:r>
        <w:rPr>
          <w:rFonts w:hint="eastAsia" w:ascii="宋体" w:hAnsi="宋体"/>
          <w:sz w:val="24"/>
          <w:szCs w:val="24"/>
        </w:rPr>
        <w:t>法定代表人：                 （签字）</w:t>
      </w:r>
    </w:p>
    <w:p>
      <w:pPr>
        <w:spacing w:line="460" w:lineRule="exact"/>
        <w:ind w:firstLine="3360" w:firstLineChars="1400"/>
        <w:jc w:val="left"/>
        <w:rPr>
          <w:rFonts w:ascii="宋体" w:hAnsi="宋体"/>
          <w:sz w:val="24"/>
          <w:szCs w:val="24"/>
        </w:rPr>
      </w:pPr>
      <w:r>
        <w:rPr>
          <w:rFonts w:hint="eastAsia" w:ascii="宋体" w:hAnsi="宋体"/>
          <w:sz w:val="24"/>
          <w:szCs w:val="24"/>
        </w:rPr>
        <w:t xml:space="preserve">身份证号码：                  </w:t>
      </w:r>
    </w:p>
    <w:p>
      <w:pPr>
        <w:spacing w:line="460" w:lineRule="exact"/>
        <w:ind w:firstLine="3360" w:firstLineChars="1400"/>
        <w:jc w:val="left"/>
        <w:rPr>
          <w:rFonts w:ascii="宋体" w:hAnsi="宋体"/>
          <w:sz w:val="24"/>
          <w:szCs w:val="24"/>
        </w:rPr>
      </w:pPr>
      <w:r>
        <w:rPr>
          <w:rFonts w:hint="eastAsia" w:ascii="宋体" w:hAnsi="宋体"/>
          <w:sz w:val="24"/>
          <w:szCs w:val="24"/>
        </w:rPr>
        <w:t>委托代理人：                 （签字）</w:t>
      </w:r>
    </w:p>
    <w:p>
      <w:pPr>
        <w:spacing w:line="460" w:lineRule="exact"/>
        <w:ind w:firstLine="3360" w:firstLineChars="1400"/>
        <w:jc w:val="left"/>
        <w:rPr>
          <w:rFonts w:ascii="宋体" w:hAnsi="宋体"/>
          <w:sz w:val="24"/>
          <w:szCs w:val="24"/>
        </w:rPr>
      </w:pPr>
      <w:r>
        <w:rPr>
          <w:rFonts w:hint="eastAsia" w:ascii="宋体" w:hAnsi="宋体"/>
          <w:sz w:val="24"/>
          <w:szCs w:val="24"/>
        </w:rPr>
        <w:t xml:space="preserve">身份证号码：                 </w:t>
      </w:r>
    </w:p>
    <w:p>
      <w:pPr>
        <w:spacing w:line="460" w:lineRule="exact"/>
        <w:ind w:firstLine="3480" w:firstLineChars="1450"/>
        <w:jc w:val="left"/>
        <w:rPr>
          <w:rFonts w:ascii="宋体" w:hAnsi="宋体"/>
          <w:sz w:val="24"/>
          <w:szCs w:val="24"/>
        </w:rPr>
      </w:pPr>
      <w:r>
        <w:rPr>
          <w:rFonts w:hint="eastAsia" w:ascii="宋体" w:hAnsi="宋体"/>
          <w:sz w:val="24"/>
          <w:szCs w:val="24"/>
        </w:rPr>
        <w:t xml:space="preserve">联 系 电 话：                 </w:t>
      </w:r>
    </w:p>
    <w:p>
      <w:pPr>
        <w:spacing w:line="460" w:lineRule="exact"/>
        <w:ind w:firstLine="4680" w:firstLineChars="1950"/>
        <w:rPr>
          <w:rFonts w:ascii="宋体" w:hAnsi="宋体"/>
          <w:sz w:val="24"/>
          <w:szCs w:val="24"/>
        </w:rPr>
      </w:pPr>
      <w:r>
        <w:rPr>
          <w:rFonts w:ascii="宋体" w:hAnsi="宋体"/>
          <w:sz w:val="24"/>
          <w:szCs w:val="24"/>
        </w:rPr>
        <w:t xml:space="preserve"> </w:t>
      </w:r>
      <w:r>
        <w:rPr>
          <w:rFonts w:hint="eastAsia" w:ascii="宋体" w:hAnsi="宋体"/>
          <w:sz w:val="24"/>
          <w:szCs w:val="24"/>
        </w:rPr>
        <w:t>年    月    日</w:t>
      </w:r>
    </w:p>
    <w:p>
      <w:pPr>
        <w:spacing w:line="440" w:lineRule="exact"/>
        <w:jc w:val="left"/>
        <w:rPr>
          <w:rFonts w:ascii="宋体" w:hAnsi="宋体"/>
          <w:sz w:val="24"/>
          <w:szCs w:val="24"/>
        </w:rPr>
      </w:pPr>
      <w:r>
        <w:rPr>
          <w:rFonts w:hint="eastAsia" w:ascii="宋体" w:hAnsi="宋体"/>
          <w:sz w:val="24"/>
          <w:szCs w:val="24"/>
        </w:rPr>
        <w:t>注：（1）最近6个月连续缴费是指从基准日期（指递交投标文件截止之日前28天的日期）起算，往前推6个月，连续、不间断，每个月都缴纳了养老保险费。</w:t>
      </w:r>
      <w:r>
        <w:rPr>
          <w:rFonts w:ascii="宋体" w:hAnsi="宋体"/>
          <w:sz w:val="24"/>
          <w:szCs w:val="24"/>
        </w:rPr>
        <w:t>若</w:t>
      </w:r>
      <w:r>
        <w:rPr>
          <w:rFonts w:hint="eastAsia" w:ascii="宋体" w:hAnsi="宋体"/>
          <w:sz w:val="24"/>
          <w:szCs w:val="24"/>
        </w:rPr>
        <w:t>政府</w:t>
      </w:r>
      <w:r>
        <w:rPr>
          <w:rFonts w:ascii="宋体" w:hAnsi="宋体"/>
          <w:sz w:val="24"/>
          <w:szCs w:val="24"/>
        </w:rPr>
        <w:t>社保</w:t>
      </w:r>
      <w:r>
        <w:rPr>
          <w:rFonts w:hint="eastAsia" w:ascii="宋体" w:hAnsi="宋体"/>
          <w:sz w:val="24"/>
          <w:szCs w:val="24"/>
        </w:rPr>
        <w:t>管理部门确实</w:t>
      </w:r>
      <w:r>
        <w:rPr>
          <w:rFonts w:ascii="宋体" w:hAnsi="宋体"/>
          <w:sz w:val="24"/>
          <w:szCs w:val="24"/>
        </w:rPr>
        <w:t>无法出具</w:t>
      </w:r>
      <w:r>
        <w:rPr>
          <w:rFonts w:hint="eastAsia" w:ascii="宋体" w:hAnsi="宋体"/>
          <w:sz w:val="24"/>
          <w:szCs w:val="24"/>
        </w:rPr>
        <w:t>最近一个</w:t>
      </w:r>
      <w:r>
        <w:rPr>
          <w:rFonts w:ascii="宋体" w:hAnsi="宋体"/>
          <w:sz w:val="24"/>
          <w:szCs w:val="24"/>
        </w:rPr>
        <w:t>月份养老保险证明，允许提供到</w:t>
      </w:r>
      <w:r>
        <w:rPr>
          <w:rFonts w:hint="eastAsia" w:ascii="宋体" w:hAnsi="宋体"/>
          <w:sz w:val="24"/>
          <w:szCs w:val="24"/>
        </w:rPr>
        <w:t>前一个</w:t>
      </w:r>
      <w:r>
        <w:rPr>
          <w:rFonts w:ascii="宋体" w:hAnsi="宋体"/>
          <w:sz w:val="24"/>
          <w:szCs w:val="24"/>
        </w:rPr>
        <w:t>月份，</w:t>
      </w:r>
      <w:r>
        <w:rPr>
          <w:rFonts w:hint="eastAsia" w:ascii="宋体" w:hAnsi="宋体"/>
          <w:sz w:val="24"/>
          <w:szCs w:val="24"/>
        </w:rPr>
        <w:t>但</w:t>
      </w:r>
      <w:r>
        <w:rPr>
          <w:rFonts w:ascii="宋体" w:hAnsi="宋体"/>
          <w:sz w:val="24"/>
          <w:szCs w:val="24"/>
        </w:rPr>
        <w:t>应加盖投标人单位公章或委托代理人签字予以说明</w:t>
      </w:r>
      <w:r>
        <w:rPr>
          <w:rFonts w:hint="eastAsia" w:ascii="宋体" w:hAnsi="宋体"/>
          <w:sz w:val="24"/>
          <w:szCs w:val="24"/>
        </w:rPr>
        <w:t>（下同）</w:t>
      </w:r>
      <w:r>
        <w:rPr>
          <w:rFonts w:ascii="宋体" w:hAnsi="宋体"/>
          <w:sz w:val="24"/>
          <w:szCs w:val="24"/>
        </w:rPr>
        <w:t>。</w:t>
      </w:r>
    </w:p>
    <w:p>
      <w:pPr>
        <w:spacing w:line="440" w:lineRule="exact"/>
        <w:ind w:firstLine="360" w:firstLineChars="150"/>
        <w:jc w:val="left"/>
        <w:rPr>
          <w:rFonts w:ascii="宋体" w:hAnsi="宋体"/>
          <w:sz w:val="24"/>
          <w:szCs w:val="24"/>
        </w:rPr>
      </w:pPr>
      <w:r>
        <w:rPr>
          <w:rFonts w:hint="eastAsia" w:ascii="宋体" w:hAnsi="宋体"/>
          <w:sz w:val="24"/>
          <w:szCs w:val="24"/>
        </w:rPr>
        <w:t>（2）委托代理人在递交投标文件时，应携带本人身份证原件、养老保险缴纳凭证原件备查。</w:t>
      </w:r>
      <w:r>
        <w:rPr>
          <w:rFonts w:ascii="宋体" w:hAnsi="宋体"/>
          <w:sz w:val="24"/>
          <w:szCs w:val="24"/>
        </w:rPr>
        <w:t>无法开具</w:t>
      </w:r>
      <w:r>
        <w:rPr>
          <w:rFonts w:hint="eastAsia" w:ascii="宋体" w:hAnsi="宋体"/>
          <w:sz w:val="24"/>
          <w:szCs w:val="24"/>
        </w:rPr>
        <w:t>养老保险缴费</w:t>
      </w:r>
      <w:r>
        <w:rPr>
          <w:rFonts w:ascii="宋体" w:hAnsi="宋体"/>
          <w:sz w:val="24"/>
          <w:szCs w:val="24"/>
        </w:rPr>
        <w:t>证明的省市，若</w:t>
      </w:r>
      <w:r>
        <w:rPr>
          <w:rFonts w:hint="eastAsia" w:ascii="宋体" w:hAnsi="宋体"/>
          <w:sz w:val="24"/>
          <w:szCs w:val="24"/>
        </w:rPr>
        <w:t>相关</w:t>
      </w:r>
      <w:r>
        <w:rPr>
          <w:rFonts w:ascii="宋体" w:hAnsi="宋体"/>
          <w:sz w:val="24"/>
          <w:szCs w:val="24"/>
        </w:rPr>
        <w:t>记录能够在官网上查询，允许以查询记录加盖单位公章的形式证明</w:t>
      </w:r>
      <w:r>
        <w:rPr>
          <w:rFonts w:hint="eastAsia" w:ascii="宋体" w:hAnsi="宋体"/>
          <w:sz w:val="24"/>
          <w:szCs w:val="24"/>
        </w:rPr>
        <w:t>，但须提供查询网址和查询方法（下同）</w:t>
      </w:r>
      <w:r>
        <w:rPr>
          <w:rFonts w:ascii="宋体" w:hAnsi="宋体"/>
          <w:sz w:val="24"/>
          <w:szCs w:val="24"/>
        </w:rPr>
        <w:t>。</w:t>
      </w:r>
    </w:p>
    <w:p>
      <w:pPr>
        <w:spacing w:line="460" w:lineRule="exact"/>
        <w:jc w:val="center"/>
        <w:rPr>
          <w:rFonts w:ascii="黑体" w:hAnsi="黑体" w:eastAsia="黑体"/>
          <w:sz w:val="32"/>
          <w:szCs w:val="32"/>
        </w:rPr>
      </w:pPr>
      <w:r>
        <w:rPr>
          <w:rFonts w:ascii="仿宋_GB2312" w:hAnsi="宋体" w:eastAsia="仿宋_GB2312"/>
          <w:sz w:val="24"/>
          <w:szCs w:val="24"/>
        </w:rPr>
        <w:br w:type="page"/>
      </w:r>
      <w:bookmarkStart w:id="711" w:name="_Toc184916616"/>
      <w:r>
        <w:rPr>
          <w:rFonts w:hint="eastAsia" w:ascii="黑体" w:hAnsi="黑体" w:eastAsia="黑体"/>
          <w:sz w:val="32"/>
          <w:szCs w:val="32"/>
        </w:rPr>
        <w:t>四、投标保证金缴纳和基本账户证明</w:t>
      </w:r>
      <w:bookmarkEnd w:id="711"/>
    </w:p>
    <w:p>
      <w:pPr>
        <w:pStyle w:val="2"/>
        <w:ind w:firstLine="0" w:firstLineChars="0"/>
        <w:rPr>
          <w:rFonts w:ascii="仿宋_GB2312" w:eastAsia="仿宋_GB2312"/>
          <w:sz w:val="24"/>
          <w:szCs w:val="24"/>
          <w:u w:val="single"/>
        </w:rPr>
      </w:pPr>
    </w:p>
    <w:p>
      <w:pPr>
        <w:spacing w:line="460" w:lineRule="exact"/>
        <w:rPr>
          <w:rFonts w:ascii="楷体_GB2312" w:eastAsia="楷体_GB2312"/>
          <w:sz w:val="24"/>
          <w:szCs w:val="24"/>
        </w:rPr>
      </w:pPr>
      <w:r>
        <w:rPr>
          <w:rFonts w:hint="eastAsia" w:ascii="楷体_GB2312" w:eastAsia="楷体_GB2312"/>
          <w:sz w:val="24"/>
          <w:szCs w:val="24"/>
        </w:rPr>
        <w:t>XXX：</w:t>
      </w:r>
    </w:p>
    <w:p>
      <w:pPr>
        <w:spacing w:line="460" w:lineRule="exact"/>
        <w:ind w:firstLine="435"/>
        <w:rPr>
          <w:rFonts w:ascii="宋体" w:hAnsi="宋体"/>
          <w:sz w:val="24"/>
          <w:szCs w:val="24"/>
        </w:rPr>
      </w:pPr>
      <w:r>
        <w:rPr>
          <w:rFonts w:hint="eastAsia" w:ascii="宋体" w:hAnsi="宋体"/>
          <w:sz w:val="24"/>
          <w:szCs w:val="24"/>
        </w:rPr>
        <w:t>本投标人自愿参加          （项目名称）的招标，并按招标文件要求交纳投标保证金，金额为人民币（大写）          元（¥        ）。</w:t>
      </w:r>
    </w:p>
    <w:p>
      <w:pPr>
        <w:spacing w:line="460" w:lineRule="exact"/>
        <w:ind w:firstLine="480" w:firstLineChars="200"/>
        <w:rPr>
          <w:rFonts w:ascii="宋体" w:hAnsi="宋体"/>
          <w:sz w:val="24"/>
          <w:szCs w:val="24"/>
        </w:rPr>
      </w:pPr>
      <w:r>
        <w:rPr>
          <w:rFonts w:hint="eastAsia" w:ascii="宋体" w:hAnsi="宋体"/>
          <w:sz w:val="24"/>
          <w:szCs w:val="24"/>
        </w:rPr>
        <w:t>本投标人承诺所交纳投标保证金是从本公司基本账户以转帐方式交纳的，若有虚假，由此引起的一切责任均由我公司承担。</w:t>
      </w:r>
    </w:p>
    <w:p>
      <w:pPr>
        <w:spacing w:line="460" w:lineRule="exact"/>
        <w:rPr>
          <w:rFonts w:ascii="宋体" w:hAnsi="宋体"/>
          <w:sz w:val="24"/>
          <w:szCs w:val="24"/>
        </w:rPr>
      </w:pPr>
    </w:p>
    <w:p>
      <w:pPr>
        <w:spacing w:line="460" w:lineRule="exact"/>
        <w:ind w:firstLine="480" w:firstLineChars="200"/>
        <w:rPr>
          <w:rFonts w:ascii="宋体" w:hAnsi="宋体"/>
          <w:sz w:val="24"/>
          <w:szCs w:val="24"/>
        </w:rPr>
      </w:pPr>
      <w:r>
        <w:rPr>
          <w:rFonts w:hint="eastAsia" w:ascii="宋体" w:hAnsi="宋体"/>
          <w:sz w:val="24"/>
          <w:szCs w:val="24"/>
        </w:rPr>
        <w:t>附件：1.银行给投标人的转帐回单</w:t>
      </w:r>
    </w:p>
    <w:p>
      <w:pPr>
        <w:pStyle w:val="2"/>
        <w:ind w:firstLine="240"/>
      </w:pPr>
      <w:r>
        <w:rPr>
          <w:rFonts w:hint="eastAsia" w:ascii="宋体" w:hAnsi="宋体"/>
          <w:sz w:val="24"/>
          <w:szCs w:val="24"/>
        </w:rPr>
        <w:t xml:space="preserve">        </w:t>
      </w:r>
      <w:r>
        <w:rPr>
          <w:rFonts w:hint="eastAsia" w:ascii="宋体" w:hAnsi="宋体" w:eastAsia="宋体"/>
          <w:b w:val="0"/>
          <w:bCs w:val="0"/>
          <w:kern w:val="2"/>
          <w:sz w:val="24"/>
          <w:szCs w:val="24"/>
        </w:rPr>
        <w:t>2.基本账户证明</w:t>
      </w: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right="960" w:firstLine="3240" w:firstLineChars="1350"/>
        <w:jc w:val="center"/>
        <w:rPr>
          <w:rFonts w:ascii="宋体" w:hAnsi="宋体"/>
          <w:sz w:val="24"/>
          <w:szCs w:val="24"/>
        </w:rPr>
      </w:pPr>
      <w:r>
        <w:rPr>
          <w:rFonts w:hint="eastAsia" w:ascii="宋体" w:hAnsi="宋体"/>
          <w:sz w:val="24"/>
          <w:szCs w:val="24"/>
        </w:rPr>
        <w:t xml:space="preserve">                  投标人：      （公章）</w:t>
      </w:r>
    </w:p>
    <w:p>
      <w:pPr>
        <w:spacing w:line="460" w:lineRule="exact"/>
        <w:rPr>
          <w:rFonts w:ascii="宋体" w:hAnsi="宋体"/>
          <w:sz w:val="24"/>
          <w:szCs w:val="24"/>
        </w:rPr>
      </w:pPr>
      <w:r>
        <w:rPr>
          <w:rFonts w:hint="eastAsia" w:ascii="宋体" w:hAnsi="宋体"/>
          <w:sz w:val="24"/>
          <w:szCs w:val="24"/>
        </w:rPr>
        <w:t xml:space="preserve">                                             法定代表人</w:t>
      </w:r>
    </w:p>
    <w:p>
      <w:pPr>
        <w:spacing w:line="460" w:lineRule="exact"/>
        <w:ind w:firstLine="5400" w:firstLineChars="2250"/>
        <w:rPr>
          <w:rFonts w:ascii="宋体" w:hAnsi="宋体"/>
          <w:sz w:val="24"/>
          <w:szCs w:val="24"/>
        </w:rPr>
      </w:pPr>
      <w:r>
        <w:rPr>
          <w:rFonts w:hint="eastAsia" w:ascii="宋体" w:hAnsi="宋体"/>
          <w:sz w:val="24"/>
          <w:szCs w:val="24"/>
        </w:rPr>
        <w:t>或其委托代理人（签字）：</w:t>
      </w:r>
    </w:p>
    <w:p>
      <w:pPr>
        <w:spacing w:line="460" w:lineRule="exact"/>
        <w:ind w:left="239" w:leftChars="114" w:firstLine="5400" w:firstLineChars="2250"/>
        <w:jc w:val="left"/>
        <w:rPr>
          <w:rFonts w:ascii="宋体" w:hAnsi="宋体"/>
          <w:sz w:val="24"/>
          <w:szCs w:val="24"/>
        </w:rPr>
      </w:pPr>
      <w:r>
        <w:rPr>
          <w:rFonts w:ascii="宋体" w:hAnsi="宋体"/>
          <w:sz w:val="24"/>
          <w:szCs w:val="24"/>
        </w:rPr>
        <w:t xml:space="preserve">   </w:t>
      </w:r>
      <w:r>
        <w:rPr>
          <w:rFonts w:hint="eastAsia" w:ascii="宋体" w:hAnsi="宋体"/>
          <w:sz w:val="24"/>
          <w:szCs w:val="24"/>
        </w:rPr>
        <w:t>年    月   日</w:t>
      </w:r>
      <w:bookmarkEnd w:id="552"/>
      <w:bookmarkEnd w:id="553"/>
      <w:bookmarkEnd w:id="554"/>
      <w:bookmarkEnd w:id="555"/>
      <w:bookmarkEnd w:id="556"/>
      <w:bookmarkStart w:id="712" w:name="_Toc144002954"/>
    </w:p>
    <w:p>
      <w:pPr>
        <w:pStyle w:val="2"/>
        <w:ind w:firstLine="240"/>
        <w:rPr>
          <w:rFonts w:ascii="宋体" w:hAnsi="宋体"/>
          <w:sz w:val="24"/>
          <w:szCs w:val="24"/>
        </w:rPr>
      </w:pPr>
    </w:p>
    <w:p>
      <w:pPr>
        <w:pStyle w:val="2"/>
        <w:ind w:firstLine="0" w:firstLineChars="0"/>
        <w:rPr>
          <w:rFonts w:ascii="宋体" w:hAnsi="宋体"/>
          <w:sz w:val="24"/>
          <w:szCs w:val="24"/>
        </w:rPr>
      </w:pPr>
      <w:r>
        <w:rPr>
          <w:rFonts w:hint="eastAsia" w:ascii="宋体" w:hAnsi="宋体"/>
          <w:sz w:val="24"/>
          <w:szCs w:val="24"/>
        </w:rPr>
        <w:t xml:space="preserve">  </w:t>
      </w:r>
      <w:r>
        <w:rPr>
          <w:rFonts w:hint="eastAsia" w:ascii="黑体" w:hAnsi="黑体" w:eastAsia="黑体" w:cs="黑体"/>
          <w:szCs w:val="28"/>
        </w:rPr>
        <w:t xml:space="preserve"> </w:t>
      </w:r>
      <w:r>
        <w:rPr>
          <w:rFonts w:hint="eastAsia" w:ascii="黑体" w:hAnsi="黑体" w:eastAsia="黑体" w:cs="黑体"/>
          <w:b w:val="0"/>
          <w:bCs w:val="0"/>
          <w:szCs w:val="28"/>
        </w:rPr>
        <w:t xml:space="preserve"> 投标人须知中要求提供，但格式未给定的，由投标人自拟</w:t>
      </w:r>
      <w:r>
        <w:rPr>
          <w:rFonts w:hint="eastAsia" w:ascii="方正仿宋_GB2312" w:hAnsi="方正仿宋_GB2312" w:eastAsia="方正仿宋_GB2312" w:cs="方正仿宋_GB2312"/>
          <w:b w:val="0"/>
          <w:bCs w:val="0"/>
          <w:szCs w:val="28"/>
        </w:rPr>
        <w:t>。</w:t>
      </w:r>
    </w:p>
    <w:p>
      <w:pPr>
        <w:snapToGrid w:val="0"/>
        <w:spacing w:line="580" w:lineRule="exact"/>
        <w:rPr>
          <w:rFonts w:ascii="仿宋_GB2312" w:hAnsi="宋体" w:eastAsia="仿宋_GB2312"/>
          <w:sz w:val="24"/>
          <w:szCs w:val="24"/>
        </w:rPr>
      </w:pPr>
      <w:r>
        <w:rPr>
          <w:rFonts w:ascii="宋体" w:hAnsi="宋体"/>
          <w:sz w:val="24"/>
          <w:szCs w:val="24"/>
        </w:rPr>
        <w:br w:type="page"/>
      </w:r>
    </w:p>
    <w:p>
      <w:pPr>
        <w:snapToGrid w:val="0"/>
        <w:spacing w:line="580" w:lineRule="exact"/>
        <w:jc w:val="center"/>
      </w:pPr>
    </w:p>
    <w:p>
      <w:pPr>
        <w:snapToGrid w:val="0"/>
        <w:spacing w:line="580" w:lineRule="exact"/>
        <w:jc w:val="center"/>
        <w:outlineLvl w:val="1"/>
        <w:rPr>
          <w:rFonts w:ascii="楷体_GB2312" w:eastAsia="楷体_GB2312"/>
          <w:sz w:val="32"/>
          <w:szCs w:val="32"/>
        </w:rPr>
      </w:pPr>
      <w:bookmarkStart w:id="713" w:name="_Toc184916617"/>
      <w:r>
        <w:rPr>
          <w:rFonts w:hint="eastAsia" w:ascii="黑体" w:eastAsia="黑体"/>
          <w:sz w:val="44"/>
          <w:szCs w:val="44"/>
        </w:rPr>
        <w:t>（第二部分  技术部分）</w:t>
      </w:r>
      <w:bookmarkEnd w:id="713"/>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pacing w:line="46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目  录</w:t>
      </w:r>
    </w:p>
    <w:p>
      <w:pPr>
        <w:spacing w:line="460" w:lineRule="exact"/>
        <w:rPr>
          <w:rFonts w:ascii="黑体" w:hAnsi="黑体" w:eastAsia="黑体"/>
          <w:sz w:val="32"/>
          <w:szCs w:val="32"/>
        </w:rPr>
      </w:pPr>
    </w:p>
    <w:p>
      <w:pPr>
        <w:spacing w:line="360" w:lineRule="auto"/>
        <w:rPr>
          <w:rFonts w:ascii="黑体" w:hAnsi="黑体" w:eastAsia="黑体"/>
          <w:sz w:val="28"/>
          <w:szCs w:val="28"/>
        </w:rPr>
      </w:pPr>
      <w:r>
        <w:rPr>
          <w:rFonts w:hint="eastAsia" w:ascii="黑体" w:hAnsi="黑体" w:eastAsia="黑体"/>
          <w:sz w:val="28"/>
          <w:szCs w:val="28"/>
        </w:rPr>
        <w:t>一、全过程工程咨询总体实施方案……………………………………X</w:t>
      </w:r>
    </w:p>
    <w:p>
      <w:pPr>
        <w:snapToGrid w:val="0"/>
        <w:spacing w:line="580" w:lineRule="exact"/>
        <w:jc w:val="center"/>
        <w:rPr>
          <w:rFonts w:ascii="方正小标宋简体" w:eastAsia="方正小标宋简体"/>
          <w:sz w:val="96"/>
          <w:szCs w:val="96"/>
        </w:rPr>
      </w:pPr>
    </w:p>
    <w:p>
      <w:pPr>
        <w:spacing w:line="460" w:lineRule="exact"/>
        <w:jc w:val="center"/>
        <w:outlineLvl w:val="2"/>
        <w:rPr>
          <w:rFonts w:hint="eastAsia" w:ascii="黑体" w:hAnsi="黑体" w:eastAsia="黑体"/>
          <w:bCs/>
          <w:sz w:val="32"/>
          <w:szCs w:val="32"/>
          <w:highlight w:val="yellow"/>
        </w:rPr>
      </w:pPr>
      <w:r>
        <w:rPr>
          <w:rFonts w:ascii="黑体" w:hAnsi="黑体" w:eastAsia="黑体"/>
          <w:sz w:val="32"/>
          <w:szCs w:val="32"/>
        </w:rPr>
        <w:br w:type="page"/>
      </w:r>
      <w:bookmarkStart w:id="714" w:name="_Toc184916618"/>
      <w:r>
        <w:rPr>
          <w:rFonts w:hint="eastAsia" w:ascii="黑体" w:hAnsi="黑体" w:eastAsia="黑体"/>
          <w:sz w:val="32"/>
          <w:szCs w:val="32"/>
          <w:highlight w:val="none"/>
        </w:rPr>
        <w:t>一、</w:t>
      </w:r>
      <w:r>
        <w:rPr>
          <w:rFonts w:hint="eastAsia" w:ascii="黑体" w:hAnsi="黑体" w:eastAsia="黑体"/>
          <w:bCs/>
          <w:sz w:val="32"/>
          <w:szCs w:val="32"/>
          <w:highlight w:val="none"/>
        </w:rPr>
        <w:t>3122工程全过程工程咨询（2025-JJDCBG-G1004）</w:t>
      </w:r>
    </w:p>
    <w:p>
      <w:pPr>
        <w:spacing w:line="460" w:lineRule="exact"/>
        <w:jc w:val="center"/>
        <w:outlineLvl w:val="2"/>
        <w:rPr>
          <w:rFonts w:ascii="黑体" w:hAnsi="黑体" w:eastAsia="黑体"/>
          <w:bCs/>
          <w:sz w:val="32"/>
          <w:szCs w:val="32"/>
        </w:rPr>
      </w:pPr>
      <w:r>
        <w:rPr>
          <w:rFonts w:hint="eastAsia" w:ascii="黑体" w:hAnsi="黑体" w:eastAsia="黑体"/>
          <w:bCs/>
          <w:sz w:val="32"/>
          <w:szCs w:val="32"/>
        </w:rPr>
        <w:t>总体实施方案</w:t>
      </w:r>
      <w:bookmarkEnd w:id="714"/>
    </w:p>
    <w:p>
      <w:pPr>
        <w:spacing w:line="460" w:lineRule="exact"/>
        <w:jc w:val="left"/>
        <w:rPr>
          <w:rFonts w:ascii="仿宋_GB2312" w:hAnsi="宋体" w:eastAsia="仿宋_GB2312"/>
          <w:sz w:val="24"/>
          <w:szCs w:val="24"/>
        </w:rPr>
      </w:pPr>
    </w:p>
    <w:p>
      <w:pPr>
        <w:spacing w:line="460" w:lineRule="exact"/>
        <w:ind w:firstLine="480" w:firstLineChars="200"/>
        <w:jc w:val="left"/>
        <w:rPr>
          <w:rFonts w:ascii="宋体" w:hAnsi="宋体"/>
          <w:sz w:val="24"/>
          <w:szCs w:val="24"/>
        </w:rPr>
      </w:pPr>
      <w:r>
        <w:rPr>
          <w:rFonts w:hint="eastAsia" w:ascii="宋体" w:hAnsi="宋体"/>
          <w:sz w:val="24"/>
          <w:szCs w:val="24"/>
        </w:rPr>
        <w:t>本方案要求内容全面、目标明确、计划可行；项目组织架构、项目管理体系、拟投入的资源配置科学、合理、高效，全过程工程咨询机构的制度建设规划到位；对工程勘察设计、工程监理、投资（造价）控制及项目合同与信息管理等进行控制的方法科学，管理措施全面、得当。</w:t>
      </w:r>
    </w:p>
    <w:p>
      <w:pPr>
        <w:spacing w:line="460" w:lineRule="exact"/>
        <w:ind w:firstLine="480" w:firstLineChars="200"/>
        <w:jc w:val="left"/>
        <w:rPr>
          <w:rFonts w:ascii="宋体" w:hAnsi="宋体"/>
          <w:sz w:val="24"/>
          <w:szCs w:val="24"/>
        </w:rPr>
      </w:pPr>
      <w:r>
        <w:rPr>
          <w:rFonts w:hint="eastAsia" w:ascii="宋体" w:hAnsi="宋体"/>
          <w:sz w:val="24"/>
          <w:szCs w:val="24"/>
        </w:rPr>
        <w:t>本项目下工程，通常采用全过程工程咨询模式实施。该模式下，投标人负责勘察测绘、规划设计、初步设计、编制技术规格书、施工图设计、监理、造价等工作。</w:t>
      </w:r>
    </w:p>
    <w:p>
      <w:pPr>
        <w:pStyle w:val="318"/>
        <w:adjustRightInd w:val="0"/>
        <w:snapToGrid w:val="0"/>
        <w:spacing w:line="460" w:lineRule="exact"/>
        <w:ind w:firstLine="480"/>
        <w:textAlignment w:val="baseline"/>
        <w:rPr>
          <w:rFonts w:ascii="黑体" w:hAnsi="黑体" w:eastAsia="黑体"/>
          <w:b w:val="0"/>
          <w:szCs w:val="24"/>
        </w:rPr>
      </w:pPr>
      <w:r>
        <w:rPr>
          <w:rFonts w:hint="eastAsia" w:ascii="黑体" w:hAnsi="黑体" w:eastAsia="黑体"/>
          <w:b w:val="0"/>
          <w:szCs w:val="24"/>
        </w:rPr>
        <w:t>第一章  全过程工程咨询总纲</w:t>
      </w:r>
    </w:p>
    <w:tbl>
      <w:tblPr>
        <w:tblStyle w:val="88"/>
        <w:tblW w:w="9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093"/>
        <w:gridCol w:w="7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restart"/>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1</w:t>
            </w:r>
          </w:p>
        </w:tc>
        <w:tc>
          <w:tcPr>
            <w:tcW w:w="1093" w:type="dxa"/>
            <w:vMerge w:val="restart"/>
            <w:vAlign w:val="center"/>
          </w:tcPr>
          <w:p>
            <w:pPr>
              <w:pStyle w:val="36"/>
              <w:spacing w:line="320" w:lineRule="exact"/>
              <w:ind w:firstLine="0" w:firstLineChars="0"/>
              <w:jc w:val="center"/>
              <w:rPr>
                <w:szCs w:val="24"/>
              </w:rPr>
            </w:pPr>
            <w:r>
              <w:rPr>
                <w:rFonts w:hint="eastAsia"/>
                <w:szCs w:val="24"/>
              </w:rPr>
              <w:t>全过程工程咨询总纲</w:t>
            </w:r>
          </w:p>
          <w:p>
            <w:pPr>
              <w:pStyle w:val="36"/>
              <w:spacing w:line="320" w:lineRule="exact"/>
              <w:ind w:firstLine="0" w:firstLineChars="0"/>
              <w:jc w:val="center"/>
              <w:rPr>
                <w:szCs w:val="24"/>
              </w:rPr>
            </w:pPr>
            <w:r>
              <w:rPr>
                <w:rFonts w:hint="eastAsia"/>
                <w:szCs w:val="24"/>
              </w:rPr>
              <w:t>（35分）</w:t>
            </w:r>
          </w:p>
        </w:tc>
        <w:tc>
          <w:tcPr>
            <w:tcW w:w="7785" w:type="dxa"/>
            <w:vAlign w:val="center"/>
          </w:tcPr>
          <w:p>
            <w:pPr>
              <w:spacing w:line="320" w:lineRule="exact"/>
              <w:rPr>
                <w:rFonts w:ascii="仿宋_GB2312" w:hAnsi="宋体"/>
                <w:sz w:val="24"/>
                <w:szCs w:val="24"/>
              </w:rPr>
            </w:pPr>
            <w:r>
              <w:rPr>
                <w:rFonts w:hint="eastAsia" w:ascii="黑体" w:hAnsi="黑体" w:eastAsia="黑体"/>
                <w:kern w:val="0"/>
                <w:sz w:val="24"/>
                <w:szCs w:val="24"/>
              </w:rPr>
              <w:t>编制依据及总体设想</w:t>
            </w:r>
            <w:r>
              <w:rPr>
                <w:rFonts w:hint="eastAsia" w:ascii="仿宋_GB2312" w:hAnsi="宋体" w:eastAsia="仿宋_GB2312"/>
                <w:sz w:val="24"/>
                <w:szCs w:val="24"/>
              </w:rPr>
              <w:t>：</w:t>
            </w:r>
            <w:r>
              <w:rPr>
                <w:rFonts w:hint="eastAsia" w:ascii="宋体" w:hAnsi="宋体"/>
                <w:sz w:val="24"/>
                <w:szCs w:val="24"/>
              </w:rPr>
              <w:t>编制依据充分、真实、准确，总体设想合理、专业；对全过程工程咨询模式及项目特点、规律和意义的理解到位；对自身应当履行角色的定位分析准确全面；根据预发包任务特点，对受领任务后如何组织实施、采取怎样的组织形式、建立怎样的工作流程、形成哪些配合和沟通机制、如何应对工作的重点和难点、如何实现项目预期效果，如何协调同建设、勘察、设计、造价、监理和施工等单位的工作关系等，形成具体的组织实施方案，对顺利完成全过程项目任务能够起到保障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093" w:type="dxa"/>
            <w:vMerge w:val="continue"/>
          </w:tcPr>
          <w:p>
            <w:pPr>
              <w:pStyle w:val="36"/>
              <w:spacing w:after="120" w:afterLines="50" w:line="320" w:lineRule="exact"/>
              <w:ind w:firstLine="0" w:firstLineChars="0"/>
              <w:rPr>
                <w:rFonts w:ascii="仿宋_GB2312" w:hAnsi="黑体" w:eastAsia="仿宋_GB2312"/>
                <w:szCs w:val="24"/>
              </w:rPr>
            </w:pPr>
          </w:p>
        </w:tc>
        <w:tc>
          <w:tcPr>
            <w:tcW w:w="7785"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组织领导机构</w:t>
            </w:r>
            <w:r>
              <w:rPr>
                <w:rFonts w:hint="eastAsia" w:ascii="仿宋_GB2312" w:hAnsi="宋体" w:eastAsia="仿宋_GB2312"/>
                <w:sz w:val="24"/>
                <w:szCs w:val="24"/>
              </w:rPr>
              <w:t>：</w:t>
            </w:r>
            <w:r>
              <w:rPr>
                <w:rFonts w:hint="eastAsia" w:ascii="宋体" w:hAnsi="宋体"/>
                <w:sz w:val="24"/>
                <w:szCs w:val="24"/>
              </w:rPr>
              <w:t>机构人员组成合理、内部分工明确、岗位职责清晰；熟悉工程实施办法，上级公司对本项目支持力度大、措施全、办法具体可行。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093" w:type="dxa"/>
            <w:vMerge w:val="continue"/>
          </w:tcPr>
          <w:p>
            <w:pPr>
              <w:pStyle w:val="36"/>
              <w:spacing w:after="120" w:afterLines="50" w:line="320" w:lineRule="exact"/>
              <w:ind w:firstLine="0" w:firstLineChars="0"/>
              <w:rPr>
                <w:rFonts w:ascii="仿宋_GB2312" w:hAnsi="黑体" w:eastAsia="仿宋_GB2312"/>
                <w:szCs w:val="24"/>
              </w:rPr>
            </w:pPr>
          </w:p>
        </w:tc>
        <w:tc>
          <w:tcPr>
            <w:tcW w:w="7785"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管理制度</w:t>
            </w:r>
            <w:r>
              <w:rPr>
                <w:rFonts w:hint="eastAsia" w:ascii="仿宋_GB2312" w:hAnsi="宋体" w:eastAsia="仿宋_GB2312"/>
                <w:sz w:val="24"/>
                <w:szCs w:val="24"/>
              </w:rPr>
              <w:t>：</w:t>
            </w:r>
            <w:r>
              <w:rPr>
                <w:rFonts w:hint="eastAsia" w:ascii="宋体" w:hAnsi="宋体"/>
                <w:sz w:val="24"/>
                <w:szCs w:val="24"/>
              </w:rPr>
              <w:t>公司与甲方之间沟通合作机制、投标服从机制健全、措施切实可行；公司内部沟通协作、领导管理机制健全、融合效应明显，外部协作机制快速高效、实用可行；公司内部各层级、联合体成员之间、公司与外部协作力量之间职责界面清晰、管理制度健全、保证措施可行；全过程工程咨询管理服务后备人员和团队选拔、储备、培训制度管用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093" w:type="dxa"/>
            <w:vMerge w:val="continue"/>
          </w:tcPr>
          <w:p>
            <w:pPr>
              <w:pStyle w:val="36"/>
              <w:spacing w:after="120" w:afterLines="50" w:line="320" w:lineRule="exact"/>
              <w:ind w:firstLine="0" w:firstLineChars="0"/>
              <w:rPr>
                <w:rFonts w:ascii="仿宋_GB2312" w:hAnsi="黑体" w:eastAsia="仿宋_GB2312"/>
                <w:szCs w:val="24"/>
              </w:rPr>
            </w:pPr>
          </w:p>
        </w:tc>
        <w:tc>
          <w:tcPr>
            <w:tcW w:w="7785"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独特优势</w:t>
            </w:r>
            <w:r>
              <w:rPr>
                <w:rFonts w:hint="eastAsia" w:ascii="仿宋_GB2312" w:hAnsi="宋体" w:eastAsia="仿宋_GB2312"/>
                <w:sz w:val="24"/>
                <w:szCs w:val="24"/>
              </w:rPr>
              <w:t>：</w:t>
            </w:r>
            <w:r>
              <w:rPr>
                <w:rFonts w:hint="eastAsia" w:ascii="宋体" w:hAnsi="宋体"/>
                <w:sz w:val="24"/>
                <w:szCs w:val="24"/>
              </w:rPr>
              <w:t>本公司在军队项目合作服务中的经验成果和技术人才等优势。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093" w:type="dxa"/>
            <w:vMerge w:val="continue"/>
          </w:tcPr>
          <w:p>
            <w:pPr>
              <w:pStyle w:val="36"/>
              <w:spacing w:after="120" w:afterLines="50" w:line="320" w:lineRule="exact"/>
              <w:ind w:firstLine="0" w:firstLineChars="0"/>
              <w:rPr>
                <w:rFonts w:ascii="仿宋_GB2312" w:hAnsi="黑体" w:eastAsia="仿宋_GB2312"/>
                <w:szCs w:val="24"/>
              </w:rPr>
            </w:pPr>
          </w:p>
        </w:tc>
        <w:tc>
          <w:tcPr>
            <w:tcW w:w="7785"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内容完整性和编制水平</w:t>
            </w:r>
            <w:r>
              <w:rPr>
                <w:rFonts w:hint="eastAsia" w:ascii="仿宋_GB2312" w:hAnsi="宋体" w:eastAsia="仿宋_GB2312"/>
                <w:sz w:val="24"/>
                <w:szCs w:val="24"/>
              </w:rPr>
              <w:t>：</w:t>
            </w:r>
            <w:r>
              <w:rPr>
                <w:rFonts w:hint="eastAsia" w:ascii="宋体" w:hAnsi="宋体"/>
                <w:sz w:val="24"/>
                <w:szCs w:val="24"/>
              </w:rPr>
              <w:t>内容涵盖实施方案全部内容，结构清晰、逻辑顺畅，简洁准确、专业务实、重点突出。</w:t>
            </w:r>
          </w:p>
        </w:tc>
      </w:tr>
    </w:tbl>
    <w:p>
      <w:pPr>
        <w:pStyle w:val="318"/>
        <w:adjustRightInd w:val="0"/>
        <w:snapToGrid w:val="0"/>
        <w:spacing w:before="0" w:after="0" w:line="460" w:lineRule="exact"/>
        <w:ind w:firstLine="480" w:firstLineChars="200"/>
        <w:textAlignment w:val="baseline"/>
        <w:rPr>
          <w:rFonts w:ascii="黑体" w:hAnsi="黑体" w:eastAsia="黑体"/>
          <w:b w:val="0"/>
          <w:szCs w:val="24"/>
        </w:rPr>
      </w:pPr>
      <w:r>
        <w:rPr>
          <w:rFonts w:hint="eastAsia" w:ascii="黑体" w:hAnsi="黑体" w:eastAsia="黑体"/>
          <w:b w:val="0"/>
          <w:szCs w:val="24"/>
        </w:rPr>
        <w:t>第二章  管理团队管理方案</w:t>
      </w:r>
    </w:p>
    <w:tbl>
      <w:tblPr>
        <w:tblStyle w:val="88"/>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101"/>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569" w:type="dxa"/>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2</w:t>
            </w:r>
          </w:p>
        </w:tc>
        <w:tc>
          <w:tcPr>
            <w:tcW w:w="1101" w:type="dxa"/>
            <w:vAlign w:val="center"/>
          </w:tcPr>
          <w:p>
            <w:pPr>
              <w:pStyle w:val="36"/>
              <w:spacing w:line="320" w:lineRule="exact"/>
              <w:ind w:firstLine="0" w:firstLineChars="0"/>
              <w:jc w:val="center"/>
              <w:rPr>
                <w:szCs w:val="24"/>
              </w:rPr>
            </w:pPr>
            <w:r>
              <w:rPr>
                <w:rFonts w:hint="eastAsia"/>
                <w:szCs w:val="24"/>
              </w:rPr>
              <w:t>管理团队方案（10分）</w:t>
            </w:r>
          </w:p>
        </w:tc>
        <w:tc>
          <w:tcPr>
            <w:tcW w:w="7516"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组织机构及管理制度</w:t>
            </w:r>
            <w:r>
              <w:rPr>
                <w:rFonts w:hint="eastAsia" w:ascii="仿宋_GB2312" w:hAnsi="宋体" w:eastAsia="仿宋_GB2312"/>
                <w:sz w:val="24"/>
                <w:szCs w:val="24"/>
              </w:rPr>
              <w:t>：</w:t>
            </w:r>
            <w:r>
              <w:rPr>
                <w:rFonts w:hint="eastAsia" w:ascii="宋体" w:hAnsi="宋体"/>
                <w:sz w:val="24"/>
                <w:szCs w:val="24"/>
              </w:rPr>
              <w:t>管理团队层级统分清晰、部门设置合理；机构服从公司、下层服从上层、各专业管理团队服从负责人、各负责人服从总咨询师保障机制完善；各类人员有效衔接、配置合理；临时应急人员设备调配方案合理、保证措施管用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restart"/>
            <w:vAlign w:val="center"/>
          </w:tcPr>
          <w:p>
            <w:pPr>
              <w:pStyle w:val="36"/>
              <w:spacing w:after="120" w:afterLines="50" w:line="320" w:lineRule="exact"/>
              <w:ind w:firstLine="0" w:firstLineChars="0"/>
              <w:jc w:val="center"/>
              <w:rPr>
                <w:rFonts w:ascii="仿宋_GB2312" w:hAnsi="黑体" w:eastAsia="仿宋_GB2312"/>
                <w:szCs w:val="24"/>
              </w:rPr>
            </w:pPr>
            <w:r>
              <w:rPr>
                <w:rFonts w:hint="eastAsia" w:ascii="仿宋_GB2312" w:hAnsi="黑体" w:eastAsia="仿宋_GB2312"/>
                <w:szCs w:val="24"/>
              </w:rPr>
              <w:t>2</w:t>
            </w:r>
          </w:p>
        </w:tc>
        <w:tc>
          <w:tcPr>
            <w:tcW w:w="1101" w:type="dxa"/>
            <w:vMerge w:val="restart"/>
            <w:vAlign w:val="center"/>
          </w:tcPr>
          <w:p>
            <w:pPr>
              <w:pStyle w:val="36"/>
              <w:spacing w:after="120" w:afterLines="50" w:line="320" w:lineRule="exact"/>
              <w:ind w:firstLine="0" w:firstLineChars="0"/>
              <w:jc w:val="center"/>
              <w:rPr>
                <w:rFonts w:ascii="仿宋_GB2312" w:hAnsi="黑体" w:eastAsia="仿宋_GB2312"/>
                <w:szCs w:val="24"/>
              </w:rPr>
            </w:pPr>
            <w:r>
              <w:rPr>
                <w:rFonts w:hint="eastAsia"/>
                <w:szCs w:val="24"/>
              </w:rPr>
              <w:t>管理团队方案（10分）</w:t>
            </w:r>
          </w:p>
        </w:tc>
        <w:tc>
          <w:tcPr>
            <w:tcW w:w="7516"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总咨询师及项目管理团队</w:t>
            </w:r>
            <w:r>
              <w:rPr>
                <w:rFonts w:hint="eastAsia" w:ascii="仿宋_GB2312" w:hAnsi="宋体" w:eastAsia="仿宋_GB2312"/>
                <w:sz w:val="24"/>
                <w:szCs w:val="24"/>
              </w:rPr>
              <w:t>：</w:t>
            </w:r>
            <w:r>
              <w:rPr>
                <w:rFonts w:hint="eastAsia" w:ascii="宋体" w:hAnsi="宋体"/>
                <w:sz w:val="24"/>
                <w:szCs w:val="24"/>
              </w:rPr>
              <w:t>项目总咨询师、副总咨询师、总工程师、项目管理团队具备类似项目或军队项目经验，专业齐全、经验丰富、履历完整、搭配合理，领导力强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1101" w:type="dxa"/>
            <w:vMerge w:val="continue"/>
            <w:vAlign w:val="center"/>
          </w:tcPr>
          <w:p>
            <w:pPr>
              <w:pStyle w:val="36"/>
              <w:spacing w:after="120" w:afterLines="50" w:line="320" w:lineRule="exact"/>
              <w:ind w:firstLine="0" w:firstLineChars="0"/>
              <w:jc w:val="center"/>
              <w:rPr>
                <w:rFonts w:ascii="仿宋_GB2312" w:hAnsi="黑体" w:eastAsia="仿宋_GB2312"/>
                <w:szCs w:val="24"/>
              </w:rPr>
            </w:pPr>
          </w:p>
        </w:tc>
        <w:tc>
          <w:tcPr>
            <w:tcW w:w="7516"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各专业管理团队</w:t>
            </w:r>
            <w:r>
              <w:rPr>
                <w:rFonts w:hint="eastAsia" w:ascii="仿宋_GB2312" w:hAnsi="宋体" w:eastAsia="仿宋_GB2312"/>
                <w:sz w:val="24"/>
                <w:szCs w:val="24"/>
              </w:rPr>
              <w:t>：</w:t>
            </w:r>
            <w:r>
              <w:rPr>
                <w:rFonts w:hint="eastAsia" w:ascii="宋体" w:hAnsi="宋体"/>
                <w:sz w:val="24"/>
                <w:szCs w:val="24"/>
              </w:rPr>
              <w:t>勘察测绘、工程设计、工程监理、造价咨询等各个专业管理团队资格齐全、经验丰富、能力突出、搭配合理、衔接有序，管理能力强</w:t>
            </w:r>
          </w:p>
        </w:tc>
      </w:tr>
    </w:tbl>
    <w:p>
      <w:pPr>
        <w:pStyle w:val="318"/>
        <w:adjustRightInd w:val="0"/>
        <w:snapToGrid w:val="0"/>
        <w:spacing w:before="0" w:after="0" w:line="460" w:lineRule="exact"/>
        <w:ind w:firstLine="480" w:firstLineChars="200"/>
        <w:textAlignment w:val="baseline"/>
        <w:rPr>
          <w:rFonts w:ascii="黑体" w:hAnsi="黑体" w:eastAsia="黑体"/>
          <w:b w:val="0"/>
          <w:szCs w:val="24"/>
        </w:rPr>
      </w:pPr>
      <w:r>
        <w:rPr>
          <w:rFonts w:hint="eastAsia" w:ascii="黑体" w:hAnsi="黑体" w:eastAsia="黑体"/>
          <w:b w:val="0"/>
          <w:szCs w:val="24"/>
        </w:rPr>
        <w:t>第三章  勘察、设计服务方案</w:t>
      </w:r>
    </w:p>
    <w:tbl>
      <w:tblPr>
        <w:tblStyle w:val="8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086"/>
        <w:gridCol w:w="7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restart"/>
            <w:vAlign w:val="center"/>
          </w:tcPr>
          <w:p>
            <w:pPr>
              <w:spacing w:line="320" w:lineRule="exact"/>
              <w:jc w:val="center"/>
              <w:rPr>
                <w:rFonts w:ascii="仿宋_GB2312" w:hAnsi="宋体" w:eastAsia="仿宋_GB2312"/>
                <w:sz w:val="24"/>
                <w:szCs w:val="24"/>
              </w:rPr>
            </w:pPr>
            <w:r>
              <w:rPr>
                <w:rFonts w:hint="eastAsia" w:ascii="仿宋_GB2312" w:hAnsi="宋体" w:eastAsia="仿宋_GB2312"/>
                <w:sz w:val="24"/>
                <w:szCs w:val="24"/>
              </w:rPr>
              <w:t>3</w:t>
            </w:r>
          </w:p>
        </w:tc>
        <w:tc>
          <w:tcPr>
            <w:tcW w:w="1086" w:type="dxa"/>
            <w:vMerge w:val="restart"/>
            <w:vAlign w:val="center"/>
          </w:tcPr>
          <w:p>
            <w:pPr>
              <w:pStyle w:val="36"/>
              <w:spacing w:line="320" w:lineRule="exact"/>
              <w:ind w:firstLine="0" w:firstLineChars="0"/>
              <w:jc w:val="center"/>
              <w:rPr>
                <w:szCs w:val="24"/>
              </w:rPr>
            </w:pPr>
            <w:r>
              <w:rPr>
                <w:rFonts w:hint="eastAsia"/>
                <w:szCs w:val="24"/>
              </w:rPr>
              <w:t>勘察设计服务方案</w:t>
            </w:r>
          </w:p>
          <w:p>
            <w:pPr>
              <w:pStyle w:val="36"/>
              <w:spacing w:line="320" w:lineRule="exact"/>
              <w:ind w:firstLine="0" w:firstLineChars="0"/>
              <w:jc w:val="center"/>
              <w:rPr>
                <w:szCs w:val="24"/>
              </w:rPr>
            </w:pPr>
            <w:r>
              <w:rPr>
                <w:rFonts w:hint="eastAsia"/>
                <w:szCs w:val="24"/>
              </w:rPr>
              <w:t>（20分）</w:t>
            </w:r>
          </w:p>
          <w:p>
            <w:pPr>
              <w:pStyle w:val="36"/>
              <w:spacing w:line="320" w:lineRule="exact"/>
              <w:ind w:firstLine="0" w:firstLineChars="0"/>
              <w:jc w:val="center"/>
            </w:pPr>
          </w:p>
        </w:tc>
        <w:tc>
          <w:tcPr>
            <w:tcW w:w="758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编制依据与总体设想</w:t>
            </w:r>
            <w:r>
              <w:rPr>
                <w:rFonts w:hint="eastAsia" w:ascii="仿宋_GB2312" w:hAnsi="宋体" w:eastAsia="仿宋_GB2312"/>
                <w:sz w:val="24"/>
                <w:szCs w:val="24"/>
              </w:rPr>
              <w:t>：</w:t>
            </w:r>
            <w:r>
              <w:rPr>
                <w:rFonts w:hint="eastAsia" w:ascii="宋体" w:hAnsi="宋体"/>
                <w:sz w:val="24"/>
                <w:szCs w:val="24"/>
              </w:rPr>
              <w:t>满足工程特点和招标人意图，工程设计服务定位准确清晰，总体设想合理、专业，技术先进、有效，造价控制方案合理，符合招标人和该工程项目特点。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86" w:type="dxa"/>
            <w:vMerge w:val="continue"/>
            <w:vAlign w:val="center"/>
          </w:tcPr>
          <w:p>
            <w:pPr>
              <w:spacing w:line="320" w:lineRule="exact"/>
              <w:jc w:val="center"/>
              <w:rPr>
                <w:rFonts w:ascii="宋体" w:hAnsi="宋体"/>
                <w:sz w:val="24"/>
                <w:szCs w:val="24"/>
              </w:rPr>
            </w:pPr>
          </w:p>
        </w:tc>
        <w:tc>
          <w:tcPr>
            <w:tcW w:w="758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工作内容及流程</w:t>
            </w:r>
            <w:r>
              <w:rPr>
                <w:rFonts w:hint="eastAsia" w:ascii="仿宋_GB2312" w:hAnsi="宋体" w:eastAsia="仿宋_GB2312"/>
                <w:sz w:val="24"/>
                <w:szCs w:val="24"/>
              </w:rPr>
              <w:t>：</w:t>
            </w:r>
            <w:r>
              <w:rPr>
                <w:rFonts w:hint="eastAsia" w:ascii="宋体" w:hAnsi="宋体"/>
                <w:sz w:val="24"/>
                <w:szCs w:val="24"/>
              </w:rPr>
              <w:t>包括但不限于需求对接、初步设计及概算、技术规格书编制等工作内容，工作文件全面、专业、阶段划分清楚明确、衔接有序，工作流程、工作机制顺畅高效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86" w:type="dxa"/>
            <w:vMerge w:val="continue"/>
            <w:vAlign w:val="center"/>
          </w:tcPr>
          <w:p>
            <w:pPr>
              <w:spacing w:line="320" w:lineRule="exact"/>
              <w:jc w:val="center"/>
              <w:rPr>
                <w:rFonts w:ascii="宋体" w:hAnsi="宋体"/>
                <w:sz w:val="24"/>
                <w:szCs w:val="24"/>
              </w:rPr>
            </w:pPr>
          </w:p>
        </w:tc>
        <w:tc>
          <w:tcPr>
            <w:tcW w:w="758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服务能力：</w:t>
            </w:r>
            <w:r>
              <w:rPr>
                <w:rFonts w:hint="eastAsia" w:ascii="宋体" w:hAnsi="宋体"/>
                <w:sz w:val="24"/>
                <w:szCs w:val="24"/>
              </w:rPr>
              <w:t>限额设计贯彻到位，设计造价分配合理，设计变更控制有力，实施顺畅，现场设计支持手段具体可行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86" w:type="dxa"/>
            <w:vMerge w:val="continue"/>
            <w:vAlign w:val="center"/>
          </w:tcPr>
          <w:p>
            <w:pPr>
              <w:spacing w:line="320" w:lineRule="exact"/>
              <w:jc w:val="center"/>
              <w:rPr>
                <w:rFonts w:ascii="宋体" w:hAnsi="宋体"/>
                <w:sz w:val="24"/>
                <w:szCs w:val="24"/>
              </w:rPr>
            </w:pPr>
          </w:p>
        </w:tc>
        <w:tc>
          <w:tcPr>
            <w:tcW w:w="7584"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设计质量：</w:t>
            </w:r>
            <w:r>
              <w:rPr>
                <w:rFonts w:hint="eastAsia" w:ascii="宋体" w:hAnsi="宋体"/>
                <w:sz w:val="24"/>
                <w:szCs w:val="24"/>
              </w:rPr>
              <w:t>应建立设计质量管理体制，具有质量管理的内控措施，从技术力量投入、保证工时投入、坚持技术进步和创新，到工作成果分级复核、全过程质量控制、配合第三方审查等方面，具有切实有效的手段、制度和措施，对设计的质量标准具有保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86" w:type="dxa"/>
            <w:vMerge w:val="continue"/>
            <w:vAlign w:val="center"/>
          </w:tcPr>
          <w:p>
            <w:pPr>
              <w:spacing w:line="320" w:lineRule="exact"/>
              <w:jc w:val="center"/>
              <w:rPr>
                <w:rFonts w:ascii="宋体" w:hAnsi="宋体"/>
                <w:sz w:val="24"/>
                <w:szCs w:val="24"/>
              </w:rPr>
            </w:pPr>
          </w:p>
        </w:tc>
        <w:tc>
          <w:tcPr>
            <w:tcW w:w="7584"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独特优势</w:t>
            </w:r>
            <w:r>
              <w:rPr>
                <w:rFonts w:hint="eastAsia" w:ascii="仿宋_GB2312" w:hAnsi="宋体" w:eastAsia="仿宋_GB2312"/>
                <w:sz w:val="24"/>
                <w:szCs w:val="24"/>
              </w:rPr>
              <w:t>：</w:t>
            </w:r>
            <w:r>
              <w:rPr>
                <w:rFonts w:hint="eastAsia" w:ascii="宋体" w:hAnsi="宋体"/>
                <w:sz w:val="24"/>
                <w:szCs w:val="24"/>
              </w:rPr>
              <w:t>运用本公司在勘察设计服务方面积累的独特经验。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86" w:type="dxa"/>
            <w:vMerge w:val="continue"/>
            <w:vAlign w:val="center"/>
          </w:tcPr>
          <w:p>
            <w:pPr>
              <w:spacing w:line="320" w:lineRule="exact"/>
              <w:jc w:val="center"/>
              <w:rPr>
                <w:rFonts w:ascii="宋体" w:hAnsi="宋体"/>
                <w:sz w:val="24"/>
                <w:szCs w:val="24"/>
              </w:rPr>
            </w:pPr>
          </w:p>
        </w:tc>
        <w:tc>
          <w:tcPr>
            <w:tcW w:w="7584" w:type="dxa"/>
            <w:vAlign w:val="center"/>
          </w:tcPr>
          <w:p>
            <w:pPr>
              <w:spacing w:line="320" w:lineRule="exact"/>
              <w:rPr>
                <w:rFonts w:ascii="黑体" w:hAnsi="黑体" w:eastAsia="黑体"/>
                <w:kern w:val="0"/>
                <w:sz w:val="24"/>
                <w:szCs w:val="24"/>
              </w:rPr>
            </w:pPr>
            <w:r>
              <w:rPr>
                <w:rFonts w:hint="eastAsia" w:ascii="黑体" w:hAnsi="黑体" w:eastAsia="黑体"/>
                <w:sz w:val="24"/>
                <w:szCs w:val="24"/>
              </w:rPr>
              <w:t>承诺</w:t>
            </w:r>
            <w:r>
              <w:rPr>
                <w:rFonts w:hint="eastAsia" w:ascii="仿宋_GB2312" w:hAnsi="宋体" w:eastAsia="仿宋_GB2312"/>
                <w:sz w:val="24"/>
                <w:szCs w:val="24"/>
              </w:rPr>
              <w:t>：</w:t>
            </w:r>
            <w:r>
              <w:rPr>
                <w:rFonts w:hint="eastAsia" w:ascii="宋体" w:hAnsi="宋体"/>
                <w:sz w:val="24"/>
                <w:szCs w:val="24"/>
              </w:rPr>
              <w:t>本项目勘察设计工作，必须按照甲方要求实施；接到中标通知后7日内成立项目部，7日内具备在工程所在地开展设计办公条件，并按照甲方要求开展勘察设计等工作；方案设计、初步设计、施工图深化设计、成果转交总共不超过30天内完成。所有设计项目完成前，相关设计人员不得撤离项目部，项目实施全过程必须有全专业人员驻场服务。</w:t>
            </w:r>
          </w:p>
        </w:tc>
      </w:tr>
    </w:tbl>
    <w:p>
      <w:pPr>
        <w:pStyle w:val="318"/>
        <w:adjustRightInd w:val="0"/>
        <w:snapToGrid w:val="0"/>
        <w:spacing w:before="0" w:after="0" w:line="460" w:lineRule="exact"/>
        <w:ind w:firstLine="480" w:firstLineChars="200"/>
        <w:textAlignment w:val="baseline"/>
        <w:rPr>
          <w:rFonts w:ascii="黑体" w:hAnsi="黑体" w:eastAsia="黑体"/>
          <w:b w:val="0"/>
          <w:szCs w:val="24"/>
        </w:rPr>
      </w:pPr>
      <w:r>
        <w:rPr>
          <w:rFonts w:hint="eastAsia" w:ascii="黑体" w:hAnsi="黑体" w:eastAsia="黑体"/>
          <w:b w:val="0"/>
          <w:szCs w:val="24"/>
        </w:rPr>
        <w:t>第四章  工程监理服务方案</w:t>
      </w:r>
    </w:p>
    <w:tbl>
      <w:tblPr>
        <w:tblStyle w:val="88"/>
        <w:tblW w:w="9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086"/>
        <w:gridCol w:w="7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restart"/>
            <w:vAlign w:val="center"/>
          </w:tcPr>
          <w:p>
            <w:pPr>
              <w:spacing w:line="320" w:lineRule="exact"/>
              <w:jc w:val="center"/>
              <w:rPr>
                <w:rFonts w:ascii="仿宋_GB2312" w:hAnsi="宋体" w:eastAsia="仿宋_GB2312"/>
                <w:sz w:val="24"/>
                <w:szCs w:val="24"/>
              </w:rPr>
            </w:pPr>
            <w:r>
              <w:rPr>
                <w:rFonts w:hint="eastAsia" w:ascii="仿宋_GB2312" w:hAnsi="宋体" w:eastAsia="仿宋_GB2312"/>
                <w:sz w:val="24"/>
                <w:szCs w:val="24"/>
              </w:rPr>
              <w:t>4</w:t>
            </w:r>
          </w:p>
        </w:tc>
        <w:tc>
          <w:tcPr>
            <w:tcW w:w="1086" w:type="dxa"/>
            <w:vMerge w:val="restart"/>
            <w:vAlign w:val="center"/>
          </w:tcPr>
          <w:p>
            <w:pPr>
              <w:pStyle w:val="36"/>
              <w:spacing w:line="320" w:lineRule="exact"/>
              <w:ind w:firstLine="0" w:firstLineChars="0"/>
              <w:jc w:val="center"/>
              <w:rPr>
                <w:szCs w:val="24"/>
              </w:rPr>
            </w:pPr>
            <w:r>
              <w:rPr>
                <w:rFonts w:hint="eastAsia"/>
                <w:szCs w:val="24"/>
              </w:rPr>
              <w:t>工程监理服务方案</w:t>
            </w:r>
          </w:p>
          <w:p>
            <w:pPr>
              <w:pStyle w:val="36"/>
              <w:spacing w:line="320" w:lineRule="exact"/>
              <w:ind w:firstLine="0" w:firstLineChars="0"/>
              <w:jc w:val="center"/>
              <w:rPr>
                <w:szCs w:val="24"/>
              </w:rPr>
            </w:pPr>
            <w:r>
              <w:rPr>
                <w:rFonts w:hint="eastAsia"/>
                <w:szCs w:val="24"/>
              </w:rPr>
              <w:t>（15分）</w:t>
            </w:r>
          </w:p>
          <w:p>
            <w:pPr>
              <w:pStyle w:val="36"/>
              <w:spacing w:line="320" w:lineRule="exact"/>
              <w:ind w:firstLine="0" w:firstLineChars="0"/>
              <w:jc w:val="center"/>
            </w:pPr>
          </w:p>
        </w:tc>
        <w:tc>
          <w:tcPr>
            <w:tcW w:w="7469"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编制依据与总体设想</w:t>
            </w:r>
            <w:r>
              <w:rPr>
                <w:rFonts w:hint="eastAsia" w:ascii="仿宋_GB2312" w:hAnsi="宋体" w:eastAsia="仿宋_GB2312"/>
                <w:sz w:val="24"/>
                <w:szCs w:val="24"/>
              </w:rPr>
              <w:t>：</w:t>
            </w:r>
            <w:r>
              <w:rPr>
                <w:rFonts w:hint="eastAsia" w:ascii="宋体" w:hAnsi="宋体"/>
                <w:sz w:val="24"/>
                <w:szCs w:val="24"/>
              </w:rPr>
              <w:t>工程监理服务定位准确清晰，总体设想合理、专业，符合招标人和该项目特点。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tcPr>
          <w:p>
            <w:pPr>
              <w:spacing w:line="320" w:lineRule="exact"/>
              <w:jc w:val="center"/>
              <w:rPr>
                <w:rFonts w:ascii="仿宋_GB2312" w:hAnsi="宋体" w:eastAsia="仿宋_GB2312"/>
                <w:sz w:val="24"/>
                <w:szCs w:val="24"/>
              </w:rPr>
            </w:pPr>
          </w:p>
        </w:tc>
        <w:tc>
          <w:tcPr>
            <w:tcW w:w="1086" w:type="dxa"/>
            <w:vMerge w:val="continue"/>
          </w:tcPr>
          <w:p>
            <w:pPr>
              <w:spacing w:line="320" w:lineRule="exact"/>
              <w:jc w:val="center"/>
              <w:rPr>
                <w:rFonts w:ascii="仿宋_GB2312" w:hAnsi="宋体" w:eastAsia="仿宋_GB2312"/>
                <w:sz w:val="24"/>
                <w:szCs w:val="24"/>
              </w:rPr>
            </w:pPr>
          </w:p>
        </w:tc>
        <w:tc>
          <w:tcPr>
            <w:tcW w:w="7469"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工作内容及流程</w:t>
            </w:r>
            <w:r>
              <w:rPr>
                <w:rFonts w:hint="eastAsia" w:ascii="仿宋_GB2312" w:hAnsi="宋体" w:eastAsia="仿宋_GB2312"/>
                <w:sz w:val="24"/>
                <w:szCs w:val="24"/>
              </w:rPr>
              <w:t>：</w:t>
            </w:r>
            <w:r>
              <w:rPr>
                <w:rFonts w:hint="eastAsia" w:ascii="宋体" w:hAnsi="宋体"/>
                <w:sz w:val="24"/>
                <w:szCs w:val="24"/>
              </w:rPr>
              <w:t>包括但不限于勘察测绘、设计、施工、保修监理等工作内容，工作文件全面、专业，阶段划分清楚明确，工作机制顺畅高效。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tcPr>
          <w:p>
            <w:pPr>
              <w:spacing w:line="320" w:lineRule="exact"/>
              <w:jc w:val="center"/>
              <w:rPr>
                <w:rFonts w:ascii="仿宋_GB2312" w:hAnsi="宋体" w:eastAsia="仿宋_GB2312"/>
                <w:sz w:val="24"/>
                <w:szCs w:val="24"/>
              </w:rPr>
            </w:pPr>
          </w:p>
        </w:tc>
        <w:tc>
          <w:tcPr>
            <w:tcW w:w="1086" w:type="dxa"/>
            <w:vMerge w:val="continue"/>
          </w:tcPr>
          <w:p>
            <w:pPr>
              <w:spacing w:line="320" w:lineRule="exact"/>
              <w:jc w:val="center"/>
              <w:rPr>
                <w:rFonts w:ascii="仿宋_GB2312" w:hAnsi="宋体" w:eastAsia="仿宋_GB2312"/>
                <w:sz w:val="24"/>
                <w:szCs w:val="24"/>
              </w:rPr>
            </w:pPr>
          </w:p>
        </w:tc>
        <w:tc>
          <w:tcPr>
            <w:tcW w:w="7469"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服务能力</w:t>
            </w:r>
            <w:r>
              <w:rPr>
                <w:rFonts w:hint="eastAsia" w:ascii="仿宋_GB2312" w:hAnsi="宋体" w:eastAsia="仿宋_GB2312"/>
                <w:sz w:val="24"/>
                <w:szCs w:val="24"/>
              </w:rPr>
              <w:t>：</w:t>
            </w:r>
            <w:r>
              <w:rPr>
                <w:rFonts w:hint="eastAsia" w:ascii="宋体" w:hAnsi="宋体"/>
                <w:sz w:val="24"/>
                <w:szCs w:val="24"/>
              </w:rPr>
              <w:t>质量、进度、投资、保密、廉政控制和安全、信息、合同管理有力，能为招标人在协调各方关系方面上提供优质服务。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tcPr>
          <w:p>
            <w:pPr>
              <w:spacing w:line="320" w:lineRule="exact"/>
              <w:jc w:val="center"/>
              <w:rPr>
                <w:rFonts w:ascii="仿宋_GB2312" w:hAnsi="宋体" w:eastAsia="仿宋_GB2312"/>
                <w:sz w:val="24"/>
                <w:szCs w:val="24"/>
              </w:rPr>
            </w:pPr>
          </w:p>
        </w:tc>
        <w:tc>
          <w:tcPr>
            <w:tcW w:w="1086" w:type="dxa"/>
            <w:vMerge w:val="continue"/>
          </w:tcPr>
          <w:p>
            <w:pPr>
              <w:spacing w:line="320" w:lineRule="exact"/>
              <w:jc w:val="center"/>
              <w:rPr>
                <w:rFonts w:ascii="仿宋_GB2312" w:hAnsi="宋体" w:eastAsia="仿宋_GB2312"/>
                <w:sz w:val="24"/>
                <w:szCs w:val="24"/>
              </w:rPr>
            </w:pPr>
          </w:p>
        </w:tc>
        <w:tc>
          <w:tcPr>
            <w:tcW w:w="7469"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重难点分析及应对措施</w:t>
            </w:r>
            <w:r>
              <w:rPr>
                <w:rFonts w:hint="eastAsia" w:ascii="仿宋_GB2312" w:hAnsi="宋体" w:eastAsia="仿宋_GB2312"/>
                <w:sz w:val="24"/>
                <w:szCs w:val="24"/>
              </w:rPr>
              <w:t>：</w:t>
            </w:r>
            <w:r>
              <w:rPr>
                <w:rFonts w:hint="eastAsia" w:ascii="宋体" w:hAnsi="宋体"/>
                <w:sz w:val="24"/>
                <w:szCs w:val="24"/>
              </w:rPr>
              <w:t>本项目重难点把握准确、描述到位、分析透彻，符合工程实际，解决方案及建议措施合理可行、针对性强。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tcPr>
          <w:p>
            <w:pPr>
              <w:spacing w:line="320" w:lineRule="exact"/>
              <w:jc w:val="center"/>
              <w:rPr>
                <w:rFonts w:ascii="仿宋_GB2312" w:hAnsi="宋体" w:eastAsia="仿宋_GB2312"/>
                <w:sz w:val="24"/>
                <w:szCs w:val="24"/>
              </w:rPr>
            </w:pPr>
          </w:p>
        </w:tc>
        <w:tc>
          <w:tcPr>
            <w:tcW w:w="1086" w:type="dxa"/>
            <w:vMerge w:val="continue"/>
          </w:tcPr>
          <w:p>
            <w:pPr>
              <w:spacing w:line="320" w:lineRule="exact"/>
              <w:jc w:val="center"/>
              <w:rPr>
                <w:rFonts w:ascii="仿宋_GB2312" w:hAnsi="宋体" w:eastAsia="仿宋_GB2312"/>
                <w:sz w:val="24"/>
                <w:szCs w:val="24"/>
              </w:rPr>
            </w:pPr>
          </w:p>
        </w:tc>
        <w:tc>
          <w:tcPr>
            <w:tcW w:w="7469" w:type="dxa"/>
            <w:vAlign w:val="center"/>
          </w:tcPr>
          <w:p>
            <w:pPr>
              <w:spacing w:line="320" w:lineRule="exact"/>
              <w:rPr>
                <w:rFonts w:ascii="宋体" w:hAnsi="宋体"/>
                <w:sz w:val="24"/>
                <w:szCs w:val="24"/>
              </w:rPr>
            </w:pPr>
            <w:r>
              <w:rPr>
                <w:rFonts w:hint="eastAsia" w:ascii="黑体" w:hAnsi="黑体" w:eastAsia="黑体"/>
                <w:sz w:val="24"/>
                <w:szCs w:val="24"/>
              </w:rPr>
              <w:t>独特优势：</w:t>
            </w:r>
            <w:r>
              <w:rPr>
                <w:rFonts w:hint="eastAsia" w:ascii="宋体" w:hAnsi="宋体"/>
                <w:sz w:val="24"/>
                <w:szCs w:val="24"/>
              </w:rPr>
              <w:t>本公司在监理服务项目上积累的独特经验。</w:t>
            </w:r>
          </w:p>
        </w:tc>
      </w:tr>
    </w:tbl>
    <w:p>
      <w:pPr>
        <w:pStyle w:val="318"/>
        <w:adjustRightInd w:val="0"/>
        <w:snapToGrid w:val="0"/>
        <w:spacing w:before="0" w:after="0" w:line="460" w:lineRule="exact"/>
        <w:ind w:firstLine="480" w:firstLineChars="200"/>
        <w:textAlignment w:val="baseline"/>
        <w:rPr>
          <w:rFonts w:ascii="黑体" w:hAnsi="黑体" w:eastAsia="黑体"/>
          <w:b w:val="0"/>
          <w:szCs w:val="24"/>
        </w:rPr>
      </w:pPr>
      <w:r>
        <w:rPr>
          <w:rFonts w:hint="eastAsia" w:ascii="黑体" w:hAnsi="黑体" w:eastAsia="黑体"/>
          <w:b w:val="0"/>
          <w:szCs w:val="24"/>
        </w:rPr>
        <w:t>第五章  造价咨询服务方案</w:t>
      </w:r>
    </w:p>
    <w:tbl>
      <w:tblPr>
        <w:tblStyle w:val="88"/>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070"/>
        <w:gridCol w:w="7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restart"/>
            <w:vAlign w:val="center"/>
          </w:tcPr>
          <w:p>
            <w:pPr>
              <w:spacing w:line="320" w:lineRule="exact"/>
              <w:jc w:val="center"/>
              <w:rPr>
                <w:rFonts w:ascii="仿宋_GB2312" w:hAnsi="宋体" w:eastAsia="仿宋_GB2312"/>
                <w:sz w:val="24"/>
                <w:szCs w:val="24"/>
              </w:rPr>
            </w:pPr>
            <w:r>
              <w:rPr>
                <w:rFonts w:hint="eastAsia" w:ascii="仿宋_GB2312" w:hAnsi="宋体" w:eastAsia="仿宋_GB2312"/>
                <w:sz w:val="24"/>
                <w:szCs w:val="24"/>
              </w:rPr>
              <w:t>5</w:t>
            </w:r>
          </w:p>
        </w:tc>
        <w:tc>
          <w:tcPr>
            <w:tcW w:w="1070" w:type="dxa"/>
            <w:vMerge w:val="restart"/>
            <w:vAlign w:val="center"/>
          </w:tcPr>
          <w:p>
            <w:pPr>
              <w:pStyle w:val="36"/>
              <w:spacing w:line="320" w:lineRule="exact"/>
              <w:ind w:firstLine="0" w:firstLineChars="0"/>
              <w:jc w:val="center"/>
              <w:rPr>
                <w:szCs w:val="24"/>
              </w:rPr>
            </w:pPr>
            <w:r>
              <w:rPr>
                <w:rFonts w:hint="eastAsia"/>
                <w:szCs w:val="24"/>
              </w:rPr>
              <w:t>造价咨询服务方案</w:t>
            </w:r>
          </w:p>
          <w:p>
            <w:pPr>
              <w:pStyle w:val="36"/>
              <w:spacing w:line="320" w:lineRule="exact"/>
              <w:ind w:firstLine="0" w:firstLineChars="0"/>
              <w:jc w:val="center"/>
              <w:rPr>
                <w:szCs w:val="24"/>
              </w:rPr>
            </w:pPr>
            <w:r>
              <w:rPr>
                <w:rFonts w:hint="eastAsia"/>
                <w:szCs w:val="24"/>
              </w:rPr>
              <w:t>（14分）</w:t>
            </w:r>
          </w:p>
          <w:p>
            <w:pPr>
              <w:pStyle w:val="36"/>
              <w:spacing w:line="320" w:lineRule="exact"/>
              <w:ind w:firstLine="0" w:firstLineChars="0"/>
              <w:jc w:val="center"/>
            </w:pPr>
          </w:p>
        </w:tc>
        <w:tc>
          <w:tcPr>
            <w:tcW w:w="7439"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编制依据与总体设想</w:t>
            </w:r>
            <w:r>
              <w:rPr>
                <w:rFonts w:hint="eastAsia" w:ascii="仿宋_GB2312" w:hAnsi="宋体" w:eastAsia="仿宋_GB2312"/>
                <w:sz w:val="24"/>
                <w:szCs w:val="24"/>
              </w:rPr>
              <w:t>：</w:t>
            </w:r>
            <w:r>
              <w:rPr>
                <w:rFonts w:hint="eastAsia" w:ascii="宋体" w:hAnsi="宋体"/>
                <w:sz w:val="24"/>
                <w:szCs w:val="24"/>
              </w:rPr>
              <w:t>造价咨询服务定位准确清晰，依据充分、真实，满足工程特点和甲方意图，为招标人提供合理的造价咨询服务。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70" w:type="dxa"/>
            <w:vMerge w:val="continue"/>
            <w:vAlign w:val="center"/>
          </w:tcPr>
          <w:p>
            <w:pPr>
              <w:spacing w:line="320" w:lineRule="exact"/>
              <w:jc w:val="center"/>
              <w:rPr>
                <w:rFonts w:ascii="宋体" w:hAnsi="宋体"/>
                <w:sz w:val="24"/>
                <w:szCs w:val="24"/>
              </w:rPr>
            </w:pPr>
          </w:p>
        </w:tc>
        <w:tc>
          <w:tcPr>
            <w:tcW w:w="7439"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工作内容及流程：</w:t>
            </w:r>
            <w:r>
              <w:rPr>
                <w:rFonts w:hint="eastAsia" w:ascii="宋体" w:hAnsi="宋体"/>
                <w:sz w:val="24"/>
                <w:szCs w:val="24"/>
              </w:rPr>
              <w:t>包括但不限于匡算、估算、价格清单编制与审查，及时跟进预算审核、设计变更造价核算、协助竣工结算等工作内容。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70" w:type="dxa"/>
            <w:vMerge w:val="continue"/>
            <w:vAlign w:val="center"/>
          </w:tcPr>
          <w:p>
            <w:pPr>
              <w:spacing w:line="320" w:lineRule="exact"/>
              <w:jc w:val="center"/>
              <w:rPr>
                <w:rFonts w:ascii="宋体" w:hAnsi="宋体"/>
                <w:sz w:val="24"/>
                <w:szCs w:val="24"/>
              </w:rPr>
            </w:pPr>
          </w:p>
        </w:tc>
        <w:tc>
          <w:tcPr>
            <w:tcW w:w="7439"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服务能力：</w:t>
            </w:r>
            <w:r>
              <w:rPr>
                <w:rFonts w:hint="eastAsia" w:ascii="宋体" w:hAnsi="宋体"/>
                <w:sz w:val="24"/>
                <w:szCs w:val="24"/>
              </w:rPr>
              <w:t>咨询文件内容全面，编写方法规范，提交节点准确及时。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70" w:type="dxa"/>
            <w:vMerge w:val="continue"/>
            <w:vAlign w:val="center"/>
          </w:tcPr>
          <w:p>
            <w:pPr>
              <w:spacing w:line="320" w:lineRule="exact"/>
              <w:jc w:val="center"/>
              <w:rPr>
                <w:rFonts w:ascii="宋体" w:hAnsi="宋体"/>
                <w:sz w:val="24"/>
                <w:szCs w:val="24"/>
              </w:rPr>
            </w:pPr>
          </w:p>
        </w:tc>
        <w:tc>
          <w:tcPr>
            <w:tcW w:w="7439"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预算编制质量控制：</w:t>
            </w:r>
            <w:r>
              <w:rPr>
                <w:rFonts w:hint="eastAsia" w:ascii="宋体" w:hAnsi="宋体"/>
                <w:sz w:val="24"/>
                <w:szCs w:val="24"/>
              </w:rPr>
              <w:t>应建立质量管理体制， 具有质量管理的内控措施， 从技术力量投入、保证工时投入，到工作成果分级复核、全过程质量控制、配合第三方审查等方面，具有切实有效的手段、制度和措施，对造价的质量标准具有保证作用。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9" w:type="dxa"/>
            <w:vMerge w:val="continue"/>
            <w:vAlign w:val="center"/>
          </w:tcPr>
          <w:p>
            <w:pPr>
              <w:spacing w:line="320" w:lineRule="exact"/>
              <w:jc w:val="center"/>
              <w:rPr>
                <w:rFonts w:ascii="仿宋_GB2312" w:hAnsi="宋体" w:eastAsia="仿宋_GB2312"/>
                <w:sz w:val="24"/>
                <w:szCs w:val="24"/>
              </w:rPr>
            </w:pPr>
          </w:p>
        </w:tc>
        <w:tc>
          <w:tcPr>
            <w:tcW w:w="1070" w:type="dxa"/>
            <w:vMerge w:val="continue"/>
            <w:vAlign w:val="center"/>
          </w:tcPr>
          <w:p>
            <w:pPr>
              <w:spacing w:line="320" w:lineRule="exact"/>
              <w:jc w:val="center"/>
              <w:rPr>
                <w:rFonts w:ascii="宋体" w:hAnsi="宋体"/>
                <w:sz w:val="24"/>
                <w:szCs w:val="24"/>
              </w:rPr>
            </w:pPr>
          </w:p>
        </w:tc>
        <w:tc>
          <w:tcPr>
            <w:tcW w:w="7439"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预算编制周期控制：</w:t>
            </w:r>
            <w:r>
              <w:rPr>
                <w:rFonts w:hint="eastAsia" w:ascii="宋体" w:hAnsi="宋体"/>
                <w:sz w:val="24"/>
                <w:szCs w:val="24"/>
              </w:rPr>
              <w:t xml:space="preserve">应根据预发包造价任务周期普遍较紧，从总体日程编排、造价目标分解、造价节点控制到优化工作流程、特殊情况处置等，都应形成保证造价周期的具体措施。 </w:t>
            </w:r>
          </w:p>
        </w:tc>
      </w:tr>
    </w:tbl>
    <w:p>
      <w:pPr>
        <w:pStyle w:val="318"/>
        <w:adjustRightInd w:val="0"/>
        <w:snapToGrid w:val="0"/>
        <w:spacing w:before="0" w:after="0" w:line="460" w:lineRule="exact"/>
        <w:ind w:firstLine="480" w:firstLineChars="200"/>
        <w:textAlignment w:val="baseline"/>
        <w:rPr>
          <w:rFonts w:ascii="黑体" w:hAnsi="黑体" w:eastAsia="黑体"/>
          <w:b w:val="0"/>
          <w:szCs w:val="24"/>
        </w:rPr>
      </w:pPr>
      <w:r>
        <w:rPr>
          <w:rFonts w:hint="eastAsia" w:ascii="黑体" w:hAnsi="黑体" w:eastAsia="黑体"/>
          <w:b w:val="0"/>
          <w:szCs w:val="24"/>
        </w:rPr>
        <w:t>第六章  安全保密管理方案</w:t>
      </w:r>
    </w:p>
    <w:bookmarkEnd w:id="712"/>
    <w:tbl>
      <w:tblPr>
        <w:tblStyle w:val="88"/>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010"/>
        <w:gridCol w:w="7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68" w:type="dxa"/>
            <w:vMerge w:val="restart"/>
            <w:vAlign w:val="center"/>
          </w:tcPr>
          <w:p>
            <w:pPr>
              <w:spacing w:line="320" w:lineRule="exact"/>
              <w:jc w:val="center"/>
              <w:rPr>
                <w:rFonts w:ascii="仿宋_GB2312" w:hAnsi="宋体" w:eastAsia="仿宋_GB2312"/>
                <w:sz w:val="24"/>
                <w:szCs w:val="24"/>
              </w:rPr>
            </w:pPr>
            <w:bookmarkStart w:id="715" w:name="_Toc144002979"/>
            <w:bookmarkStart w:id="716" w:name="_Toc183141613"/>
            <w:bookmarkStart w:id="717" w:name="_Toc513171581"/>
            <w:bookmarkStart w:id="718" w:name="_Toc183141746"/>
            <w:bookmarkStart w:id="719" w:name="_Toc145647420"/>
            <w:bookmarkStart w:id="720" w:name="_Toc142469246"/>
            <w:bookmarkStart w:id="721" w:name="_Toc197135935"/>
            <w:r>
              <w:rPr>
                <w:rFonts w:hint="eastAsia" w:ascii="仿宋_GB2312" w:hAnsi="宋体" w:eastAsia="仿宋_GB2312"/>
                <w:sz w:val="24"/>
                <w:szCs w:val="24"/>
              </w:rPr>
              <w:t>6</w:t>
            </w:r>
          </w:p>
        </w:tc>
        <w:tc>
          <w:tcPr>
            <w:tcW w:w="1010" w:type="dxa"/>
            <w:vMerge w:val="restart"/>
            <w:vAlign w:val="center"/>
          </w:tcPr>
          <w:p>
            <w:pPr>
              <w:spacing w:line="320" w:lineRule="exact"/>
              <w:jc w:val="center"/>
              <w:rPr>
                <w:rFonts w:ascii="宋体" w:hAnsi="宋体"/>
                <w:sz w:val="24"/>
                <w:szCs w:val="24"/>
              </w:rPr>
            </w:pPr>
            <w:r>
              <w:rPr>
                <w:rFonts w:hint="eastAsia" w:ascii="宋体" w:hAnsi="宋体"/>
                <w:sz w:val="24"/>
                <w:szCs w:val="24"/>
              </w:rPr>
              <w:t>安全保密管理方案</w:t>
            </w:r>
          </w:p>
          <w:p>
            <w:pPr>
              <w:spacing w:line="320" w:lineRule="exact"/>
              <w:jc w:val="center"/>
            </w:pPr>
            <w:r>
              <w:rPr>
                <w:rFonts w:hint="eastAsia" w:ascii="宋体" w:hAnsi="宋体"/>
                <w:sz w:val="24"/>
                <w:szCs w:val="24"/>
              </w:rPr>
              <w:t>（6分）</w:t>
            </w:r>
          </w:p>
        </w:tc>
        <w:tc>
          <w:tcPr>
            <w:tcW w:w="7961" w:type="dxa"/>
            <w:vAlign w:val="center"/>
          </w:tcPr>
          <w:p>
            <w:pPr>
              <w:spacing w:line="320" w:lineRule="exact"/>
              <w:rPr>
                <w:rFonts w:ascii="仿宋_GB2312" w:hAnsi="宋体" w:eastAsia="仿宋_GB2312"/>
                <w:sz w:val="24"/>
                <w:szCs w:val="24"/>
              </w:rPr>
            </w:pPr>
            <w:r>
              <w:rPr>
                <w:rFonts w:hint="eastAsia" w:ascii="黑体" w:hAnsi="黑体" w:eastAsia="黑体"/>
                <w:kern w:val="0"/>
                <w:sz w:val="24"/>
                <w:szCs w:val="24"/>
              </w:rPr>
              <w:t>安全保密机构</w:t>
            </w:r>
            <w:r>
              <w:rPr>
                <w:rFonts w:hint="eastAsia" w:ascii="仿宋_GB2312" w:hAnsi="宋体" w:eastAsia="仿宋_GB2312"/>
                <w:sz w:val="24"/>
                <w:szCs w:val="24"/>
              </w:rPr>
              <w:t>：</w:t>
            </w:r>
            <w:r>
              <w:rPr>
                <w:rFonts w:hint="eastAsia" w:ascii="宋体" w:hAnsi="宋体"/>
                <w:sz w:val="24"/>
                <w:szCs w:val="24"/>
              </w:rPr>
              <w:t>成立保密组织机构，人员配备齐全，组人分工明晰，岗位责任明确，指定专职保密员。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68" w:type="dxa"/>
            <w:vMerge w:val="continue"/>
            <w:vAlign w:val="center"/>
          </w:tcPr>
          <w:p>
            <w:pPr>
              <w:spacing w:line="320" w:lineRule="exact"/>
              <w:jc w:val="center"/>
              <w:rPr>
                <w:rFonts w:ascii="仿宋_GB2312" w:hAnsi="宋体" w:eastAsia="仿宋_GB2312"/>
                <w:sz w:val="24"/>
                <w:szCs w:val="24"/>
              </w:rPr>
            </w:pPr>
          </w:p>
        </w:tc>
        <w:tc>
          <w:tcPr>
            <w:tcW w:w="1010" w:type="dxa"/>
            <w:vMerge w:val="continue"/>
            <w:vAlign w:val="center"/>
          </w:tcPr>
          <w:p>
            <w:pPr>
              <w:spacing w:line="320" w:lineRule="exact"/>
              <w:jc w:val="center"/>
              <w:rPr>
                <w:rFonts w:ascii="宋体" w:hAnsi="宋体"/>
                <w:sz w:val="24"/>
                <w:szCs w:val="24"/>
              </w:rPr>
            </w:pPr>
          </w:p>
        </w:tc>
        <w:tc>
          <w:tcPr>
            <w:tcW w:w="7961"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规章制度：指定相应保密规章制度，贴合预发包项目实际，切实可行。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trPr>
        <w:tc>
          <w:tcPr>
            <w:tcW w:w="668" w:type="dxa"/>
            <w:vMerge w:val="continue"/>
            <w:vAlign w:val="center"/>
          </w:tcPr>
          <w:p>
            <w:pPr>
              <w:spacing w:line="320" w:lineRule="exact"/>
              <w:jc w:val="center"/>
              <w:rPr>
                <w:rFonts w:ascii="仿宋_GB2312" w:hAnsi="宋体" w:eastAsia="仿宋_GB2312"/>
                <w:sz w:val="24"/>
                <w:szCs w:val="24"/>
              </w:rPr>
            </w:pPr>
          </w:p>
        </w:tc>
        <w:tc>
          <w:tcPr>
            <w:tcW w:w="1010" w:type="dxa"/>
            <w:vMerge w:val="continue"/>
            <w:vAlign w:val="center"/>
          </w:tcPr>
          <w:p>
            <w:pPr>
              <w:spacing w:line="320" w:lineRule="exact"/>
              <w:jc w:val="center"/>
              <w:rPr>
                <w:rFonts w:ascii="宋体" w:hAnsi="宋体"/>
                <w:sz w:val="24"/>
                <w:szCs w:val="24"/>
              </w:rPr>
            </w:pPr>
          </w:p>
        </w:tc>
        <w:tc>
          <w:tcPr>
            <w:tcW w:w="7961" w:type="dxa"/>
            <w:vAlign w:val="center"/>
          </w:tcPr>
          <w:p>
            <w:pPr>
              <w:spacing w:line="320" w:lineRule="exact"/>
              <w:rPr>
                <w:rFonts w:ascii="黑体" w:hAnsi="黑体" w:eastAsia="黑体"/>
                <w:kern w:val="0"/>
                <w:sz w:val="24"/>
                <w:szCs w:val="24"/>
              </w:rPr>
            </w:pPr>
            <w:r>
              <w:rPr>
                <w:rFonts w:hint="eastAsia" w:ascii="黑体" w:hAnsi="黑体" w:eastAsia="黑体"/>
                <w:kern w:val="0"/>
                <w:sz w:val="24"/>
                <w:szCs w:val="24"/>
              </w:rPr>
              <w:t>保密措施办法：</w:t>
            </w:r>
            <w:r>
              <w:rPr>
                <w:rFonts w:hint="eastAsia" w:ascii="宋体" w:hAnsi="宋体" w:cs="宋体"/>
                <w:kern w:val="0"/>
                <w:sz w:val="24"/>
                <w:szCs w:val="24"/>
              </w:rPr>
              <w:t>①建立专用保密场所和相关设施；</w:t>
            </w:r>
            <w:r>
              <w:rPr>
                <w:rFonts w:ascii="宋体" w:hAnsi="宋体" w:cs="宋体"/>
                <w:kern w:val="0"/>
                <w:sz w:val="24"/>
                <w:szCs w:val="24"/>
              </w:rPr>
              <w:br w:type="textWrapping"/>
            </w:r>
            <w:r>
              <w:rPr>
                <w:rFonts w:hint="eastAsia" w:ascii="宋体" w:hAnsi="宋体" w:cs="宋体"/>
                <w:kern w:val="0"/>
                <w:sz w:val="24"/>
                <w:szCs w:val="24"/>
              </w:rPr>
              <w:t>②涉密资料保管、借阅、交接手续完备；</w:t>
            </w:r>
            <w:r>
              <w:rPr>
                <w:rFonts w:ascii="宋体" w:hAnsi="宋体" w:cs="宋体"/>
                <w:kern w:val="0"/>
                <w:sz w:val="24"/>
                <w:szCs w:val="24"/>
              </w:rPr>
              <w:br w:type="textWrapping"/>
            </w:r>
            <w:r>
              <w:rPr>
                <w:rFonts w:hint="eastAsia" w:ascii="宋体" w:hAnsi="宋体" w:cs="宋体"/>
                <w:kern w:val="0"/>
                <w:sz w:val="24"/>
                <w:szCs w:val="24"/>
              </w:rPr>
              <w:t>③限定涉密知密范围，不擅自复制、扩散项目涉密信息；</w:t>
            </w:r>
            <w:r>
              <w:rPr>
                <w:rFonts w:ascii="宋体" w:hAnsi="宋体" w:cs="宋体"/>
                <w:kern w:val="0"/>
                <w:sz w:val="24"/>
                <w:szCs w:val="24"/>
              </w:rPr>
              <w:br w:type="textWrapping"/>
            </w:r>
            <w:r>
              <w:rPr>
                <w:rFonts w:hint="eastAsia" w:ascii="宋体" w:hAnsi="宋体" w:cs="宋体"/>
                <w:kern w:val="0"/>
                <w:sz w:val="24"/>
                <w:szCs w:val="24"/>
              </w:rPr>
              <w:t>④定期开展保密教育检查；</w:t>
            </w:r>
            <w:r>
              <w:rPr>
                <w:rFonts w:ascii="宋体" w:hAnsi="宋体" w:cs="宋体"/>
                <w:kern w:val="0"/>
                <w:sz w:val="24"/>
                <w:szCs w:val="24"/>
              </w:rPr>
              <w:br w:type="textWrapping"/>
            </w:r>
            <w:r>
              <w:rPr>
                <w:rFonts w:hint="eastAsia" w:ascii="宋体" w:hAnsi="宋体" w:cs="宋体"/>
                <w:kern w:val="0"/>
                <w:sz w:val="24"/>
                <w:szCs w:val="24"/>
              </w:rPr>
              <w:t>⑤配合建设单位对业务人员进行政治审查；</w:t>
            </w:r>
            <w:r>
              <w:rPr>
                <w:rFonts w:ascii="宋体" w:hAnsi="宋体" w:cs="宋体"/>
                <w:kern w:val="0"/>
                <w:sz w:val="24"/>
                <w:szCs w:val="24"/>
              </w:rPr>
              <w:br w:type="textWrapping"/>
            </w:r>
            <w:r>
              <w:rPr>
                <w:rFonts w:hint="eastAsia" w:ascii="宋体" w:hAnsi="宋体" w:cs="宋体"/>
                <w:kern w:val="0"/>
                <w:sz w:val="24"/>
                <w:szCs w:val="24"/>
              </w:rPr>
              <w:t>⑥对业务所用车辆、设备等进行技术安全保密检查；</w:t>
            </w:r>
            <w:r>
              <w:rPr>
                <w:rFonts w:ascii="宋体" w:hAnsi="宋体" w:cs="宋体"/>
                <w:kern w:val="0"/>
                <w:sz w:val="24"/>
                <w:szCs w:val="24"/>
              </w:rPr>
              <w:br w:type="textWrapping"/>
            </w:r>
            <w:r>
              <w:rPr>
                <w:rFonts w:hint="eastAsia" w:ascii="宋体" w:hAnsi="宋体" w:cs="宋体"/>
                <w:kern w:val="0"/>
                <w:sz w:val="24"/>
                <w:szCs w:val="24"/>
              </w:rPr>
              <w:t>⑦现场业务人员和车辆凭证出入保密区域；</w:t>
            </w:r>
            <w:r>
              <w:rPr>
                <w:rFonts w:ascii="宋体" w:hAnsi="宋体" w:cs="宋体"/>
                <w:kern w:val="0"/>
                <w:sz w:val="24"/>
                <w:szCs w:val="24"/>
              </w:rPr>
              <w:br w:type="textWrapping"/>
            </w:r>
            <w:r>
              <w:rPr>
                <w:rFonts w:hint="eastAsia" w:ascii="宋体" w:hAnsi="宋体" w:cs="宋体"/>
                <w:kern w:val="0"/>
                <w:sz w:val="24"/>
                <w:szCs w:val="24"/>
              </w:rPr>
              <w:t>⑧现场禁止携带具有摄像、录音和卫星定位功能的设备。</w:t>
            </w:r>
          </w:p>
        </w:tc>
      </w:tr>
    </w:tbl>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napToGrid w:val="0"/>
        <w:spacing w:line="580" w:lineRule="exact"/>
        <w:jc w:val="center"/>
        <w:outlineLvl w:val="1"/>
        <w:rPr>
          <w:rFonts w:hint="eastAsia" w:ascii="黑体" w:eastAsia="黑体"/>
          <w:sz w:val="44"/>
          <w:szCs w:val="44"/>
        </w:rPr>
        <w:sectPr>
          <w:headerReference r:id="rId16" w:type="first"/>
          <w:headerReference r:id="rId14" w:type="default"/>
          <w:footerReference r:id="rId17" w:type="default"/>
          <w:headerReference r:id="rId15" w:type="even"/>
          <w:footerReference r:id="rId18" w:type="even"/>
          <w:pgSz w:w="11906" w:h="16838"/>
          <w:pgMar w:top="2098" w:right="1474" w:bottom="1928" w:left="1588" w:header="1134" w:footer="1418" w:gutter="0"/>
          <w:cols w:space="720" w:num="1"/>
          <w:docGrid w:linePitch="435" w:charSpace="0"/>
        </w:sectPr>
      </w:pPr>
      <w:bookmarkStart w:id="722" w:name="_Toc184916619"/>
    </w:p>
    <w:p>
      <w:pPr>
        <w:snapToGrid w:val="0"/>
        <w:spacing w:line="580" w:lineRule="exact"/>
        <w:jc w:val="center"/>
        <w:outlineLvl w:val="1"/>
        <w:rPr>
          <w:rFonts w:ascii="黑体" w:eastAsia="黑体"/>
          <w:sz w:val="44"/>
          <w:szCs w:val="44"/>
        </w:rPr>
      </w:pPr>
      <w:r>
        <w:rPr>
          <w:rFonts w:hint="eastAsia" w:ascii="黑体" w:eastAsia="黑体"/>
          <w:sz w:val="44"/>
          <w:szCs w:val="44"/>
        </w:rPr>
        <w:t>（第三部分  资信业绩部分）</w:t>
      </w:r>
      <w:bookmarkEnd w:id="722"/>
    </w:p>
    <w:p>
      <w:pPr>
        <w:snapToGrid w:val="0"/>
        <w:spacing w:line="580" w:lineRule="exact"/>
        <w:jc w:val="center"/>
        <w:rPr>
          <w:rFonts w:ascii="黑体" w:eastAsia="黑体"/>
          <w:sz w:val="44"/>
          <w:szCs w:val="44"/>
        </w:rPr>
      </w:pPr>
    </w:p>
    <w:p>
      <w:pPr>
        <w:snapToGrid w:val="0"/>
        <w:spacing w:line="580" w:lineRule="exact"/>
        <w:jc w:val="center"/>
        <w:rPr>
          <w:rFonts w:ascii="黑体" w:eastAsia="黑体"/>
          <w:sz w:val="44"/>
          <w:szCs w:val="44"/>
        </w:rPr>
      </w:pPr>
    </w:p>
    <w:p>
      <w:pPr>
        <w:spacing w:line="360" w:lineRule="auto"/>
        <w:ind w:firstLine="280" w:firstLineChars="100"/>
        <w:jc w:val="center"/>
        <w:rPr>
          <w:rFonts w:ascii="楷体_GB2312" w:hAnsi="黑体" w:eastAsia="楷体_GB2312"/>
          <w:sz w:val="28"/>
          <w:szCs w:val="28"/>
        </w:rPr>
      </w:pPr>
      <w:r>
        <w:rPr>
          <w:rFonts w:hint="eastAsia" w:ascii="楷体_GB2312" w:hAnsi="黑体" w:eastAsia="楷体_GB2312"/>
          <w:sz w:val="28"/>
          <w:szCs w:val="28"/>
        </w:rPr>
        <w:t>目  录</w:t>
      </w:r>
    </w:p>
    <w:p>
      <w:pPr>
        <w:spacing w:line="460" w:lineRule="exact"/>
        <w:rPr>
          <w:rFonts w:ascii="黑体" w:hAnsi="黑体" w:eastAsia="黑体"/>
          <w:sz w:val="32"/>
          <w:szCs w:val="32"/>
        </w:rPr>
      </w:pPr>
    </w:p>
    <w:p>
      <w:pPr>
        <w:spacing w:line="360" w:lineRule="auto"/>
        <w:rPr>
          <w:rFonts w:ascii="黑体" w:hAnsi="黑体" w:eastAsia="黑体"/>
          <w:sz w:val="28"/>
          <w:szCs w:val="28"/>
        </w:rPr>
      </w:pPr>
      <w:r>
        <w:rPr>
          <w:rFonts w:hint="eastAsia" w:ascii="黑体" w:hAnsi="黑体" w:eastAsia="黑体"/>
          <w:sz w:val="28"/>
          <w:szCs w:val="28"/>
        </w:rPr>
        <w:t>一、资格审查材料……………………………………………………………X</w:t>
      </w:r>
    </w:p>
    <w:p>
      <w:pPr>
        <w:spacing w:line="360" w:lineRule="auto"/>
        <w:ind w:firstLine="280" w:firstLineChars="100"/>
        <w:rPr>
          <w:rFonts w:ascii="楷体_GB2312" w:hAnsi="黑体" w:eastAsia="楷体_GB2312"/>
          <w:sz w:val="28"/>
          <w:szCs w:val="28"/>
        </w:rPr>
      </w:pPr>
      <w:r>
        <w:rPr>
          <w:rFonts w:hint="eastAsia" w:ascii="楷体_GB2312" w:hAnsi="黑体" w:eastAsia="楷体_GB2312"/>
          <w:sz w:val="28"/>
          <w:szCs w:val="28"/>
        </w:rPr>
        <w:t>（一）投标人基本情况……………………………………………………</w:t>
      </w:r>
      <w:r>
        <w:rPr>
          <w:rFonts w:hint="eastAsia" w:ascii="黑体" w:hAnsi="黑体" w:eastAsia="黑体"/>
          <w:sz w:val="28"/>
          <w:szCs w:val="28"/>
        </w:rPr>
        <w:t>X</w:t>
      </w:r>
    </w:p>
    <w:p>
      <w:pPr>
        <w:spacing w:line="360" w:lineRule="auto"/>
        <w:ind w:firstLine="280" w:firstLineChars="100"/>
        <w:rPr>
          <w:rFonts w:ascii="楷体_GB2312" w:hAnsi="黑体" w:eastAsia="楷体_GB2312"/>
          <w:sz w:val="28"/>
          <w:szCs w:val="28"/>
        </w:rPr>
      </w:pPr>
      <w:r>
        <w:rPr>
          <w:rFonts w:hint="eastAsia" w:ascii="楷体_GB2312" w:hAnsi="黑体" w:eastAsia="楷体_GB2312"/>
          <w:sz w:val="28"/>
          <w:szCs w:val="28"/>
        </w:rPr>
        <w:t>（二）近三年财务状况……………………………………………………</w:t>
      </w:r>
      <w:r>
        <w:rPr>
          <w:rFonts w:hint="eastAsia" w:ascii="黑体" w:hAnsi="黑体" w:eastAsia="黑体"/>
          <w:sz w:val="28"/>
          <w:szCs w:val="28"/>
        </w:rPr>
        <w:t>X</w:t>
      </w:r>
    </w:p>
    <w:p>
      <w:pPr>
        <w:spacing w:line="360" w:lineRule="auto"/>
        <w:ind w:firstLine="280" w:firstLineChars="100"/>
        <w:rPr>
          <w:rFonts w:ascii="楷体_GB2312" w:hAnsi="黑体" w:eastAsia="楷体_GB2312"/>
          <w:sz w:val="28"/>
          <w:szCs w:val="28"/>
        </w:rPr>
      </w:pPr>
      <w:r>
        <w:rPr>
          <w:rFonts w:hint="eastAsia" w:ascii="楷体_GB2312" w:hAnsi="黑体" w:eastAsia="楷体_GB2312"/>
          <w:sz w:val="28"/>
          <w:szCs w:val="28"/>
        </w:rPr>
        <w:t>（三）近三年发生的诉讼及仲裁情况……………………………………</w:t>
      </w:r>
      <w:r>
        <w:rPr>
          <w:rFonts w:hint="eastAsia" w:ascii="黑体" w:hAnsi="黑体" w:eastAsia="黑体"/>
          <w:sz w:val="28"/>
          <w:szCs w:val="28"/>
        </w:rPr>
        <w:t>X</w:t>
      </w:r>
    </w:p>
    <w:p>
      <w:pPr>
        <w:spacing w:line="360" w:lineRule="auto"/>
        <w:ind w:firstLine="280" w:firstLineChars="100"/>
        <w:textAlignment w:val="center"/>
        <w:rPr>
          <w:rFonts w:ascii="楷体_GB2312" w:hAnsi="黑体" w:eastAsia="楷体_GB2312"/>
          <w:sz w:val="28"/>
          <w:szCs w:val="28"/>
        </w:rPr>
      </w:pPr>
      <w:r>
        <w:rPr>
          <w:rFonts w:hint="eastAsia" w:ascii="楷体_GB2312" w:eastAsia="楷体_GB2312"/>
          <w:sz w:val="28"/>
          <w:szCs w:val="28"/>
        </w:rPr>
        <w:t>（四）近三年不良记录</w:t>
      </w:r>
      <w:r>
        <w:rPr>
          <w:rFonts w:hint="eastAsia" w:ascii="楷体_GB2312" w:hAnsi="黑体" w:eastAsia="楷体_GB2312"/>
          <w:sz w:val="28"/>
          <w:szCs w:val="28"/>
        </w:rPr>
        <w:t>……………………………………………………</w:t>
      </w:r>
      <w:r>
        <w:rPr>
          <w:rFonts w:hint="eastAsia" w:ascii="黑体" w:hAnsi="黑体" w:eastAsia="黑体"/>
          <w:sz w:val="28"/>
          <w:szCs w:val="28"/>
        </w:rPr>
        <w:t>X</w:t>
      </w:r>
    </w:p>
    <w:p>
      <w:pPr>
        <w:spacing w:line="360" w:lineRule="auto"/>
        <w:rPr>
          <w:rFonts w:ascii="黑体" w:hAnsi="黑体" w:eastAsia="黑体"/>
          <w:sz w:val="28"/>
          <w:szCs w:val="28"/>
        </w:rPr>
      </w:pPr>
      <w:r>
        <w:rPr>
          <w:rFonts w:hint="eastAsia" w:ascii="黑体" w:hAnsi="黑体" w:eastAsia="黑体"/>
          <w:sz w:val="28"/>
          <w:szCs w:val="28"/>
        </w:rPr>
        <w:t>二、特殊资质材料……………………………………………………………X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（一）设计资质……………………………………………………………</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（二）勘察资质……………………………………………………………</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（三）监理资质……………………………………………………………</w:t>
      </w:r>
      <w:r>
        <w:rPr>
          <w:rFonts w:hint="eastAsia" w:ascii="黑体" w:hAnsi="黑体" w:eastAsia="黑体"/>
          <w:sz w:val="28"/>
          <w:szCs w:val="28"/>
        </w:rPr>
        <w:t>X</w:t>
      </w:r>
    </w:p>
    <w:p>
      <w:pPr>
        <w:pStyle w:val="2"/>
        <w:ind w:firstLine="280"/>
        <w:rPr>
          <w:rFonts w:eastAsia="楷体_GB2312"/>
        </w:rPr>
      </w:pPr>
      <w:r>
        <w:rPr>
          <w:rFonts w:hint="eastAsia" w:ascii="楷体_GB2312" w:hAnsi="Times New Roman" w:eastAsia="楷体_GB2312"/>
          <w:b w:val="0"/>
          <w:bCs w:val="0"/>
          <w:kern w:val="2"/>
          <w:szCs w:val="28"/>
        </w:rPr>
        <w:t>（四）造价资质……………………………………………………………</w:t>
      </w:r>
      <w:r>
        <w:rPr>
          <w:rFonts w:hint="eastAsia" w:ascii="黑体" w:hAnsi="黑体" w:eastAsia="黑体"/>
          <w:szCs w:val="28"/>
        </w:rPr>
        <w:t>X</w:t>
      </w:r>
    </w:p>
    <w:p>
      <w:pPr>
        <w:spacing w:line="360" w:lineRule="auto"/>
        <w:rPr>
          <w:rFonts w:ascii="黑体" w:hAnsi="黑体" w:eastAsia="黑体"/>
          <w:sz w:val="28"/>
          <w:szCs w:val="28"/>
        </w:rPr>
      </w:pPr>
      <w:r>
        <w:rPr>
          <w:rFonts w:hint="eastAsia" w:ascii="黑体" w:hAnsi="黑体" w:eastAsia="黑体"/>
          <w:sz w:val="28"/>
          <w:szCs w:val="28"/>
        </w:rPr>
        <w:t>三、近五年相关业绩…………………………………………………………X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（一）近五年全过程工程咨询业绩表……………………………………</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（二）近五年勘察业绩表…………………………………………………</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（三）近五年设计业绩表…………………………………………………</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（四）近五年造价业绩表…………………………………………………</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（五）近五年监理业绩表…………………………………………………</w:t>
      </w:r>
      <w:r>
        <w:rPr>
          <w:rFonts w:hint="eastAsia" w:ascii="黑体" w:hAnsi="黑体" w:eastAsia="黑体"/>
          <w:sz w:val="28"/>
          <w:szCs w:val="28"/>
        </w:rPr>
        <w:t>X</w:t>
      </w:r>
    </w:p>
    <w:p>
      <w:pPr>
        <w:spacing w:line="360" w:lineRule="auto"/>
        <w:ind w:left="280" w:hanging="280" w:hangingChars="100"/>
        <w:rPr>
          <w:rFonts w:ascii="黑体" w:hAnsi="黑体" w:eastAsia="黑体"/>
          <w:sz w:val="28"/>
          <w:szCs w:val="28"/>
        </w:rPr>
      </w:pPr>
      <w:r>
        <w:rPr>
          <w:rFonts w:hint="eastAsia" w:ascii="黑体" w:hAnsi="黑体" w:eastAsia="黑体"/>
          <w:sz w:val="28"/>
          <w:szCs w:val="28"/>
        </w:rPr>
        <w:t>四、人员实力…………………………………………………………………X</w:t>
      </w:r>
    </w:p>
    <w:p>
      <w:pPr>
        <w:spacing w:line="360" w:lineRule="auto"/>
        <w:ind w:left="279" w:leftChars="133"/>
        <w:rPr>
          <w:rFonts w:ascii="楷体_GB2312" w:eastAsia="楷体_GB2312"/>
          <w:sz w:val="28"/>
          <w:szCs w:val="28"/>
        </w:rPr>
      </w:pPr>
      <w:r>
        <w:rPr>
          <w:rFonts w:hint="eastAsia" w:ascii="楷体_GB2312" w:eastAsia="楷体_GB2312"/>
          <w:sz w:val="28"/>
          <w:szCs w:val="28"/>
        </w:rPr>
        <w:t>（一）勘察人才实力………………………………………………………</w:t>
      </w:r>
      <w:r>
        <w:rPr>
          <w:rFonts w:hint="eastAsia" w:ascii="黑体" w:hAnsi="黑体" w:eastAsia="黑体"/>
          <w:sz w:val="28"/>
          <w:szCs w:val="28"/>
        </w:rPr>
        <w:t>X</w:t>
      </w:r>
    </w:p>
    <w:p>
      <w:pPr>
        <w:spacing w:line="360" w:lineRule="auto"/>
        <w:ind w:left="279" w:leftChars="133"/>
        <w:rPr>
          <w:rFonts w:ascii="楷体_GB2312" w:eastAsia="楷体_GB2312"/>
          <w:sz w:val="28"/>
          <w:szCs w:val="28"/>
        </w:rPr>
      </w:pPr>
      <w:r>
        <w:rPr>
          <w:rFonts w:hint="eastAsia" w:ascii="楷体_GB2312" w:eastAsia="楷体_GB2312"/>
          <w:sz w:val="28"/>
          <w:szCs w:val="28"/>
        </w:rPr>
        <w:t>（二）设计人才实力………………………………………………………</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（三）注册造价工程师……………………………………………………</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（四）注册监理工程师……………………………………………………</w:t>
      </w:r>
      <w:r>
        <w:rPr>
          <w:rFonts w:hint="eastAsia" w:ascii="黑体" w:hAnsi="黑体" w:eastAsia="黑体"/>
          <w:sz w:val="28"/>
          <w:szCs w:val="28"/>
        </w:rPr>
        <w:t>X</w:t>
      </w:r>
    </w:p>
    <w:p>
      <w:pPr>
        <w:spacing w:line="360" w:lineRule="auto"/>
        <w:rPr>
          <w:rFonts w:ascii="黑体" w:hAnsi="黑体" w:eastAsia="黑体"/>
          <w:sz w:val="28"/>
          <w:szCs w:val="28"/>
        </w:rPr>
      </w:pPr>
      <w:r>
        <w:rPr>
          <w:rFonts w:hint="eastAsia" w:ascii="黑体" w:hAnsi="黑体" w:eastAsia="黑体"/>
          <w:sz w:val="28"/>
          <w:szCs w:val="28"/>
        </w:rPr>
        <w:t>五、项目管理机构……………………………………………………………X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（一）全过程工程咨询机构组成表………………………………………</w:t>
      </w:r>
      <w:r>
        <w:rPr>
          <w:rFonts w:hint="eastAsia" w:ascii="黑体" w:hAnsi="黑体" w:eastAsia="黑体"/>
          <w:sz w:val="28"/>
          <w:szCs w:val="28"/>
        </w:rPr>
        <w:t>X</w:t>
      </w:r>
    </w:p>
    <w:p>
      <w:pPr>
        <w:spacing w:line="360" w:lineRule="auto"/>
        <w:ind w:firstLine="280" w:firstLineChars="100"/>
        <w:textAlignment w:val="center"/>
        <w:rPr>
          <w:rFonts w:ascii="楷体_GB2312" w:eastAsia="楷体_GB2312"/>
          <w:sz w:val="28"/>
          <w:szCs w:val="28"/>
        </w:rPr>
      </w:pPr>
      <w:r>
        <w:rPr>
          <w:rFonts w:hint="eastAsia" w:ascii="楷体_GB2312" w:eastAsia="楷体_GB2312"/>
          <w:sz w:val="28"/>
          <w:szCs w:val="28"/>
        </w:rPr>
        <w:t>（二）全过程工程咨询机构主要人员简历表……………………………</w:t>
      </w:r>
      <w:r>
        <w:rPr>
          <w:rFonts w:hint="eastAsia" w:ascii="黑体" w:hAnsi="黑体" w:eastAsia="黑体"/>
          <w:sz w:val="28"/>
          <w:szCs w:val="28"/>
        </w:rPr>
        <w:t>X</w:t>
      </w:r>
    </w:p>
    <w:p>
      <w:pPr>
        <w:spacing w:line="360" w:lineRule="auto"/>
        <w:rPr>
          <w:rFonts w:ascii="黑体" w:hAnsi="黑体" w:eastAsia="黑体"/>
          <w:sz w:val="28"/>
          <w:szCs w:val="28"/>
        </w:rPr>
      </w:pPr>
      <w:r>
        <w:rPr>
          <w:rFonts w:hint="eastAsia" w:ascii="黑体" w:hAnsi="黑体" w:eastAsia="黑体"/>
          <w:sz w:val="28"/>
          <w:szCs w:val="28"/>
        </w:rPr>
        <w:t>六、其他资料…………………………………………………………………X</w:t>
      </w:r>
    </w:p>
    <w:p>
      <w:pPr>
        <w:spacing w:line="360" w:lineRule="auto"/>
        <w:ind w:firstLine="280" w:firstLineChars="100"/>
        <w:rPr>
          <w:rFonts w:ascii="楷体_GB2312" w:hAnsi="黑体" w:eastAsia="楷体_GB2312"/>
          <w:sz w:val="28"/>
          <w:szCs w:val="28"/>
        </w:rPr>
      </w:pPr>
      <w:r>
        <w:rPr>
          <w:rFonts w:hint="eastAsia" w:ascii="楷体_GB2312" w:hAnsi="黑体" w:eastAsia="楷体_GB2312"/>
          <w:sz w:val="28"/>
          <w:szCs w:val="28"/>
        </w:rPr>
        <w:t>（一）招标文件规定须提交的其他资料…………………………………</w:t>
      </w:r>
      <w:r>
        <w:rPr>
          <w:rFonts w:hint="eastAsia" w:ascii="黑体" w:hAnsi="黑体" w:eastAsia="黑体"/>
          <w:sz w:val="28"/>
          <w:szCs w:val="28"/>
        </w:rPr>
        <w:t>X</w:t>
      </w:r>
    </w:p>
    <w:p>
      <w:pPr>
        <w:spacing w:line="360" w:lineRule="auto"/>
        <w:ind w:firstLine="280" w:firstLineChars="100"/>
        <w:rPr>
          <w:rFonts w:ascii="楷体_GB2312" w:hAnsi="黑体" w:eastAsia="楷体_GB2312"/>
          <w:sz w:val="28"/>
          <w:szCs w:val="28"/>
        </w:rPr>
      </w:pPr>
      <w:r>
        <w:rPr>
          <w:rFonts w:hint="eastAsia" w:ascii="楷体_GB2312" w:hAnsi="黑体" w:eastAsia="楷体_GB2312"/>
          <w:sz w:val="28"/>
          <w:szCs w:val="28"/>
        </w:rPr>
        <w:t>（二）投标人认为须提交的其他资料……………………………………</w:t>
      </w:r>
      <w:r>
        <w:rPr>
          <w:rFonts w:hint="eastAsia" w:ascii="黑体" w:hAnsi="黑体" w:eastAsia="黑体"/>
          <w:sz w:val="28"/>
          <w:szCs w:val="28"/>
        </w:rPr>
        <w:t>X</w:t>
      </w:r>
    </w:p>
    <w:p>
      <w:pPr>
        <w:spacing w:line="360" w:lineRule="auto"/>
        <w:ind w:firstLine="280" w:firstLineChars="100"/>
        <w:rPr>
          <w:rFonts w:ascii="楷体_GB2312" w:hAnsi="黑体" w:eastAsia="楷体_GB2312"/>
          <w:sz w:val="28"/>
          <w:szCs w:val="28"/>
        </w:rPr>
      </w:pPr>
      <w:r>
        <w:rPr>
          <w:rFonts w:hint="eastAsia" w:ascii="楷体_GB2312" w:hAnsi="黑体" w:eastAsia="楷体_GB2312"/>
          <w:sz w:val="28"/>
          <w:szCs w:val="28"/>
        </w:rPr>
        <w:t>（三）投标文件编制人员情况……………………………………………</w:t>
      </w:r>
      <w:r>
        <w:rPr>
          <w:rFonts w:hint="eastAsia" w:ascii="黑体" w:hAnsi="黑体" w:eastAsia="黑体"/>
          <w:sz w:val="28"/>
          <w:szCs w:val="28"/>
        </w:rPr>
        <w:t>X</w:t>
      </w:r>
    </w:p>
    <w:p>
      <w:pPr>
        <w:spacing w:line="360" w:lineRule="auto"/>
        <w:jc w:val="center"/>
        <w:rPr>
          <w:rFonts w:ascii="黑体" w:hAnsi="黑体" w:eastAsia="黑体"/>
          <w:sz w:val="32"/>
          <w:szCs w:val="32"/>
        </w:rPr>
      </w:pPr>
      <w:r>
        <w:rPr>
          <w:rFonts w:ascii="黑体" w:hAnsi="黑体" w:eastAsia="黑体"/>
          <w:sz w:val="32"/>
          <w:szCs w:val="32"/>
        </w:rPr>
        <w:br w:type="page"/>
      </w:r>
      <w:bookmarkStart w:id="723" w:name="_Toc184916620"/>
      <w:r>
        <w:rPr>
          <w:rFonts w:hint="eastAsia" w:ascii="黑体" w:hAnsi="黑体" w:eastAsia="黑体"/>
          <w:sz w:val="32"/>
          <w:szCs w:val="32"/>
        </w:rPr>
        <w:t>一、资格审查材料</w:t>
      </w:r>
      <w:bookmarkEnd w:id="723"/>
    </w:p>
    <w:p>
      <w:pPr>
        <w:spacing w:line="460" w:lineRule="exact"/>
        <w:ind w:firstLine="472" w:firstLineChars="196"/>
        <w:rPr>
          <w:rFonts w:ascii="楷体_GB2312" w:hAnsi="黑体" w:eastAsia="楷体_GB2312"/>
          <w:b/>
          <w:sz w:val="24"/>
          <w:szCs w:val="24"/>
        </w:rPr>
      </w:pPr>
      <w:r>
        <w:rPr>
          <w:rFonts w:hint="eastAsia" w:ascii="楷体_GB2312" w:hAnsi="黑体" w:eastAsia="楷体_GB2312"/>
          <w:b/>
          <w:sz w:val="24"/>
          <w:szCs w:val="24"/>
        </w:rPr>
        <w:t>（一）投标人基本情况</w:t>
      </w:r>
    </w:p>
    <w:p>
      <w:pPr>
        <w:spacing w:after="120" w:afterLines="50" w:line="460" w:lineRule="exact"/>
        <w:ind w:firstLine="480" w:firstLineChars="200"/>
        <w:rPr>
          <w:rFonts w:ascii="宋体" w:hAnsi="宋体"/>
          <w:sz w:val="24"/>
          <w:szCs w:val="24"/>
        </w:rPr>
      </w:pPr>
      <w:r>
        <w:rPr>
          <w:rFonts w:hint="eastAsia" w:ascii="宋体" w:hAnsi="宋体"/>
          <w:sz w:val="24"/>
          <w:szCs w:val="24"/>
        </w:rPr>
        <w:t>1．投标人基本情况表</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1000"/>
        <w:gridCol w:w="2800"/>
        <w:gridCol w:w="1301"/>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投标人名称</w:t>
            </w:r>
          </w:p>
        </w:tc>
        <w:tc>
          <w:tcPr>
            <w:tcW w:w="7226" w:type="dxa"/>
            <w:gridSpan w:val="4"/>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注册地址</w:t>
            </w:r>
          </w:p>
        </w:tc>
        <w:tc>
          <w:tcPr>
            <w:tcW w:w="3800" w:type="dxa"/>
            <w:gridSpan w:val="2"/>
            <w:vAlign w:val="center"/>
          </w:tcPr>
          <w:p>
            <w:pPr>
              <w:spacing w:line="400" w:lineRule="exact"/>
              <w:jc w:val="center"/>
              <w:rPr>
                <w:rFonts w:ascii="宋体" w:hAnsi="宋体"/>
                <w:sz w:val="24"/>
                <w:szCs w:val="24"/>
              </w:rPr>
            </w:pPr>
          </w:p>
        </w:tc>
        <w:tc>
          <w:tcPr>
            <w:tcW w:w="1301" w:type="dxa"/>
            <w:vAlign w:val="center"/>
          </w:tcPr>
          <w:p>
            <w:pPr>
              <w:spacing w:line="400" w:lineRule="exact"/>
              <w:jc w:val="center"/>
              <w:rPr>
                <w:rFonts w:ascii="宋体" w:hAnsi="宋体"/>
                <w:sz w:val="24"/>
                <w:szCs w:val="24"/>
              </w:rPr>
            </w:pPr>
            <w:r>
              <w:rPr>
                <w:rFonts w:hint="eastAsia" w:ascii="宋体" w:hAnsi="宋体"/>
                <w:sz w:val="24"/>
                <w:szCs w:val="24"/>
              </w:rPr>
              <w:t>邮  编</w:t>
            </w:r>
          </w:p>
        </w:tc>
        <w:tc>
          <w:tcPr>
            <w:tcW w:w="2125"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Merge w:val="restart"/>
            <w:vAlign w:val="center"/>
          </w:tcPr>
          <w:p>
            <w:pPr>
              <w:spacing w:line="400" w:lineRule="exact"/>
              <w:jc w:val="center"/>
              <w:rPr>
                <w:rFonts w:ascii="宋体" w:hAnsi="宋体"/>
                <w:sz w:val="24"/>
                <w:szCs w:val="24"/>
              </w:rPr>
            </w:pPr>
            <w:r>
              <w:rPr>
                <w:rFonts w:hint="eastAsia" w:ascii="宋体" w:hAnsi="宋体"/>
                <w:sz w:val="24"/>
                <w:szCs w:val="24"/>
              </w:rPr>
              <w:t>联系方式</w:t>
            </w:r>
          </w:p>
        </w:tc>
        <w:tc>
          <w:tcPr>
            <w:tcW w:w="1000" w:type="dxa"/>
            <w:vAlign w:val="center"/>
          </w:tcPr>
          <w:p>
            <w:pPr>
              <w:spacing w:line="400" w:lineRule="exact"/>
              <w:jc w:val="center"/>
              <w:rPr>
                <w:rFonts w:ascii="宋体" w:hAnsi="宋体"/>
                <w:sz w:val="24"/>
                <w:szCs w:val="24"/>
              </w:rPr>
            </w:pPr>
            <w:r>
              <w:rPr>
                <w:rFonts w:hint="eastAsia" w:ascii="宋体" w:hAnsi="宋体"/>
                <w:sz w:val="24"/>
                <w:szCs w:val="24"/>
              </w:rPr>
              <w:t>联系人</w:t>
            </w:r>
          </w:p>
        </w:tc>
        <w:tc>
          <w:tcPr>
            <w:tcW w:w="2800" w:type="dxa"/>
            <w:vAlign w:val="center"/>
          </w:tcPr>
          <w:p>
            <w:pPr>
              <w:spacing w:line="400" w:lineRule="exact"/>
              <w:jc w:val="center"/>
              <w:rPr>
                <w:rFonts w:ascii="宋体" w:hAnsi="宋体"/>
                <w:sz w:val="24"/>
                <w:szCs w:val="24"/>
              </w:rPr>
            </w:pPr>
          </w:p>
        </w:tc>
        <w:tc>
          <w:tcPr>
            <w:tcW w:w="1301" w:type="dxa"/>
            <w:vAlign w:val="center"/>
          </w:tcPr>
          <w:p>
            <w:pPr>
              <w:spacing w:line="400" w:lineRule="exact"/>
              <w:jc w:val="center"/>
              <w:rPr>
                <w:rFonts w:ascii="宋体" w:hAnsi="宋体"/>
                <w:sz w:val="24"/>
                <w:szCs w:val="24"/>
              </w:rPr>
            </w:pPr>
            <w:r>
              <w:rPr>
                <w:rFonts w:hint="eastAsia" w:ascii="宋体" w:hAnsi="宋体"/>
                <w:sz w:val="24"/>
                <w:szCs w:val="24"/>
              </w:rPr>
              <w:t>电  话</w:t>
            </w:r>
          </w:p>
        </w:tc>
        <w:tc>
          <w:tcPr>
            <w:tcW w:w="2125" w:type="dxa"/>
            <w:vAlign w:val="center"/>
          </w:tcPr>
          <w:p>
            <w:pPr>
              <w:spacing w:line="360" w:lineRule="exact"/>
              <w:jc w:val="center"/>
              <w:rPr>
                <w:rFonts w:ascii="宋体" w:hAnsi="宋体"/>
                <w:sz w:val="24"/>
                <w:szCs w:val="24"/>
              </w:rPr>
            </w:pPr>
            <w:r>
              <w:rPr>
                <w:rFonts w:hint="eastAsia" w:ascii="宋体" w:hAnsi="宋体"/>
                <w:sz w:val="24"/>
                <w:szCs w:val="24"/>
              </w:rPr>
              <w:t>【包括办公电话和手机号码】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Merge w:val="continue"/>
            <w:vAlign w:val="center"/>
          </w:tcPr>
          <w:p>
            <w:pPr>
              <w:spacing w:line="400" w:lineRule="exact"/>
              <w:jc w:val="center"/>
              <w:rPr>
                <w:rFonts w:ascii="宋体" w:hAnsi="宋体"/>
                <w:sz w:val="24"/>
                <w:szCs w:val="24"/>
              </w:rPr>
            </w:pPr>
          </w:p>
        </w:tc>
        <w:tc>
          <w:tcPr>
            <w:tcW w:w="1000" w:type="dxa"/>
            <w:vAlign w:val="center"/>
          </w:tcPr>
          <w:p>
            <w:pPr>
              <w:spacing w:line="400" w:lineRule="exact"/>
              <w:jc w:val="center"/>
              <w:rPr>
                <w:rFonts w:ascii="宋体" w:hAnsi="宋体"/>
                <w:sz w:val="24"/>
                <w:szCs w:val="24"/>
              </w:rPr>
            </w:pPr>
            <w:r>
              <w:rPr>
                <w:rFonts w:hint="eastAsia" w:ascii="宋体" w:hAnsi="宋体"/>
                <w:sz w:val="24"/>
                <w:szCs w:val="24"/>
              </w:rPr>
              <w:t>传  真</w:t>
            </w:r>
          </w:p>
        </w:tc>
        <w:tc>
          <w:tcPr>
            <w:tcW w:w="2800" w:type="dxa"/>
            <w:vAlign w:val="center"/>
          </w:tcPr>
          <w:p>
            <w:pPr>
              <w:spacing w:line="400" w:lineRule="exact"/>
              <w:jc w:val="center"/>
              <w:rPr>
                <w:rFonts w:ascii="宋体" w:hAnsi="宋体"/>
                <w:sz w:val="24"/>
                <w:szCs w:val="24"/>
              </w:rPr>
            </w:pPr>
          </w:p>
        </w:tc>
        <w:tc>
          <w:tcPr>
            <w:tcW w:w="1301" w:type="dxa"/>
            <w:vAlign w:val="center"/>
          </w:tcPr>
          <w:p>
            <w:pPr>
              <w:spacing w:line="400" w:lineRule="exact"/>
              <w:jc w:val="center"/>
              <w:rPr>
                <w:rFonts w:ascii="宋体" w:hAnsi="宋体"/>
                <w:sz w:val="24"/>
                <w:szCs w:val="24"/>
              </w:rPr>
            </w:pPr>
            <w:r>
              <w:rPr>
                <w:rFonts w:hint="eastAsia" w:ascii="宋体" w:hAnsi="宋体"/>
                <w:sz w:val="24"/>
                <w:szCs w:val="24"/>
              </w:rPr>
              <w:t>电子邮箱</w:t>
            </w:r>
          </w:p>
        </w:tc>
        <w:tc>
          <w:tcPr>
            <w:tcW w:w="2125"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法定代表人</w:t>
            </w:r>
          </w:p>
        </w:tc>
        <w:tc>
          <w:tcPr>
            <w:tcW w:w="1000" w:type="dxa"/>
            <w:vAlign w:val="center"/>
          </w:tcPr>
          <w:p>
            <w:pPr>
              <w:spacing w:line="400" w:lineRule="exact"/>
              <w:jc w:val="center"/>
              <w:rPr>
                <w:rFonts w:ascii="宋体" w:hAnsi="宋体"/>
                <w:sz w:val="24"/>
                <w:szCs w:val="24"/>
              </w:rPr>
            </w:pPr>
            <w:r>
              <w:rPr>
                <w:rFonts w:hint="eastAsia" w:ascii="宋体" w:hAnsi="宋体"/>
                <w:sz w:val="24"/>
                <w:szCs w:val="24"/>
              </w:rPr>
              <w:t>姓  名</w:t>
            </w:r>
          </w:p>
        </w:tc>
        <w:tc>
          <w:tcPr>
            <w:tcW w:w="2800" w:type="dxa"/>
            <w:vAlign w:val="center"/>
          </w:tcPr>
          <w:p>
            <w:pPr>
              <w:spacing w:line="400" w:lineRule="exact"/>
              <w:jc w:val="center"/>
              <w:rPr>
                <w:rFonts w:ascii="宋体" w:hAnsi="宋体"/>
                <w:sz w:val="24"/>
                <w:szCs w:val="24"/>
              </w:rPr>
            </w:pPr>
          </w:p>
        </w:tc>
        <w:tc>
          <w:tcPr>
            <w:tcW w:w="1301" w:type="dxa"/>
            <w:vAlign w:val="center"/>
          </w:tcPr>
          <w:p>
            <w:pPr>
              <w:spacing w:line="400" w:lineRule="exact"/>
              <w:jc w:val="center"/>
              <w:rPr>
                <w:rFonts w:ascii="宋体" w:hAnsi="宋体"/>
                <w:sz w:val="24"/>
                <w:szCs w:val="24"/>
              </w:rPr>
            </w:pPr>
            <w:r>
              <w:rPr>
                <w:rFonts w:hint="eastAsia" w:ascii="宋体" w:hAnsi="宋体"/>
                <w:sz w:val="24"/>
                <w:szCs w:val="24"/>
              </w:rPr>
              <w:t>电  话</w:t>
            </w:r>
          </w:p>
        </w:tc>
        <w:tc>
          <w:tcPr>
            <w:tcW w:w="2125"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成立时间</w:t>
            </w:r>
          </w:p>
        </w:tc>
        <w:tc>
          <w:tcPr>
            <w:tcW w:w="3800" w:type="dxa"/>
            <w:gridSpan w:val="2"/>
            <w:vAlign w:val="center"/>
          </w:tcPr>
          <w:p>
            <w:pPr>
              <w:spacing w:line="400" w:lineRule="exact"/>
              <w:jc w:val="center"/>
              <w:rPr>
                <w:rFonts w:ascii="宋体" w:hAnsi="宋体"/>
                <w:sz w:val="24"/>
                <w:szCs w:val="24"/>
              </w:rPr>
            </w:pPr>
          </w:p>
        </w:tc>
        <w:tc>
          <w:tcPr>
            <w:tcW w:w="1301" w:type="dxa"/>
            <w:vAlign w:val="center"/>
          </w:tcPr>
          <w:p>
            <w:pPr>
              <w:spacing w:line="400" w:lineRule="exact"/>
              <w:jc w:val="center"/>
              <w:rPr>
                <w:rFonts w:ascii="宋体" w:hAnsi="宋体"/>
                <w:sz w:val="24"/>
                <w:szCs w:val="24"/>
              </w:rPr>
            </w:pPr>
            <w:r>
              <w:rPr>
                <w:rFonts w:hint="eastAsia" w:ascii="宋体" w:hAnsi="宋体"/>
                <w:sz w:val="24"/>
                <w:szCs w:val="24"/>
              </w:rPr>
              <w:t>员工总数</w:t>
            </w:r>
          </w:p>
        </w:tc>
        <w:tc>
          <w:tcPr>
            <w:tcW w:w="2125"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企业资质等级</w:t>
            </w:r>
          </w:p>
        </w:tc>
        <w:tc>
          <w:tcPr>
            <w:tcW w:w="7226" w:type="dxa"/>
            <w:gridSpan w:val="4"/>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营业执照号</w:t>
            </w:r>
          </w:p>
        </w:tc>
        <w:tc>
          <w:tcPr>
            <w:tcW w:w="7226" w:type="dxa"/>
            <w:gridSpan w:val="4"/>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注册资金</w:t>
            </w:r>
          </w:p>
        </w:tc>
        <w:tc>
          <w:tcPr>
            <w:tcW w:w="7226" w:type="dxa"/>
            <w:gridSpan w:val="4"/>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开户银行</w:t>
            </w:r>
          </w:p>
        </w:tc>
        <w:tc>
          <w:tcPr>
            <w:tcW w:w="7226" w:type="dxa"/>
            <w:gridSpan w:val="4"/>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账    号</w:t>
            </w:r>
          </w:p>
        </w:tc>
        <w:tc>
          <w:tcPr>
            <w:tcW w:w="7226" w:type="dxa"/>
            <w:gridSpan w:val="4"/>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质量管理认证</w:t>
            </w:r>
          </w:p>
        </w:tc>
        <w:tc>
          <w:tcPr>
            <w:tcW w:w="7226" w:type="dxa"/>
            <w:gridSpan w:val="4"/>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jc w:val="center"/>
        </w:trPr>
        <w:tc>
          <w:tcPr>
            <w:tcW w:w="1834" w:type="dxa"/>
            <w:vAlign w:val="center"/>
          </w:tcPr>
          <w:p>
            <w:pPr>
              <w:spacing w:line="400" w:lineRule="exact"/>
              <w:jc w:val="center"/>
              <w:rPr>
                <w:rFonts w:ascii="宋体" w:hAnsi="宋体"/>
                <w:sz w:val="24"/>
                <w:szCs w:val="24"/>
              </w:rPr>
            </w:pPr>
            <w:r>
              <w:rPr>
                <w:rFonts w:hint="eastAsia" w:ascii="宋体" w:hAnsi="宋体"/>
                <w:sz w:val="24"/>
                <w:szCs w:val="24"/>
              </w:rPr>
              <w:t>经营范围备注</w:t>
            </w:r>
          </w:p>
        </w:tc>
        <w:tc>
          <w:tcPr>
            <w:tcW w:w="7226" w:type="dxa"/>
            <w:gridSpan w:val="4"/>
            <w:vAlign w:val="center"/>
          </w:tcPr>
          <w:p>
            <w:pPr>
              <w:spacing w:line="400" w:lineRule="exact"/>
              <w:jc w:val="center"/>
              <w:rPr>
                <w:rFonts w:ascii="宋体" w:hAnsi="宋体"/>
                <w:sz w:val="24"/>
                <w:szCs w:val="24"/>
              </w:rPr>
            </w:pPr>
          </w:p>
          <w:p>
            <w:pPr>
              <w:spacing w:line="400" w:lineRule="exact"/>
              <w:rPr>
                <w:rFonts w:ascii="宋体" w:hAnsi="宋体"/>
                <w:sz w:val="24"/>
                <w:szCs w:val="24"/>
              </w:rPr>
            </w:pPr>
          </w:p>
          <w:p>
            <w:pPr>
              <w:spacing w:line="400" w:lineRule="exact"/>
              <w:jc w:val="center"/>
              <w:rPr>
                <w:rFonts w:ascii="宋体" w:hAnsi="宋体"/>
                <w:sz w:val="24"/>
                <w:szCs w:val="24"/>
              </w:rPr>
            </w:pPr>
          </w:p>
        </w:tc>
      </w:tr>
    </w:tbl>
    <w:p>
      <w:pPr>
        <w:spacing w:line="460" w:lineRule="exact"/>
        <w:ind w:firstLine="480" w:firstLineChars="200"/>
        <w:rPr>
          <w:rFonts w:ascii="宋体" w:hAnsi="宋体"/>
          <w:sz w:val="24"/>
          <w:szCs w:val="24"/>
        </w:rPr>
      </w:pPr>
      <w:r>
        <w:rPr>
          <w:rFonts w:ascii="宋体" w:hAnsi="宋体"/>
          <w:sz w:val="24"/>
          <w:szCs w:val="24"/>
        </w:rPr>
        <w:br w:type="page"/>
      </w:r>
      <w:r>
        <w:rPr>
          <w:rFonts w:hint="eastAsia" w:ascii="宋体" w:hAnsi="宋体"/>
          <w:sz w:val="24"/>
          <w:szCs w:val="24"/>
        </w:rPr>
        <w:t>2．投标人基本情况表附件</w:t>
      </w:r>
    </w:p>
    <w:p>
      <w:pPr>
        <w:pStyle w:val="318"/>
        <w:snapToGrid w:val="0"/>
        <w:spacing w:line="460" w:lineRule="exact"/>
        <w:ind w:firstLine="480" w:firstLineChars="200"/>
        <w:rPr>
          <w:b w:val="0"/>
          <w:szCs w:val="24"/>
        </w:rPr>
      </w:pPr>
      <w:r>
        <w:rPr>
          <w:rFonts w:hint="eastAsia"/>
          <w:b w:val="0"/>
          <w:szCs w:val="24"/>
        </w:rPr>
        <w:t>【附：三证合一</w:t>
      </w:r>
      <w:r>
        <w:rPr>
          <w:b w:val="0"/>
          <w:szCs w:val="24"/>
        </w:rPr>
        <w:t>营业执照</w:t>
      </w:r>
      <w:r>
        <w:rPr>
          <w:rFonts w:hint="eastAsia"/>
          <w:b w:val="0"/>
          <w:szCs w:val="24"/>
        </w:rPr>
        <w:t>、资质等级证书、人员团队注册资格、职称证书、工作经验等证明材料复印件。】</w:t>
      </w: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spacing w:after="120" w:afterLines="50" w:line="460" w:lineRule="exact"/>
        <w:ind w:firstLine="482" w:firstLineChars="200"/>
        <w:rPr>
          <w:rFonts w:ascii="楷体_GB2312" w:hAnsi="宋体" w:eastAsia="楷体_GB2312"/>
          <w:b/>
          <w:sz w:val="24"/>
          <w:szCs w:val="24"/>
        </w:rPr>
      </w:pPr>
    </w:p>
    <w:p>
      <w:pPr>
        <w:rPr>
          <w:rFonts w:ascii="楷体_GB2312" w:hAnsi="宋体" w:eastAsia="楷体_GB2312"/>
          <w:b/>
          <w:sz w:val="24"/>
          <w:szCs w:val="24"/>
        </w:rPr>
      </w:pPr>
      <w:r>
        <w:rPr>
          <w:rFonts w:hint="eastAsia" w:ascii="楷体_GB2312" w:hAnsi="宋体" w:eastAsia="楷体_GB2312"/>
          <w:b/>
          <w:sz w:val="24"/>
          <w:szCs w:val="24"/>
        </w:rPr>
        <w:br w:type="page"/>
      </w:r>
    </w:p>
    <w:p>
      <w:pPr>
        <w:spacing w:after="120" w:afterLines="50" w:line="460" w:lineRule="exact"/>
        <w:ind w:firstLine="482" w:firstLineChars="200"/>
        <w:rPr>
          <w:rFonts w:ascii="楷体_GB2312" w:hAnsi="黑体" w:eastAsia="楷体_GB2312"/>
          <w:b/>
          <w:sz w:val="32"/>
          <w:szCs w:val="32"/>
        </w:rPr>
      </w:pPr>
      <w:r>
        <w:rPr>
          <w:rFonts w:hint="eastAsia" w:ascii="楷体_GB2312" w:hAnsi="宋体" w:eastAsia="楷体_GB2312"/>
          <w:b/>
          <w:sz w:val="24"/>
          <w:szCs w:val="24"/>
        </w:rPr>
        <w:t>（二）近三年财务状况</w:t>
      </w:r>
    </w:p>
    <w:p>
      <w:pPr>
        <w:pStyle w:val="318"/>
        <w:snapToGrid w:val="0"/>
        <w:spacing w:line="460" w:lineRule="exact"/>
        <w:ind w:firstLine="480" w:firstLineChars="200"/>
        <w:rPr>
          <w:b w:val="0"/>
          <w:szCs w:val="24"/>
        </w:rPr>
      </w:pPr>
      <w:r>
        <w:rPr>
          <w:rFonts w:hint="eastAsia"/>
          <w:b w:val="0"/>
          <w:szCs w:val="24"/>
        </w:rPr>
        <w:t>【投标人没有处于投标资格被取消或财产被接管、冻结或破产状态，具有良好的商业信誉和健全的财务会计制度，有依法缴纳税收和社会保障资金的良好记录】</w:t>
      </w:r>
    </w:p>
    <w:p>
      <w:pPr>
        <w:pStyle w:val="318"/>
        <w:snapToGrid w:val="0"/>
        <w:spacing w:line="460" w:lineRule="exact"/>
        <w:ind w:firstLine="480" w:firstLineChars="200"/>
        <w:rPr>
          <w:b w:val="0"/>
          <w:szCs w:val="24"/>
        </w:rPr>
      </w:pPr>
      <w:r>
        <w:rPr>
          <w:rFonts w:hint="eastAsia"/>
          <w:b w:val="0"/>
          <w:szCs w:val="24"/>
        </w:rPr>
        <w:t>提供近1年任意6个月纳税和缴纳社保的完税凭证或证明材料，并提供近3年（202</w:t>
      </w:r>
      <w:r>
        <w:rPr>
          <w:rFonts w:hint="eastAsia"/>
          <w:b w:val="0"/>
          <w:szCs w:val="24"/>
          <w:lang w:val="en-US" w:eastAsia="zh-CN"/>
        </w:rPr>
        <w:t>2</w:t>
      </w:r>
      <w:r>
        <w:rPr>
          <w:rFonts w:hint="eastAsia"/>
          <w:b w:val="0"/>
          <w:szCs w:val="24"/>
        </w:rPr>
        <w:t>年、202</w:t>
      </w:r>
      <w:r>
        <w:rPr>
          <w:rFonts w:hint="eastAsia"/>
          <w:b w:val="0"/>
          <w:szCs w:val="24"/>
          <w:lang w:val="en-US" w:eastAsia="zh-CN"/>
        </w:rPr>
        <w:t>3</w:t>
      </w:r>
      <w:r>
        <w:rPr>
          <w:rFonts w:hint="eastAsia"/>
          <w:b w:val="0"/>
          <w:szCs w:val="24"/>
        </w:rPr>
        <w:t>年、202</w:t>
      </w:r>
      <w:r>
        <w:rPr>
          <w:rFonts w:hint="eastAsia"/>
          <w:b w:val="0"/>
          <w:szCs w:val="24"/>
          <w:lang w:val="en-US" w:eastAsia="zh-CN"/>
        </w:rPr>
        <w:t>4</w:t>
      </w:r>
      <w:r>
        <w:rPr>
          <w:rFonts w:hint="eastAsia"/>
          <w:b w:val="0"/>
          <w:szCs w:val="24"/>
        </w:rPr>
        <w:t>年）的审计报告或银行出具的资信证明</w:t>
      </w:r>
    </w:p>
    <w:p>
      <w:pPr>
        <w:spacing w:after="120" w:afterLines="50" w:line="460" w:lineRule="exact"/>
        <w:ind w:firstLine="470" w:firstLineChars="196"/>
        <w:rPr>
          <w:rFonts w:ascii="仿宋_GB2312" w:hAnsi="黑体" w:eastAsia="仿宋_GB2312"/>
          <w:b/>
          <w:sz w:val="24"/>
          <w:szCs w:val="24"/>
        </w:rPr>
      </w:pPr>
      <w:r>
        <w:rPr>
          <w:rFonts w:ascii="黑体" w:hAnsi="黑体" w:eastAsia="黑体"/>
          <w:sz w:val="24"/>
          <w:szCs w:val="24"/>
        </w:rPr>
        <w:br w:type="page"/>
      </w:r>
      <w:r>
        <w:rPr>
          <w:rFonts w:hint="eastAsia" w:ascii="楷体_GB2312" w:hAnsi="黑体" w:eastAsia="楷体_GB2312"/>
          <w:b/>
          <w:sz w:val="24"/>
          <w:szCs w:val="24"/>
        </w:rPr>
        <w:t>（三）近三年发生的诉讼及仲裁情况</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053"/>
        <w:gridCol w:w="3387"/>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2" w:type="dxa"/>
            <w:vAlign w:val="center"/>
          </w:tcPr>
          <w:p>
            <w:pPr>
              <w:pStyle w:val="318"/>
              <w:snapToGrid w:val="0"/>
              <w:spacing w:line="460" w:lineRule="exact"/>
              <w:jc w:val="center"/>
              <w:rPr>
                <w:b w:val="0"/>
                <w:szCs w:val="24"/>
              </w:rPr>
            </w:pPr>
            <w:r>
              <w:rPr>
                <w:rFonts w:hint="eastAsia"/>
                <w:b w:val="0"/>
                <w:szCs w:val="24"/>
              </w:rPr>
              <w:t>序号</w:t>
            </w:r>
          </w:p>
        </w:tc>
        <w:tc>
          <w:tcPr>
            <w:tcW w:w="2053" w:type="dxa"/>
            <w:vAlign w:val="center"/>
          </w:tcPr>
          <w:p>
            <w:pPr>
              <w:pStyle w:val="318"/>
              <w:snapToGrid w:val="0"/>
              <w:spacing w:line="460" w:lineRule="exact"/>
              <w:jc w:val="center"/>
              <w:rPr>
                <w:b w:val="0"/>
                <w:szCs w:val="24"/>
              </w:rPr>
            </w:pPr>
            <w:r>
              <w:rPr>
                <w:rFonts w:hint="eastAsia"/>
                <w:b w:val="0"/>
                <w:szCs w:val="24"/>
              </w:rPr>
              <w:t>案由</w:t>
            </w:r>
          </w:p>
        </w:tc>
        <w:tc>
          <w:tcPr>
            <w:tcW w:w="3387" w:type="dxa"/>
            <w:vAlign w:val="center"/>
          </w:tcPr>
          <w:p>
            <w:pPr>
              <w:pStyle w:val="318"/>
              <w:snapToGrid w:val="0"/>
              <w:spacing w:line="460" w:lineRule="exact"/>
              <w:jc w:val="center"/>
              <w:rPr>
                <w:b w:val="0"/>
                <w:szCs w:val="24"/>
              </w:rPr>
            </w:pPr>
            <w:r>
              <w:rPr>
                <w:rFonts w:hint="eastAsia"/>
                <w:b w:val="0"/>
                <w:szCs w:val="24"/>
              </w:rPr>
              <w:t>双方当事人名称</w:t>
            </w:r>
          </w:p>
        </w:tc>
        <w:tc>
          <w:tcPr>
            <w:tcW w:w="2758" w:type="dxa"/>
            <w:vAlign w:val="center"/>
          </w:tcPr>
          <w:p>
            <w:pPr>
              <w:pStyle w:val="318"/>
              <w:snapToGrid w:val="0"/>
              <w:spacing w:line="460" w:lineRule="exact"/>
              <w:jc w:val="center"/>
              <w:rPr>
                <w:b w:val="0"/>
                <w:szCs w:val="24"/>
              </w:rPr>
            </w:pPr>
            <w:r>
              <w:rPr>
                <w:rFonts w:hint="eastAsia"/>
                <w:b w:val="0"/>
                <w:szCs w:val="24"/>
              </w:rPr>
              <w:t>处理结果或进展情况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2" w:type="dxa"/>
            <w:vAlign w:val="center"/>
          </w:tcPr>
          <w:p>
            <w:pPr>
              <w:spacing w:line="560" w:lineRule="exact"/>
              <w:jc w:val="center"/>
              <w:rPr>
                <w:rFonts w:ascii="宋体" w:hAnsi="宋体"/>
                <w:sz w:val="24"/>
                <w:szCs w:val="24"/>
              </w:rPr>
            </w:pPr>
          </w:p>
        </w:tc>
        <w:tc>
          <w:tcPr>
            <w:tcW w:w="2053" w:type="dxa"/>
            <w:vAlign w:val="center"/>
          </w:tcPr>
          <w:p>
            <w:pPr>
              <w:spacing w:line="560" w:lineRule="exact"/>
              <w:jc w:val="center"/>
              <w:rPr>
                <w:rFonts w:ascii="宋体" w:hAnsi="宋体"/>
                <w:sz w:val="24"/>
                <w:szCs w:val="24"/>
              </w:rPr>
            </w:pPr>
          </w:p>
        </w:tc>
        <w:tc>
          <w:tcPr>
            <w:tcW w:w="3387" w:type="dxa"/>
            <w:vAlign w:val="center"/>
          </w:tcPr>
          <w:p>
            <w:pPr>
              <w:spacing w:line="560" w:lineRule="exact"/>
              <w:jc w:val="center"/>
              <w:rPr>
                <w:rFonts w:ascii="宋体" w:hAnsi="宋体"/>
                <w:sz w:val="24"/>
                <w:szCs w:val="24"/>
              </w:rPr>
            </w:pPr>
          </w:p>
        </w:tc>
        <w:tc>
          <w:tcPr>
            <w:tcW w:w="2758" w:type="dxa"/>
            <w:vAlign w:val="center"/>
          </w:tcPr>
          <w:p>
            <w:pPr>
              <w:spacing w:line="5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2" w:type="dxa"/>
            <w:vAlign w:val="center"/>
          </w:tcPr>
          <w:p>
            <w:pPr>
              <w:spacing w:line="560" w:lineRule="exact"/>
              <w:jc w:val="center"/>
              <w:rPr>
                <w:rFonts w:ascii="宋体" w:hAnsi="宋体"/>
                <w:sz w:val="24"/>
                <w:szCs w:val="24"/>
              </w:rPr>
            </w:pPr>
          </w:p>
        </w:tc>
        <w:tc>
          <w:tcPr>
            <w:tcW w:w="2053" w:type="dxa"/>
            <w:vAlign w:val="center"/>
          </w:tcPr>
          <w:p>
            <w:pPr>
              <w:spacing w:line="560" w:lineRule="exact"/>
              <w:jc w:val="center"/>
              <w:rPr>
                <w:rFonts w:ascii="宋体" w:hAnsi="宋体"/>
                <w:sz w:val="24"/>
                <w:szCs w:val="24"/>
              </w:rPr>
            </w:pPr>
          </w:p>
        </w:tc>
        <w:tc>
          <w:tcPr>
            <w:tcW w:w="3387" w:type="dxa"/>
            <w:vAlign w:val="center"/>
          </w:tcPr>
          <w:p>
            <w:pPr>
              <w:spacing w:line="560" w:lineRule="exact"/>
              <w:jc w:val="center"/>
              <w:rPr>
                <w:rFonts w:ascii="宋体" w:hAnsi="宋体"/>
                <w:sz w:val="24"/>
                <w:szCs w:val="24"/>
              </w:rPr>
            </w:pPr>
          </w:p>
        </w:tc>
        <w:tc>
          <w:tcPr>
            <w:tcW w:w="2758" w:type="dxa"/>
            <w:vAlign w:val="center"/>
          </w:tcPr>
          <w:p>
            <w:pPr>
              <w:spacing w:line="560" w:lineRule="exact"/>
              <w:jc w:val="center"/>
              <w:rPr>
                <w:rFonts w:ascii="宋体" w:hAnsi="宋体"/>
                <w:sz w:val="24"/>
                <w:szCs w:val="24"/>
              </w:rPr>
            </w:pPr>
          </w:p>
        </w:tc>
      </w:tr>
    </w:tbl>
    <w:p>
      <w:pPr>
        <w:spacing w:line="460" w:lineRule="exact"/>
        <w:rPr>
          <w:rFonts w:ascii="宋体" w:hAnsi="宋体"/>
          <w:sz w:val="24"/>
          <w:szCs w:val="24"/>
        </w:rPr>
      </w:pPr>
      <w:r>
        <w:rPr>
          <w:rFonts w:hint="eastAsia" w:ascii="宋体" w:hAnsi="宋体"/>
          <w:sz w:val="24"/>
          <w:szCs w:val="24"/>
        </w:rPr>
        <w:t>备注：</w:t>
      </w:r>
    </w:p>
    <w:p>
      <w:pPr>
        <w:spacing w:line="460" w:lineRule="exact"/>
        <w:ind w:firstLine="480" w:firstLineChars="200"/>
        <w:rPr>
          <w:rFonts w:ascii="宋体" w:hAnsi="宋体"/>
          <w:sz w:val="24"/>
          <w:szCs w:val="24"/>
        </w:rPr>
      </w:pPr>
      <w:r>
        <w:rPr>
          <w:rFonts w:hint="eastAsia" w:ascii="宋体" w:hAnsi="宋体"/>
          <w:sz w:val="24"/>
          <w:szCs w:val="24"/>
        </w:rPr>
        <w:t>1．本表为调查表。不因投标人发生过诉讼及仲裁事项作为废标、量化因素或评分因素，除非其中的内容涉及其他规定的评审标准，或导致中标后合同不能履行。</w:t>
      </w:r>
    </w:p>
    <w:p>
      <w:pPr>
        <w:spacing w:line="460" w:lineRule="exact"/>
        <w:ind w:firstLine="480" w:firstLineChars="200"/>
        <w:rPr>
          <w:rFonts w:ascii="宋体" w:hAnsi="宋体"/>
          <w:sz w:val="24"/>
          <w:szCs w:val="24"/>
        </w:rPr>
      </w:pPr>
      <w:r>
        <w:rPr>
          <w:rFonts w:hint="eastAsia" w:ascii="宋体" w:hAnsi="宋体"/>
          <w:sz w:val="24"/>
          <w:szCs w:val="24"/>
        </w:rPr>
        <w:t>2．诉讼及仲裁情况是指发生于工程建设项目招投标和中标合同履行过程中发生的诉讼及仲裁事项，以及投标人认为对其生产经营活动产生重大影响的其他诉讼及仲裁事项。</w:t>
      </w:r>
    </w:p>
    <w:p>
      <w:pPr>
        <w:spacing w:line="460" w:lineRule="exact"/>
        <w:ind w:firstLine="480" w:firstLineChars="200"/>
        <w:rPr>
          <w:rFonts w:ascii="宋体" w:hAnsi="宋体"/>
          <w:sz w:val="24"/>
          <w:szCs w:val="24"/>
        </w:rPr>
      </w:pPr>
      <w:r>
        <w:rPr>
          <w:rFonts w:hint="eastAsia" w:ascii="宋体" w:hAnsi="宋体"/>
          <w:sz w:val="24"/>
          <w:szCs w:val="24"/>
        </w:rPr>
        <w:t>3．诉讼包括民事诉讼和行政诉讼；仲裁是指争议双方的当事人自愿将他们之间的纠纷提交仲裁机构，由仲裁机构以第三者的身份进行裁决。</w:t>
      </w:r>
    </w:p>
    <w:p>
      <w:pPr>
        <w:spacing w:line="460" w:lineRule="exact"/>
        <w:ind w:firstLine="480" w:firstLineChars="200"/>
        <w:rPr>
          <w:rFonts w:ascii="宋体" w:hAnsi="宋体"/>
          <w:sz w:val="24"/>
          <w:szCs w:val="24"/>
        </w:rPr>
      </w:pPr>
      <w:r>
        <w:rPr>
          <w:rFonts w:hint="eastAsia" w:ascii="宋体" w:hAnsi="宋体"/>
          <w:sz w:val="24"/>
          <w:szCs w:val="24"/>
        </w:rPr>
        <w:t>4．“案由”是事情的原由、名称，当事人争议法律关系的类别，或诉讼仲裁情况的内容提要。如“工程款结算纠纷”。</w:t>
      </w:r>
    </w:p>
    <w:p>
      <w:pPr>
        <w:spacing w:line="460" w:lineRule="exact"/>
        <w:ind w:firstLine="480" w:firstLineChars="200"/>
        <w:rPr>
          <w:rFonts w:ascii="宋体" w:hAnsi="宋体"/>
          <w:sz w:val="24"/>
          <w:szCs w:val="24"/>
        </w:rPr>
      </w:pPr>
      <w:r>
        <w:rPr>
          <w:rFonts w:hint="eastAsia" w:ascii="宋体" w:hAnsi="宋体"/>
          <w:sz w:val="24"/>
          <w:szCs w:val="24"/>
        </w:rPr>
        <w:t>5．“双方当事人名称”是指投标人在诉讼、仲裁中原告（申请人）、被告（被申请人）或第三人的单位名称。</w:t>
      </w:r>
    </w:p>
    <w:p>
      <w:pPr>
        <w:spacing w:line="460" w:lineRule="exact"/>
        <w:ind w:firstLine="480" w:firstLineChars="200"/>
        <w:rPr>
          <w:rFonts w:ascii="宋体" w:hAnsi="宋体"/>
          <w:sz w:val="24"/>
          <w:szCs w:val="24"/>
        </w:rPr>
      </w:pPr>
      <w:r>
        <w:rPr>
          <w:rFonts w:hint="eastAsia" w:ascii="宋体" w:hAnsi="宋体"/>
          <w:sz w:val="24"/>
          <w:szCs w:val="24"/>
        </w:rPr>
        <w:t>6．诉讼、仲裁的起算时间为：提起诉讼、仲裁被受理时间，或收到法院、仲裁机构诉讼、仲裁文书的时间。</w:t>
      </w:r>
    </w:p>
    <w:p>
      <w:pPr>
        <w:spacing w:line="460" w:lineRule="exact"/>
        <w:ind w:firstLine="480" w:firstLineChars="200"/>
        <w:rPr>
          <w:rFonts w:ascii="宋体" w:hAnsi="宋体"/>
          <w:sz w:val="24"/>
          <w:szCs w:val="24"/>
        </w:rPr>
      </w:pPr>
      <w:r>
        <w:rPr>
          <w:rFonts w:hint="eastAsia" w:ascii="宋体" w:hAnsi="宋体"/>
          <w:sz w:val="24"/>
          <w:szCs w:val="24"/>
        </w:rPr>
        <w:t>7．诉讼、仲裁已有处理结果的，应附法院或仲裁机构作出的判决、裁决等有关法律文书复印件；还没有处理结果，应说明进展情况，如某某人民法院于某月某日已经受理。</w:t>
      </w:r>
    </w:p>
    <w:p>
      <w:pPr>
        <w:spacing w:line="460" w:lineRule="exact"/>
        <w:ind w:firstLine="480" w:firstLineChars="200"/>
        <w:rPr>
          <w:rFonts w:ascii="宋体" w:hAnsi="宋体"/>
          <w:sz w:val="24"/>
          <w:szCs w:val="24"/>
        </w:rPr>
      </w:pPr>
      <w:r>
        <w:rPr>
          <w:rFonts w:hint="eastAsia" w:ascii="宋体" w:hAnsi="宋体"/>
          <w:sz w:val="24"/>
          <w:szCs w:val="24"/>
        </w:rPr>
        <w:t>8．如近三年没有发生的诉讼及仲裁情况，投标人在编制投标文件时，表格</w:t>
      </w:r>
      <w:r>
        <w:rPr>
          <w:rFonts w:ascii="宋体" w:hAnsi="宋体"/>
          <w:sz w:val="24"/>
          <w:szCs w:val="24"/>
        </w:rPr>
        <w:t>可</w:t>
      </w:r>
      <w:r>
        <w:rPr>
          <w:rFonts w:hint="eastAsia" w:ascii="宋体" w:hAnsi="宋体"/>
          <w:sz w:val="24"/>
          <w:szCs w:val="24"/>
        </w:rPr>
        <w:t>不填写</w:t>
      </w:r>
      <w:r>
        <w:rPr>
          <w:rFonts w:ascii="宋体" w:hAnsi="宋体"/>
          <w:sz w:val="24"/>
          <w:szCs w:val="24"/>
        </w:rPr>
        <w:t>内容</w:t>
      </w:r>
      <w:r>
        <w:rPr>
          <w:rFonts w:hint="eastAsia" w:ascii="宋体" w:hAnsi="宋体"/>
          <w:sz w:val="24"/>
          <w:szCs w:val="24"/>
        </w:rPr>
        <w:t>，附</w:t>
      </w:r>
      <w:r>
        <w:rPr>
          <w:rFonts w:ascii="宋体" w:hAnsi="宋体"/>
          <w:sz w:val="24"/>
          <w:szCs w:val="24"/>
        </w:rPr>
        <w:t>相应查询证明</w:t>
      </w:r>
      <w:r>
        <w:rPr>
          <w:rFonts w:hint="eastAsia" w:ascii="宋体" w:hAnsi="宋体"/>
          <w:sz w:val="24"/>
          <w:szCs w:val="24"/>
        </w:rPr>
        <w:t>；另声明“经本投标人认真核查，本投标人近3年没有发生诉讼及仲裁纠纷，如不实，构成虚假，自愿承担由此引起的法律责任。特此声明。”</w:t>
      </w:r>
    </w:p>
    <w:p>
      <w:pPr>
        <w:spacing w:after="120" w:afterLines="50" w:line="460" w:lineRule="exact"/>
        <w:ind w:firstLine="627" w:firstLineChars="196"/>
        <w:rPr>
          <w:rFonts w:ascii="仿宋_GB2312" w:hAnsi="黑体" w:eastAsia="仿宋_GB2312"/>
          <w:b/>
          <w:sz w:val="24"/>
          <w:szCs w:val="24"/>
        </w:rPr>
      </w:pPr>
      <w:r>
        <w:rPr>
          <w:rFonts w:ascii="黑体" w:hAnsi="黑体" w:eastAsia="黑体"/>
          <w:sz w:val="32"/>
          <w:szCs w:val="32"/>
        </w:rPr>
        <w:br w:type="page"/>
      </w:r>
      <w:r>
        <w:rPr>
          <w:rFonts w:hint="eastAsia" w:ascii="楷体_GB2312" w:hAnsi="黑体" w:eastAsia="楷体_GB2312"/>
          <w:b/>
          <w:sz w:val="24"/>
          <w:szCs w:val="24"/>
        </w:rPr>
        <w:t>（四）近三年不良记录</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312"/>
        <w:gridCol w:w="2624"/>
        <w:gridCol w:w="2000"/>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8" w:type="dxa"/>
            <w:vAlign w:val="center"/>
          </w:tcPr>
          <w:p>
            <w:pPr>
              <w:pStyle w:val="318"/>
              <w:snapToGrid w:val="0"/>
              <w:spacing w:line="460" w:lineRule="exact"/>
              <w:jc w:val="center"/>
              <w:rPr>
                <w:rFonts w:ascii="仿宋_GB2312" w:hAnsi="黑体" w:eastAsia="仿宋_GB2312"/>
                <w:b w:val="0"/>
                <w:szCs w:val="24"/>
              </w:rPr>
            </w:pPr>
            <w:r>
              <w:rPr>
                <w:rFonts w:hint="eastAsia" w:ascii="仿宋_GB2312" w:hAnsi="黑体" w:eastAsia="仿宋_GB2312"/>
                <w:b w:val="0"/>
                <w:szCs w:val="24"/>
              </w:rPr>
              <w:t>序号</w:t>
            </w:r>
          </w:p>
        </w:tc>
        <w:tc>
          <w:tcPr>
            <w:tcW w:w="2312" w:type="dxa"/>
            <w:vAlign w:val="center"/>
          </w:tcPr>
          <w:p>
            <w:pPr>
              <w:pStyle w:val="318"/>
              <w:snapToGrid w:val="0"/>
              <w:spacing w:line="460" w:lineRule="exact"/>
              <w:jc w:val="center"/>
              <w:rPr>
                <w:rFonts w:ascii="仿宋_GB2312" w:hAnsi="黑体" w:eastAsia="仿宋_GB2312"/>
                <w:b w:val="0"/>
                <w:szCs w:val="24"/>
              </w:rPr>
            </w:pPr>
            <w:r>
              <w:rPr>
                <w:rFonts w:hint="eastAsia" w:ascii="仿宋_GB2312" w:hAnsi="黑体" w:eastAsia="仿宋_GB2312"/>
                <w:b w:val="0"/>
                <w:szCs w:val="24"/>
              </w:rPr>
              <w:t>不良事件详情</w:t>
            </w:r>
          </w:p>
        </w:tc>
        <w:tc>
          <w:tcPr>
            <w:tcW w:w="2624" w:type="dxa"/>
            <w:vAlign w:val="center"/>
          </w:tcPr>
          <w:p>
            <w:pPr>
              <w:pStyle w:val="318"/>
              <w:snapToGrid w:val="0"/>
              <w:spacing w:line="460" w:lineRule="exact"/>
              <w:jc w:val="center"/>
              <w:rPr>
                <w:rFonts w:ascii="仿宋_GB2312" w:hAnsi="黑体" w:eastAsia="仿宋_GB2312"/>
                <w:b w:val="0"/>
                <w:szCs w:val="24"/>
              </w:rPr>
            </w:pPr>
            <w:r>
              <w:rPr>
                <w:rFonts w:hint="eastAsia" w:ascii="仿宋_GB2312" w:hAnsi="黑体" w:eastAsia="仿宋_GB2312"/>
                <w:b w:val="0"/>
                <w:szCs w:val="24"/>
              </w:rPr>
              <w:t>处罚结果</w:t>
            </w:r>
          </w:p>
        </w:tc>
        <w:tc>
          <w:tcPr>
            <w:tcW w:w="2000" w:type="dxa"/>
            <w:vAlign w:val="center"/>
          </w:tcPr>
          <w:p>
            <w:pPr>
              <w:pStyle w:val="318"/>
              <w:snapToGrid w:val="0"/>
              <w:spacing w:line="460" w:lineRule="exact"/>
              <w:jc w:val="center"/>
              <w:rPr>
                <w:rFonts w:ascii="仿宋_GB2312" w:hAnsi="黑体" w:eastAsia="仿宋_GB2312"/>
                <w:b w:val="0"/>
                <w:szCs w:val="24"/>
              </w:rPr>
            </w:pPr>
            <w:r>
              <w:rPr>
                <w:rFonts w:hint="eastAsia" w:ascii="仿宋_GB2312" w:hAnsi="黑体" w:eastAsia="仿宋_GB2312"/>
                <w:b w:val="0"/>
                <w:szCs w:val="24"/>
              </w:rPr>
              <w:t>处罚执行机关</w:t>
            </w:r>
          </w:p>
        </w:tc>
        <w:tc>
          <w:tcPr>
            <w:tcW w:w="1256" w:type="dxa"/>
            <w:vAlign w:val="center"/>
          </w:tcPr>
          <w:p>
            <w:pPr>
              <w:pStyle w:val="318"/>
              <w:snapToGrid w:val="0"/>
              <w:spacing w:line="460" w:lineRule="exact"/>
              <w:jc w:val="center"/>
              <w:rPr>
                <w:rFonts w:ascii="仿宋_GB2312" w:hAnsi="黑体" w:eastAsia="仿宋_GB2312"/>
                <w:b w:val="0"/>
                <w:szCs w:val="24"/>
              </w:rPr>
            </w:pPr>
            <w:r>
              <w:rPr>
                <w:rFonts w:hint="eastAsia" w:ascii="仿宋_GB2312" w:hAnsi="黑体" w:eastAsia="仿宋_GB2312"/>
                <w:b w:val="0"/>
                <w:szCs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8" w:type="dxa"/>
            <w:vAlign w:val="center"/>
          </w:tcPr>
          <w:p>
            <w:pPr>
              <w:spacing w:line="560" w:lineRule="exact"/>
              <w:jc w:val="center"/>
              <w:rPr>
                <w:rFonts w:ascii="仿宋_GB2312" w:eastAsia="仿宋_GB2312"/>
                <w:sz w:val="24"/>
                <w:szCs w:val="24"/>
              </w:rPr>
            </w:pPr>
          </w:p>
        </w:tc>
        <w:tc>
          <w:tcPr>
            <w:tcW w:w="2312" w:type="dxa"/>
            <w:vAlign w:val="center"/>
          </w:tcPr>
          <w:p>
            <w:pPr>
              <w:spacing w:line="560" w:lineRule="exact"/>
              <w:jc w:val="center"/>
              <w:rPr>
                <w:rFonts w:ascii="仿宋_GB2312" w:eastAsia="仿宋_GB2312"/>
                <w:sz w:val="24"/>
                <w:szCs w:val="24"/>
              </w:rPr>
            </w:pPr>
          </w:p>
        </w:tc>
        <w:tc>
          <w:tcPr>
            <w:tcW w:w="2624" w:type="dxa"/>
            <w:vAlign w:val="center"/>
          </w:tcPr>
          <w:p>
            <w:pPr>
              <w:spacing w:line="560" w:lineRule="exact"/>
              <w:jc w:val="center"/>
              <w:rPr>
                <w:rFonts w:ascii="仿宋_GB2312" w:eastAsia="仿宋_GB2312"/>
                <w:sz w:val="24"/>
                <w:szCs w:val="24"/>
              </w:rPr>
            </w:pPr>
          </w:p>
        </w:tc>
        <w:tc>
          <w:tcPr>
            <w:tcW w:w="2000" w:type="dxa"/>
            <w:vAlign w:val="center"/>
          </w:tcPr>
          <w:p>
            <w:pPr>
              <w:spacing w:line="560" w:lineRule="exact"/>
              <w:jc w:val="center"/>
              <w:rPr>
                <w:rFonts w:ascii="仿宋_GB2312" w:eastAsia="仿宋_GB2312"/>
                <w:sz w:val="24"/>
                <w:szCs w:val="24"/>
              </w:rPr>
            </w:pPr>
          </w:p>
        </w:tc>
        <w:tc>
          <w:tcPr>
            <w:tcW w:w="1256" w:type="dxa"/>
            <w:vAlign w:val="center"/>
          </w:tcPr>
          <w:p>
            <w:pPr>
              <w:spacing w:line="560" w:lineRule="exact"/>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8" w:type="dxa"/>
            <w:vAlign w:val="center"/>
          </w:tcPr>
          <w:p>
            <w:pPr>
              <w:spacing w:line="560" w:lineRule="exact"/>
              <w:jc w:val="center"/>
              <w:rPr>
                <w:rFonts w:ascii="仿宋_GB2312" w:eastAsia="仿宋_GB2312"/>
                <w:sz w:val="24"/>
                <w:szCs w:val="24"/>
              </w:rPr>
            </w:pPr>
          </w:p>
        </w:tc>
        <w:tc>
          <w:tcPr>
            <w:tcW w:w="2312" w:type="dxa"/>
            <w:vAlign w:val="center"/>
          </w:tcPr>
          <w:p>
            <w:pPr>
              <w:spacing w:line="560" w:lineRule="exact"/>
              <w:jc w:val="center"/>
              <w:rPr>
                <w:rFonts w:ascii="仿宋_GB2312" w:eastAsia="仿宋_GB2312"/>
                <w:sz w:val="24"/>
                <w:szCs w:val="24"/>
              </w:rPr>
            </w:pPr>
          </w:p>
        </w:tc>
        <w:tc>
          <w:tcPr>
            <w:tcW w:w="2624" w:type="dxa"/>
            <w:vAlign w:val="center"/>
          </w:tcPr>
          <w:p>
            <w:pPr>
              <w:spacing w:line="560" w:lineRule="exact"/>
              <w:jc w:val="center"/>
              <w:rPr>
                <w:rFonts w:ascii="仿宋_GB2312" w:eastAsia="仿宋_GB2312"/>
                <w:sz w:val="24"/>
                <w:szCs w:val="24"/>
              </w:rPr>
            </w:pPr>
          </w:p>
        </w:tc>
        <w:tc>
          <w:tcPr>
            <w:tcW w:w="2000" w:type="dxa"/>
            <w:vAlign w:val="center"/>
          </w:tcPr>
          <w:p>
            <w:pPr>
              <w:spacing w:line="560" w:lineRule="exact"/>
              <w:jc w:val="center"/>
              <w:rPr>
                <w:rFonts w:ascii="仿宋_GB2312" w:eastAsia="仿宋_GB2312"/>
                <w:sz w:val="24"/>
                <w:szCs w:val="24"/>
              </w:rPr>
            </w:pPr>
          </w:p>
        </w:tc>
        <w:tc>
          <w:tcPr>
            <w:tcW w:w="1256" w:type="dxa"/>
            <w:vAlign w:val="center"/>
          </w:tcPr>
          <w:p>
            <w:pPr>
              <w:spacing w:line="560" w:lineRule="exact"/>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8" w:type="dxa"/>
            <w:vAlign w:val="center"/>
          </w:tcPr>
          <w:p>
            <w:pPr>
              <w:spacing w:line="560" w:lineRule="exact"/>
              <w:jc w:val="center"/>
              <w:rPr>
                <w:rFonts w:ascii="仿宋_GB2312" w:eastAsia="仿宋_GB2312"/>
                <w:sz w:val="24"/>
                <w:szCs w:val="24"/>
              </w:rPr>
            </w:pPr>
          </w:p>
        </w:tc>
        <w:tc>
          <w:tcPr>
            <w:tcW w:w="2312" w:type="dxa"/>
            <w:vAlign w:val="center"/>
          </w:tcPr>
          <w:p>
            <w:pPr>
              <w:spacing w:line="560" w:lineRule="exact"/>
              <w:jc w:val="center"/>
              <w:rPr>
                <w:rFonts w:ascii="仿宋_GB2312" w:eastAsia="仿宋_GB2312"/>
                <w:sz w:val="24"/>
                <w:szCs w:val="24"/>
              </w:rPr>
            </w:pPr>
          </w:p>
        </w:tc>
        <w:tc>
          <w:tcPr>
            <w:tcW w:w="2624" w:type="dxa"/>
            <w:vAlign w:val="center"/>
          </w:tcPr>
          <w:p>
            <w:pPr>
              <w:spacing w:line="560" w:lineRule="exact"/>
              <w:jc w:val="center"/>
              <w:rPr>
                <w:rFonts w:ascii="仿宋_GB2312" w:eastAsia="仿宋_GB2312"/>
                <w:sz w:val="24"/>
                <w:szCs w:val="24"/>
              </w:rPr>
            </w:pPr>
          </w:p>
        </w:tc>
        <w:tc>
          <w:tcPr>
            <w:tcW w:w="2000" w:type="dxa"/>
            <w:vAlign w:val="center"/>
          </w:tcPr>
          <w:p>
            <w:pPr>
              <w:spacing w:line="560" w:lineRule="exact"/>
              <w:jc w:val="center"/>
              <w:rPr>
                <w:rFonts w:ascii="仿宋_GB2312" w:eastAsia="仿宋_GB2312"/>
                <w:sz w:val="24"/>
                <w:szCs w:val="24"/>
              </w:rPr>
            </w:pPr>
          </w:p>
        </w:tc>
        <w:tc>
          <w:tcPr>
            <w:tcW w:w="1256" w:type="dxa"/>
            <w:vAlign w:val="center"/>
          </w:tcPr>
          <w:p>
            <w:pPr>
              <w:spacing w:line="560" w:lineRule="exact"/>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8" w:type="dxa"/>
            <w:vAlign w:val="center"/>
          </w:tcPr>
          <w:p>
            <w:pPr>
              <w:spacing w:line="560" w:lineRule="exact"/>
              <w:jc w:val="center"/>
              <w:rPr>
                <w:rFonts w:ascii="仿宋_GB2312" w:eastAsia="仿宋_GB2312"/>
                <w:sz w:val="24"/>
                <w:szCs w:val="24"/>
              </w:rPr>
            </w:pPr>
          </w:p>
        </w:tc>
        <w:tc>
          <w:tcPr>
            <w:tcW w:w="2312" w:type="dxa"/>
            <w:vAlign w:val="center"/>
          </w:tcPr>
          <w:p>
            <w:pPr>
              <w:spacing w:line="560" w:lineRule="exact"/>
              <w:jc w:val="center"/>
              <w:rPr>
                <w:rFonts w:ascii="仿宋_GB2312" w:eastAsia="仿宋_GB2312"/>
                <w:sz w:val="24"/>
                <w:szCs w:val="24"/>
              </w:rPr>
            </w:pPr>
          </w:p>
        </w:tc>
        <w:tc>
          <w:tcPr>
            <w:tcW w:w="2624" w:type="dxa"/>
            <w:vAlign w:val="center"/>
          </w:tcPr>
          <w:p>
            <w:pPr>
              <w:spacing w:line="560" w:lineRule="exact"/>
              <w:jc w:val="center"/>
              <w:rPr>
                <w:rFonts w:ascii="仿宋_GB2312" w:eastAsia="仿宋_GB2312"/>
                <w:sz w:val="24"/>
                <w:szCs w:val="24"/>
              </w:rPr>
            </w:pPr>
          </w:p>
        </w:tc>
        <w:tc>
          <w:tcPr>
            <w:tcW w:w="2000" w:type="dxa"/>
            <w:vAlign w:val="center"/>
          </w:tcPr>
          <w:p>
            <w:pPr>
              <w:spacing w:line="560" w:lineRule="exact"/>
              <w:jc w:val="center"/>
              <w:rPr>
                <w:rFonts w:ascii="仿宋_GB2312" w:eastAsia="仿宋_GB2312"/>
                <w:sz w:val="24"/>
                <w:szCs w:val="24"/>
              </w:rPr>
            </w:pPr>
          </w:p>
        </w:tc>
        <w:tc>
          <w:tcPr>
            <w:tcW w:w="1256" w:type="dxa"/>
            <w:vAlign w:val="center"/>
          </w:tcPr>
          <w:p>
            <w:pPr>
              <w:spacing w:line="560" w:lineRule="exact"/>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8" w:type="dxa"/>
            <w:vAlign w:val="center"/>
          </w:tcPr>
          <w:p>
            <w:pPr>
              <w:spacing w:line="560" w:lineRule="exact"/>
              <w:jc w:val="center"/>
              <w:rPr>
                <w:rFonts w:ascii="仿宋_GB2312" w:eastAsia="仿宋_GB2312"/>
                <w:sz w:val="24"/>
                <w:szCs w:val="24"/>
              </w:rPr>
            </w:pPr>
          </w:p>
        </w:tc>
        <w:tc>
          <w:tcPr>
            <w:tcW w:w="2312" w:type="dxa"/>
            <w:vAlign w:val="center"/>
          </w:tcPr>
          <w:p>
            <w:pPr>
              <w:spacing w:line="560" w:lineRule="exact"/>
              <w:jc w:val="center"/>
              <w:rPr>
                <w:rFonts w:ascii="仿宋_GB2312" w:eastAsia="仿宋_GB2312"/>
                <w:sz w:val="24"/>
                <w:szCs w:val="24"/>
              </w:rPr>
            </w:pPr>
          </w:p>
        </w:tc>
        <w:tc>
          <w:tcPr>
            <w:tcW w:w="2624" w:type="dxa"/>
            <w:vAlign w:val="center"/>
          </w:tcPr>
          <w:p>
            <w:pPr>
              <w:spacing w:line="560" w:lineRule="exact"/>
              <w:jc w:val="center"/>
              <w:rPr>
                <w:rFonts w:ascii="仿宋_GB2312" w:eastAsia="仿宋_GB2312"/>
                <w:sz w:val="24"/>
                <w:szCs w:val="24"/>
              </w:rPr>
            </w:pPr>
          </w:p>
        </w:tc>
        <w:tc>
          <w:tcPr>
            <w:tcW w:w="2000" w:type="dxa"/>
            <w:vAlign w:val="center"/>
          </w:tcPr>
          <w:p>
            <w:pPr>
              <w:spacing w:line="560" w:lineRule="exact"/>
              <w:jc w:val="center"/>
              <w:rPr>
                <w:rFonts w:ascii="仿宋_GB2312" w:eastAsia="仿宋_GB2312"/>
                <w:sz w:val="24"/>
                <w:szCs w:val="24"/>
              </w:rPr>
            </w:pPr>
          </w:p>
        </w:tc>
        <w:tc>
          <w:tcPr>
            <w:tcW w:w="1256" w:type="dxa"/>
            <w:vAlign w:val="center"/>
          </w:tcPr>
          <w:p>
            <w:pPr>
              <w:spacing w:line="560" w:lineRule="exact"/>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8" w:type="dxa"/>
            <w:vAlign w:val="center"/>
          </w:tcPr>
          <w:p>
            <w:pPr>
              <w:spacing w:line="560" w:lineRule="exact"/>
              <w:jc w:val="center"/>
              <w:rPr>
                <w:rFonts w:ascii="仿宋_GB2312" w:eastAsia="仿宋_GB2312"/>
                <w:sz w:val="24"/>
                <w:szCs w:val="24"/>
              </w:rPr>
            </w:pPr>
          </w:p>
        </w:tc>
        <w:tc>
          <w:tcPr>
            <w:tcW w:w="2312" w:type="dxa"/>
            <w:vAlign w:val="center"/>
          </w:tcPr>
          <w:p>
            <w:pPr>
              <w:spacing w:line="560" w:lineRule="exact"/>
              <w:jc w:val="center"/>
              <w:rPr>
                <w:rFonts w:ascii="仿宋_GB2312" w:eastAsia="仿宋_GB2312"/>
                <w:sz w:val="24"/>
                <w:szCs w:val="24"/>
              </w:rPr>
            </w:pPr>
          </w:p>
        </w:tc>
        <w:tc>
          <w:tcPr>
            <w:tcW w:w="2624" w:type="dxa"/>
            <w:vAlign w:val="center"/>
          </w:tcPr>
          <w:p>
            <w:pPr>
              <w:spacing w:line="560" w:lineRule="exact"/>
              <w:jc w:val="center"/>
              <w:rPr>
                <w:rFonts w:ascii="仿宋_GB2312" w:eastAsia="仿宋_GB2312"/>
                <w:sz w:val="24"/>
                <w:szCs w:val="24"/>
              </w:rPr>
            </w:pPr>
          </w:p>
        </w:tc>
        <w:tc>
          <w:tcPr>
            <w:tcW w:w="2000" w:type="dxa"/>
            <w:vAlign w:val="center"/>
          </w:tcPr>
          <w:p>
            <w:pPr>
              <w:spacing w:line="560" w:lineRule="exact"/>
              <w:jc w:val="center"/>
              <w:rPr>
                <w:rFonts w:ascii="仿宋_GB2312" w:eastAsia="仿宋_GB2312"/>
                <w:sz w:val="24"/>
                <w:szCs w:val="24"/>
              </w:rPr>
            </w:pPr>
          </w:p>
        </w:tc>
        <w:tc>
          <w:tcPr>
            <w:tcW w:w="1256" w:type="dxa"/>
            <w:vAlign w:val="center"/>
          </w:tcPr>
          <w:p>
            <w:pPr>
              <w:spacing w:line="560" w:lineRule="exact"/>
              <w:jc w:val="center"/>
              <w:rPr>
                <w:rFonts w:ascii="仿宋_GB2312" w:eastAsia="仿宋_GB2312"/>
                <w:sz w:val="24"/>
                <w:szCs w:val="24"/>
              </w:rPr>
            </w:pPr>
          </w:p>
        </w:tc>
      </w:tr>
    </w:tbl>
    <w:p>
      <w:pPr>
        <w:spacing w:line="460" w:lineRule="exact"/>
        <w:rPr>
          <w:rFonts w:ascii="仿宋_GB2312" w:hAnsi="宋体" w:eastAsia="仿宋_GB2312"/>
          <w:sz w:val="24"/>
          <w:szCs w:val="24"/>
        </w:rPr>
      </w:pPr>
      <w:r>
        <w:rPr>
          <w:rFonts w:hint="eastAsia" w:ascii="仿宋_GB2312" w:hAnsi="宋体" w:eastAsia="仿宋_GB2312"/>
          <w:b/>
          <w:bCs/>
          <w:sz w:val="24"/>
          <w:szCs w:val="24"/>
        </w:rPr>
        <w:t>备注：</w:t>
      </w:r>
      <w:r>
        <w:rPr>
          <w:rFonts w:hint="eastAsia" w:asciiTheme="minorEastAsia" w:hAnsiTheme="minorEastAsia" w:eastAsiaTheme="minorEastAsia"/>
          <w:sz w:val="24"/>
          <w:szCs w:val="24"/>
        </w:rPr>
        <w:t>投标人未被列入“全国建筑市场监管公共服务平台”诚信数据、黑名单及失信联合惩戒记录，“信用中国”失信被执行人及重大税收违法失信主体，“军队采购网”军队采购失信名单（禁入处罚期和处罚范围内）及军队采购暂停名单（处罚范围内），被军队单位暂停投标资格或被禁止参加军队项目，近3年无重大违法记录、未出现在最近3年骗取中标、严重违约、重大工程质量问题和其他严重不良记录。</w:t>
      </w:r>
      <w:r>
        <w:rPr>
          <w:rFonts w:ascii="仿宋_GB2312" w:hAnsi="宋体" w:eastAsia="仿宋_GB2312"/>
          <w:sz w:val="24"/>
          <w:szCs w:val="24"/>
        </w:rPr>
        <w:br w:type="page"/>
      </w:r>
      <w:r>
        <w:rPr>
          <w:rFonts w:hint="eastAsia" w:ascii="楷体_GB2312" w:hAnsi="黑体" w:eastAsia="楷体_GB2312"/>
          <w:b/>
          <w:sz w:val="28"/>
          <w:szCs w:val="28"/>
        </w:rPr>
        <w:t>（五）承诺函</w:t>
      </w:r>
    </w:p>
    <w:p>
      <w:pPr>
        <w:spacing w:line="460" w:lineRule="exact"/>
        <w:ind w:firstLine="482" w:firstLineChars="200"/>
        <w:rPr>
          <w:rFonts w:ascii="宋体" w:hAnsi="宋体"/>
          <w:b/>
          <w:bCs/>
          <w:sz w:val="24"/>
          <w:szCs w:val="24"/>
        </w:rPr>
      </w:pPr>
      <w:r>
        <w:rPr>
          <w:rFonts w:hint="eastAsia" w:ascii="宋体" w:hAnsi="宋体"/>
          <w:b/>
          <w:bCs/>
          <w:sz w:val="24"/>
          <w:szCs w:val="24"/>
        </w:rPr>
        <w:t>至：某单位</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我公司参加贵方3122工程全过程工程咨询（2025-JJDCBG-G1004）项目投标活动，我公司做出如下承诺：</w:t>
      </w:r>
    </w:p>
    <w:p>
      <w:pPr>
        <w:spacing w:line="460" w:lineRule="exact"/>
        <w:ind w:firstLine="480" w:firstLineChars="200"/>
        <w:rPr>
          <w:rFonts w:eastAsia="仿宋_GB2312"/>
          <w:sz w:val="24"/>
          <w:szCs w:val="24"/>
        </w:rPr>
      </w:pPr>
      <w:r>
        <w:rPr>
          <w:rFonts w:hint="eastAsia" w:ascii="黑体" w:hAnsi="黑体" w:eastAsia="黑体"/>
          <w:sz w:val="24"/>
          <w:szCs w:val="24"/>
        </w:rPr>
        <w:t>一、关于保密</w:t>
      </w:r>
      <w:r>
        <w:rPr>
          <w:rFonts w:hint="eastAsia" w:eastAsia="仿宋_GB2312"/>
          <w:sz w:val="24"/>
          <w:szCs w:val="24"/>
        </w:rPr>
        <w:t>：</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1、严格遵守国家和军队的保密法律法规和规章制度，履行保密义务；</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2、不以任何形式泄露或者传播本次招标项目的有关信息；</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3、不违规记录、存储、复制本次招标项目的相关信息；</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4、招标文件以及相关技术资料专室存放、专盘存储、专人管理；</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5、不擅自在互联网、媒体等发表与本次招标相关的内容或咨询；</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6、不谈论、传播在招标人场所看到的任何涉及军事秘密的相关文字、图片、标志等内容。</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7、如我司中标将针对本项目设立专项保密工作小组，保密办公室，专项保密工作小组每月组织一次保密工作例会，保密办公室需按照“三铁一器”标准配置保密设施，配备专职保密员。</w:t>
      </w:r>
    </w:p>
    <w:p>
      <w:pPr>
        <w:spacing w:line="460" w:lineRule="exact"/>
        <w:ind w:firstLine="480" w:firstLineChars="200"/>
        <w:rPr>
          <w:rFonts w:ascii="黑体" w:hAnsi="黑体" w:eastAsia="黑体"/>
          <w:sz w:val="24"/>
          <w:szCs w:val="24"/>
        </w:rPr>
      </w:pPr>
      <w:r>
        <w:rPr>
          <w:rFonts w:hint="eastAsia" w:ascii="黑体" w:hAnsi="黑体" w:eastAsia="黑体"/>
          <w:sz w:val="24"/>
          <w:szCs w:val="24"/>
        </w:rPr>
        <w:t>二、关于信誉</w:t>
      </w:r>
    </w:p>
    <w:p>
      <w:pPr>
        <w:spacing w:line="4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、我单位不存在与参与投标的企业单位负责人为同一人或存在控股、管理关系的不同单位。(注：施工型企业相关设计、监理企业参与全过程工程咨询项目，该企业相关施工企业不能参与后续施工标段投标)。</w:t>
      </w:r>
    </w:p>
    <w:p>
      <w:pPr>
        <w:spacing w:line="4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、我单位没有处于投标资格被取消或财产被接管、冻结或破产状态，具有良好的商业信誉和健全的财务会计制度，有依法缴纳税收和社会保障资金的良好记录。</w:t>
      </w:r>
    </w:p>
    <w:p>
      <w:pPr>
        <w:spacing w:line="4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我司未被列入“全国建筑市场监管公共服务平台”诚信数据、黑名单及失信联合惩戒记录，“信用中国”失信被执行人及重大税收违法失信主体，“军队采购网”军队采购失信名单（禁入处罚期和处罚范围内）及军队采购暂停名单（处罚范围内），被军队单位暂停投标资格或被禁止参加军队项目，近3年无重大违法记录、未出现在最近3年骗取中标、严重违约、重大工程质量问题和其他严重不良记录。（并附对应网站截图予以佐证）</w:t>
      </w:r>
    </w:p>
    <w:p>
      <w:pPr>
        <w:spacing w:line="4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、保密要求：投标人保密机构设置齐全，保密制度措施完善，无保密管理不良信誉记录，不接受“三资”企业或有外资参与的企业，企业背景清澈。</w:t>
      </w:r>
    </w:p>
    <w:p>
      <w:pPr>
        <w:spacing w:line="4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若违反上述承诺，或其他原因造成军事秘密泄露，原承担一切法律责任。</w:t>
      </w:r>
    </w:p>
    <w:p>
      <w:pPr>
        <w:spacing w:line="460" w:lineRule="exact"/>
        <w:ind w:firstLine="480" w:firstLineChars="200"/>
        <w:rPr>
          <w:rFonts w:ascii="黑体" w:hAnsi="黑体" w:eastAsia="黑体"/>
          <w:sz w:val="24"/>
          <w:szCs w:val="24"/>
        </w:rPr>
      </w:pPr>
      <w:r>
        <w:rPr>
          <w:rFonts w:hint="eastAsia" w:ascii="黑体" w:hAnsi="黑体" w:eastAsia="黑体"/>
          <w:sz w:val="24"/>
          <w:szCs w:val="24"/>
        </w:rPr>
        <w:t>三、关于投标文件所供材料真实性</w:t>
      </w:r>
    </w:p>
    <w:p>
      <w:pPr>
        <w:spacing w:line="460" w:lineRule="exact"/>
        <w:ind w:firstLine="480" w:firstLineChars="200"/>
        <w:rPr>
          <w:rFonts w:ascii="宋体" w:hAnsi="宋体"/>
          <w:sz w:val="24"/>
          <w:szCs w:val="24"/>
        </w:rPr>
      </w:pPr>
      <w:r>
        <w:rPr>
          <w:rFonts w:hint="eastAsia" w:asciiTheme="minorEastAsia" w:hAnsiTheme="minorEastAsia" w:eastAsiaTheme="minorEastAsia"/>
          <w:sz w:val="24"/>
          <w:szCs w:val="24"/>
        </w:rPr>
        <w:t>我司投标文件所附材料均无弄虚作假，欺骗中标行为；完全响应招标文件所有内容要求。</w:t>
      </w:r>
      <w:r>
        <w:rPr>
          <w:rFonts w:hint="eastAsia" w:ascii="宋体" w:hAnsi="宋体"/>
          <w:sz w:val="24"/>
          <w:szCs w:val="24"/>
        </w:rPr>
        <w:t>若违反上述承诺，或其他原因造成军事秘密泄露，原承担一切法律责任。</w:t>
      </w:r>
    </w:p>
    <w:p>
      <w:pPr>
        <w:spacing w:line="460" w:lineRule="exact"/>
        <w:rPr>
          <w:rFonts w:hint="eastAsia" w:ascii="宋体" w:hAnsi="宋体"/>
          <w:sz w:val="24"/>
          <w:szCs w:val="24"/>
        </w:rPr>
      </w:pPr>
      <w:r>
        <w:rPr>
          <w:rFonts w:hint="eastAsia" w:ascii="宋体" w:hAnsi="宋体"/>
          <w:sz w:val="24"/>
          <w:szCs w:val="24"/>
        </w:rPr>
        <w:t xml:space="preserve">                                                </w:t>
      </w:r>
    </w:p>
    <w:p>
      <w:pPr>
        <w:spacing w:line="460" w:lineRule="exact"/>
        <w:rPr>
          <w:rFonts w:hint="eastAsia" w:ascii="宋体" w:hAnsi="宋体"/>
          <w:sz w:val="24"/>
          <w:szCs w:val="24"/>
        </w:rPr>
      </w:pPr>
    </w:p>
    <w:p>
      <w:pPr>
        <w:spacing w:line="460" w:lineRule="exact"/>
        <w:ind w:firstLine="5520" w:firstLineChars="2300"/>
        <w:rPr>
          <w:rFonts w:ascii="宋体" w:hAnsi="宋体"/>
          <w:sz w:val="24"/>
          <w:szCs w:val="24"/>
        </w:rPr>
      </w:pPr>
      <w:r>
        <w:rPr>
          <w:rFonts w:hint="eastAsia" w:ascii="宋体" w:hAnsi="宋体"/>
          <w:sz w:val="24"/>
          <w:szCs w:val="24"/>
        </w:rPr>
        <w:t xml:space="preserve"> 承</w:t>
      </w:r>
      <w:r>
        <w:rPr>
          <w:rFonts w:hint="eastAsia" w:ascii="宋体" w:hAnsi="宋体"/>
          <w:sz w:val="24"/>
          <w:szCs w:val="24"/>
          <w:lang w:val="en-US" w:eastAsia="zh-CN"/>
        </w:rPr>
        <w:t xml:space="preserve">   </w:t>
      </w:r>
      <w:r>
        <w:rPr>
          <w:rFonts w:hint="eastAsia" w:ascii="宋体" w:hAnsi="宋体"/>
          <w:sz w:val="24"/>
          <w:szCs w:val="24"/>
        </w:rPr>
        <w:t>诺</w:t>
      </w:r>
      <w:r>
        <w:rPr>
          <w:rFonts w:hint="eastAsia" w:ascii="宋体" w:hAnsi="宋体"/>
          <w:sz w:val="24"/>
          <w:szCs w:val="24"/>
          <w:lang w:val="en-US" w:eastAsia="zh-CN"/>
        </w:rPr>
        <w:t xml:space="preserve">  </w:t>
      </w:r>
      <w:r>
        <w:rPr>
          <w:rFonts w:hint="eastAsia" w:ascii="宋体" w:hAnsi="宋体"/>
          <w:sz w:val="24"/>
          <w:szCs w:val="24"/>
        </w:rPr>
        <w:t>人：</w:t>
      </w:r>
    </w:p>
    <w:p>
      <w:pPr>
        <w:spacing w:line="460" w:lineRule="exact"/>
        <w:ind w:firstLine="5640" w:firstLineChars="2350"/>
        <w:rPr>
          <w:rFonts w:ascii="宋体" w:hAnsi="宋体"/>
          <w:sz w:val="24"/>
          <w:szCs w:val="24"/>
        </w:rPr>
      </w:pPr>
      <w:r>
        <w:rPr>
          <w:rFonts w:hint="eastAsia" w:ascii="宋体" w:hAnsi="宋体"/>
          <w:sz w:val="24"/>
          <w:szCs w:val="24"/>
        </w:rPr>
        <w:t>年   月  日</w:t>
      </w:r>
    </w:p>
    <w:p>
      <w:pPr>
        <w:rPr>
          <w:rFonts w:ascii="楷体_GB2312" w:hAnsi="黑体" w:eastAsia="楷体_GB2312"/>
          <w:b/>
          <w:sz w:val="24"/>
          <w:szCs w:val="24"/>
        </w:rPr>
      </w:pPr>
      <w:r>
        <w:rPr>
          <w:rFonts w:ascii="宋体" w:hAnsi="宋体"/>
          <w:sz w:val="32"/>
        </w:rPr>
        <w:br w:type="page"/>
      </w:r>
    </w:p>
    <w:p/>
    <w:p/>
    <w:p>
      <w:pPr>
        <w:spacing w:line="360" w:lineRule="auto"/>
        <w:jc w:val="left"/>
        <w:outlineLvl w:val="2"/>
        <w:rPr>
          <w:rFonts w:ascii="黑体" w:hAnsi="黑体" w:eastAsia="黑体"/>
          <w:sz w:val="32"/>
          <w:szCs w:val="32"/>
        </w:rPr>
      </w:pPr>
      <w:bookmarkStart w:id="724" w:name="_Toc184916621"/>
      <w:r>
        <w:rPr>
          <w:rFonts w:hint="eastAsia" w:ascii="黑体" w:hAnsi="黑体" w:eastAsia="黑体"/>
          <w:sz w:val="32"/>
          <w:szCs w:val="32"/>
        </w:rPr>
        <w:t>二、特殊资质材料</w:t>
      </w:r>
      <w:bookmarkEnd w:id="724"/>
    </w:p>
    <w:p>
      <w:pPr>
        <w:spacing w:after="120" w:afterLines="50" w:line="460" w:lineRule="exact"/>
        <w:ind w:firstLine="472" w:firstLineChars="196"/>
        <w:rPr>
          <w:rFonts w:ascii="楷体_GB2312" w:hAnsi="黑体" w:eastAsia="楷体_GB2312"/>
          <w:b/>
          <w:sz w:val="24"/>
          <w:szCs w:val="24"/>
        </w:rPr>
      </w:pPr>
      <w:r>
        <w:rPr>
          <w:rFonts w:hint="eastAsia" w:ascii="楷体_GB2312" w:hAnsi="黑体" w:eastAsia="楷体_GB2312"/>
          <w:b/>
          <w:sz w:val="24"/>
          <w:szCs w:val="24"/>
        </w:rPr>
        <w:t>资质文件</w:t>
      </w:r>
    </w:p>
    <w:p>
      <w:pPr>
        <w:spacing w:line="460" w:lineRule="exact"/>
        <w:ind w:firstLine="480" w:firstLineChars="200"/>
        <w:rPr>
          <w:rFonts w:ascii="宋体" w:hAnsi="宋体"/>
          <w:sz w:val="24"/>
          <w:szCs w:val="24"/>
        </w:rPr>
      </w:pPr>
      <w:r>
        <w:rPr>
          <w:rFonts w:hint="eastAsia" w:ascii="宋体" w:hAnsi="宋体"/>
          <w:sz w:val="24"/>
          <w:szCs w:val="24"/>
        </w:rPr>
        <w:t>【附投标人资质等级证书彩色复印件。】</w:t>
      </w:r>
    </w:p>
    <w:p>
      <w:pPr>
        <w:spacing w:line="460" w:lineRule="exact"/>
        <w:ind w:firstLine="480" w:firstLineChars="200"/>
        <w:outlineLvl w:val="2"/>
        <w:rPr>
          <w:rFonts w:ascii="仿宋_GB2312" w:hAnsi="宋体" w:eastAsia="黑体"/>
          <w:sz w:val="24"/>
          <w:szCs w:val="24"/>
        </w:rPr>
      </w:pPr>
      <w:r>
        <w:rPr>
          <w:rFonts w:ascii="仿宋_GB2312" w:hAnsi="宋体" w:eastAsia="仿宋_GB2312"/>
          <w:sz w:val="24"/>
          <w:szCs w:val="24"/>
        </w:rPr>
        <w:br w:type="page"/>
      </w:r>
      <w:bookmarkEnd w:id="715"/>
      <w:bookmarkEnd w:id="716"/>
      <w:bookmarkEnd w:id="717"/>
      <w:bookmarkEnd w:id="718"/>
      <w:bookmarkEnd w:id="719"/>
      <w:bookmarkEnd w:id="720"/>
      <w:bookmarkEnd w:id="721"/>
      <w:bookmarkStart w:id="725" w:name="_Toc184916622"/>
      <w:r>
        <w:rPr>
          <w:rFonts w:hint="eastAsia" w:ascii="黑体" w:hAnsi="黑体" w:eastAsia="黑体"/>
          <w:sz w:val="32"/>
          <w:szCs w:val="32"/>
        </w:rPr>
        <w:t>三、近五年相关业绩（复印件）</w:t>
      </w:r>
      <w:bookmarkEnd w:id="725"/>
    </w:p>
    <w:p>
      <w:pPr>
        <w:spacing w:line="460" w:lineRule="exact"/>
        <w:ind w:firstLine="472" w:firstLineChars="196"/>
        <w:rPr>
          <w:rFonts w:ascii="楷体_GB2312" w:hAnsi="黑体" w:eastAsia="楷体_GB2312"/>
          <w:b/>
          <w:sz w:val="24"/>
          <w:szCs w:val="24"/>
        </w:rPr>
      </w:pPr>
      <w:r>
        <w:rPr>
          <w:rFonts w:hint="eastAsia" w:ascii="楷体_GB2312" w:hAnsi="黑体" w:eastAsia="楷体_GB2312"/>
          <w:b/>
          <w:sz w:val="24"/>
          <w:szCs w:val="24"/>
        </w:rPr>
        <w:t>（一）近五年全过程工程咨询业绩表</w:t>
      </w:r>
    </w:p>
    <w:p>
      <w:pPr>
        <w:spacing w:after="120" w:afterLines="50" w:line="460" w:lineRule="exact"/>
        <w:ind w:firstLine="470" w:firstLineChars="196"/>
        <w:rPr>
          <w:rFonts w:ascii="宋体" w:hAnsi="宋体"/>
          <w:sz w:val="24"/>
          <w:szCs w:val="24"/>
        </w:rPr>
      </w:pPr>
      <w:r>
        <w:rPr>
          <w:rFonts w:hint="eastAsia" w:ascii="宋体" w:hAnsi="宋体"/>
          <w:sz w:val="24"/>
          <w:szCs w:val="24"/>
        </w:rPr>
        <w:t>1. 近五年全过程工程咨询业绩清单</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911"/>
        <w:gridCol w:w="1662"/>
        <w:gridCol w:w="868"/>
        <w:gridCol w:w="995"/>
        <w:gridCol w:w="1083"/>
        <w:gridCol w:w="1062"/>
        <w:gridCol w:w="992"/>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序号</w:t>
            </w:r>
          </w:p>
        </w:tc>
        <w:tc>
          <w:tcPr>
            <w:tcW w:w="911"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项目名称</w:t>
            </w:r>
          </w:p>
        </w:tc>
        <w:tc>
          <w:tcPr>
            <w:tcW w:w="1662"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承担全咨</w:t>
            </w:r>
          </w:p>
          <w:p>
            <w:pPr>
              <w:spacing w:line="320" w:lineRule="exact"/>
              <w:jc w:val="center"/>
              <w:rPr>
                <w:rFonts w:ascii="黑体" w:hAnsi="黑体" w:eastAsia="黑体"/>
                <w:sz w:val="24"/>
                <w:szCs w:val="24"/>
              </w:rPr>
            </w:pPr>
            <w:r>
              <w:rPr>
                <w:rFonts w:hint="eastAsia" w:ascii="黑体" w:hAnsi="黑体" w:eastAsia="黑体"/>
                <w:sz w:val="24"/>
                <w:szCs w:val="24"/>
              </w:rPr>
              <w:t>任务内容</w:t>
            </w:r>
          </w:p>
        </w:tc>
        <w:tc>
          <w:tcPr>
            <w:tcW w:w="868"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全咨合同金额</w:t>
            </w:r>
          </w:p>
        </w:tc>
        <w:tc>
          <w:tcPr>
            <w:tcW w:w="995"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项目总投资</w:t>
            </w:r>
          </w:p>
        </w:tc>
        <w:tc>
          <w:tcPr>
            <w:tcW w:w="1083"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建设地点</w:t>
            </w:r>
          </w:p>
        </w:tc>
        <w:tc>
          <w:tcPr>
            <w:tcW w:w="1062"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乙方名称</w:t>
            </w:r>
          </w:p>
        </w:tc>
        <w:tc>
          <w:tcPr>
            <w:tcW w:w="992"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甲方名称</w:t>
            </w:r>
          </w:p>
        </w:tc>
        <w:tc>
          <w:tcPr>
            <w:tcW w:w="758" w:type="dxa"/>
            <w:vAlign w:val="center"/>
          </w:tcPr>
          <w:p>
            <w:pPr>
              <w:spacing w:line="320" w:lineRule="exact"/>
              <w:jc w:val="center"/>
              <w:rPr>
                <w:rFonts w:ascii="黑体" w:hAnsi="黑体" w:eastAsia="黑体"/>
                <w:sz w:val="24"/>
                <w:szCs w:val="24"/>
              </w:rPr>
            </w:pPr>
            <w:r>
              <w:rPr>
                <w:rFonts w:hint="eastAsia" w:ascii="黑体" w:hAnsi="黑体"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9"/>
          </w:tcPr>
          <w:p>
            <w:pPr>
              <w:spacing w:after="120" w:afterLines="50" w:line="460" w:lineRule="exact"/>
              <w:rPr>
                <w:rFonts w:ascii="楷体_GB2312" w:hAnsi="黑体" w:eastAsia="楷体_GB2312"/>
                <w:b/>
                <w:sz w:val="24"/>
                <w:szCs w:val="24"/>
              </w:rPr>
            </w:pPr>
            <w:r>
              <w:rPr>
                <w:rFonts w:hint="eastAsia" w:ascii="楷体_GB2312" w:hAnsi="黑体" w:eastAsia="楷体_GB2312"/>
                <w:b/>
                <w:sz w:val="24"/>
                <w:szCs w:val="24"/>
              </w:rPr>
              <w:t>一、项目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spacing w:after="120" w:afterLines="50" w:line="460" w:lineRule="exact"/>
              <w:jc w:val="center"/>
              <w:rPr>
                <w:rFonts w:ascii="楷体_GB2312" w:hAnsi="黑体" w:eastAsia="楷体_GB2312"/>
                <w:sz w:val="24"/>
                <w:szCs w:val="24"/>
              </w:rPr>
            </w:pPr>
            <w:r>
              <w:rPr>
                <w:rFonts w:hint="eastAsia" w:ascii="楷体_GB2312" w:hAnsi="黑体" w:eastAsia="楷体_GB2312"/>
                <w:sz w:val="24"/>
                <w:szCs w:val="24"/>
              </w:rPr>
              <w:t>1</w:t>
            </w:r>
          </w:p>
        </w:tc>
        <w:tc>
          <w:tcPr>
            <w:tcW w:w="911" w:type="dxa"/>
            <w:vAlign w:val="center"/>
          </w:tcPr>
          <w:p>
            <w:pPr>
              <w:spacing w:after="120" w:afterLines="50" w:line="460" w:lineRule="exact"/>
              <w:jc w:val="center"/>
              <w:rPr>
                <w:rFonts w:ascii="楷体_GB2312" w:hAnsi="黑体" w:eastAsia="楷体_GB2312"/>
                <w:b/>
                <w:sz w:val="24"/>
                <w:szCs w:val="24"/>
              </w:rPr>
            </w:pPr>
          </w:p>
        </w:tc>
        <w:tc>
          <w:tcPr>
            <w:tcW w:w="1662" w:type="dxa"/>
            <w:vAlign w:val="center"/>
          </w:tcPr>
          <w:p>
            <w:pPr>
              <w:spacing w:after="120" w:afterLines="50" w:line="360" w:lineRule="exact"/>
              <w:jc w:val="center"/>
              <w:rPr>
                <w:rFonts w:ascii="宋体" w:hAnsi="宋体"/>
                <w:sz w:val="24"/>
                <w:szCs w:val="24"/>
              </w:rPr>
            </w:pPr>
            <w:r>
              <w:rPr>
                <w:rFonts w:hint="eastAsia" w:ascii="宋体" w:hAnsi="宋体"/>
                <w:sz w:val="24"/>
                <w:szCs w:val="24"/>
              </w:rPr>
              <w:t>【详细填写承担全过程工程咨询内容，如</w:t>
            </w:r>
            <w:r>
              <w:rPr>
                <w:rFonts w:hint="eastAsia" w:ascii="宋体" w:hAnsi="宋体"/>
                <w:sz w:val="24"/>
                <w:szCs w:val="24"/>
                <w:lang w:val="zh-CN"/>
              </w:rPr>
              <w:t>勘察测绘、工程设计、工程监理、造价咨询</w:t>
            </w:r>
            <w:r>
              <w:rPr>
                <w:rFonts w:hint="eastAsia" w:ascii="宋体" w:hAnsi="宋体"/>
                <w:sz w:val="24"/>
                <w:szCs w:val="24"/>
              </w:rPr>
              <w:t>等】</w:t>
            </w:r>
          </w:p>
        </w:tc>
        <w:tc>
          <w:tcPr>
            <w:tcW w:w="868" w:type="dxa"/>
            <w:vAlign w:val="center"/>
          </w:tcPr>
          <w:p>
            <w:pPr>
              <w:spacing w:after="120" w:afterLines="50" w:line="460" w:lineRule="exact"/>
              <w:jc w:val="center"/>
              <w:rPr>
                <w:rFonts w:ascii="宋体" w:hAnsi="宋体"/>
                <w:b/>
                <w:sz w:val="24"/>
                <w:szCs w:val="24"/>
              </w:rPr>
            </w:pPr>
          </w:p>
        </w:tc>
        <w:tc>
          <w:tcPr>
            <w:tcW w:w="995" w:type="dxa"/>
            <w:vAlign w:val="center"/>
          </w:tcPr>
          <w:p>
            <w:pPr>
              <w:spacing w:after="120" w:afterLines="50" w:line="460" w:lineRule="exact"/>
              <w:jc w:val="center"/>
              <w:rPr>
                <w:rFonts w:ascii="楷体_GB2312" w:hAnsi="黑体" w:eastAsia="楷体_GB2312"/>
                <w:b/>
                <w:sz w:val="24"/>
                <w:szCs w:val="24"/>
              </w:rPr>
            </w:pPr>
          </w:p>
        </w:tc>
        <w:tc>
          <w:tcPr>
            <w:tcW w:w="1083" w:type="dxa"/>
            <w:vAlign w:val="center"/>
          </w:tcPr>
          <w:p>
            <w:pPr>
              <w:spacing w:after="120" w:afterLines="50" w:line="360" w:lineRule="exact"/>
              <w:jc w:val="center"/>
              <w:rPr>
                <w:rFonts w:ascii="仿宋_GB2312" w:hAnsi="黑体" w:eastAsia="仿宋_GB2312"/>
                <w:sz w:val="24"/>
                <w:szCs w:val="24"/>
              </w:rPr>
            </w:pPr>
          </w:p>
        </w:tc>
        <w:tc>
          <w:tcPr>
            <w:tcW w:w="1062" w:type="dxa"/>
          </w:tcPr>
          <w:p>
            <w:pPr>
              <w:spacing w:after="120" w:afterLines="50" w:line="460" w:lineRule="exact"/>
              <w:jc w:val="center"/>
              <w:rPr>
                <w:rFonts w:ascii="楷体_GB2312" w:hAnsi="黑体" w:eastAsia="楷体_GB2312"/>
                <w:b/>
                <w:sz w:val="24"/>
                <w:szCs w:val="24"/>
              </w:rPr>
            </w:pPr>
          </w:p>
        </w:tc>
        <w:tc>
          <w:tcPr>
            <w:tcW w:w="992" w:type="dxa"/>
            <w:vAlign w:val="center"/>
          </w:tcPr>
          <w:p>
            <w:pPr>
              <w:spacing w:after="120" w:afterLines="50" w:line="460" w:lineRule="exact"/>
              <w:jc w:val="center"/>
              <w:rPr>
                <w:rFonts w:ascii="楷体_GB2312" w:hAnsi="黑体" w:eastAsia="楷体_GB2312"/>
                <w:b/>
                <w:sz w:val="24"/>
                <w:szCs w:val="24"/>
              </w:rPr>
            </w:pPr>
          </w:p>
        </w:tc>
        <w:tc>
          <w:tcPr>
            <w:tcW w:w="758" w:type="dxa"/>
          </w:tcPr>
          <w:p>
            <w:pPr>
              <w:spacing w:after="120" w:afterLines="50" w:line="460" w:lineRule="exact"/>
              <w:jc w:val="center"/>
              <w:rPr>
                <w:rFonts w:ascii="楷体_GB2312" w:hAnsi="黑体" w:eastAsia="楷体_GB2312"/>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spacing w:after="120" w:afterLines="50" w:line="460" w:lineRule="exact"/>
              <w:jc w:val="center"/>
              <w:rPr>
                <w:rFonts w:ascii="楷体_GB2312" w:hAnsi="黑体" w:eastAsia="楷体_GB2312"/>
                <w:sz w:val="24"/>
                <w:szCs w:val="24"/>
              </w:rPr>
            </w:pPr>
            <w:r>
              <w:rPr>
                <w:rFonts w:hint="eastAsia" w:ascii="楷体_GB2312" w:hAnsi="黑体" w:eastAsia="楷体_GB2312"/>
                <w:sz w:val="24"/>
                <w:szCs w:val="24"/>
              </w:rPr>
              <w:t>……</w:t>
            </w:r>
          </w:p>
        </w:tc>
        <w:tc>
          <w:tcPr>
            <w:tcW w:w="911" w:type="dxa"/>
            <w:vAlign w:val="center"/>
          </w:tcPr>
          <w:p>
            <w:pPr>
              <w:spacing w:after="120" w:afterLines="50" w:line="460" w:lineRule="exact"/>
              <w:jc w:val="center"/>
              <w:rPr>
                <w:rFonts w:ascii="楷体_GB2312" w:hAnsi="黑体" w:eastAsia="楷体_GB2312"/>
                <w:b/>
                <w:sz w:val="24"/>
                <w:szCs w:val="24"/>
              </w:rPr>
            </w:pPr>
          </w:p>
        </w:tc>
        <w:tc>
          <w:tcPr>
            <w:tcW w:w="1662" w:type="dxa"/>
            <w:vAlign w:val="center"/>
          </w:tcPr>
          <w:p>
            <w:pPr>
              <w:spacing w:after="120" w:afterLines="50" w:line="460" w:lineRule="exact"/>
              <w:jc w:val="center"/>
              <w:rPr>
                <w:rFonts w:ascii="楷体_GB2312" w:hAnsi="黑体" w:eastAsia="楷体_GB2312"/>
                <w:b/>
                <w:sz w:val="24"/>
                <w:szCs w:val="24"/>
              </w:rPr>
            </w:pPr>
          </w:p>
        </w:tc>
        <w:tc>
          <w:tcPr>
            <w:tcW w:w="868" w:type="dxa"/>
            <w:vAlign w:val="center"/>
          </w:tcPr>
          <w:p>
            <w:pPr>
              <w:spacing w:after="120" w:afterLines="50" w:line="460" w:lineRule="exact"/>
              <w:jc w:val="center"/>
              <w:rPr>
                <w:rFonts w:ascii="楷体_GB2312" w:hAnsi="黑体" w:eastAsia="楷体_GB2312"/>
                <w:b/>
                <w:sz w:val="24"/>
                <w:szCs w:val="24"/>
              </w:rPr>
            </w:pPr>
          </w:p>
        </w:tc>
        <w:tc>
          <w:tcPr>
            <w:tcW w:w="995" w:type="dxa"/>
            <w:vAlign w:val="center"/>
          </w:tcPr>
          <w:p>
            <w:pPr>
              <w:spacing w:after="120" w:afterLines="50" w:line="460" w:lineRule="exact"/>
              <w:jc w:val="center"/>
              <w:rPr>
                <w:rFonts w:ascii="楷体_GB2312" w:hAnsi="黑体" w:eastAsia="楷体_GB2312"/>
                <w:b/>
                <w:sz w:val="24"/>
                <w:szCs w:val="24"/>
              </w:rPr>
            </w:pPr>
          </w:p>
        </w:tc>
        <w:tc>
          <w:tcPr>
            <w:tcW w:w="1083" w:type="dxa"/>
            <w:vAlign w:val="center"/>
          </w:tcPr>
          <w:p>
            <w:pPr>
              <w:spacing w:after="120" w:afterLines="50" w:line="460" w:lineRule="exact"/>
              <w:jc w:val="center"/>
              <w:rPr>
                <w:rFonts w:ascii="楷体_GB2312" w:hAnsi="黑体" w:eastAsia="楷体_GB2312"/>
                <w:b/>
                <w:sz w:val="24"/>
                <w:szCs w:val="24"/>
              </w:rPr>
            </w:pPr>
          </w:p>
        </w:tc>
        <w:tc>
          <w:tcPr>
            <w:tcW w:w="1062" w:type="dxa"/>
          </w:tcPr>
          <w:p>
            <w:pPr>
              <w:spacing w:after="120" w:afterLines="50" w:line="460" w:lineRule="exact"/>
              <w:jc w:val="center"/>
              <w:rPr>
                <w:rFonts w:ascii="楷体_GB2312" w:hAnsi="黑体" w:eastAsia="楷体_GB2312"/>
                <w:b/>
                <w:sz w:val="24"/>
                <w:szCs w:val="24"/>
              </w:rPr>
            </w:pPr>
          </w:p>
        </w:tc>
        <w:tc>
          <w:tcPr>
            <w:tcW w:w="992" w:type="dxa"/>
            <w:vAlign w:val="center"/>
          </w:tcPr>
          <w:p>
            <w:pPr>
              <w:spacing w:after="120" w:afterLines="50" w:line="460" w:lineRule="exact"/>
              <w:jc w:val="center"/>
              <w:rPr>
                <w:rFonts w:ascii="楷体_GB2312" w:hAnsi="黑体" w:eastAsia="楷体_GB2312"/>
                <w:b/>
                <w:sz w:val="24"/>
                <w:szCs w:val="24"/>
              </w:rPr>
            </w:pPr>
          </w:p>
        </w:tc>
        <w:tc>
          <w:tcPr>
            <w:tcW w:w="758" w:type="dxa"/>
          </w:tcPr>
          <w:p>
            <w:pPr>
              <w:spacing w:after="120" w:afterLines="50" w:line="460" w:lineRule="exact"/>
              <w:jc w:val="center"/>
              <w:rPr>
                <w:rFonts w:ascii="楷体_GB2312" w:hAnsi="黑体" w:eastAsia="楷体_GB2312"/>
                <w:b/>
                <w:sz w:val="24"/>
                <w:szCs w:val="24"/>
              </w:rPr>
            </w:pPr>
          </w:p>
        </w:tc>
      </w:tr>
    </w:tbl>
    <w:p>
      <w:pPr>
        <w:spacing w:line="460" w:lineRule="exact"/>
        <w:rPr>
          <w:rFonts w:ascii="仿宋_GB2312" w:hAnsi="黑体" w:eastAsia="仿宋_GB2312"/>
          <w:sz w:val="24"/>
          <w:szCs w:val="24"/>
        </w:rPr>
      </w:pPr>
      <w:r>
        <w:rPr>
          <w:rFonts w:hint="eastAsia" w:ascii="仿宋_GB2312" w:hAnsi="黑体" w:eastAsia="仿宋_GB2312"/>
          <w:sz w:val="24"/>
          <w:szCs w:val="24"/>
        </w:rPr>
        <w:t>备注：</w:t>
      </w:r>
      <w:r>
        <w:rPr>
          <w:rFonts w:hint="eastAsia" w:ascii="仿宋_GB2312" w:eastAsia="仿宋_GB2312"/>
          <w:sz w:val="24"/>
          <w:szCs w:val="24"/>
        </w:rPr>
        <w:t>填列合同金额在</w:t>
      </w:r>
      <w:r>
        <w:rPr>
          <w:rFonts w:hint="eastAsia" w:ascii="仿宋_GB2312" w:eastAsia="仿宋_GB2312"/>
          <w:sz w:val="24"/>
          <w:szCs w:val="24"/>
          <w:lang w:val="en-US" w:eastAsia="zh-CN"/>
        </w:rPr>
        <w:t>130</w:t>
      </w:r>
      <w:r>
        <w:rPr>
          <w:rFonts w:hint="eastAsia" w:ascii="仿宋_GB2312" w:eastAsia="仿宋_GB2312"/>
          <w:sz w:val="24"/>
          <w:szCs w:val="24"/>
        </w:rPr>
        <w:t>万元以上的全过程工程咨询项目或总投资</w:t>
      </w:r>
      <w:r>
        <w:rPr>
          <w:rFonts w:hint="eastAsia" w:ascii="仿宋_GB2312" w:eastAsia="仿宋_GB2312"/>
          <w:sz w:val="24"/>
          <w:szCs w:val="24"/>
          <w:lang w:val="en-US" w:eastAsia="zh-CN"/>
        </w:rPr>
        <w:t>2200</w:t>
      </w:r>
      <w:r>
        <w:rPr>
          <w:rFonts w:hint="eastAsia" w:ascii="仿宋_GB2312" w:eastAsia="仿宋_GB2312"/>
          <w:sz w:val="24"/>
          <w:szCs w:val="24"/>
        </w:rPr>
        <w:t>万元以上项目，投标人业绩较多的，可以只填写部分代表性项目。同一项目不得重复填列。</w:t>
      </w:r>
      <w:r>
        <w:rPr>
          <w:rFonts w:hint="eastAsia" w:ascii="仿宋_GB2312" w:hAnsi="黑体" w:eastAsia="仿宋_GB2312"/>
          <w:sz w:val="24"/>
          <w:szCs w:val="24"/>
        </w:rPr>
        <w:t>本清单仅作为评审参考，实际项目数量及业绩根据后附业绩表及证明材料判定。</w:t>
      </w:r>
    </w:p>
    <w:p>
      <w:pPr>
        <w:spacing w:after="120" w:afterLines="50" w:line="460" w:lineRule="exact"/>
        <w:ind w:firstLine="470" w:firstLineChars="196"/>
        <w:rPr>
          <w:rFonts w:ascii="宋体" w:hAnsi="宋体"/>
          <w:sz w:val="24"/>
          <w:szCs w:val="24"/>
        </w:rPr>
      </w:pPr>
      <w:r>
        <w:rPr>
          <w:rFonts w:ascii="仿宋_GB2312" w:hAnsi="黑体" w:eastAsia="仿宋_GB2312"/>
          <w:sz w:val="24"/>
          <w:szCs w:val="24"/>
        </w:rPr>
        <w:br w:type="page"/>
      </w:r>
      <w:r>
        <w:rPr>
          <w:rFonts w:hint="eastAsia" w:ascii="宋体" w:hAnsi="宋体"/>
          <w:sz w:val="24"/>
          <w:szCs w:val="24"/>
        </w:rPr>
        <w:t>2. 近五年全过程工程咨询业绩表-【后缀“项目-序号”】</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0" w:type="dxa"/>
            <w:vMerge w:val="restart"/>
            <w:vAlign w:val="center"/>
          </w:tcPr>
          <w:p>
            <w:pPr>
              <w:pStyle w:val="23"/>
              <w:spacing w:line="400" w:lineRule="exact"/>
              <w:ind w:firstLine="0" w:firstLineChars="0"/>
              <w:jc w:val="center"/>
              <w:rPr>
                <w:rFonts w:ascii="宋体" w:hAnsi="宋体"/>
                <w:sz w:val="24"/>
                <w:szCs w:val="24"/>
              </w:rPr>
            </w:pPr>
            <w:r>
              <w:rPr>
                <w:rFonts w:hint="eastAsia" w:ascii="宋体" w:hAnsi="宋体"/>
                <w:sz w:val="24"/>
                <w:szCs w:val="24"/>
              </w:rPr>
              <w:t>1</w:t>
            </w:r>
          </w:p>
        </w:tc>
        <w:tc>
          <w:tcPr>
            <w:tcW w:w="8190" w:type="dxa"/>
            <w:vAlign w:val="center"/>
          </w:tcPr>
          <w:p>
            <w:pPr>
              <w:spacing w:line="400" w:lineRule="exact"/>
              <w:ind w:left="7" w:leftChars="-10" w:hanging="28" w:hangingChars="12"/>
              <w:rPr>
                <w:rFonts w:ascii="宋体" w:hAnsi="宋体"/>
                <w:sz w:val="24"/>
                <w:szCs w:val="24"/>
              </w:rPr>
            </w:pPr>
            <w:r>
              <w:rPr>
                <w:rFonts w:hint="eastAsia" w:ascii="宋体" w:hAnsi="宋体"/>
                <w:sz w:val="24"/>
                <w:szCs w:val="24"/>
              </w:rPr>
              <w:t>合 同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0" w:type="dxa"/>
            <w:vMerge w:val="continue"/>
            <w:vAlign w:val="center"/>
          </w:tcPr>
          <w:p>
            <w:pPr>
              <w:spacing w:line="400" w:lineRule="exact"/>
              <w:ind w:firstLine="420"/>
              <w:jc w:val="center"/>
              <w:rPr>
                <w:rFonts w:ascii="宋体" w:hAnsi="宋体"/>
                <w:sz w:val="24"/>
                <w:szCs w:val="24"/>
              </w:rPr>
            </w:pPr>
          </w:p>
        </w:tc>
        <w:tc>
          <w:tcPr>
            <w:tcW w:w="8190" w:type="dxa"/>
            <w:vAlign w:val="center"/>
          </w:tcPr>
          <w:p>
            <w:pPr>
              <w:spacing w:line="400" w:lineRule="exact"/>
              <w:rPr>
                <w:rFonts w:ascii="宋体" w:hAnsi="宋体"/>
                <w:sz w:val="24"/>
                <w:szCs w:val="24"/>
              </w:rPr>
            </w:pPr>
            <w:r>
              <w:rPr>
                <w:rFonts w:hint="eastAsia" w:ascii="宋体" w:hAnsi="宋体"/>
                <w:sz w:val="24"/>
                <w:szCs w:val="24"/>
              </w:rPr>
              <w:t>合同名称：                           □已完项目  □未完项目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0" w:type="dxa"/>
            <w:vMerge w:val="continue"/>
            <w:vAlign w:val="center"/>
          </w:tcPr>
          <w:p>
            <w:pPr>
              <w:spacing w:line="400" w:lineRule="exact"/>
              <w:ind w:firstLine="420"/>
              <w:jc w:val="center"/>
              <w:rPr>
                <w:rFonts w:ascii="宋体" w:hAnsi="宋体"/>
                <w:sz w:val="24"/>
                <w:szCs w:val="24"/>
              </w:rPr>
            </w:pPr>
          </w:p>
        </w:tc>
        <w:tc>
          <w:tcPr>
            <w:tcW w:w="8190" w:type="dxa"/>
            <w:vAlign w:val="center"/>
          </w:tcPr>
          <w:p>
            <w:pPr>
              <w:spacing w:line="400" w:lineRule="exact"/>
              <w:ind w:left="7" w:leftChars="-10" w:hanging="28" w:hangingChars="12"/>
              <w:rPr>
                <w:rFonts w:ascii="宋体" w:hAnsi="宋体"/>
                <w:sz w:val="24"/>
                <w:szCs w:val="24"/>
              </w:rPr>
            </w:pPr>
            <w:r>
              <w:rPr>
                <w:rFonts w:hint="eastAsia" w:ascii="宋体" w:hAnsi="宋体"/>
                <w:sz w:val="24"/>
                <w:szCs w:val="24"/>
              </w:rPr>
              <w:t>工程地址：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0" w:type="dxa"/>
            <w:vMerge w:val="continue"/>
            <w:vAlign w:val="center"/>
          </w:tcPr>
          <w:p>
            <w:pPr>
              <w:spacing w:line="400" w:lineRule="exact"/>
              <w:ind w:firstLine="420"/>
              <w:jc w:val="center"/>
              <w:rPr>
                <w:rFonts w:ascii="宋体" w:hAnsi="宋体"/>
                <w:sz w:val="24"/>
                <w:szCs w:val="24"/>
              </w:rPr>
            </w:pPr>
          </w:p>
        </w:tc>
        <w:tc>
          <w:tcPr>
            <w:tcW w:w="8190" w:type="dxa"/>
            <w:vAlign w:val="center"/>
          </w:tcPr>
          <w:p>
            <w:pPr>
              <w:pStyle w:val="271"/>
              <w:adjustRightInd/>
              <w:spacing w:line="400" w:lineRule="exact"/>
              <w:textAlignment w:val="auto"/>
              <w:rPr>
                <w:rFonts w:hAnsi="宋体"/>
                <w:szCs w:val="24"/>
              </w:rPr>
            </w:pPr>
            <w:r>
              <w:rPr>
                <w:rFonts w:hint="eastAsia" w:hAnsi="宋体"/>
                <w:szCs w:val="24"/>
              </w:rPr>
              <w:t>总 面 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0" w:type="dxa"/>
            <w:vMerge w:val="continue"/>
            <w:vAlign w:val="center"/>
          </w:tcPr>
          <w:p>
            <w:pPr>
              <w:spacing w:line="400" w:lineRule="exact"/>
              <w:ind w:firstLine="420"/>
              <w:jc w:val="center"/>
              <w:rPr>
                <w:rFonts w:ascii="宋体" w:hAnsi="宋体"/>
                <w:sz w:val="24"/>
                <w:szCs w:val="24"/>
              </w:rPr>
            </w:pPr>
          </w:p>
        </w:tc>
        <w:tc>
          <w:tcPr>
            <w:tcW w:w="8190" w:type="dxa"/>
            <w:vAlign w:val="center"/>
          </w:tcPr>
          <w:p>
            <w:pPr>
              <w:pStyle w:val="271"/>
              <w:adjustRightInd/>
              <w:spacing w:line="400" w:lineRule="exact"/>
              <w:textAlignment w:val="auto"/>
              <w:rPr>
                <w:rFonts w:hAnsi="宋体"/>
                <w:szCs w:val="24"/>
              </w:rPr>
            </w:pPr>
            <w:r>
              <w:rPr>
                <w:rFonts w:hint="eastAsia" w:hAnsi="宋体"/>
                <w:szCs w:val="24"/>
              </w:rPr>
              <w:t>工程总投资：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Merge w:val="restart"/>
            <w:vAlign w:val="center"/>
          </w:tcPr>
          <w:p>
            <w:pPr>
              <w:pStyle w:val="23"/>
              <w:spacing w:line="400" w:lineRule="exact"/>
              <w:ind w:firstLine="0" w:firstLineChars="0"/>
              <w:jc w:val="center"/>
              <w:rPr>
                <w:rFonts w:ascii="宋体" w:hAnsi="宋体"/>
                <w:sz w:val="24"/>
                <w:szCs w:val="24"/>
              </w:rPr>
            </w:pPr>
            <w:r>
              <w:rPr>
                <w:rFonts w:hint="eastAsia" w:ascii="宋体" w:hAnsi="宋体"/>
                <w:sz w:val="24"/>
                <w:szCs w:val="24"/>
              </w:rPr>
              <w:t>2</w:t>
            </w:r>
          </w:p>
        </w:tc>
        <w:tc>
          <w:tcPr>
            <w:tcW w:w="8190" w:type="dxa"/>
            <w:vAlign w:val="center"/>
          </w:tcPr>
          <w:p>
            <w:pPr>
              <w:pStyle w:val="271"/>
              <w:adjustRightInd/>
              <w:spacing w:line="400" w:lineRule="exact"/>
              <w:textAlignment w:val="auto"/>
              <w:rPr>
                <w:rFonts w:hAnsi="宋体"/>
                <w:szCs w:val="24"/>
              </w:rPr>
            </w:pPr>
            <w:r>
              <w:rPr>
                <w:rFonts w:hint="eastAsia" w:hAnsi="宋体"/>
                <w:szCs w:val="24"/>
              </w:rPr>
              <w:t>甲方名称：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Merge w:val="continue"/>
            <w:vAlign w:val="center"/>
          </w:tcPr>
          <w:p>
            <w:pPr>
              <w:pStyle w:val="23"/>
              <w:spacing w:line="400" w:lineRule="exact"/>
              <w:ind w:firstLine="0" w:firstLineChars="0"/>
              <w:jc w:val="center"/>
              <w:rPr>
                <w:rFonts w:ascii="宋体" w:hAnsi="宋体"/>
                <w:sz w:val="24"/>
                <w:szCs w:val="24"/>
              </w:rPr>
            </w:pPr>
          </w:p>
        </w:tc>
        <w:tc>
          <w:tcPr>
            <w:tcW w:w="8190" w:type="dxa"/>
            <w:vAlign w:val="center"/>
          </w:tcPr>
          <w:p>
            <w:pPr>
              <w:pStyle w:val="271"/>
              <w:adjustRightInd/>
              <w:spacing w:line="400" w:lineRule="exact"/>
              <w:textAlignment w:val="auto"/>
              <w:rPr>
                <w:rFonts w:hAnsi="宋体"/>
                <w:szCs w:val="24"/>
              </w:rPr>
            </w:pPr>
            <w:r>
              <w:rPr>
                <w:rFonts w:hint="eastAsia" w:hAnsi="宋体"/>
                <w:szCs w:val="24"/>
              </w:rPr>
              <w:t>甲方地址：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Merge w:val="continue"/>
            <w:vAlign w:val="center"/>
          </w:tcPr>
          <w:p>
            <w:pPr>
              <w:pStyle w:val="23"/>
              <w:spacing w:line="400" w:lineRule="exact"/>
              <w:ind w:firstLine="0" w:firstLineChars="0"/>
              <w:jc w:val="center"/>
              <w:rPr>
                <w:rFonts w:ascii="宋体" w:hAnsi="宋体"/>
                <w:sz w:val="24"/>
                <w:szCs w:val="24"/>
              </w:rPr>
            </w:pPr>
          </w:p>
        </w:tc>
        <w:tc>
          <w:tcPr>
            <w:tcW w:w="8190" w:type="dxa"/>
            <w:vAlign w:val="center"/>
          </w:tcPr>
          <w:p>
            <w:pPr>
              <w:pStyle w:val="271"/>
              <w:adjustRightInd/>
              <w:spacing w:line="400" w:lineRule="exact"/>
              <w:textAlignment w:val="auto"/>
              <w:rPr>
                <w:rFonts w:hAnsi="宋体"/>
                <w:szCs w:val="24"/>
              </w:rPr>
            </w:pPr>
            <w:r>
              <w:rPr>
                <w:rFonts w:hint="eastAsia" w:hAnsi="宋体"/>
                <w:szCs w:val="24"/>
              </w:rPr>
              <w:t>甲方联系方式：联系人：            联系电话（包括座机和手机）：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Merge w:val="restart"/>
            <w:vAlign w:val="center"/>
          </w:tcPr>
          <w:p>
            <w:pPr>
              <w:pStyle w:val="23"/>
              <w:spacing w:line="400" w:lineRule="exact"/>
              <w:ind w:firstLine="0" w:firstLineChars="0"/>
              <w:jc w:val="center"/>
              <w:rPr>
                <w:rFonts w:ascii="宋体" w:hAnsi="宋体"/>
                <w:sz w:val="24"/>
                <w:szCs w:val="24"/>
              </w:rPr>
            </w:pPr>
            <w:r>
              <w:rPr>
                <w:rFonts w:hint="eastAsia" w:ascii="宋体" w:hAnsi="宋体"/>
                <w:sz w:val="24"/>
                <w:szCs w:val="24"/>
              </w:rPr>
              <w:t>3</w:t>
            </w:r>
          </w:p>
        </w:tc>
        <w:tc>
          <w:tcPr>
            <w:tcW w:w="8190" w:type="dxa"/>
            <w:vAlign w:val="center"/>
          </w:tcPr>
          <w:p>
            <w:pPr>
              <w:pStyle w:val="271"/>
              <w:adjustRightInd/>
              <w:spacing w:line="400" w:lineRule="exact"/>
              <w:textAlignment w:val="auto"/>
              <w:rPr>
                <w:rFonts w:hAnsi="宋体"/>
                <w:szCs w:val="24"/>
              </w:rPr>
            </w:pPr>
            <w:r>
              <w:rPr>
                <w:rFonts w:hint="eastAsia" w:hAnsi="宋体"/>
                <w:szCs w:val="24"/>
              </w:rPr>
              <w:t>工程性质和特点【同时详细说明所承担的合同内容】：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Merge w:val="continue"/>
            <w:vAlign w:val="center"/>
          </w:tcPr>
          <w:p>
            <w:pPr>
              <w:pStyle w:val="23"/>
              <w:spacing w:line="400" w:lineRule="exact"/>
              <w:ind w:firstLine="0" w:firstLineChars="0"/>
              <w:jc w:val="center"/>
              <w:rPr>
                <w:rFonts w:ascii="宋体" w:hAnsi="宋体"/>
                <w:sz w:val="24"/>
                <w:szCs w:val="24"/>
              </w:rPr>
            </w:pPr>
          </w:p>
        </w:tc>
        <w:tc>
          <w:tcPr>
            <w:tcW w:w="8190" w:type="dxa"/>
            <w:vAlign w:val="center"/>
          </w:tcPr>
          <w:p>
            <w:pPr>
              <w:spacing w:line="400" w:lineRule="exact"/>
              <w:ind w:left="7" w:leftChars="-10" w:hanging="28" w:hangingChars="12"/>
              <w:rPr>
                <w:rFonts w:ascii="宋体" w:hAnsi="宋体"/>
                <w:sz w:val="24"/>
                <w:szCs w:val="24"/>
              </w:rPr>
            </w:pPr>
            <w:r>
              <w:rPr>
                <w:rFonts w:hint="eastAsia" w:ascii="宋体" w:hAnsi="宋体"/>
                <w:sz w:val="24"/>
                <w:szCs w:val="24"/>
              </w:rPr>
              <w:t>合同总价：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Merge w:val="continue"/>
            <w:vAlign w:val="center"/>
          </w:tcPr>
          <w:p>
            <w:pPr>
              <w:pStyle w:val="23"/>
              <w:spacing w:line="400" w:lineRule="exact"/>
              <w:ind w:firstLine="480"/>
              <w:jc w:val="center"/>
              <w:rPr>
                <w:rFonts w:ascii="宋体" w:hAnsi="宋体"/>
                <w:sz w:val="24"/>
                <w:szCs w:val="24"/>
              </w:rPr>
            </w:pPr>
          </w:p>
        </w:tc>
        <w:tc>
          <w:tcPr>
            <w:tcW w:w="8190" w:type="dxa"/>
            <w:vAlign w:val="center"/>
          </w:tcPr>
          <w:p>
            <w:pPr>
              <w:pStyle w:val="271"/>
              <w:adjustRightInd/>
              <w:spacing w:line="400" w:lineRule="exact"/>
              <w:textAlignment w:val="auto"/>
              <w:rPr>
                <w:rFonts w:hAnsi="宋体"/>
                <w:szCs w:val="24"/>
              </w:rPr>
            </w:pPr>
            <w:r>
              <w:rPr>
                <w:rFonts w:hint="eastAsia" w:hAnsi="宋体"/>
                <w:szCs w:val="24"/>
              </w:rPr>
              <w:t>合同授予时间：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Merge w:val="continue"/>
            <w:vAlign w:val="center"/>
          </w:tcPr>
          <w:p>
            <w:pPr>
              <w:pStyle w:val="23"/>
              <w:spacing w:line="400" w:lineRule="exact"/>
              <w:ind w:firstLine="0" w:firstLineChars="0"/>
              <w:jc w:val="center"/>
              <w:rPr>
                <w:rFonts w:ascii="宋体" w:hAnsi="宋体"/>
                <w:sz w:val="24"/>
                <w:szCs w:val="24"/>
              </w:rPr>
            </w:pPr>
          </w:p>
        </w:tc>
        <w:tc>
          <w:tcPr>
            <w:tcW w:w="8190" w:type="dxa"/>
            <w:vAlign w:val="center"/>
          </w:tcPr>
          <w:p>
            <w:pPr>
              <w:pStyle w:val="271"/>
              <w:adjustRightInd/>
              <w:spacing w:line="400" w:lineRule="exact"/>
              <w:textAlignment w:val="auto"/>
              <w:rPr>
                <w:rFonts w:hAnsi="宋体"/>
                <w:szCs w:val="24"/>
              </w:rPr>
            </w:pPr>
            <w:r>
              <w:rPr>
                <w:rFonts w:hint="eastAsia" w:hAnsi="宋体"/>
                <w:szCs w:val="24"/>
              </w:rPr>
              <w:t>合同工期【注明开始～结束时间】：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Align w:val="center"/>
          </w:tcPr>
          <w:p>
            <w:pPr>
              <w:pStyle w:val="23"/>
              <w:spacing w:line="400" w:lineRule="exact"/>
              <w:ind w:firstLine="0" w:firstLineChars="0"/>
              <w:jc w:val="center"/>
              <w:rPr>
                <w:rFonts w:ascii="宋体" w:hAnsi="宋体"/>
                <w:sz w:val="24"/>
                <w:szCs w:val="24"/>
              </w:rPr>
            </w:pPr>
            <w:r>
              <w:rPr>
                <w:rFonts w:hint="eastAsia" w:ascii="宋体" w:hAnsi="宋体"/>
                <w:sz w:val="24"/>
                <w:szCs w:val="24"/>
              </w:rPr>
              <w:t>4</w:t>
            </w:r>
          </w:p>
        </w:tc>
        <w:tc>
          <w:tcPr>
            <w:tcW w:w="8190" w:type="dxa"/>
            <w:vAlign w:val="center"/>
          </w:tcPr>
          <w:p>
            <w:pPr>
              <w:spacing w:line="400" w:lineRule="exact"/>
              <w:rPr>
                <w:rFonts w:ascii="宋体" w:hAnsi="宋体"/>
                <w:sz w:val="24"/>
                <w:szCs w:val="24"/>
              </w:rPr>
            </w:pPr>
            <w:r>
              <w:rPr>
                <w:rFonts w:hint="eastAsia" w:ascii="宋体" w:hAnsi="宋体"/>
                <w:sz w:val="24"/>
                <w:szCs w:val="24"/>
              </w:rPr>
              <w:t>完成情况简介：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dxa"/>
            <w:vAlign w:val="center"/>
          </w:tcPr>
          <w:p>
            <w:pPr>
              <w:pStyle w:val="23"/>
              <w:spacing w:line="400" w:lineRule="exact"/>
              <w:ind w:firstLine="0" w:firstLineChars="0"/>
              <w:jc w:val="center"/>
              <w:rPr>
                <w:rFonts w:ascii="宋体" w:hAnsi="宋体"/>
                <w:sz w:val="24"/>
                <w:szCs w:val="24"/>
              </w:rPr>
            </w:pPr>
            <w:r>
              <w:rPr>
                <w:rFonts w:hint="eastAsia" w:ascii="宋体" w:hAnsi="宋体"/>
                <w:sz w:val="24"/>
                <w:szCs w:val="24"/>
              </w:rPr>
              <w:t>5</w:t>
            </w:r>
          </w:p>
        </w:tc>
        <w:tc>
          <w:tcPr>
            <w:tcW w:w="8190" w:type="dxa"/>
            <w:vAlign w:val="center"/>
          </w:tcPr>
          <w:p>
            <w:pPr>
              <w:spacing w:line="400" w:lineRule="exact"/>
              <w:rPr>
                <w:rFonts w:ascii="宋体" w:hAnsi="宋体"/>
                <w:sz w:val="24"/>
                <w:szCs w:val="24"/>
              </w:rPr>
            </w:pPr>
            <w:r>
              <w:rPr>
                <w:rFonts w:hint="eastAsia" w:ascii="宋体" w:hAnsi="宋体"/>
                <w:sz w:val="24"/>
                <w:szCs w:val="24"/>
              </w:rPr>
              <w:t xml:space="preserve">其    他： </w:t>
            </w:r>
          </w:p>
        </w:tc>
      </w:tr>
    </w:tbl>
    <w:p>
      <w:pPr>
        <w:spacing w:line="460" w:lineRule="exact"/>
        <w:rPr>
          <w:rFonts w:ascii="宋体" w:hAnsi="宋体"/>
          <w:sz w:val="24"/>
          <w:szCs w:val="24"/>
        </w:rPr>
      </w:pPr>
      <w:r>
        <w:rPr>
          <w:rFonts w:hint="eastAsia" w:ascii="宋体" w:hAnsi="宋体"/>
          <w:sz w:val="24"/>
          <w:szCs w:val="24"/>
        </w:rPr>
        <w:t>备注：每个项目须单独填表，列明序号（按项目类别排序），与清单顺序一一对应。附合同协议书等复印件（能够判定承担的咨询服务内容）。</w:t>
      </w:r>
    </w:p>
    <w:p>
      <w:pPr>
        <w:spacing w:after="120" w:afterLines="50" w:line="460" w:lineRule="exact"/>
        <w:ind w:firstLine="470" w:firstLineChars="196"/>
        <w:rPr>
          <w:rFonts w:ascii="楷体_GB2312" w:hAnsi="黑体" w:eastAsia="楷体_GB2312"/>
          <w:b/>
          <w:sz w:val="24"/>
          <w:szCs w:val="24"/>
        </w:rPr>
      </w:pPr>
      <w:r>
        <w:rPr>
          <w:rFonts w:ascii="宋体" w:hAnsi="宋体"/>
          <w:sz w:val="24"/>
          <w:szCs w:val="24"/>
        </w:rPr>
        <w:br w:type="page"/>
      </w:r>
      <w:r>
        <w:rPr>
          <w:rFonts w:hint="eastAsia" w:ascii="楷体_GB2312" w:hAnsi="黑体" w:eastAsia="楷体_GB2312"/>
          <w:b/>
          <w:sz w:val="24"/>
          <w:szCs w:val="24"/>
        </w:rPr>
        <w:t>（二）近五年勘察业绩表</w:t>
      </w:r>
      <w:r>
        <w:rPr>
          <w:rFonts w:hint="eastAsia" w:ascii="楷体" w:hAnsi="楷体" w:eastAsia="楷体"/>
          <w:b/>
          <w:sz w:val="24"/>
          <w:szCs w:val="24"/>
        </w:rPr>
        <w:t>（复印件）</w:t>
      </w:r>
    </w:p>
    <w:p>
      <w:pPr>
        <w:spacing w:after="120" w:afterLines="50" w:line="460" w:lineRule="exact"/>
        <w:ind w:firstLine="470" w:firstLineChars="196"/>
        <w:rPr>
          <w:rFonts w:ascii="仿宋_GB2312" w:hAnsi="黑体" w:eastAsia="仿宋_GB2312"/>
          <w:sz w:val="24"/>
          <w:szCs w:val="24"/>
        </w:rPr>
      </w:pPr>
      <w:r>
        <w:rPr>
          <w:rFonts w:hint="eastAsia" w:ascii="仿宋_GB2312" w:hAnsi="黑体" w:eastAsia="仿宋_GB2312"/>
          <w:sz w:val="24"/>
          <w:szCs w:val="24"/>
        </w:rPr>
        <w:t>1. 近五年勘察设计业绩清单</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84"/>
        <w:gridCol w:w="1517"/>
        <w:gridCol w:w="972"/>
        <w:gridCol w:w="1130"/>
        <w:gridCol w:w="1180"/>
        <w:gridCol w:w="1094"/>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序号</w:t>
            </w:r>
          </w:p>
        </w:tc>
        <w:tc>
          <w:tcPr>
            <w:tcW w:w="1384"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项目名称</w:t>
            </w:r>
          </w:p>
        </w:tc>
        <w:tc>
          <w:tcPr>
            <w:tcW w:w="151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承担勘察设计任务内容</w:t>
            </w:r>
          </w:p>
        </w:tc>
        <w:tc>
          <w:tcPr>
            <w:tcW w:w="972"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勘察设计合同金额</w:t>
            </w:r>
          </w:p>
        </w:tc>
        <w:tc>
          <w:tcPr>
            <w:tcW w:w="1130"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项目总投资</w:t>
            </w:r>
          </w:p>
        </w:tc>
        <w:tc>
          <w:tcPr>
            <w:tcW w:w="1180"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建设地点</w:t>
            </w:r>
          </w:p>
        </w:tc>
        <w:tc>
          <w:tcPr>
            <w:tcW w:w="1094"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甲方名称</w:t>
            </w:r>
          </w:p>
        </w:tc>
        <w:tc>
          <w:tcPr>
            <w:tcW w:w="1046"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8"/>
            <w:vAlign w:val="center"/>
          </w:tcPr>
          <w:p>
            <w:pPr>
              <w:spacing w:line="360" w:lineRule="exact"/>
              <w:rPr>
                <w:rFonts w:ascii="黑体" w:hAnsi="黑体" w:eastAsia="黑体"/>
                <w:sz w:val="24"/>
                <w:szCs w:val="24"/>
              </w:rPr>
            </w:pPr>
            <w:r>
              <w:rPr>
                <w:rFonts w:hint="eastAsia" w:ascii="楷体_GB2312" w:hAnsi="黑体" w:eastAsia="楷体_GB2312"/>
                <w:b/>
                <w:sz w:val="24"/>
                <w:szCs w:val="24"/>
              </w:rPr>
              <w:t>一、项目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after="120" w:afterLines="50" w:line="460" w:lineRule="exact"/>
              <w:jc w:val="center"/>
              <w:rPr>
                <w:rFonts w:ascii="楷体_GB2312" w:hAnsi="黑体" w:eastAsia="楷体_GB2312"/>
                <w:sz w:val="24"/>
                <w:szCs w:val="24"/>
              </w:rPr>
            </w:pPr>
            <w:r>
              <w:rPr>
                <w:rFonts w:hint="eastAsia" w:ascii="楷体_GB2312" w:hAnsi="黑体" w:eastAsia="楷体_GB2312"/>
                <w:sz w:val="24"/>
                <w:szCs w:val="24"/>
              </w:rPr>
              <w:t>1</w:t>
            </w:r>
          </w:p>
        </w:tc>
        <w:tc>
          <w:tcPr>
            <w:tcW w:w="1384" w:type="dxa"/>
            <w:vAlign w:val="center"/>
          </w:tcPr>
          <w:p>
            <w:pPr>
              <w:spacing w:after="120" w:afterLines="50" w:line="460" w:lineRule="exact"/>
              <w:jc w:val="center"/>
              <w:rPr>
                <w:rFonts w:ascii="楷体_GB2312" w:hAnsi="黑体" w:eastAsia="楷体_GB2312"/>
                <w:b/>
                <w:sz w:val="24"/>
                <w:szCs w:val="24"/>
              </w:rPr>
            </w:pPr>
          </w:p>
        </w:tc>
        <w:tc>
          <w:tcPr>
            <w:tcW w:w="1517" w:type="dxa"/>
            <w:vAlign w:val="center"/>
          </w:tcPr>
          <w:p>
            <w:pPr>
              <w:spacing w:after="120" w:afterLines="50" w:line="360" w:lineRule="exact"/>
              <w:jc w:val="center"/>
              <w:rPr>
                <w:rFonts w:ascii="仿宋_GB2312" w:hAnsi="黑体" w:eastAsia="仿宋_GB2312"/>
                <w:sz w:val="24"/>
                <w:szCs w:val="24"/>
              </w:rPr>
            </w:pPr>
            <w:r>
              <w:rPr>
                <w:rFonts w:hint="eastAsia" w:ascii="仿宋_GB2312" w:hAnsi="黑体" w:eastAsia="仿宋_GB2312"/>
                <w:sz w:val="24"/>
                <w:szCs w:val="24"/>
              </w:rPr>
              <w:t>【详细填写承担勘察服务内容，如选址勘察、初步勘察、详细勘察等】</w:t>
            </w:r>
          </w:p>
        </w:tc>
        <w:tc>
          <w:tcPr>
            <w:tcW w:w="972" w:type="dxa"/>
            <w:vAlign w:val="center"/>
          </w:tcPr>
          <w:p>
            <w:pPr>
              <w:spacing w:after="120" w:afterLines="50" w:line="460" w:lineRule="exact"/>
              <w:jc w:val="center"/>
              <w:rPr>
                <w:rFonts w:ascii="楷体_GB2312" w:hAnsi="黑体" w:eastAsia="楷体_GB2312"/>
                <w:b/>
                <w:sz w:val="24"/>
                <w:szCs w:val="24"/>
              </w:rPr>
            </w:pPr>
          </w:p>
        </w:tc>
        <w:tc>
          <w:tcPr>
            <w:tcW w:w="1130" w:type="dxa"/>
            <w:vAlign w:val="center"/>
          </w:tcPr>
          <w:p>
            <w:pPr>
              <w:spacing w:after="120" w:afterLines="50" w:line="460" w:lineRule="exact"/>
              <w:jc w:val="center"/>
              <w:rPr>
                <w:rFonts w:ascii="楷体_GB2312" w:hAnsi="黑体" w:eastAsia="楷体_GB2312"/>
                <w:b/>
                <w:sz w:val="24"/>
                <w:szCs w:val="24"/>
              </w:rPr>
            </w:pPr>
          </w:p>
        </w:tc>
        <w:tc>
          <w:tcPr>
            <w:tcW w:w="1180" w:type="dxa"/>
            <w:vAlign w:val="center"/>
          </w:tcPr>
          <w:p>
            <w:pPr>
              <w:spacing w:after="120" w:afterLines="50" w:line="360" w:lineRule="exact"/>
              <w:jc w:val="center"/>
              <w:rPr>
                <w:rFonts w:ascii="仿宋_GB2312" w:hAnsi="黑体" w:eastAsia="仿宋_GB2312"/>
                <w:sz w:val="24"/>
                <w:szCs w:val="24"/>
              </w:rPr>
            </w:pPr>
          </w:p>
        </w:tc>
        <w:tc>
          <w:tcPr>
            <w:tcW w:w="1094" w:type="dxa"/>
            <w:vAlign w:val="center"/>
          </w:tcPr>
          <w:p>
            <w:pPr>
              <w:spacing w:after="120" w:afterLines="50" w:line="460" w:lineRule="exact"/>
              <w:jc w:val="center"/>
              <w:rPr>
                <w:rFonts w:ascii="楷体_GB2312" w:hAnsi="黑体" w:eastAsia="楷体_GB2312"/>
                <w:b/>
                <w:sz w:val="24"/>
                <w:szCs w:val="24"/>
              </w:rPr>
            </w:pPr>
          </w:p>
        </w:tc>
        <w:tc>
          <w:tcPr>
            <w:tcW w:w="1046" w:type="dxa"/>
          </w:tcPr>
          <w:p>
            <w:pPr>
              <w:spacing w:after="120" w:afterLines="50" w:line="460" w:lineRule="exact"/>
              <w:jc w:val="center"/>
              <w:rPr>
                <w:rFonts w:ascii="楷体_GB2312" w:hAnsi="黑体" w:eastAsia="楷体_GB2312"/>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after="120" w:afterLines="50" w:line="460" w:lineRule="exact"/>
              <w:jc w:val="center"/>
              <w:rPr>
                <w:rFonts w:ascii="楷体_GB2312" w:hAnsi="黑体" w:eastAsia="楷体_GB2312"/>
                <w:sz w:val="24"/>
                <w:szCs w:val="24"/>
              </w:rPr>
            </w:pPr>
            <w:r>
              <w:rPr>
                <w:rFonts w:hint="eastAsia" w:ascii="楷体_GB2312" w:hAnsi="黑体" w:eastAsia="楷体_GB2312"/>
                <w:sz w:val="24"/>
                <w:szCs w:val="24"/>
              </w:rPr>
              <w:t>……</w:t>
            </w:r>
          </w:p>
        </w:tc>
        <w:tc>
          <w:tcPr>
            <w:tcW w:w="1384" w:type="dxa"/>
            <w:vAlign w:val="center"/>
          </w:tcPr>
          <w:p>
            <w:pPr>
              <w:spacing w:after="120" w:afterLines="50" w:line="460" w:lineRule="exact"/>
              <w:jc w:val="center"/>
              <w:rPr>
                <w:rFonts w:ascii="楷体_GB2312" w:hAnsi="黑体" w:eastAsia="楷体_GB2312"/>
                <w:b/>
                <w:sz w:val="24"/>
                <w:szCs w:val="24"/>
              </w:rPr>
            </w:pPr>
          </w:p>
        </w:tc>
        <w:tc>
          <w:tcPr>
            <w:tcW w:w="1517" w:type="dxa"/>
            <w:vAlign w:val="center"/>
          </w:tcPr>
          <w:p>
            <w:pPr>
              <w:spacing w:after="120" w:afterLines="50" w:line="360" w:lineRule="exact"/>
              <w:jc w:val="center"/>
              <w:rPr>
                <w:rFonts w:ascii="仿宋_GB2312" w:hAnsi="黑体" w:eastAsia="仿宋_GB2312"/>
                <w:sz w:val="24"/>
                <w:szCs w:val="24"/>
              </w:rPr>
            </w:pPr>
          </w:p>
        </w:tc>
        <w:tc>
          <w:tcPr>
            <w:tcW w:w="972" w:type="dxa"/>
            <w:vAlign w:val="center"/>
          </w:tcPr>
          <w:p>
            <w:pPr>
              <w:spacing w:after="120" w:afterLines="50" w:line="460" w:lineRule="exact"/>
              <w:jc w:val="center"/>
              <w:rPr>
                <w:rFonts w:ascii="楷体_GB2312" w:hAnsi="黑体" w:eastAsia="楷体_GB2312"/>
                <w:b/>
                <w:sz w:val="24"/>
                <w:szCs w:val="24"/>
              </w:rPr>
            </w:pPr>
          </w:p>
        </w:tc>
        <w:tc>
          <w:tcPr>
            <w:tcW w:w="1130" w:type="dxa"/>
            <w:vAlign w:val="center"/>
          </w:tcPr>
          <w:p>
            <w:pPr>
              <w:spacing w:after="120" w:afterLines="50" w:line="460" w:lineRule="exact"/>
              <w:jc w:val="center"/>
              <w:rPr>
                <w:rFonts w:ascii="楷体_GB2312" w:hAnsi="黑体" w:eastAsia="楷体_GB2312"/>
                <w:b/>
                <w:sz w:val="24"/>
                <w:szCs w:val="24"/>
              </w:rPr>
            </w:pPr>
          </w:p>
        </w:tc>
        <w:tc>
          <w:tcPr>
            <w:tcW w:w="1180" w:type="dxa"/>
            <w:vAlign w:val="center"/>
          </w:tcPr>
          <w:p>
            <w:pPr>
              <w:spacing w:after="120" w:afterLines="50" w:line="360" w:lineRule="exact"/>
              <w:jc w:val="center"/>
              <w:rPr>
                <w:rFonts w:ascii="仿宋_GB2312" w:hAnsi="黑体" w:eastAsia="仿宋_GB2312"/>
                <w:sz w:val="24"/>
                <w:szCs w:val="24"/>
              </w:rPr>
            </w:pPr>
          </w:p>
        </w:tc>
        <w:tc>
          <w:tcPr>
            <w:tcW w:w="1094" w:type="dxa"/>
            <w:vAlign w:val="center"/>
          </w:tcPr>
          <w:p>
            <w:pPr>
              <w:spacing w:after="120" w:afterLines="50" w:line="460" w:lineRule="exact"/>
              <w:jc w:val="center"/>
              <w:rPr>
                <w:rFonts w:ascii="楷体_GB2312" w:hAnsi="黑体" w:eastAsia="楷体_GB2312"/>
                <w:b/>
                <w:sz w:val="24"/>
                <w:szCs w:val="24"/>
              </w:rPr>
            </w:pPr>
          </w:p>
        </w:tc>
        <w:tc>
          <w:tcPr>
            <w:tcW w:w="1046" w:type="dxa"/>
          </w:tcPr>
          <w:p>
            <w:pPr>
              <w:spacing w:after="120" w:afterLines="50" w:line="460" w:lineRule="exact"/>
              <w:jc w:val="center"/>
              <w:rPr>
                <w:rFonts w:ascii="楷体_GB2312" w:hAnsi="黑体" w:eastAsia="楷体_GB2312"/>
                <w:b/>
                <w:sz w:val="24"/>
                <w:szCs w:val="24"/>
              </w:rPr>
            </w:pPr>
          </w:p>
        </w:tc>
      </w:tr>
    </w:tbl>
    <w:p>
      <w:pPr>
        <w:spacing w:line="460" w:lineRule="exact"/>
        <w:rPr>
          <w:rFonts w:ascii="仿宋_GB2312" w:hAnsi="黑体" w:eastAsia="仿宋_GB2312"/>
          <w:sz w:val="24"/>
          <w:szCs w:val="24"/>
        </w:rPr>
      </w:pPr>
      <w:r>
        <w:rPr>
          <w:rFonts w:hint="eastAsia" w:ascii="仿宋_GB2312" w:hAnsi="黑体" w:eastAsia="仿宋_GB2312"/>
          <w:sz w:val="24"/>
          <w:szCs w:val="24"/>
        </w:rPr>
        <w:t>备注：</w:t>
      </w:r>
      <w:r>
        <w:rPr>
          <w:rFonts w:hint="eastAsia" w:ascii="仿宋_GB2312" w:eastAsia="仿宋_GB2312"/>
          <w:sz w:val="24"/>
          <w:szCs w:val="24"/>
        </w:rPr>
        <w:t>填列合同金额在</w:t>
      </w:r>
      <w:r>
        <w:rPr>
          <w:rFonts w:hint="eastAsia" w:ascii="仿宋_GB2312" w:eastAsia="仿宋_GB2312"/>
          <w:sz w:val="24"/>
          <w:szCs w:val="24"/>
          <w:lang w:val="en-US" w:eastAsia="zh-CN"/>
        </w:rPr>
        <w:t>70</w:t>
      </w:r>
      <w:r>
        <w:rPr>
          <w:rFonts w:hint="eastAsia" w:ascii="仿宋_GB2312" w:eastAsia="仿宋_GB2312"/>
          <w:sz w:val="24"/>
          <w:szCs w:val="24"/>
        </w:rPr>
        <w:t>万元以上的勘察设计项目或总投资</w:t>
      </w:r>
      <w:r>
        <w:rPr>
          <w:rFonts w:hint="eastAsia" w:ascii="仿宋_GB2312" w:eastAsia="仿宋_GB2312"/>
          <w:sz w:val="24"/>
          <w:szCs w:val="24"/>
          <w:lang w:val="en-US" w:eastAsia="zh-CN"/>
        </w:rPr>
        <w:t>2200</w:t>
      </w:r>
      <w:r>
        <w:rPr>
          <w:rFonts w:hint="eastAsia" w:ascii="仿宋_GB2312" w:eastAsia="仿宋_GB2312"/>
          <w:sz w:val="24"/>
          <w:szCs w:val="24"/>
        </w:rPr>
        <w:t>万元以上项目，投标人业绩较多的，可以只填写部分代表性项目。同一项目不得重复填列。</w:t>
      </w:r>
      <w:r>
        <w:rPr>
          <w:rFonts w:hint="eastAsia" w:ascii="仿宋_GB2312" w:hAnsi="黑体" w:eastAsia="仿宋_GB2312"/>
          <w:sz w:val="24"/>
          <w:szCs w:val="24"/>
        </w:rPr>
        <w:t>本清单仅作为评审参考，实际项目数量及业绩根据后附业绩表及证明材料判定。</w:t>
      </w:r>
    </w:p>
    <w:p>
      <w:pPr>
        <w:spacing w:after="120" w:afterLines="50" w:line="460" w:lineRule="exact"/>
        <w:ind w:firstLine="480" w:firstLineChars="200"/>
        <w:rPr>
          <w:rFonts w:ascii="仿宋_GB2312" w:hAnsi="黑体" w:eastAsia="仿宋_GB2312"/>
          <w:sz w:val="24"/>
          <w:szCs w:val="24"/>
        </w:rPr>
      </w:pPr>
      <w:r>
        <w:rPr>
          <w:rFonts w:ascii="仿宋_GB2312" w:hAnsi="黑体" w:eastAsia="仿宋_GB2312"/>
          <w:sz w:val="24"/>
          <w:szCs w:val="24"/>
        </w:rPr>
        <w:br w:type="page"/>
      </w:r>
      <w:r>
        <w:rPr>
          <w:rFonts w:hint="eastAsia" w:ascii="仿宋_GB2312" w:hAnsi="黑体" w:eastAsia="仿宋_GB2312"/>
          <w:sz w:val="24"/>
          <w:szCs w:val="24"/>
        </w:rPr>
        <w:t>2. 近五年勘察设计业绩表-【后缀“项目-序号”】</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restart"/>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1</w:t>
            </w:r>
          </w:p>
        </w:tc>
        <w:tc>
          <w:tcPr>
            <w:tcW w:w="8190" w:type="dxa"/>
            <w:vAlign w:val="center"/>
          </w:tcPr>
          <w:p>
            <w:pPr>
              <w:spacing w:line="400" w:lineRule="exact"/>
              <w:ind w:left="7" w:leftChars="-10" w:hanging="28" w:hangingChars="12"/>
              <w:rPr>
                <w:rFonts w:ascii="仿宋_GB2312" w:eastAsia="仿宋_GB2312"/>
                <w:sz w:val="24"/>
                <w:szCs w:val="24"/>
              </w:rPr>
            </w:pPr>
            <w:r>
              <w:rPr>
                <w:rFonts w:hint="eastAsia" w:ascii="仿宋_GB2312" w:eastAsia="仿宋_GB2312"/>
                <w:sz w:val="24"/>
                <w:szCs w:val="24"/>
              </w:rPr>
              <w:t>合 同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continue"/>
            <w:vAlign w:val="center"/>
          </w:tcPr>
          <w:p>
            <w:pPr>
              <w:spacing w:line="400" w:lineRule="exact"/>
              <w:ind w:firstLine="420"/>
              <w:jc w:val="center"/>
              <w:rPr>
                <w:rFonts w:ascii="仿宋_GB2312" w:eastAsia="仿宋_GB2312"/>
                <w:sz w:val="24"/>
                <w:szCs w:val="24"/>
              </w:rPr>
            </w:pPr>
          </w:p>
        </w:tc>
        <w:tc>
          <w:tcPr>
            <w:tcW w:w="8190" w:type="dxa"/>
            <w:vAlign w:val="center"/>
          </w:tcPr>
          <w:p>
            <w:pPr>
              <w:spacing w:line="400" w:lineRule="exact"/>
              <w:rPr>
                <w:rFonts w:ascii="仿宋_GB2312" w:eastAsia="仿宋_GB2312"/>
                <w:sz w:val="24"/>
                <w:szCs w:val="24"/>
              </w:rPr>
            </w:pPr>
            <w:r>
              <w:rPr>
                <w:rFonts w:hint="eastAsia" w:ascii="仿宋_GB2312" w:eastAsia="仿宋_GB2312"/>
                <w:sz w:val="24"/>
                <w:szCs w:val="24"/>
              </w:rPr>
              <w:t>合同名称：                           □已完项目  □未完项目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continue"/>
            <w:vAlign w:val="center"/>
          </w:tcPr>
          <w:p>
            <w:pPr>
              <w:spacing w:line="400" w:lineRule="exact"/>
              <w:ind w:firstLine="420"/>
              <w:jc w:val="center"/>
              <w:rPr>
                <w:rFonts w:ascii="仿宋_GB2312" w:eastAsia="仿宋_GB2312"/>
                <w:sz w:val="24"/>
                <w:szCs w:val="24"/>
              </w:rPr>
            </w:pPr>
          </w:p>
        </w:tc>
        <w:tc>
          <w:tcPr>
            <w:tcW w:w="8190" w:type="dxa"/>
            <w:vAlign w:val="center"/>
          </w:tcPr>
          <w:p>
            <w:pPr>
              <w:spacing w:line="400" w:lineRule="exact"/>
              <w:ind w:left="7" w:leftChars="-10" w:hanging="28" w:hangingChars="12"/>
              <w:rPr>
                <w:rFonts w:ascii="仿宋_GB2312" w:eastAsia="仿宋_GB2312"/>
                <w:sz w:val="24"/>
                <w:szCs w:val="24"/>
              </w:rPr>
            </w:pPr>
            <w:r>
              <w:rPr>
                <w:rFonts w:hint="eastAsia" w:ascii="仿宋_GB2312" w:eastAsia="仿宋_GB2312"/>
                <w:sz w:val="24"/>
                <w:szCs w:val="24"/>
              </w:rPr>
              <w:t>工程地址：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continue"/>
            <w:vAlign w:val="center"/>
          </w:tcPr>
          <w:p>
            <w:pPr>
              <w:spacing w:line="400" w:lineRule="exact"/>
              <w:ind w:firstLine="42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总 面 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continue"/>
            <w:vAlign w:val="center"/>
          </w:tcPr>
          <w:p>
            <w:pPr>
              <w:spacing w:line="400" w:lineRule="exact"/>
              <w:ind w:firstLine="42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工程总投资：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2</w:t>
            </w: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甲方名称：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0" w:firstLineChars="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甲方地址：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0" w:firstLineChars="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甲方联系方式：联系人：            联系电话（包括座机和手机）：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3</w:t>
            </w: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 xml:space="preserve">工程性质和特点【同时详细说明所承担的合同内容】：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0" w:firstLineChars="0"/>
              <w:jc w:val="center"/>
              <w:rPr>
                <w:rFonts w:ascii="仿宋_GB2312" w:eastAsia="仿宋_GB2312"/>
                <w:sz w:val="24"/>
                <w:szCs w:val="24"/>
              </w:rPr>
            </w:pPr>
          </w:p>
        </w:tc>
        <w:tc>
          <w:tcPr>
            <w:tcW w:w="8190" w:type="dxa"/>
            <w:vAlign w:val="center"/>
          </w:tcPr>
          <w:p>
            <w:pPr>
              <w:spacing w:line="400" w:lineRule="exact"/>
              <w:ind w:left="7" w:leftChars="-10" w:hanging="28" w:hangingChars="12"/>
              <w:rPr>
                <w:rFonts w:ascii="仿宋_GB2312" w:eastAsia="仿宋_GB2312"/>
                <w:sz w:val="24"/>
                <w:szCs w:val="24"/>
              </w:rPr>
            </w:pPr>
            <w:r>
              <w:rPr>
                <w:rFonts w:hint="eastAsia" w:ascii="仿宋_GB2312" w:eastAsia="仿宋_GB2312"/>
                <w:sz w:val="24"/>
                <w:szCs w:val="24"/>
              </w:rPr>
              <w:t>合同总价：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48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合同授予时间：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0" w:firstLineChars="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合同工期【注明开始～结束时间】：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4</w:t>
            </w:r>
          </w:p>
        </w:tc>
        <w:tc>
          <w:tcPr>
            <w:tcW w:w="8190" w:type="dxa"/>
            <w:vAlign w:val="center"/>
          </w:tcPr>
          <w:p>
            <w:pPr>
              <w:spacing w:line="400" w:lineRule="exact"/>
              <w:rPr>
                <w:rFonts w:ascii="仿宋_GB2312" w:eastAsia="仿宋_GB2312"/>
                <w:sz w:val="24"/>
                <w:szCs w:val="24"/>
              </w:rPr>
            </w:pPr>
            <w:r>
              <w:rPr>
                <w:rFonts w:hint="eastAsia" w:ascii="仿宋_GB2312" w:eastAsia="仿宋_GB2312"/>
                <w:sz w:val="24"/>
                <w:szCs w:val="24"/>
              </w:rPr>
              <w:t>完成情况简介：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5</w:t>
            </w:r>
          </w:p>
        </w:tc>
        <w:tc>
          <w:tcPr>
            <w:tcW w:w="8190" w:type="dxa"/>
            <w:vAlign w:val="center"/>
          </w:tcPr>
          <w:p>
            <w:pPr>
              <w:spacing w:line="400" w:lineRule="exact"/>
              <w:rPr>
                <w:rFonts w:ascii="仿宋_GB2312" w:eastAsia="仿宋_GB2312"/>
                <w:sz w:val="24"/>
                <w:szCs w:val="24"/>
              </w:rPr>
            </w:pPr>
            <w:r>
              <w:rPr>
                <w:rFonts w:hint="eastAsia" w:ascii="仿宋_GB2312" w:eastAsia="仿宋_GB2312"/>
                <w:sz w:val="24"/>
                <w:szCs w:val="24"/>
              </w:rPr>
              <w:t xml:space="preserve">其    他： </w:t>
            </w:r>
          </w:p>
        </w:tc>
      </w:tr>
    </w:tbl>
    <w:p>
      <w:pPr>
        <w:spacing w:line="460" w:lineRule="exact"/>
        <w:rPr>
          <w:rFonts w:ascii="仿宋_GB2312" w:eastAsia="仿宋_GB2312"/>
          <w:sz w:val="24"/>
          <w:szCs w:val="24"/>
        </w:rPr>
      </w:pPr>
      <w:r>
        <w:rPr>
          <w:rFonts w:hint="eastAsia" w:ascii="仿宋_GB2312" w:eastAsia="仿宋_GB2312"/>
          <w:sz w:val="24"/>
          <w:szCs w:val="24"/>
        </w:rPr>
        <w:t>备注：每个业绩项目须单独填表，列明序号，与清单顺序一一对应。附合同协议书等复印件（能够判定承担的勘察设计服务内容）复印件。</w:t>
      </w:r>
    </w:p>
    <w:p>
      <w:pPr>
        <w:rPr>
          <w:rFonts w:ascii="仿宋_GB2312" w:eastAsia="仿宋_GB2312"/>
          <w:sz w:val="24"/>
          <w:szCs w:val="24"/>
        </w:rPr>
      </w:pPr>
      <w:r>
        <w:rPr>
          <w:rFonts w:ascii="仿宋_GB2312" w:eastAsia="仿宋_GB2312"/>
          <w:sz w:val="24"/>
          <w:szCs w:val="24"/>
        </w:rPr>
        <w:br w:type="page"/>
      </w:r>
    </w:p>
    <w:p>
      <w:pPr>
        <w:spacing w:after="120" w:afterLines="50" w:line="460" w:lineRule="exact"/>
        <w:ind w:firstLine="482" w:firstLineChars="200"/>
        <w:rPr>
          <w:rFonts w:ascii="楷体_GB2312" w:hAnsi="黑体" w:eastAsia="楷体_GB2312"/>
          <w:b/>
          <w:sz w:val="24"/>
          <w:szCs w:val="24"/>
        </w:rPr>
      </w:pPr>
      <w:r>
        <w:rPr>
          <w:rFonts w:hint="eastAsia" w:ascii="楷体_GB2312" w:hAnsi="黑体" w:eastAsia="楷体_GB2312"/>
          <w:b/>
          <w:sz w:val="24"/>
          <w:szCs w:val="24"/>
        </w:rPr>
        <w:t>（三）近五年监理业绩表</w:t>
      </w:r>
      <w:r>
        <w:rPr>
          <w:rFonts w:hint="eastAsia" w:ascii="楷体" w:hAnsi="楷体" w:eastAsia="楷体"/>
          <w:b/>
          <w:sz w:val="24"/>
          <w:szCs w:val="24"/>
        </w:rPr>
        <w:t>（复印件）</w:t>
      </w:r>
    </w:p>
    <w:p>
      <w:pPr>
        <w:spacing w:after="120" w:afterLines="50" w:line="460" w:lineRule="exact"/>
        <w:ind w:firstLine="470" w:firstLineChars="196"/>
        <w:rPr>
          <w:rFonts w:ascii="仿宋_GB2312" w:hAnsi="黑体" w:eastAsia="仿宋_GB2312"/>
          <w:sz w:val="24"/>
          <w:szCs w:val="24"/>
        </w:rPr>
      </w:pPr>
      <w:r>
        <w:rPr>
          <w:rFonts w:hint="eastAsia" w:ascii="仿宋_GB2312" w:hAnsi="黑体" w:eastAsia="仿宋_GB2312"/>
          <w:sz w:val="24"/>
          <w:szCs w:val="24"/>
        </w:rPr>
        <w:t>1. 近五年监理业绩清单</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84"/>
        <w:gridCol w:w="1517"/>
        <w:gridCol w:w="972"/>
        <w:gridCol w:w="1130"/>
        <w:gridCol w:w="1180"/>
        <w:gridCol w:w="1094"/>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序号</w:t>
            </w:r>
          </w:p>
        </w:tc>
        <w:tc>
          <w:tcPr>
            <w:tcW w:w="1384"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项目名称</w:t>
            </w:r>
          </w:p>
        </w:tc>
        <w:tc>
          <w:tcPr>
            <w:tcW w:w="151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承担监理</w:t>
            </w:r>
          </w:p>
          <w:p>
            <w:pPr>
              <w:spacing w:line="360" w:lineRule="exact"/>
              <w:jc w:val="center"/>
              <w:rPr>
                <w:rFonts w:ascii="黑体" w:hAnsi="黑体" w:eastAsia="黑体"/>
                <w:sz w:val="24"/>
                <w:szCs w:val="24"/>
              </w:rPr>
            </w:pPr>
            <w:r>
              <w:rPr>
                <w:rFonts w:hint="eastAsia" w:ascii="黑体" w:hAnsi="黑体" w:eastAsia="黑体"/>
                <w:sz w:val="24"/>
                <w:szCs w:val="24"/>
              </w:rPr>
              <w:t>任务内容</w:t>
            </w:r>
          </w:p>
        </w:tc>
        <w:tc>
          <w:tcPr>
            <w:tcW w:w="972"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监理合同金额</w:t>
            </w:r>
          </w:p>
        </w:tc>
        <w:tc>
          <w:tcPr>
            <w:tcW w:w="1130"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项目总投资</w:t>
            </w:r>
          </w:p>
        </w:tc>
        <w:tc>
          <w:tcPr>
            <w:tcW w:w="1180"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建设地点</w:t>
            </w:r>
          </w:p>
        </w:tc>
        <w:tc>
          <w:tcPr>
            <w:tcW w:w="1094"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甲方名称</w:t>
            </w:r>
          </w:p>
        </w:tc>
        <w:tc>
          <w:tcPr>
            <w:tcW w:w="1046"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after="120" w:afterLines="50" w:line="460" w:lineRule="exact"/>
              <w:jc w:val="center"/>
              <w:rPr>
                <w:rFonts w:ascii="楷体_GB2312" w:hAnsi="黑体" w:eastAsia="楷体_GB2312"/>
                <w:sz w:val="24"/>
                <w:szCs w:val="24"/>
              </w:rPr>
            </w:pPr>
            <w:r>
              <w:rPr>
                <w:rFonts w:hint="eastAsia" w:ascii="楷体_GB2312" w:hAnsi="黑体" w:eastAsia="楷体_GB2312"/>
                <w:sz w:val="24"/>
                <w:szCs w:val="24"/>
              </w:rPr>
              <w:t>1</w:t>
            </w:r>
          </w:p>
        </w:tc>
        <w:tc>
          <w:tcPr>
            <w:tcW w:w="1384" w:type="dxa"/>
            <w:vAlign w:val="center"/>
          </w:tcPr>
          <w:p>
            <w:pPr>
              <w:spacing w:after="120" w:afterLines="50" w:line="460" w:lineRule="exact"/>
              <w:jc w:val="center"/>
              <w:rPr>
                <w:rFonts w:ascii="楷体_GB2312" w:hAnsi="黑体" w:eastAsia="楷体_GB2312"/>
                <w:b/>
                <w:sz w:val="24"/>
                <w:szCs w:val="24"/>
              </w:rPr>
            </w:pPr>
          </w:p>
        </w:tc>
        <w:tc>
          <w:tcPr>
            <w:tcW w:w="1517" w:type="dxa"/>
            <w:vAlign w:val="center"/>
          </w:tcPr>
          <w:p>
            <w:pPr>
              <w:spacing w:after="120" w:afterLines="50" w:line="360" w:lineRule="exact"/>
              <w:jc w:val="center"/>
              <w:rPr>
                <w:rFonts w:ascii="仿宋_GB2312" w:hAnsi="黑体" w:eastAsia="仿宋_GB2312"/>
                <w:sz w:val="24"/>
                <w:szCs w:val="24"/>
              </w:rPr>
            </w:pPr>
            <w:r>
              <w:rPr>
                <w:rFonts w:hint="eastAsia" w:ascii="仿宋_GB2312" w:hAnsi="黑体" w:eastAsia="仿宋_GB2312"/>
                <w:sz w:val="24"/>
                <w:szCs w:val="24"/>
              </w:rPr>
              <w:t>【详细填写承担监理服务内容】</w:t>
            </w:r>
          </w:p>
        </w:tc>
        <w:tc>
          <w:tcPr>
            <w:tcW w:w="972" w:type="dxa"/>
            <w:vAlign w:val="center"/>
          </w:tcPr>
          <w:p>
            <w:pPr>
              <w:spacing w:after="120" w:afterLines="50" w:line="460" w:lineRule="exact"/>
              <w:jc w:val="center"/>
              <w:rPr>
                <w:rFonts w:ascii="楷体_GB2312" w:hAnsi="黑体" w:eastAsia="楷体_GB2312"/>
                <w:b/>
                <w:sz w:val="24"/>
                <w:szCs w:val="24"/>
              </w:rPr>
            </w:pPr>
          </w:p>
        </w:tc>
        <w:tc>
          <w:tcPr>
            <w:tcW w:w="1130" w:type="dxa"/>
            <w:vAlign w:val="center"/>
          </w:tcPr>
          <w:p>
            <w:pPr>
              <w:spacing w:after="120" w:afterLines="50" w:line="460" w:lineRule="exact"/>
              <w:jc w:val="center"/>
              <w:rPr>
                <w:rFonts w:ascii="楷体_GB2312" w:hAnsi="黑体" w:eastAsia="楷体_GB2312"/>
                <w:b/>
                <w:sz w:val="24"/>
                <w:szCs w:val="24"/>
              </w:rPr>
            </w:pPr>
          </w:p>
        </w:tc>
        <w:tc>
          <w:tcPr>
            <w:tcW w:w="1180" w:type="dxa"/>
            <w:vAlign w:val="center"/>
          </w:tcPr>
          <w:p>
            <w:pPr>
              <w:spacing w:after="120" w:afterLines="50" w:line="360" w:lineRule="exact"/>
              <w:jc w:val="center"/>
              <w:rPr>
                <w:rFonts w:ascii="仿宋_GB2312" w:hAnsi="黑体" w:eastAsia="仿宋_GB2312"/>
                <w:sz w:val="24"/>
                <w:szCs w:val="24"/>
              </w:rPr>
            </w:pPr>
          </w:p>
        </w:tc>
        <w:tc>
          <w:tcPr>
            <w:tcW w:w="1094" w:type="dxa"/>
            <w:vAlign w:val="center"/>
          </w:tcPr>
          <w:p>
            <w:pPr>
              <w:spacing w:after="120" w:afterLines="50" w:line="460" w:lineRule="exact"/>
              <w:jc w:val="center"/>
              <w:rPr>
                <w:rFonts w:ascii="楷体_GB2312" w:hAnsi="黑体" w:eastAsia="楷体_GB2312"/>
                <w:b/>
                <w:sz w:val="24"/>
                <w:szCs w:val="24"/>
              </w:rPr>
            </w:pPr>
          </w:p>
        </w:tc>
        <w:tc>
          <w:tcPr>
            <w:tcW w:w="1046" w:type="dxa"/>
          </w:tcPr>
          <w:p>
            <w:pPr>
              <w:spacing w:after="120" w:afterLines="50" w:line="460" w:lineRule="exact"/>
              <w:jc w:val="center"/>
              <w:rPr>
                <w:rFonts w:ascii="楷体_GB2312" w:hAnsi="黑体" w:eastAsia="楷体_GB2312"/>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after="120" w:afterLines="50" w:line="460" w:lineRule="exact"/>
              <w:jc w:val="center"/>
              <w:rPr>
                <w:rFonts w:ascii="楷体_GB2312" w:hAnsi="黑体" w:eastAsia="楷体_GB2312"/>
                <w:sz w:val="24"/>
                <w:szCs w:val="24"/>
              </w:rPr>
            </w:pPr>
            <w:r>
              <w:rPr>
                <w:rFonts w:hint="eastAsia" w:ascii="楷体_GB2312" w:hAnsi="黑体" w:eastAsia="楷体_GB2312"/>
                <w:sz w:val="24"/>
                <w:szCs w:val="24"/>
              </w:rPr>
              <w:t>2</w:t>
            </w:r>
          </w:p>
        </w:tc>
        <w:tc>
          <w:tcPr>
            <w:tcW w:w="1384" w:type="dxa"/>
            <w:vAlign w:val="center"/>
          </w:tcPr>
          <w:p>
            <w:pPr>
              <w:spacing w:after="120" w:afterLines="50" w:line="460" w:lineRule="exact"/>
              <w:jc w:val="center"/>
              <w:rPr>
                <w:rFonts w:ascii="楷体_GB2312" w:hAnsi="黑体" w:eastAsia="楷体_GB2312"/>
                <w:b/>
                <w:sz w:val="24"/>
                <w:szCs w:val="24"/>
              </w:rPr>
            </w:pPr>
          </w:p>
        </w:tc>
        <w:tc>
          <w:tcPr>
            <w:tcW w:w="1517" w:type="dxa"/>
            <w:vAlign w:val="center"/>
          </w:tcPr>
          <w:p>
            <w:pPr>
              <w:spacing w:after="120" w:afterLines="50" w:line="360" w:lineRule="exact"/>
              <w:jc w:val="center"/>
              <w:rPr>
                <w:rFonts w:ascii="仿宋_GB2312" w:hAnsi="黑体" w:eastAsia="仿宋_GB2312"/>
                <w:sz w:val="24"/>
                <w:szCs w:val="24"/>
              </w:rPr>
            </w:pPr>
          </w:p>
        </w:tc>
        <w:tc>
          <w:tcPr>
            <w:tcW w:w="972" w:type="dxa"/>
            <w:vAlign w:val="center"/>
          </w:tcPr>
          <w:p>
            <w:pPr>
              <w:spacing w:after="120" w:afterLines="50" w:line="460" w:lineRule="exact"/>
              <w:jc w:val="center"/>
              <w:rPr>
                <w:rFonts w:ascii="楷体_GB2312" w:hAnsi="黑体" w:eastAsia="楷体_GB2312"/>
                <w:b/>
                <w:sz w:val="24"/>
                <w:szCs w:val="24"/>
              </w:rPr>
            </w:pPr>
          </w:p>
        </w:tc>
        <w:tc>
          <w:tcPr>
            <w:tcW w:w="1130" w:type="dxa"/>
            <w:vAlign w:val="center"/>
          </w:tcPr>
          <w:p>
            <w:pPr>
              <w:spacing w:after="120" w:afterLines="50" w:line="460" w:lineRule="exact"/>
              <w:jc w:val="center"/>
              <w:rPr>
                <w:rFonts w:ascii="楷体_GB2312" w:hAnsi="黑体" w:eastAsia="楷体_GB2312"/>
                <w:b/>
                <w:sz w:val="24"/>
                <w:szCs w:val="24"/>
              </w:rPr>
            </w:pPr>
          </w:p>
        </w:tc>
        <w:tc>
          <w:tcPr>
            <w:tcW w:w="1180" w:type="dxa"/>
            <w:vAlign w:val="center"/>
          </w:tcPr>
          <w:p>
            <w:pPr>
              <w:spacing w:after="120" w:afterLines="50" w:line="360" w:lineRule="exact"/>
              <w:jc w:val="center"/>
              <w:rPr>
                <w:rFonts w:ascii="仿宋_GB2312" w:hAnsi="黑体" w:eastAsia="仿宋_GB2312"/>
                <w:sz w:val="24"/>
                <w:szCs w:val="24"/>
              </w:rPr>
            </w:pPr>
          </w:p>
        </w:tc>
        <w:tc>
          <w:tcPr>
            <w:tcW w:w="1094" w:type="dxa"/>
            <w:vAlign w:val="center"/>
          </w:tcPr>
          <w:p>
            <w:pPr>
              <w:spacing w:after="120" w:afterLines="50" w:line="460" w:lineRule="exact"/>
              <w:jc w:val="center"/>
              <w:rPr>
                <w:rFonts w:ascii="楷体_GB2312" w:hAnsi="黑体" w:eastAsia="楷体_GB2312"/>
                <w:b/>
                <w:sz w:val="24"/>
                <w:szCs w:val="24"/>
              </w:rPr>
            </w:pPr>
          </w:p>
        </w:tc>
        <w:tc>
          <w:tcPr>
            <w:tcW w:w="1046" w:type="dxa"/>
          </w:tcPr>
          <w:p>
            <w:pPr>
              <w:spacing w:after="120" w:afterLines="50" w:line="460" w:lineRule="exact"/>
              <w:jc w:val="center"/>
              <w:rPr>
                <w:rFonts w:ascii="楷体_GB2312" w:hAnsi="黑体" w:eastAsia="楷体_GB2312"/>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after="120" w:afterLines="50" w:line="460" w:lineRule="exact"/>
              <w:jc w:val="center"/>
              <w:rPr>
                <w:rFonts w:ascii="楷体_GB2312" w:hAnsi="黑体" w:eastAsia="楷体_GB2312"/>
                <w:sz w:val="24"/>
                <w:szCs w:val="24"/>
              </w:rPr>
            </w:pPr>
            <w:r>
              <w:rPr>
                <w:rFonts w:hint="eastAsia" w:ascii="楷体_GB2312" w:hAnsi="黑体" w:eastAsia="楷体_GB2312"/>
                <w:sz w:val="24"/>
                <w:szCs w:val="24"/>
              </w:rPr>
              <w:t>3</w:t>
            </w:r>
          </w:p>
        </w:tc>
        <w:tc>
          <w:tcPr>
            <w:tcW w:w="1384" w:type="dxa"/>
            <w:vAlign w:val="center"/>
          </w:tcPr>
          <w:p>
            <w:pPr>
              <w:spacing w:after="120" w:afterLines="50" w:line="460" w:lineRule="exact"/>
              <w:jc w:val="center"/>
              <w:rPr>
                <w:rFonts w:ascii="楷体_GB2312" w:hAnsi="黑体" w:eastAsia="楷体_GB2312"/>
                <w:b/>
                <w:sz w:val="24"/>
                <w:szCs w:val="24"/>
              </w:rPr>
            </w:pPr>
          </w:p>
        </w:tc>
        <w:tc>
          <w:tcPr>
            <w:tcW w:w="1517" w:type="dxa"/>
            <w:vAlign w:val="center"/>
          </w:tcPr>
          <w:p>
            <w:pPr>
              <w:spacing w:after="120" w:afterLines="50" w:line="360" w:lineRule="exact"/>
              <w:jc w:val="center"/>
              <w:rPr>
                <w:rFonts w:ascii="仿宋_GB2312" w:hAnsi="黑体" w:eastAsia="仿宋_GB2312"/>
                <w:sz w:val="24"/>
                <w:szCs w:val="24"/>
              </w:rPr>
            </w:pPr>
          </w:p>
        </w:tc>
        <w:tc>
          <w:tcPr>
            <w:tcW w:w="972" w:type="dxa"/>
            <w:vAlign w:val="center"/>
          </w:tcPr>
          <w:p>
            <w:pPr>
              <w:spacing w:after="120" w:afterLines="50" w:line="460" w:lineRule="exact"/>
              <w:jc w:val="center"/>
              <w:rPr>
                <w:rFonts w:ascii="楷体_GB2312" w:hAnsi="黑体" w:eastAsia="楷体_GB2312"/>
                <w:b/>
                <w:sz w:val="24"/>
                <w:szCs w:val="24"/>
              </w:rPr>
            </w:pPr>
          </w:p>
        </w:tc>
        <w:tc>
          <w:tcPr>
            <w:tcW w:w="1130" w:type="dxa"/>
            <w:vAlign w:val="center"/>
          </w:tcPr>
          <w:p>
            <w:pPr>
              <w:spacing w:after="120" w:afterLines="50" w:line="460" w:lineRule="exact"/>
              <w:jc w:val="center"/>
              <w:rPr>
                <w:rFonts w:ascii="楷体_GB2312" w:hAnsi="黑体" w:eastAsia="楷体_GB2312"/>
                <w:b/>
                <w:sz w:val="24"/>
                <w:szCs w:val="24"/>
              </w:rPr>
            </w:pPr>
          </w:p>
        </w:tc>
        <w:tc>
          <w:tcPr>
            <w:tcW w:w="1180" w:type="dxa"/>
            <w:vAlign w:val="center"/>
          </w:tcPr>
          <w:p>
            <w:pPr>
              <w:spacing w:after="120" w:afterLines="50" w:line="360" w:lineRule="exact"/>
              <w:jc w:val="center"/>
              <w:rPr>
                <w:rFonts w:ascii="仿宋_GB2312" w:hAnsi="黑体" w:eastAsia="仿宋_GB2312"/>
                <w:sz w:val="24"/>
                <w:szCs w:val="24"/>
              </w:rPr>
            </w:pPr>
          </w:p>
        </w:tc>
        <w:tc>
          <w:tcPr>
            <w:tcW w:w="1094" w:type="dxa"/>
            <w:vAlign w:val="center"/>
          </w:tcPr>
          <w:p>
            <w:pPr>
              <w:spacing w:after="120" w:afterLines="50" w:line="460" w:lineRule="exact"/>
              <w:jc w:val="center"/>
              <w:rPr>
                <w:rFonts w:ascii="楷体_GB2312" w:hAnsi="黑体" w:eastAsia="楷体_GB2312"/>
                <w:b/>
                <w:sz w:val="24"/>
                <w:szCs w:val="24"/>
              </w:rPr>
            </w:pPr>
          </w:p>
        </w:tc>
        <w:tc>
          <w:tcPr>
            <w:tcW w:w="1046" w:type="dxa"/>
          </w:tcPr>
          <w:p>
            <w:pPr>
              <w:spacing w:after="120" w:afterLines="50" w:line="460" w:lineRule="exact"/>
              <w:jc w:val="center"/>
              <w:rPr>
                <w:rFonts w:ascii="楷体_GB2312" w:hAnsi="黑体" w:eastAsia="楷体_GB2312"/>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after="120" w:afterLines="50" w:line="460" w:lineRule="exact"/>
              <w:jc w:val="center"/>
              <w:rPr>
                <w:rFonts w:ascii="楷体_GB2312" w:hAnsi="黑体" w:eastAsia="楷体_GB2312"/>
                <w:b/>
                <w:sz w:val="24"/>
                <w:szCs w:val="24"/>
              </w:rPr>
            </w:pPr>
            <w:r>
              <w:rPr>
                <w:rFonts w:hint="eastAsia" w:ascii="楷体_GB2312" w:hAnsi="黑体" w:eastAsia="楷体_GB2312"/>
                <w:b/>
                <w:sz w:val="24"/>
                <w:szCs w:val="24"/>
              </w:rPr>
              <w:t>……</w:t>
            </w:r>
          </w:p>
        </w:tc>
        <w:tc>
          <w:tcPr>
            <w:tcW w:w="1384" w:type="dxa"/>
            <w:vAlign w:val="center"/>
          </w:tcPr>
          <w:p>
            <w:pPr>
              <w:spacing w:after="120" w:afterLines="50" w:line="460" w:lineRule="exact"/>
              <w:jc w:val="center"/>
              <w:rPr>
                <w:rFonts w:ascii="楷体_GB2312" w:hAnsi="黑体" w:eastAsia="楷体_GB2312"/>
                <w:b/>
                <w:sz w:val="24"/>
                <w:szCs w:val="24"/>
              </w:rPr>
            </w:pPr>
          </w:p>
        </w:tc>
        <w:tc>
          <w:tcPr>
            <w:tcW w:w="1517" w:type="dxa"/>
            <w:vAlign w:val="center"/>
          </w:tcPr>
          <w:p>
            <w:pPr>
              <w:spacing w:after="120" w:afterLines="50" w:line="460" w:lineRule="exact"/>
              <w:jc w:val="center"/>
              <w:rPr>
                <w:rFonts w:ascii="楷体_GB2312" w:hAnsi="黑体" w:eastAsia="楷体_GB2312"/>
                <w:b/>
                <w:sz w:val="24"/>
                <w:szCs w:val="24"/>
              </w:rPr>
            </w:pPr>
          </w:p>
        </w:tc>
        <w:tc>
          <w:tcPr>
            <w:tcW w:w="972" w:type="dxa"/>
            <w:vAlign w:val="center"/>
          </w:tcPr>
          <w:p>
            <w:pPr>
              <w:spacing w:after="120" w:afterLines="50" w:line="460" w:lineRule="exact"/>
              <w:jc w:val="center"/>
              <w:rPr>
                <w:rFonts w:ascii="楷体_GB2312" w:hAnsi="黑体" w:eastAsia="楷体_GB2312"/>
                <w:b/>
                <w:sz w:val="24"/>
                <w:szCs w:val="24"/>
              </w:rPr>
            </w:pPr>
          </w:p>
        </w:tc>
        <w:tc>
          <w:tcPr>
            <w:tcW w:w="1130" w:type="dxa"/>
            <w:vAlign w:val="center"/>
          </w:tcPr>
          <w:p>
            <w:pPr>
              <w:spacing w:after="120" w:afterLines="50" w:line="460" w:lineRule="exact"/>
              <w:jc w:val="center"/>
              <w:rPr>
                <w:rFonts w:ascii="楷体_GB2312" w:hAnsi="黑体" w:eastAsia="楷体_GB2312"/>
                <w:b/>
                <w:sz w:val="24"/>
                <w:szCs w:val="24"/>
              </w:rPr>
            </w:pPr>
          </w:p>
        </w:tc>
        <w:tc>
          <w:tcPr>
            <w:tcW w:w="1180" w:type="dxa"/>
            <w:vAlign w:val="center"/>
          </w:tcPr>
          <w:p>
            <w:pPr>
              <w:spacing w:after="120" w:afterLines="50" w:line="460" w:lineRule="exact"/>
              <w:jc w:val="center"/>
              <w:rPr>
                <w:rFonts w:ascii="楷体_GB2312" w:hAnsi="黑体" w:eastAsia="楷体_GB2312"/>
                <w:b/>
                <w:sz w:val="24"/>
                <w:szCs w:val="24"/>
              </w:rPr>
            </w:pPr>
          </w:p>
        </w:tc>
        <w:tc>
          <w:tcPr>
            <w:tcW w:w="1094" w:type="dxa"/>
            <w:vAlign w:val="center"/>
          </w:tcPr>
          <w:p>
            <w:pPr>
              <w:spacing w:after="120" w:afterLines="50" w:line="460" w:lineRule="exact"/>
              <w:jc w:val="center"/>
              <w:rPr>
                <w:rFonts w:ascii="楷体_GB2312" w:hAnsi="黑体" w:eastAsia="楷体_GB2312"/>
                <w:b/>
                <w:sz w:val="24"/>
                <w:szCs w:val="24"/>
              </w:rPr>
            </w:pPr>
          </w:p>
        </w:tc>
        <w:tc>
          <w:tcPr>
            <w:tcW w:w="1046" w:type="dxa"/>
          </w:tcPr>
          <w:p>
            <w:pPr>
              <w:spacing w:after="120" w:afterLines="50" w:line="460" w:lineRule="exact"/>
              <w:jc w:val="center"/>
              <w:rPr>
                <w:rFonts w:ascii="楷体_GB2312" w:hAnsi="黑体" w:eastAsia="楷体_GB2312"/>
                <w:b/>
                <w:sz w:val="24"/>
                <w:szCs w:val="24"/>
              </w:rPr>
            </w:pPr>
          </w:p>
        </w:tc>
      </w:tr>
    </w:tbl>
    <w:p>
      <w:pPr>
        <w:spacing w:line="460" w:lineRule="exact"/>
        <w:rPr>
          <w:rFonts w:ascii="仿宋_GB2312" w:hAnsi="黑体" w:eastAsia="仿宋_GB2312"/>
          <w:sz w:val="24"/>
          <w:szCs w:val="24"/>
        </w:rPr>
      </w:pPr>
      <w:r>
        <w:rPr>
          <w:rFonts w:hint="eastAsia" w:ascii="仿宋_GB2312" w:hAnsi="黑体" w:eastAsia="仿宋_GB2312"/>
          <w:sz w:val="24"/>
          <w:szCs w:val="24"/>
        </w:rPr>
        <w:t>备注：</w:t>
      </w:r>
      <w:r>
        <w:rPr>
          <w:rFonts w:hint="eastAsia" w:ascii="仿宋_GB2312" w:eastAsia="仿宋_GB2312"/>
          <w:sz w:val="24"/>
          <w:szCs w:val="24"/>
        </w:rPr>
        <w:t>填列合同金额在</w:t>
      </w:r>
      <w:r>
        <w:rPr>
          <w:rFonts w:hint="eastAsia" w:ascii="仿宋_GB2312" w:eastAsia="仿宋_GB2312"/>
          <w:sz w:val="24"/>
          <w:szCs w:val="24"/>
          <w:lang w:val="en-US" w:eastAsia="zh-CN"/>
        </w:rPr>
        <w:t>56</w:t>
      </w:r>
      <w:r>
        <w:rPr>
          <w:rFonts w:hint="eastAsia" w:ascii="仿宋_GB2312" w:eastAsia="仿宋_GB2312"/>
          <w:sz w:val="24"/>
          <w:szCs w:val="24"/>
        </w:rPr>
        <w:t>万元的监理项目或总投资</w:t>
      </w:r>
      <w:r>
        <w:rPr>
          <w:rFonts w:hint="eastAsia" w:ascii="仿宋_GB2312" w:eastAsia="仿宋_GB2312"/>
          <w:sz w:val="24"/>
          <w:szCs w:val="24"/>
          <w:lang w:val="en-US" w:eastAsia="zh-CN"/>
        </w:rPr>
        <w:t>2200</w:t>
      </w:r>
      <w:r>
        <w:rPr>
          <w:rFonts w:hint="eastAsia" w:ascii="仿宋_GB2312" w:eastAsia="仿宋_GB2312"/>
          <w:sz w:val="24"/>
          <w:szCs w:val="24"/>
        </w:rPr>
        <w:t>万元以上项目，投标人业绩较多的，可以只填写部分代表性项目。</w:t>
      </w:r>
      <w:r>
        <w:rPr>
          <w:rFonts w:hint="eastAsia" w:ascii="仿宋_GB2312" w:hAnsi="黑体" w:eastAsia="仿宋_GB2312"/>
          <w:sz w:val="24"/>
          <w:szCs w:val="24"/>
        </w:rPr>
        <w:t>本清单仅作为评审参考，实际项目数量及业绩根据后附业绩表及证明材料判定。</w:t>
      </w:r>
    </w:p>
    <w:p>
      <w:pPr>
        <w:spacing w:after="120" w:afterLines="50" w:line="460" w:lineRule="exact"/>
        <w:ind w:firstLine="480" w:firstLineChars="200"/>
        <w:rPr>
          <w:rFonts w:ascii="楷体_GB2312" w:hAnsi="黑体" w:eastAsia="楷体_GB2312"/>
          <w:b/>
          <w:sz w:val="24"/>
          <w:szCs w:val="24"/>
        </w:rPr>
      </w:pPr>
      <w:r>
        <w:rPr>
          <w:rFonts w:ascii="仿宋_GB2312" w:hAnsi="黑体" w:eastAsia="仿宋_GB2312"/>
          <w:sz w:val="24"/>
          <w:szCs w:val="24"/>
        </w:rPr>
        <w:br w:type="page"/>
      </w:r>
      <w:r>
        <w:rPr>
          <w:rFonts w:hint="eastAsia" w:ascii="仿宋_GB2312" w:hAnsi="黑体" w:eastAsia="仿宋_GB2312"/>
          <w:sz w:val="24"/>
          <w:szCs w:val="24"/>
        </w:rPr>
        <w:t>2. 近五年监理业绩表-【后缀“序号”】</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restart"/>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1</w:t>
            </w:r>
          </w:p>
        </w:tc>
        <w:tc>
          <w:tcPr>
            <w:tcW w:w="8190" w:type="dxa"/>
            <w:vAlign w:val="center"/>
          </w:tcPr>
          <w:p>
            <w:pPr>
              <w:spacing w:line="400" w:lineRule="exact"/>
              <w:ind w:left="7" w:leftChars="-10" w:hanging="28" w:hangingChars="12"/>
              <w:rPr>
                <w:rFonts w:ascii="仿宋_GB2312" w:eastAsia="仿宋_GB2312"/>
                <w:sz w:val="24"/>
                <w:szCs w:val="24"/>
              </w:rPr>
            </w:pPr>
            <w:r>
              <w:rPr>
                <w:rFonts w:hint="eastAsia" w:ascii="仿宋_GB2312" w:eastAsia="仿宋_GB2312"/>
                <w:sz w:val="24"/>
                <w:szCs w:val="24"/>
              </w:rPr>
              <w:t>合 同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continue"/>
            <w:vAlign w:val="center"/>
          </w:tcPr>
          <w:p>
            <w:pPr>
              <w:spacing w:line="400" w:lineRule="exact"/>
              <w:ind w:firstLine="420"/>
              <w:jc w:val="center"/>
              <w:rPr>
                <w:rFonts w:ascii="仿宋_GB2312" w:eastAsia="仿宋_GB2312"/>
                <w:sz w:val="24"/>
                <w:szCs w:val="24"/>
              </w:rPr>
            </w:pPr>
          </w:p>
        </w:tc>
        <w:tc>
          <w:tcPr>
            <w:tcW w:w="8190" w:type="dxa"/>
            <w:vAlign w:val="center"/>
          </w:tcPr>
          <w:p>
            <w:pPr>
              <w:spacing w:line="400" w:lineRule="exact"/>
              <w:rPr>
                <w:rFonts w:ascii="仿宋_GB2312" w:eastAsia="仿宋_GB2312"/>
                <w:sz w:val="24"/>
                <w:szCs w:val="24"/>
              </w:rPr>
            </w:pPr>
            <w:r>
              <w:rPr>
                <w:rFonts w:hint="eastAsia" w:ascii="仿宋_GB2312" w:eastAsia="仿宋_GB2312"/>
                <w:sz w:val="24"/>
                <w:szCs w:val="24"/>
              </w:rPr>
              <w:t>合同名称：                           □已完项目  □未完项目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continue"/>
            <w:vAlign w:val="center"/>
          </w:tcPr>
          <w:p>
            <w:pPr>
              <w:spacing w:line="400" w:lineRule="exact"/>
              <w:ind w:firstLine="420"/>
              <w:jc w:val="center"/>
              <w:rPr>
                <w:rFonts w:ascii="仿宋_GB2312" w:eastAsia="仿宋_GB2312"/>
                <w:sz w:val="24"/>
                <w:szCs w:val="24"/>
              </w:rPr>
            </w:pPr>
          </w:p>
        </w:tc>
        <w:tc>
          <w:tcPr>
            <w:tcW w:w="8190" w:type="dxa"/>
            <w:vAlign w:val="center"/>
          </w:tcPr>
          <w:p>
            <w:pPr>
              <w:spacing w:line="400" w:lineRule="exact"/>
              <w:ind w:left="7" w:leftChars="-10" w:hanging="28" w:hangingChars="12"/>
              <w:rPr>
                <w:rFonts w:ascii="仿宋_GB2312" w:eastAsia="仿宋_GB2312"/>
                <w:sz w:val="24"/>
                <w:szCs w:val="24"/>
              </w:rPr>
            </w:pPr>
            <w:r>
              <w:rPr>
                <w:rFonts w:hint="eastAsia" w:ascii="仿宋_GB2312" w:eastAsia="仿宋_GB2312"/>
                <w:sz w:val="24"/>
                <w:szCs w:val="24"/>
              </w:rPr>
              <w:t>工程地址：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continue"/>
            <w:vAlign w:val="center"/>
          </w:tcPr>
          <w:p>
            <w:pPr>
              <w:spacing w:line="400" w:lineRule="exact"/>
              <w:ind w:firstLine="42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总 面 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0" w:type="dxa"/>
            <w:vMerge w:val="continue"/>
            <w:vAlign w:val="center"/>
          </w:tcPr>
          <w:p>
            <w:pPr>
              <w:spacing w:line="400" w:lineRule="exact"/>
              <w:ind w:firstLine="42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工程总投资：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2</w:t>
            </w: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甲方名称：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0" w:firstLineChars="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甲方地址：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0" w:firstLineChars="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甲方联系方式：联系人：            联系电话（包括座机和手机）：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3</w:t>
            </w: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 xml:space="preserve">工程性质和特点【同时详细说明所承担的合同内容】：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0" w:firstLineChars="0"/>
              <w:jc w:val="center"/>
              <w:rPr>
                <w:rFonts w:ascii="仿宋_GB2312" w:eastAsia="仿宋_GB2312"/>
                <w:sz w:val="24"/>
                <w:szCs w:val="24"/>
              </w:rPr>
            </w:pPr>
          </w:p>
        </w:tc>
        <w:tc>
          <w:tcPr>
            <w:tcW w:w="8190" w:type="dxa"/>
            <w:vAlign w:val="center"/>
          </w:tcPr>
          <w:p>
            <w:pPr>
              <w:spacing w:line="400" w:lineRule="exact"/>
              <w:ind w:left="7" w:leftChars="-10" w:hanging="28" w:hangingChars="12"/>
              <w:rPr>
                <w:rFonts w:ascii="仿宋_GB2312" w:eastAsia="仿宋_GB2312"/>
                <w:sz w:val="24"/>
                <w:szCs w:val="24"/>
              </w:rPr>
            </w:pPr>
            <w:r>
              <w:rPr>
                <w:rFonts w:hint="eastAsia" w:ascii="仿宋_GB2312" w:eastAsia="仿宋_GB2312"/>
                <w:sz w:val="24"/>
                <w:szCs w:val="24"/>
              </w:rPr>
              <w:t>合同总价：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48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合同授予时间：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pPr>
              <w:pStyle w:val="23"/>
              <w:spacing w:line="400" w:lineRule="exact"/>
              <w:ind w:firstLine="0" w:firstLineChars="0"/>
              <w:jc w:val="center"/>
              <w:rPr>
                <w:rFonts w:ascii="仿宋_GB2312" w:eastAsia="仿宋_GB2312"/>
                <w:sz w:val="24"/>
                <w:szCs w:val="24"/>
              </w:rPr>
            </w:pPr>
          </w:p>
        </w:tc>
        <w:tc>
          <w:tcPr>
            <w:tcW w:w="8190" w:type="dxa"/>
            <w:vAlign w:val="center"/>
          </w:tcPr>
          <w:p>
            <w:pPr>
              <w:pStyle w:val="271"/>
              <w:adjustRightInd/>
              <w:spacing w:line="400" w:lineRule="exact"/>
              <w:textAlignment w:val="auto"/>
              <w:rPr>
                <w:rFonts w:ascii="仿宋_GB2312" w:hAnsi="Times New Roman" w:eastAsia="仿宋_GB2312"/>
                <w:szCs w:val="24"/>
              </w:rPr>
            </w:pPr>
            <w:r>
              <w:rPr>
                <w:rFonts w:hint="eastAsia" w:ascii="仿宋_GB2312" w:hAnsi="Times New Roman" w:eastAsia="仿宋_GB2312"/>
                <w:szCs w:val="24"/>
              </w:rPr>
              <w:t>合同工期【注明开始～结束时间】：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4</w:t>
            </w:r>
          </w:p>
        </w:tc>
        <w:tc>
          <w:tcPr>
            <w:tcW w:w="8190" w:type="dxa"/>
            <w:vAlign w:val="center"/>
          </w:tcPr>
          <w:p>
            <w:pPr>
              <w:spacing w:line="400" w:lineRule="exact"/>
              <w:rPr>
                <w:rFonts w:ascii="仿宋_GB2312" w:eastAsia="仿宋_GB2312"/>
                <w:sz w:val="24"/>
                <w:szCs w:val="24"/>
              </w:rPr>
            </w:pPr>
            <w:r>
              <w:rPr>
                <w:rFonts w:hint="eastAsia" w:ascii="仿宋_GB2312" w:eastAsia="仿宋_GB2312"/>
                <w:sz w:val="24"/>
                <w:szCs w:val="24"/>
              </w:rPr>
              <w:t>完成情况简介：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pStyle w:val="23"/>
              <w:spacing w:line="400" w:lineRule="exact"/>
              <w:ind w:firstLine="0" w:firstLineChars="0"/>
              <w:jc w:val="center"/>
              <w:rPr>
                <w:rFonts w:ascii="仿宋_GB2312" w:eastAsia="仿宋_GB2312"/>
                <w:sz w:val="24"/>
                <w:szCs w:val="24"/>
              </w:rPr>
            </w:pPr>
            <w:r>
              <w:rPr>
                <w:rFonts w:hint="eastAsia" w:ascii="仿宋_GB2312" w:eastAsia="仿宋_GB2312"/>
                <w:sz w:val="24"/>
                <w:szCs w:val="24"/>
              </w:rPr>
              <w:t>5</w:t>
            </w:r>
          </w:p>
        </w:tc>
        <w:tc>
          <w:tcPr>
            <w:tcW w:w="8190" w:type="dxa"/>
            <w:vAlign w:val="center"/>
          </w:tcPr>
          <w:p>
            <w:pPr>
              <w:spacing w:line="400" w:lineRule="exact"/>
              <w:rPr>
                <w:rFonts w:ascii="仿宋_GB2312" w:eastAsia="仿宋_GB2312"/>
                <w:sz w:val="24"/>
                <w:szCs w:val="24"/>
              </w:rPr>
            </w:pPr>
            <w:r>
              <w:rPr>
                <w:rFonts w:hint="eastAsia" w:ascii="仿宋_GB2312" w:eastAsia="仿宋_GB2312"/>
                <w:sz w:val="24"/>
                <w:szCs w:val="24"/>
              </w:rPr>
              <w:t xml:space="preserve">其    他： </w:t>
            </w:r>
          </w:p>
        </w:tc>
      </w:tr>
    </w:tbl>
    <w:p>
      <w:pPr>
        <w:spacing w:line="460" w:lineRule="exact"/>
        <w:rPr>
          <w:rFonts w:ascii="仿宋_GB2312" w:eastAsia="仿宋_GB2312"/>
          <w:sz w:val="24"/>
          <w:szCs w:val="24"/>
        </w:rPr>
      </w:pPr>
      <w:r>
        <w:rPr>
          <w:rFonts w:hint="eastAsia" w:ascii="仿宋_GB2312" w:eastAsia="仿宋_GB2312"/>
          <w:sz w:val="24"/>
          <w:szCs w:val="24"/>
        </w:rPr>
        <w:t>备注：每个业绩项目须单独填表，列明序号，与清单顺序一一对应。附合同协议书和等复印件（能够判定承担的监理服务内容）复印件。</w:t>
      </w:r>
    </w:p>
    <w:p>
      <w:pPr>
        <w:rPr>
          <w:rFonts w:ascii="仿宋_GB2312" w:eastAsia="仿宋_GB2312"/>
          <w:sz w:val="24"/>
          <w:szCs w:val="24"/>
        </w:rPr>
      </w:pPr>
      <w:r>
        <w:rPr>
          <w:rFonts w:hint="eastAsia" w:ascii="仿宋_GB2312" w:eastAsia="仿宋_GB2312"/>
          <w:sz w:val="24"/>
          <w:szCs w:val="24"/>
        </w:rPr>
        <w:br w:type="page"/>
      </w:r>
    </w:p>
    <w:p>
      <w:pPr>
        <w:spacing w:line="460" w:lineRule="exact"/>
        <w:ind w:firstLine="627" w:firstLineChars="196"/>
        <w:jc w:val="center"/>
        <w:outlineLvl w:val="2"/>
        <w:rPr>
          <w:rFonts w:ascii="黑体" w:hAnsi="黑体" w:eastAsia="黑体"/>
          <w:sz w:val="28"/>
          <w:szCs w:val="28"/>
        </w:rPr>
      </w:pPr>
      <w:bookmarkStart w:id="726" w:name="_Toc184916623"/>
      <w:r>
        <w:rPr>
          <w:rFonts w:hint="eastAsia" w:ascii="黑体" w:hAnsi="黑体" w:eastAsia="黑体"/>
          <w:sz w:val="32"/>
          <w:szCs w:val="32"/>
        </w:rPr>
        <w:t>四、人员实力（复印件）</w:t>
      </w:r>
      <w:bookmarkEnd w:id="726"/>
    </w:p>
    <w:p>
      <w:pPr>
        <w:spacing w:line="460" w:lineRule="exact"/>
        <w:ind w:firstLine="472" w:firstLineChars="196"/>
        <w:rPr>
          <w:rFonts w:ascii="楷体_GB2312" w:hAnsi="黑体" w:eastAsia="楷体_GB2312"/>
          <w:b/>
          <w:sz w:val="24"/>
          <w:szCs w:val="24"/>
        </w:rPr>
      </w:pPr>
      <w:r>
        <w:rPr>
          <w:rFonts w:hint="eastAsia" w:ascii="楷体_GB2312" w:hAnsi="黑体" w:eastAsia="楷体_GB2312"/>
          <w:b/>
          <w:sz w:val="24"/>
          <w:szCs w:val="24"/>
        </w:rPr>
        <w:t>（一）设计人才实力</w:t>
      </w:r>
    </w:p>
    <w:p>
      <w:pPr>
        <w:spacing w:after="120" w:afterLines="50" w:line="460" w:lineRule="exact"/>
        <w:ind w:firstLine="470" w:firstLineChars="196"/>
        <w:rPr>
          <w:rFonts w:ascii="宋体" w:hAnsi="宋体"/>
          <w:sz w:val="24"/>
          <w:szCs w:val="24"/>
        </w:rPr>
      </w:pPr>
      <w:r>
        <w:rPr>
          <w:rFonts w:hint="eastAsia" w:ascii="宋体" w:hAnsi="宋体"/>
          <w:sz w:val="24"/>
          <w:szCs w:val="24"/>
        </w:rPr>
        <w:t>1. 建筑设计工程师清单</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85"/>
        <w:gridCol w:w="1120"/>
        <w:gridCol w:w="2414"/>
        <w:gridCol w:w="1832"/>
        <w:gridCol w:w="1178"/>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序号</w:t>
            </w:r>
          </w:p>
        </w:tc>
        <w:tc>
          <w:tcPr>
            <w:tcW w:w="785"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姓名</w:t>
            </w:r>
          </w:p>
        </w:tc>
        <w:tc>
          <w:tcPr>
            <w:tcW w:w="1120"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职称</w:t>
            </w:r>
          </w:p>
        </w:tc>
        <w:tc>
          <w:tcPr>
            <w:tcW w:w="2414"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身份证号</w:t>
            </w:r>
          </w:p>
        </w:tc>
        <w:tc>
          <w:tcPr>
            <w:tcW w:w="1832"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执业资格证书</w:t>
            </w:r>
          </w:p>
          <w:p>
            <w:pPr>
              <w:spacing w:line="360" w:lineRule="exact"/>
              <w:jc w:val="center"/>
              <w:rPr>
                <w:rFonts w:ascii="黑体" w:hAnsi="黑体" w:eastAsia="黑体"/>
                <w:sz w:val="24"/>
                <w:szCs w:val="24"/>
              </w:rPr>
            </w:pPr>
            <w:r>
              <w:rPr>
                <w:rFonts w:hint="eastAsia" w:ascii="黑体" w:hAnsi="黑体" w:eastAsia="黑体"/>
                <w:sz w:val="24"/>
                <w:szCs w:val="24"/>
              </w:rPr>
              <w:t>管理号</w:t>
            </w:r>
          </w:p>
        </w:tc>
        <w:tc>
          <w:tcPr>
            <w:tcW w:w="1178"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获得年份</w:t>
            </w:r>
          </w:p>
        </w:tc>
        <w:tc>
          <w:tcPr>
            <w:tcW w:w="1004"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1</w:t>
            </w:r>
          </w:p>
        </w:tc>
        <w:tc>
          <w:tcPr>
            <w:tcW w:w="785" w:type="dxa"/>
            <w:vAlign w:val="center"/>
          </w:tcPr>
          <w:p>
            <w:pPr>
              <w:spacing w:line="460" w:lineRule="exact"/>
              <w:jc w:val="center"/>
              <w:rPr>
                <w:rFonts w:ascii="仿宋_GB2312" w:hAnsi="黑体" w:eastAsia="仿宋_GB2312"/>
                <w:sz w:val="24"/>
                <w:szCs w:val="24"/>
              </w:rPr>
            </w:pPr>
          </w:p>
        </w:tc>
        <w:tc>
          <w:tcPr>
            <w:tcW w:w="1120" w:type="dxa"/>
            <w:vAlign w:val="center"/>
          </w:tcPr>
          <w:p>
            <w:pPr>
              <w:spacing w:line="460" w:lineRule="exact"/>
              <w:jc w:val="center"/>
              <w:rPr>
                <w:rFonts w:ascii="仿宋_GB2312" w:hAnsi="黑体" w:eastAsia="仿宋_GB2312"/>
                <w:sz w:val="24"/>
                <w:szCs w:val="24"/>
              </w:rPr>
            </w:pPr>
          </w:p>
        </w:tc>
        <w:tc>
          <w:tcPr>
            <w:tcW w:w="2414" w:type="dxa"/>
            <w:vAlign w:val="center"/>
          </w:tcPr>
          <w:p>
            <w:pPr>
              <w:spacing w:line="460" w:lineRule="exact"/>
              <w:jc w:val="center"/>
              <w:rPr>
                <w:rFonts w:ascii="仿宋_GB2312" w:hAnsi="黑体" w:eastAsia="仿宋_GB2312"/>
                <w:sz w:val="24"/>
                <w:szCs w:val="24"/>
              </w:rPr>
            </w:pPr>
          </w:p>
        </w:tc>
        <w:tc>
          <w:tcPr>
            <w:tcW w:w="1832" w:type="dxa"/>
          </w:tcPr>
          <w:p>
            <w:pPr>
              <w:spacing w:line="460" w:lineRule="exact"/>
              <w:jc w:val="center"/>
              <w:rPr>
                <w:rFonts w:ascii="仿宋_GB2312" w:hAnsi="黑体" w:eastAsia="仿宋_GB2312"/>
                <w:sz w:val="24"/>
                <w:szCs w:val="24"/>
              </w:rPr>
            </w:pPr>
          </w:p>
        </w:tc>
        <w:tc>
          <w:tcPr>
            <w:tcW w:w="1178" w:type="dxa"/>
          </w:tcPr>
          <w:p>
            <w:pPr>
              <w:spacing w:line="460" w:lineRule="exact"/>
              <w:jc w:val="center"/>
              <w:rPr>
                <w:rFonts w:ascii="仿宋_GB2312" w:hAnsi="黑体" w:eastAsia="仿宋_GB2312"/>
                <w:sz w:val="24"/>
                <w:szCs w:val="24"/>
              </w:rPr>
            </w:pPr>
          </w:p>
        </w:tc>
        <w:tc>
          <w:tcPr>
            <w:tcW w:w="1004"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2</w:t>
            </w:r>
          </w:p>
        </w:tc>
        <w:tc>
          <w:tcPr>
            <w:tcW w:w="785" w:type="dxa"/>
            <w:vAlign w:val="center"/>
          </w:tcPr>
          <w:p>
            <w:pPr>
              <w:spacing w:line="460" w:lineRule="exact"/>
              <w:jc w:val="center"/>
              <w:rPr>
                <w:rFonts w:ascii="仿宋_GB2312" w:hAnsi="黑体" w:eastAsia="仿宋_GB2312"/>
                <w:sz w:val="24"/>
                <w:szCs w:val="24"/>
              </w:rPr>
            </w:pPr>
          </w:p>
        </w:tc>
        <w:tc>
          <w:tcPr>
            <w:tcW w:w="1120" w:type="dxa"/>
            <w:vAlign w:val="center"/>
          </w:tcPr>
          <w:p>
            <w:pPr>
              <w:spacing w:line="460" w:lineRule="exact"/>
              <w:jc w:val="center"/>
              <w:rPr>
                <w:rFonts w:ascii="仿宋_GB2312" w:hAnsi="黑体" w:eastAsia="仿宋_GB2312"/>
                <w:sz w:val="24"/>
                <w:szCs w:val="24"/>
              </w:rPr>
            </w:pPr>
          </w:p>
        </w:tc>
        <w:tc>
          <w:tcPr>
            <w:tcW w:w="2414" w:type="dxa"/>
            <w:vAlign w:val="center"/>
          </w:tcPr>
          <w:p>
            <w:pPr>
              <w:spacing w:line="460" w:lineRule="exact"/>
              <w:jc w:val="center"/>
              <w:rPr>
                <w:rFonts w:ascii="仿宋_GB2312" w:hAnsi="黑体" w:eastAsia="仿宋_GB2312"/>
                <w:sz w:val="24"/>
                <w:szCs w:val="24"/>
              </w:rPr>
            </w:pPr>
          </w:p>
        </w:tc>
        <w:tc>
          <w:tcPr>
            <w:tcW w:w="1832" w:type="dxa"/>
          </w:tcPr>
          <w:p>
            <w:pPr>
              <w:spacing w:line="460" w:lineRule="exact"/>
              <w:jc w:val="center"/>
              <w:rPr>
                <w:rFonts w:ascii="仿宋_GB2312" w:hAnsi="黑体" w:eastAsia="仿宋_GB2312"/>
                <w:sz w:val="24"/>
                <w:szCs w:val="24"/>
              </w:rPr>
            </w:pPr>
          </w:p>
        </w:tc>
        <w:tc>
          <w:tcPr>
            <w:tcW w:w="1178" w:type="dxa"/>
          </w:tcPr>
          <w:p>
            <w:pPr>
              <w:spacing w:line="460" w:lineRule="exact"/>
              <w:jc w:val="center"/>
              <w:rPr>
                <w:rFonts w:ascii="仿宋_GB2312" w:hAnsi="黑体" w:eastAsia="仿宋_GB2312"/>
                <w:sz w:val="24"/>
                <w:szCs w:val="24"/>
              </w:rPr>
            </w:pPr>
          </w:p>
        </w:tc>
        <w:tc>
          <w:tcPr>
            <w:tcW w:w="1004"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3</w:t>
            </w:r>
          </w:p>
        </w:tc>
        <w:tc>
          <w:tcPr>
            <w:tcW w:w="785" w:type="dxa"/>
            <w:vAlign w:val="center"/>
          </w:tcPr>
          <w:p>
            <w:pPr>
              <w:spacing w:line="460" w:lineRule="exact"/>
              <w:jc w:val="center"/>
              <w:rPr>
                <w:rFonts w:ascii="仿宋_GB2312" w:hAnsi="黑体" w:eastAsia="仿宋_GB2312"/>
                <w:sz w:val="24"/>
                <w:szCs w:val="24"/>
              </w:rPr>
            </w:pPr>
          </w:p>
        </w:tc>
        <w:tc>
          <w:tcPr>
            <w:tcW w:w="1120" w:type="dxa"/>
            <w:vAlign w:val="center"/>
          </w:tcPr>
          <w:p>
            <w:pPr>
              <w:spacing w:line="460" w:lineRule="exact"/>
              <w:jc w:val="center"/>
              <w:rPr>
                <w:rFonts w:ascii="仿宋_GB2312" w:hAnsi="黑体" w:eastAsia="仿宋_GB2312"/>
                <w:sz w:val="24"/>
                <w:szCs w:val="24"/>
              </w:rPr>
            </w:pPr>
          </w:p>
        </w:tc>
        <w:tc>
          <w:tcPr>
            <w:tcW w:w="2414" w:type="dxa"/>
            <w:vAlign w:val="center"/>
          </w:tcPr>
          <w:p>
            <w:pPr>
              <w:spacing w:line="460" w:lineRule="exact"/>
              <w:jc w:val="center"/>
              <w:rPr>
                <w:rFonts w:ascii="仿宋_GB2312" w:hAnsi="黑体" w:eastAsia="仿宋_GB2312"/>
                <w:sz w:val="24"/>
                <w:szCs w:val="24"/>
              </w:rPr>
            </w:pPr>
          </w:p>
        </w:tc>
        <w:tc>
          <w:tcPr>
            <w:tcW w:w="1832" w:type="dxa"/>
          </w:tcPr>
          <w:p>
            <w:pPr>
              <w:spacing w:line="460" w:lineRule="exact"/>
              <w:jc w:val="center"/>
              <w:rPr>
                <w:rFonts w:ascii="仿宋_GB2312" w:hAnsi="黑体" w:eastAsia="仿宋_GB2312"/>
                <w:sz w:val="24"/>
                <w:szCs w:val="24"/>
              </w:rPr>
            </w:pPr>
          </w:p>
        </w:tc>
        <w:tc>
          <w:tcPr>
            <w:tcW w:w="1178" w:type="dxa"/>
          </w:tcPr>
          <w:p>
            <w:pPr>
              <w:spacing w:line="460" w:lineRule="exact"/>
              <w:jc w:val="center"/>
              <w:rPr>
                <w:rFonts w:ascii="仿宋_GB2312" w:hAnsi="黑体" w:eastAsia="仿宋_GB2312"/>
                <w:sz w:val="24"/>
                <w:szCs w:val="24"/>
              </w:rPr>
            </w:pPr>
          </w:p>
        </w:tc>
        <w:tc>
          <w:tcPr>
            <w:tcW w:w="1004"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w:t>
            </w:r>
          </w:p>
        </w:tc>
        <w:tc>
          <w:tcPr>
            <w:tcW w:w="785" w:type="dxa"/>
            <w:vAlign w:val="center"/>
          </w:tcPr>
          <w:p>
            <w:pPr>
              <w:spacing w:line="460" w:lineRule="exact"/>
              <w:jc w:val="center"/>
              <w:rPr>
                <w:rFonts w:ascii="仿宋_GB2312" w:hAnsi="黑体" w:eastAsia="仿宋_GB2312"/>
                <w:sz w:val="24"/>
                <w:szCs w:val="24"/>
              </w:rPr>
            </w:pPr>
          </w:p>
        </w:tc>
        <w:tc>
          <w:tcPr>
            <w:tcW w:w="1120" w:type="dxa"/>
            <w:vAlign w:val="center"/>
          </w:tcPr>
          <w:p>
            <w:pPr>
              <w:spacing w:line="460" w:lineRule="exact"/>
              <w:jc w:val="center"/>
              <w:rPr>
                <w:rFonts w:ascii="仿宋_GB2312" w:hAnsi="黑体" w:eastAsia="仿宋_GB2312"/>
                <w:sz w:val="24"/>
                <w:szCs w:val="24"/>
              </w:rPr>
            </w:pPr>
          </w:p>
        </w:tc>
        <w:tc>
          <w:tcPr>
            <w:tcW w:w="2414" w:type="dxa"/>
            <w:vAlign w:val="center"/>
          </w:tcPr>
          <w:p>
            <w:pPr>
              <w:spacing w:line="460" w:lineRule="exact"/>
              <w:jc w:val="center"/>
              <w:rPr>
                <w:rFonts w:ascii="仿宋_GB2312" w:hAnsi="黑体" w:eastAsia="仿宋_GB2312"/>
                <w:sz w:val="24"/>
                <w:szCs w:val="24"/>
              </w:rPr>
            </w:pPr>
          </w:p>
        </w:tc>
        <w:tc>
          <w:tcPr>
            <w:tcW w:w="1832" w:type="dxa"/>
          </w:tcPr>
          <w:p>
            <w:pPr>
              <w:spacing w:line="460" w:lineRule="exact"/>
              <w:jc w:val="center"/>
              <w:rPr>
                <w:rFonts w:ascii="仿宋_GB2312" w:hAnsi="黑体" w:eastAsia="仿宋_GB2312"/>
                <w:sz w:val="24"/>
                <w:szCs w:val="24"/>
              </w:rPr>
            </w:pPr>
          </w:p>
        </w:tc>
        <w:tc>
          <w:tcPr>
            <w:tcW w:w="1178" w:type="dxa"/>
          </w:tcPr>
          <w:p>
            <w:pPr>
              <w:spacing w:line="460" w:lineRule="exact"/>
              <w:jc w:val="center"/>
              <w:rPr>
                <w:rFonts w:ascii="仿宋_GB2312" w:hAnsi="黑体" w:eastAsia="仿宋_GB2312"/>
                <w:sz w:val="24"/>
                <w:szCs w:val="24"/>
              </w:rPr>
            </w:pPr>
          </w:p>
        </w:tc>
        <w:tc>
          <w:tcPr>
            <w:tcW w:w="1004" w:type="dxa"/>
            <w:vAlign w:val="center"/>
          </w:tcPr>
          <w:p>
            <w:pPr>
              <w:spacing w:line="460" w:lineRule="exact"/>
              <w:jc w:val="center"/>
              <w:rPr>
                <w:rFonts w:ascii="仿宋_GB2312" w:hAnsi="黑体" w:eastAsia="仿宋_GB2312"/>
                <w:sz w:val="24"/>
                <w:szCs w:val="24"/>
              </w:rPr>
            </w:pPr>
          </w:p>
        </w:tc>
      </w:tr>
    </w:tbl>
    <w:p>
      <w:pPr>
        <w:spacing w:after="120" w:afterLines="50" w:line="460" w:lineRule="exact"/>
        <w:ind w:firstLine="470" w:firstLineChars="196"/>
        <w:rPr>
          <w:rFonts w:ascii="宋体" w:hAnsi="宋体"/>
          <w:sz w:val="24"/>
          <w:szCs w:val="24"/>
        </w:rPr>
      </w:pPr>
      <w:r>
        <w:rPr>
          <w:rFonts w:hint="eastAsia" w:ascii="宋体" w:hAnsi="宋体"/>
          <w:sz w:val="24"/>
          <w:szCs w:val="24"/>
        </w:rPr>
        <w:t>备注：本清单仅作为评审参考，实际人员数量根据后附证明材料判定。</w:t>
      </w:r>
    </w:p>
    <w:p>
      <w:pPr>
        <w:spacing w:after="120" w:afterLines="50" w:line="460" w:lineRule="exact"/>
        <w:ind w:firstLine="472" w:firstLineChars="196"/>
        <w:rPr>
          <w:rFonts w:ascii="宋体" w:hAnsi="宋体"/>
          <w:sz w:val="24"/>
          <w:szCs w:val="24"/>
        </w:rPr>
      </w:pPr>
      <w:r>
        <w:rPr>
          <w:rFonts w:ascii="楷体_GB2312" w:hAnsi="黑体" w:eastAsia="楷体_GB2312"/>
          <w:b/>
          <w:sz w:val="24"/>
          <w:szCs w:val="24"/>
        </w:rPr>
        <w:br w:type="page"/>
      </w:r>
      <w:r>
        <w:rPr>
          <w:rFonts w:hint="eastAsia" w:ascii="宋体" w:hAnsi="宋体"/>
          <w:sz w:val="24"/>
          <w:szCs w:val="24"/>
        </w:rPr>
        <w:t>2. 建筑设计工程师证明材料-【后缀“序号-姓名”】</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22"/>
        <w:gridCol w:w="1326"/>
        <w:gridCol w:w="1270"/>
        <w:gridCol w:w="1192"/>
        <w:gridCol w:w="16"/>
        <w:gridCol w:w="1589"/>
        <w:gridCol w:w="773"/>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姓名</w:t>
            </w:r>
          </w:p>
        </w:tc>
        <w:tc>
          <w:tcPr>
            <w:tcW w:w="1348" w:type="dxa"/>
            <w:gridSpan w:val="2"/>
            <w:vAlign w:val="center"/>
          </w:tcPr>
          <w:p>
            <w:pPr>
              <w:spacing w:after="120" w:afterLines="50" w:line="460" w:lineRule="exact"/>
              <w:ind w:firstLine="431" w:firstLineChars="196"/>
              <w:rPr>
                <w:rFonts w:ascii="宋体" w:hAnsi="宋体"/>
                <w:sz w:val="22"/>
                <w:szCs w:val="24"/>
              </w:rPr>
            </w:pPr>
          </w:p>
        </w:tc>
        <w:tc>
          <w:tcPr>
            <w:tcW w:w="1270" w:type="dxa"/>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年龄</w:t>
            </w:r>
          </w:p>
        </w:tc>
        <w:tc>
          <w:tcPr>
            <w:tcW w:w="1208" w:type="dxa"/>
            <w:gridSpan w:val="2"/>
            <w:vAlign w:val="center"/>
          </w:tcPr>
          <w:p>
            <w:pPr>
              <w:spacing w:after="120" w:afterLines="50" w:line="460" w:lineRule="exact"/>
              <w:ind w:firstLine="431" w:firstLineChars="196"/>
              <w:rPr>
                <w:rFonts w:ascii="宋体" w:hAnsi="宋体"/>
                <w:sz w:val="22"/>
                <w:szCs w:val="24"/>
              </w:rPr>
            </w:pPr>
          </w:p>
        </w:tc>
        <w:tc>
          <w:tcPr>
            <w:tcW w:w="2362" w:type="dxa"/>
            <w:gridSpan w:val="2"/>
            <w:vMerge w:val="restart"/>
            <w:vAlign w:val="center"/>
          </w:tcPr>
          <w:p>
            <w:pPr>
              <w:spacing w:after="120" w:afterLines="50" w:line="460" w:lineRule="exact"/>
              <w:jc w:val="center"/>
              <w:rPr>
                <w:rFonts w:ascii="宋体" w:hAnsi="宋体"/>
                <w:sz w:val="22"/>
                <w:szCs w:val="24"/>
              </w:rPr>
            </w:pPr>
            <w:r>
              <w:rPr>
                <w:rFonts w:hint="eastAsia" w:ascii="宋体" w:hAnsi="宋体"/>
                <w:sz w:val="22"/>
                <w:szCs w:val="24"/>
              </w:rPr>
              <w:t>执业资格证书管理号</w:t>
            </w:r>
          </w:p>
        </w:tc>
        <w:tc>
          <w:tcPr>
            <w:tcW w:w="1449" w:type="dxa"/>
            <w:vMerge w:val="restart"/>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职称</w:t>
            </w:r>
          </w:p>
        </w:tc>
        <w:tc>
          <w:tcPr>
            <w:tcW w:w="1348" w:type="dxa"/>
            <w:gridSpan w:val="2"/>
            <w:vAlign w:val="center"/>
          </w:tcPr>
          <w:p>
            <w:pPr>
              <w:spacing w:after="120" w:afterLines="50" w:line="460" w:lineRule="exact"/>
              <w:ind w:firstLine="431" w:firstLineChars="196"/>
              <w:rPr>
                <w:rFonts w:ascii="宋体" w:hAnsi="宋体"/>
                <w:sz w:val="22"/>
                <w:szCs w:val="24"/>
              </w:rPr>
            </w:pPr>
          </w:p>
        </w:tc>
        <w:tc>
          <w:tcPr>
            <w:tcW w:w="1270" w:type="dxa"/>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职务</w:t>
            </w:r>
          </w:p>
        </w:tc>
        <w:tc>
          <w:tcPr>
            <w:tcW w:w="1208" w:type="dxa"/>
            <w:gridSpan w:val="2"/>
            <w:vAlign w:val="center"/>
          </w:tcPr>
          <w:p>
            <w:pPr>
              <w:spacing w:after="120" w:afterLines="50" w:line="460" w:lineRule="exact"/>
              <w:ind w:firstLine="431" w:firstLineChars="196"/>
              <w:rPr>
                <w:rFonts w:ascii="宋体" w:hAnsi="宋体"/>
                <w:sz w:val="22"/>
                <w:szCs w:val="24"/>
              </w:rPr>
            </w:pPr>
          </w:p>
        </w:tc>
        <w:tc>
          <w:tcPr>
            <w:tcW w:w="2362" w:type="dxa"/>
            <w:gridSpan w:val="2"/>
            <w:vMerge w:val="continue"/>
            <w:vAlign w:val="center"/>
          </w:tcPr>
          <w:p>
            <w:pPr>
              <w:spacing w:after="120" w:afterLines="50" w:line="460" w:lineRule="exact"/>
              <w:jc w:val="center"/>
              <w:rPr>
                <w:rFonts w:ascii="宋体" w:hAnsi="宋体"/>
                <w:sz w:val="22"/>
                <w:szCs w:val="24"/>
              </w:rPr>
            </w:pPr>
          </w:p>
        </w:tc>
        <w:tc>
          <w:tcPr>
            <w:tcW w:w="1449" w:type="dxa"/>
            <w:vMerge w:val="continue"/>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spacing w:after="120" w:afterLines="50" w:line="460" w:lineRule="exact"/>
              <w:ind w:firstLine="220" w:firstLineChars="100"/>
              <w:rPr>
                <w:rFonts w:ascii="宋体" w:hAnsi="宋体"/>
                <w:sz w:val="22"/>
                <w:szCs w:val="24"/>
              </w:rPr>
            </w:pPr>
            <w:r>
              <w:rPr>
                <w:rFonts w:hint="eastAsia" w:ascii="宋体" w:hAnsi="宋体"/>
                <w:sz w:val="22"/>
                <w:szCs w:val="24"/>
              </w:rPr>
              <w:t>毕业学校</w:t>
            </w:r>
          </w:p>
        </w:tc>
        <w:tc>
          <w:tcPr>
            <w:tcW w:w="7637" w:type="dxa"/>
            <w:gridSpan w:val="8"/>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0" w:type="dxa"/>
            <w:gridSpan w:val="9"/>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个人主要履历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时间</w:t>
            </w:r>
          </w:p>
        </w:tc>
        <w:tc>
          <w:tcPr>
            <w:tcW w:w="5393" w:type="dxa"/>
            <w:gridSpan w:val="5"/>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学校/单位</w:t>
            </w:r>
          </w:p>
        </w:tc>
        <w:tc>
          <w:tcPr>
            <w:tcW w:w="2222"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5393" w:type="dxa"/>
            <w:gridSpan w:val="5"/>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5393" w:type="dxa"/>
            <w:gridSpan w:val="5"/>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5393" w:type="dxa"/>
            <w:gridSpan w:val="5"/>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w:t>
            </w:r>
          </w:p>
        </w:tc>
        <w:tc>
          <w:tcPr>
            <w:tcW w:w="5393" w:type="dxa"/>
            <w:gridSpan w:val="5"/>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060" w:type="dxa"/>
            <w:gridSpan w:val="9"/>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时间</w:t>
            </w:r>
          </w:p>
        </w:tc>
        <w:tc>
          <w:tcPr>
            <w:tcW w:w="3788" w:type="dxa"/>
            <w:gridSpan w:val="3"/>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代表性项目</w:t>
            </w:r>
          </w:p>
        </w:tc>
        <w:tc>
          <w:tcPr>
            <w:tcW w:w="160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担任职务</w:t>
            </w:r>
          </w:p>
        </w:tc>
        <w:tc>
          <w:tcPr>
            <w:tcW w:w="2222"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3788" w:type="dxa"/>
            <w:gridSpan w:val="3"/>
            <w:vAlign w:val="center"/>
          </w:tcPr>
          <w:p>
            <w:pPr>
              <w:spacing w:after="120" w:afterLines="50" w:line="460" w:lineRule="exact"/>
              <w:ind w:firstLine="431" w:firstLineChars="196"/>
              <w:rPr>
                <w:rFonts w:ascii="宋体" w:hAnsi="宋体"/>
                <w:sz w:val="22"/>
                <w:szCs w:val="24"/>
              </w:rPr>
            </w:pPr>
          </w:p>
        </w:tc>
        <w:tc>
          <w:tcPr>
            <w:tcW w:w="1605" w:type="dxa"/>
            <w:gridSpan w:val="2"/>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3788" w:type="dxa"/>
            <w:gridSpan w:val="3"/>
            <w:vAlign w:val="center"/>
          </w:tcPr>
          <w:p>
            <w:pPr>
              <w:spacing w:after="120" w:afterLines="50" w:line="460" w:lineRule="exact"/>
              <w:ind w:firstLine="431" w:firstLineChars="196"/>
              <w:rPr>
                <w:rFonts w:ascii="宋体" w:hAnsi="宋体"/>
                <w:sz w:val="22"/>
                <w:szCs w:val="24"/>
              </w:rPr>
            </w:pPr>
          </w:p>
        </w:tc>
        <w:tc>
          <w:tcPr>
            <w:tcW w:w="1605" w:type="dxa"/>
            <w:gridSpan w:val="2"/>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w:t>
            </w:r>
          </w:p>
        </w:tc>
        <w:tc>
          <w:tcPr>
            <w:tcW w:w="3788" w:type="dxa"/>
            <w:gridSpan w:val="3"/>
            <w:vAlign w:val="center"/>
          </w:tcPr>
          <w:p>
            <w:pPr>
              <w:spacing w:after="120" w:afterLines="50" w:line="460" w:lineRule="exact"/>
              <w:ind w:firstLine="431" w:firstLineChars="196"/>
              <w:rPr>
                <w:rFonts w:ascii="宋体" w:hAnsi="宋体"/>
                <w:sz w:val="22"/>
                <w:szCs w:val="24"/>
              </w:rPr>
            </w:pPr>
          </w:p>
        </w:tc>
        <w:tc>
          <w:tcPr>
            <w:tcW w:w="1605" w:type="dxa"/>
            <w:gridSpan w:val="2"/>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bl>
    <w:p>
      <w:pPr>
        <w:spacing w:after="120" w:afterLines="50" w:line="460" w:lineRule="exact"/>
        <w:ind w:firstLine="470" w:firstLineChars="196"/>
        <w:rPr>
          <w:rFonts w:ascii="宋体" w:hAnsi="宋体"/>
          <w:sz w:val="24"/>
          <w:szCs w:val="24"/>
        </w:rPr>
      </w:pPr>
      <w:r>
        <w:rPr>
          <w:rFonts w:hint="eastAsia" w:ascii="宋体" w:hAnsi="宋体"/>
          <w:sz w:val="24"/>
          <w:szCs w:val="24"/>
        </w:rPr>
        <w:t>备注：</w:t>
      </w:r>
    </w:p>
    <w:p>
      <w:pPr>
        <w:spacing w:after="120" w:afterLines="50" w:line="460" w:lineRule="exact"/>
        <w:ind w:firstLine="470" w:firstLineChars="196"/>
        <w:rPr>
          <w:rFonts w:ascii="宋体" w:hAnsi="宋体"/>
          <w:sz w:val="24"/>
          <w:szCs w:val="24"/>
        </w:rPr>
      </w:pPr>
      <w:r>
        <w:rPr>
          <w:rFonts w:hint="eastAsia" w:ascii="宋体" w:hAnsi="宋体"/>
          <w:sz w:val="24"/>
          <w:szCs w:val="24"/>
        </w:rPr>
        <w:t>1．个人主要履历从大学开始填写。</w:t>
      </w:r>
    </w:p>
    <w:p>
      <w:pPr>
        <w:spacing w:after="120" w:afterLines="50" w:line="460" w:lineRule="exact"/>
        <w:ind w:firstLine="470" w:firstLineChars="196"/>
        <w:rPr>
          <w:rFonts w:ascii="宋体" w:hAnsi="宋体"/>
          <w:sz w:val="24"/>
          <w:szCs w:val="24"/>
        </w:rPr>
      </w:pPr>
      <w:r>
        <w:rPr>
          <w:rFonts w:hint="eastAsia" w:ascii="宋体" w:hAnsi="宋体"/>
          <w:sz w:val="24"/>
          <w:szCs w:val="24"/>
        </w:rPr>
        <w:t>2．附身份证、国家</w:t>
      </w:r>
      <w:r>
        <w:rPr>
          <w:rFonts w:hint="eastAsia" w:ascii="宋体" w:hAnsi="宋体"/>
          <w:color w:val="0000FF"/>
          <w:sz w:val="24"/>
          <w:szCs w:val="24"/>
        </w:rPr>
        <w:t>设计</w:t>
      </w:r>
      <w:r>
        <w:rPr>
          <w:rFonts w:hint="eastAsia" w:ascii="宋体" w:hAnsi="宋体"/>
          <w:sz w:val="24"/>
          <w:szCs w:val="24"/>
        </w:rPr>
        <w:t>工程师注册执业资格证书、职称证（若有）、学历学位证。</w:t>
      </w:r>
    </w:p>
    <w:p>
      <w:pPr>
        <w:spacing w:after="120" w:afterLines="50" w:line="460" w:lineRule="exact"/>
        <w:ind w:firstLine="470" w:firstLineChars="196"/>
        <w:rPr>
          <w:rFonts w:ascii="宋体" w:hAnsi="宋体"/>
          <w:sz w:val="24"/>
          <w:szCs w:val="24"/>
        </w:rPr>
      </w:pPr>
      <w:r>
        <w:rPr>
          <w:rFonts w:hint="eastAsia" w:ascii="宋体" w:hAnsi="宋体"/>
          <w:sz w:val="24"/>
          <w:szCs w:val="24"/>
        </w:rPr>
        <w:t>3．人员顺序与清单顺序一致，且一一对应。</w:t>
      </w:r>
    </w:p>
    <w:p>
      <w:pPr>
        <w:spacing w:line="460" w:lineRule="exact"/>
        <w:ind w:firstLine="482" w:firstLineChars="200"/>
        <w:rPr>
          <w:rFonts w:ascii="楷体_GB2312" w:hAnsi="黑体" w:eastAsia="楷体_GB2312"/>
          <w:b/>
          <w:sz w:val="24"/>
          <w:szCs w:val="24"/>
        </w:rPr>
      </w:pPr>
      <w:r>
        <w:rPr>
          <w:rFonts w:ascii="宋体" w:hAnsi="宋体"/>
          <w:b/>
          <w:sz w:val="24"/>
          <w:szCs w:val="24"/>
        </w:rPr>
        <w:br w:type="page"/>
      </w:r>
      <w:r>
        <w:rPr>
          <w:rFonts w:hint="eastAsia" w:ascii="楷体_GB2312" w:hAnsi="黑体" w:eastAsia="楷体_GB2312"/>
          <w:b/>
          <w:sz w:val="24"/>
          <w:szCs w:val="24"/>
        </w:rPr>
        <w:t>（二）注册造价工程师</w:t>
      </w:r>
    </w:p>
    <w:p>
      <w:pPr>
        <w:spacing w:after="120" w:afterLines="50" w:line="460" w:lineRule="exact"/>
        <w:ind w:firstLine="470" w:firstLineChars="196"/>
        <w:rPr>
          <w:rFonts w:ascii="宋体" w:hAnsi="宋体"/>
          <w:sz w:val="24"/>
          <w:szCs w:val="24"/>
        </w:rPr>
      </w:pPr>
      <w:r>
        <w:rPr>
          <w:rFonts w:hint="eastAsia" w:ascii="宋体" w:hAnsi="宋体"/>
          <w:sz w:val="24"/>
          <w:szCs w:val="24"/>
        </w:rPr>
        <w:t>1. 注册造价工程师清单</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85"/>
        <w:gridCol w:w="1120"/>
        <w:gridCol w:w="2414"/>
        <w:gridCol w:w="1832"/>
        <w:gridCol w:w="1178"/>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序号</w:t>
            </w:r>
          </w:p>
        </w:tc>
        <w:tc>
          <w:tcPr>
            <w:tcW w:w="785"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姓名</w:t>
            </w:r>
          </w:p>
        </w:tc>
        <w:tc>
          <w:tcPr>
            <w:tcW w:w="1120"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职称</w:t>
            </w:r>
          </w:p>
        </w:tc>
        <w:tc>
          <w:tcPr>
            <w:tcW w:w="2414"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身份证号</w:t>
            </w:r>
          </w:p>
        </w:tc>
        <w:tc>
          <w:tcPr>
            <w:tcW w:w="1832"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执业资格证书</w:t>
            </w:r>
          </w:p>
          <w:p>
            <w:pPr>
              <w:spacing w:line="360" w:lineRule="exact"/>
              <w:jc w:val="center"/>
              <w:rPr>
                <w:rFonts w:ascii="黑体" w:hAnsi="黑体" w:eastAsia="黑体"/>
                <w:sz w:val="24"/>
                <w:szCs w:val="24"/>
              </w:rPr>
            </w:pPr>
            <w:r>
              <w:rPr>
                <w:rFonts w:hint="eastAsia" w:ascii="黑体" w:hAnsi="黑体" w:eastAsia="黑体"/>
                <w:sz w:val="24"/>
                <w:szCs w:val="24"/>
              </w:rPr>
              <w:t>管理号</w:t>
            </w:r>
          </w:p>
        </w:tc>
        <w:tc>
          <w:tcPr>
            <w:tcW w:w="1178"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获得年份</w:t>
            </w:r>
          </w:p>
        </w:tc>
        <w:tc>
          <w:tcPr>
            <w:tcW w:w="1004"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1</w:t>
            </w:r>
          </w:p>
        </w:tc>
        <w:tc>
          <w:tcPr>
            <w:tcW w:w="785" w:type="dxa"/>
            <w:vAlign w:val="center"/>
          </w:tcPr>
          <w:p>
            <w:pPr>
              <w:spacing w:line="460" w:lineRule="exact"/>
              <w:jc w:val="center"/>
              <w:rPr>
                <w:rFonts w:ascii="仿宋_GB2312" w:hAnsi="黑体" w:eastAsia="仿宋_GB2312"/>
                <w:sz w:val="24"/>
                <w:szCs w:val="24"/>
              </w:rPr>
            </w:pPr>
          </w:p>
        </w:tc>
        <w:tc>
          <w:tcPr>
            <w:tcW w:w="1120" w:type="dxa"/>
            <w:vAlign w:val="center"/>
          </w:tcPr>
          <w:p>
            <w:pPr>
              <w:spacing w:line="460" w:lineRule="exact"/>
              <w:jc w:val="center"/>
              <w:rPr>
                <w:rFonts w:ascii="仿宋_GB2312" w:hAnsi="黑体" w:eastAsia="仿宋_GB2312"/>
                <w:sz w:val="24"/>
                <w:szCs w:val="24"/>
              </w:rPr>
            </w:pPr>
          </w:p>
        </w:tc>
        <w:tc>
          <w:tcPr>
            <w:tcW w:w="2414" w:type="dxa"/>
            <w:vAlign w:val="center"/>
          </w:tcPr>
          <w:p>
            <w:pPr>
              <w:spacing w:line="460" w:lineRule="exact"/>
              <w:jc w:val="center"/>
              <w:rPr>
                <w:rFonts w:ascii="仿宋_GB2312" w:hAnsi="黑体" w:eastAsia="仿宋_GB2312"/>
                <w:sz w:val="24"/>
                <w:szCs w:val="24"/>
              </w:rPr>
            </w:pPr>
          </w:p>
        </w:tc>
        <w:tc>
          <w:tcPr>
            <w:tcW w:w="1832" w:type="dxa"/>
          </w:tcPr>
          <w:p>
            <w:pPr>
              <w:spacing w:line="460" w:lineRule="exact"/>
              <w:jc w:val="center"/>
              <w:rPr>
                <w:rFonts w:ascii="仿宋_GB2312" w:hAnsi="黑体" w:eastAsia="仿宋_GB2312"/>
                <w:sz w:val="24"/>
                <w:szCs w:val="24"/>
              </w:rPr>
            </w:pPr>
          </w:p>
        </w:tc>
        <w:tc>
          <w:tcPr>
            <w:tcW w:w="1178" w:type="dxa"/>
          </w:tcPr>
          <w:p>
            <w:pPr>
              <w:spacing w:line="460" w:lineRule="exact"/>
              <w:jc w:val="center"/>
              <w:rPr>
                <w:rFonts w:ascii="仿宋_GB2312" w:hAnsi="黑体" w:eastAsia="仿宋_GB2312"/>
                <w:sz w:val="24"/>
                <w:szCs w:val="24"/>
              </w:rPr>
            </w:pPr>
          </w:p>
        </w:tc>
        <w:tc>
          <w:tcPr>
            <w:tcW w:w="1004"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2</w:t>
            </w:r>
          </w:p>
        </w:tc>
        <w:tc>
          <w:tcPr>
            <w:tcW w:w="785" w:type="dxa"/>
            <w:vAlign w:val="center"/>
          </w:tcPr>
          <w:p>
            <w:pPr>
              <w:spacing w:line="460" w:lineRule="exact"/>
              <w:jc w:val="center"/>
              <w:rPr>
                <w:rFonts w:ascii="仿宋_GB2312" w:hAnsi="黑体" w:eastAsia="仿宋_GB2312"/>
                <w:sz w:val="24"/>
                <w:szCs w:val="24"/>
              </w:rPr>
            </w:pPr>
          </w:p>
        </w:tc>
        <w:tc>
          <w:tcPr>
            <w:tcW w:w="1120" w:type="dxa"/>
            <w:vAlign w:val="center"/>
          </w:tcPr>
          <w:p>
            <w:pPr>
              <w:spacing w:line="460" w:lineRule="exact"/>
              <w:jc w:val="center"/>
              <w:rPr>
                <w:rFonts w:ascii="仿宋_GB2312" w:hAnsi="黑体" w:eastAsia="仿宋_GB2312"/>
                <w:sz w:val="24"/>
                <w:szCs w:val="24"/>
              </w:rPr>
            </w:pPr>
          </w:p>
        </w:tc>
        <w:tc>
          <w:tcPr>
            <w:tcW w:w="2414" w:type="dxa"/>
            <w:vAlign w:val="center"/>
          </w:tcPr>
          <w:p>
            <w:pPr>
              <w:spacing w:line="460" w:lineRule="exact"/>
              <w:jc w:val="center"/>
              <w:rPr>
                <w:rFonts w:ascii="仿宋_GB2312" w:hAnsi="黑体" w:eastAsia="仿宋_GB2312"/>
                <w:sz w:val="24"/>
                <w:szCs w:val="24"/>
              </w:rPr>
            </w:pPr>
          </w:p>
        </w:tc>
        <w:tc>
          <w:tcPr>
            <w:tcW w:w="1832" w:type="dxa"/>
          </w:tcPr>
          <w:p>
            <w:pPr>
              <w:spacing w:line="460" w:lineRule="exact"/>
              <w:jc w:val="center"/>
              <w:rPr>
                <w:rFonts w:ascii="仿宋_GB2312" w:hAnsi="黑体" w:eastAsia="仿宋_GB2312"/>
                <w:sz w:val="24"/>
                <w:szCs w:val="24"/>
              </w:rPr>
            </w:pPr>
          </w:p>
        </w:tc>
        <w:tc>
          <w:tcPr>
            <w:tcW w:w="1178" w:type="dxa"/>
          </w:tcPr>
          <w:p>
            <w:pPr>
              <w:spacing w:line="460" w:lineRule="exact"/>
              <w:jc w:val="center"/>
              <w:rPr>
                <w:rFonts w:ascii="仿宋_GB2312" w:hAnsi="黑体" w:eastAsia="仿宋_GB2312"/>
                <w:sz w:val="24"/>
                <w:szCs w:val="24"/>
              </w:rPr>
            </w:pPr>
          </w:p>
        </w:tc>
        <w:tc>
          <w:tcPr>
            <w:tcW w:w="1004"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3</w:t>
            </w:r>
          </w:p>
        </w:tc>
        <w:tc>
          <w:tcPr>
            <w:tcW w:w="785" w:type="dxa"/>
            <w:vAlign w:val="center"/>
          </w:tcPr>
          <w:p>
            <w:pPr>
              <w:spacing w:line="460" w:lineRule="exact"/>
              <w:jc w:val="center"/>
              <w:rPr>
                <w:rFonts w:ascii="仿宋_GB2312" w:hAnsi="黑体" w:eastAsia="仿宋_GB2312"/>
                <w:sz w:val="24"/>
                <w:szCs w:val="24"/>
              </w:rPr>
            </w:pPr>
          </w:p>
        </w:tc>
        <w:tc>
          <w:tcPr>
            <w:tcW w:w="1120" w:type="dxa"/>
            <w:vAlign w:val="center"/>
          </w:tcPr>
          <w:p>
            <w:pPr>
              <w:spacing w:line="460" w:lineRule="exact"/>
              <w:jc w:val="center"/>
              <w:rPr>
                <w:rFonts w:ascii="仿宋_GB2312" w:hAnsi="黑体" w:eastAsia="仿宋_GB2312"/>
                <w:sz w:val="24"/>
                <w:szCs w:val="24"/>
              </w:rPr>
            </w:pPr>
          </w:p>
        </w:tc>
        <w:tc>
          <w:tcPr>
            <w:tcW w:w="2414" w:type="dxa"/>
            <w:vAlign w:val="center"/>
          </w:tcPr>
          <w:p>
            <w:pPr>
              <w:spacing w:line="460" w:lineRule="exact"/>
              <w:jc w:val="center"/>
              <w:rPr>
                <w:rFonts w:ascii="仿宋_GB2312" w:hAnsi="黑体" w:eastAsia="仿宋_GB2312"/>
                <w:sz w:val="24"/>
                <w:szCs w:val="24"/>
              </w:rPr>
            </w:pPr>
          </w:p>
        </w:tc>
        <w:tc>
          <w:tcPr>
            <w:tcW w:w="1832" w:type="dxa"/>
          </w:tcPr>
          <w:p>
            <w:pPr>
              <w:spacing w:line="460" w:lineRule="exact"/>
              <w:jc w:val="center"/>
              <w:rPr>
                <w:rFonts w:ascii="仿宋_GB2312" w:hAnsi="黑体" w:eastAsia="仿宋_GB2312"/>
                <w:sz w:val="24"/>
                <w:szCs w:val="24"/>
              </w:rPr>
            </w:pPr>
          </w:p>
        </w:tc>
        <w:tc>
          <w:tcPr>
            <w:tcW w:w="1178" w:type="dxa"/>
          </w:tcPr>
          <w:p>
            <w:pPr>
              <w:spacing w:line="460" w:lineRule="exact"/>
              <w:jc w:val="center"/>
              <w:rPr>
                <w:rFonts w:ascii="仿宋_GB2312" w:hAnsi="黑体" w:eastAsia="仿宋_GB2312"/>
                <w:sz w:val="24"/>
                <w:szCs w:val="24"/>
              </w:rPr>
            </w:pPr>
          </w:p>
        </w:tc>
        <w:tc>
          <w:tcPr>
            <w:tcW w:w="1004"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w:t>
            </w:r>
          </w:p>
        </w:tc>
        <w:tc>
          <w:tcPr>
            <w:tcW w:w="785" w:type="dxa"/>
            <w:vAlign w:val="center"/>
          </w:tcPr>
          <w:p>
            <w:pPr>
              <w:spacing w:line="460" w:lineRule="exact"/>
              <w:jc w:val="center"/>
              <w:rPr>
                <w:rFonts w:ascii="仿宋_GB2312" w:hAnsi="黑体" w:eastAsia="仿宋_GB2312"/>
                <w:sz w:val="24"/>
                <w:szCs w:val="24"/>
              </w:rPr>
            </w:pPr>
          </w:p>
        </w:tc>
        <w:tc>
          <w:tcPr>
            <w:tcW w:w="1120" w:type="dxa"/>
            <w:vAlign w:val="center"/>
          </w:tcPr>
          <w:p>
            <w:pPr>
              <w:spacing w:line="460" w:lineRule="exact"/>
              <w:jc w:val="center"/>
              <w:rPr>
                <w:rFonts w:ascii="仿宋_GB2312" w:hAnsi="黑体" w:eastAsia="仿宋_GB2312"/>
                <w:sz w:val="24"/>
                <w:szCs w:val="24"/>
              </w:rPr>
            </w:pPr>
          </w:p>
        </w:tc>
        <w:tc>
          <w:tcPr>
            <w:tcW w:w="2414" w:type="dxa"/>
            <w:vAlign w:val="center"/>
          </w:tcPr>
          <w:p>
            <w:pPr>
              <w:spacing w:line="460" w:lineRule="exact"/>
              <w:jc w:val="center"/>
              <w:rPr>
                <w:rFonts w:ascii="仿宋_GB2312" w:hAnsi="黑体" w:eastAsia="仿宋_GB2312"/>
                <w:sz w:val="24"/>
                <w:szCs w:val="24"/>
              </w:rPr>
            </w:pPr>
          </w:p>
        </w:tc>
        <w:tc>
          <w:tcPr>
            <w:tcW w:w="1832" w:type="dxa"/>
          </w:tcPr>
          <w:p>
            <w:pPr>
              <w:spacing w:line="460" w:lineRule="exact"/>
              <w:jc w:val="center"/>
              <w:rPr>
                <w:rFonts w:ascii="仿宋_GB2312" w:hAnsi="黑体" w:eastAsia="仿宋_GB2312"/>
                <w:sz w:val="24"/>
                <w:szCs w:val="24"/>
              </w:rPr>
            </w:pPr>
          </w:p>
        </w:tc>
        <w:tc>
          <w:tcPr>
            <w:tcW w:w="1178" w:type="dxa"/>
          </w:tcPr>
          <w:p>
            <w:pPr>
              <w:spacing w:line="460" w:lineRule="exact"/>
              <w:jc w:val="center"/>
              <w:rPr>
                <w:rFonts w:ascii="仿宋_GB2312" w:hAnsi="黑体" w:eastAsia="仿宋_GB2312"/>
                <w:sz w:val="24"/>
                <w:szCs w:val="24"/>
              </w:rPr>
            </w:pPr>
          </w:p>
        </w:tc>
        <w:tc>
          <w:tcPr>
            <w:tcW w:w="1004" w:type="dxa"/>
            <w:vAlign w:val="center"/>
          </w:tcPr>
          <w:p>
            <w:pPr>
              <w:spacing w:line="460" w:lineRule="exact"/>
              <w:jc w:val="center"/>
              <w:rPr>
                <w:rFonts w:ascii="仿宋_GB2312" w:hAnsi="黑体" w:eastAsia="仿宋_GB2312"/>
                <w:sz w:val="24"/>
                <w:szCs w:val="24"/>
              </w:rPr>
            </w:pPr>
          </w:p>
        </w:tc>
      </w:tr>
    </w:tbl>
    <w:p>
      <w:pPr>
        <w:spacing w:after="120" w:afterLines="50" w:line="460" w:lineRule="exact"/>
        <w:ind w:firstLine="470" w:firstLineChars="196"/>
        <w:rPr>
          <w:rFonts w:ascii="宋体" w:hAnsi="宋体"/>
          <w:sz w:val="24"/>
          <w:szCs w:val="24"/>
        </w:rPr>
      </w:pPr>
      <w:r>
        <w:rPr>
          <w:rFonts w:hint="eastAsia" w:ascii="宋体" w:hAnsi="宋体"/>
          <w:sz w:val="24"/>
          <w:szCs w:val="24"/>
        </w:rPr>
        <w:t>备注：本清单仅作为评审参考，实际人员数量根据后附证明材料判定。</w:t>
      </w:r>
    </w:p>
    <w:p>
      <w:pPr>
        <w:spacing w:after="120" w:afterLines="50" w:line="460" w:lineRule="exact"/>
        <w:ind w:firstLine="472" w:firstLineChars="196"/>
        <w:rPr>
          <w:rFonts w:ascii="宋体" w:hAnsi="宋体"/>
          <w:sz w:val="24"/>
          <w:szCs w:val="24"/>
        </w:rPr>
      </w:pPr>
      <w:r>
        <w:rPr>
          <w:rFonts w:ascii="楷体_GB2312" w:hAnsi="黑体" w:eastAsia="楷体_GB2312"/>
          <w:b/>
          <w:sz w:val="24"/>
          <w:szCs w:val="24"/>
        </w:rPr>
        <w:br w:type="page"/>
      </w:r>
      <w:r>
        <w:rPr>
          <w:rFonts w:hint="eastAsia" w:ascii="宋体" w:hAnsi="宋体"/>
          <w:sz w:val="24"/>
          <w:szCs w:val="24"/>
        </w:rPr>
        <w:t>2. 注册造价工程师证明材料-【后缀“序号-姓名”】</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22"/>
        <w:gridCol w:w="1326"/>
        <w:gridCol w:w="1270"/>
        <w:gridCol w:w="1192"/>
        <w:gridCol w:w="16"/>
        <w:gridCol w:w="1589"/>
        <w:gridCol w:w="6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姓名</w:t>
            </w:r>
          </w:p>
        </w:tc>
        <w:tc>
          <w:tcPr>
            <w:tcW w:w="1348" w:type="dxa"/>
            <w:gridSpan w:val="2"/>
            <w:vAlign w:val="center"/>
          </w:tcPr>
          <w:p>
            <w:pPr>
              <w:spacing w:after="120" w:afterLines="50" w:line="460" w:lineRule="exact"/>
              <w:ind w:firstLine="431" w:firstLineChars="196"/>
              <w:rPr>
                <w:rFonts w:ascii="宋体" w:hAnsi="宋体"/>
                <w:sz w:val="22"/>
                <w:szCs w:val="24"/>
              </w:rPr>
            </w:pPr>
          </w:p>
        </w:tc>
        <w:tc>
          <w:tcPr>
            <w:tcW w:w="1270" w:type="dxa"/>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年龄</w:t>
            </w:r>
          </w:p>
        </w:tc>
        <w:tc>
          <w:tcPr>
            <w:tcW w:w="1208" w:type="dxa"/>
            <w:gridSpan w:val="2"/>
            <w:vAlign w:val="center"/>
          </w:tcPr>
          <w:p>
            <w:pPr>
              <w:spacing w:after="120" w:afterLines="50" w:line="460" w:lineRule="exact"/>
              <w:ind w:firstLine="431" w:firstLineChars="196"/>
              <w:rPr>
                <w:rFonts w:ascii="宋体" w:hAnsi="宋体"/>
                <w:sz w:val="22"/>
                <w:szCs w:val="24"/>
              </w:rPr>
            </w:pPr>
          </w:p>
        </w:tc>
        <w:tc>
          <w:tcPr>
            <w:tcW w:w="2252" w:type="dxa"/>
            <w:gridSpan w:val="2"/>
            <w:vMerge w:val="restart"/>
            <w:vAlign w:val="center"/>
          </w:tcPr>
          <w:p>
            <w:pPr>
              <w:spacing w:after="120" w:afterLines="50" w:line="460" w:lineRule="exact"/>
              <w:jc w:val="center"/>
              <w:rPr>
                <w:rFonts w:ascii="宋体" w:hAnsi="宋体"/>
                <w:sz w:val="22"/>
                <w:szCs w:val="24"/>
              </w:rPr>
            </w:pPr>
            <w:r>
              <w:rPr>
                <w:rFonts w:hint="eastAsia" w:ascii="宋体" w:hAnsi="宋体"/>
                <w:sz w:val="22"/>
                <w:szCs w:val="24"/>
              </w:rPr>
              <w:t>执业资格证书管理号</w:t>
            </w:r>
          </w:p>
        </w:tc>
        <w:tc>
          <w:tcPr>
            <w:tcW w:w="1559" w:type="dxa"/>
            <w:vMerge w:val="restart"/>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职称</w:t>
            </w:r>
          </w:p>
        </w:tc>
        <w:tc>
          <w:tcPr>
            <w:tcW w:w="1348" w:type="dxa"/>
            <w:gridSpan w:val="2"/>
            <w:vAlign w:val="center"/>
          </w:tcPr>
          <w:p>
            <w:pPr>
              <w:spacing w:after="120" w:afterLines="50" w:line="460" w:lineRule="exact"/>
              <w:ind w:firstLine="431" w:firstLineChars="196"/>
              <w:rPr>
                <w:rFonts w:ascii="宋体" w:hAnsi="宋体"/>
                <w:sz w:val="22"/>
                <w:szCs w:val="24"/>
              </w:rPr>
            </w:pPr>
          </w:p>
        </w:tc>
        <w:tc>
          <w:tcPr>
            <w:tcW w:w="1270" w:type="dxa"/>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职务</w:t>
            </w:r>
          </w:p>
        </w:tc>
        <w:tc>
          <w:tcPr>
            <w:tcW w:w="1208" w:type="dxa"/>
            <w:gridSpan w:val="2"/>
            <w:vAlign w:val="center"/>
          </w:tcPr>
          <w:p>
            <w:pPr>
              <w:spacing w:after="120" w:afterLines="50" w:line="460" w:lineRule="exact"/>
              <w:ind w:firstLine="431" w:firstLineChars="196"/>
              <w:rPr>
                <w:rFonts w:ascii="宋体" w:hAnsi="宋体"/>
                <w:sz w:val="22"/>
                <w:szCs w:val="24"/>
              </w:rPr>
            </w:pPr>
          </w:p>
        </w:tc>
        <w:tc>
          <w:tcPr>
            <w:tcW w:w="2252" w:type="dxa"/>
            <w:gridSpan w:val="2"/>
            <w:vMerge w:val="continue"/>
            <w:vAlign w:val="center"/>
          </w:tcPr>
          <w:p>
            <w:pPr>
              <w:spacing w:after="120" w:afterLines="50" w:line="460" w:lineRule="exact"/>
              <w:jc w:val="center"/>
              <w:rPr>
                <w:rFonts w:ascii="宋体" w:hAnsi="宋体"/>
                <w:sz w:val="22"/>
                <w:szCs w:val="24"/>
              </w:rPr>
            </w:pPr>
          </w:p>
        </w:tc>
        <w:tc>
          <w:tcPr>
            <w:tcW w:w="1559" w:type="dxa"/>
            <w:vMerge w:val="continue"/>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spacing w:after="120" w:afterLines="50" w:line="460" w:lineRule="exact"/>
              <w:jc w:val="center"/>
              <w:rPr>
                <w:rFonts w:ascii="宋体" w:hAnsi="宋体"/>
                <w:sz w:val="22"/>
                <w:szCs w:val="24"/>
              </w:rPr>
            </w:pPr>
            <w:r>
              <w:rPr>
                <w:rFonts w:hint="eastAsia" w:ascii="宋体" w:hAnsi="宋体"/>
                <w:sz w:val="22"/>
                <w:szCs w:val="24"/>
              </w:rPr>
              <w:t>毕业学校</w:t>
            </w:r>
          </w:p>
        </w:tc>
        <w:tc>
          <w:tcPr>
            <w:tcW w:w="7637" w:type="dxa"/>
            <w:gridSpan w:val="8"/>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0" w:type="dxa"/>
            <w:gridSpan w:val="9"/>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个人主要履历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时间</w:t>
            </w:r>
          </w:p>
        </w:tc>
        <w:tc>
          <w:tcPr>
            <w:tcW w:w="5393" w:type="dxa"/>
            <w:gridSpan w:val="5"/>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学校/单位</w:t>
            </w:r>
          </w:p>
        </w:tc>
        <w:tc>
          <w:tcPr>
            <w:tcW w:w="2222"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5393" w:type="dxa"/>
            <w:gridSpan w:val="5"/>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5393" w:type="dxa"/>
            <w:gridSpan w:val="5"/>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5393" w:type="dxa"/>
            <w:gridSpan w:val="5"/>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w:t>
            </w:r>
          </w:p>
        </w:tc>
        <w:tc>
          <w:tcPr>
            <w:tcW w:w="5393" w:type="dxa"/>
            <w:gridSpan w:val="5"/>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060" w:type="dxa"/>
            <w:gridSpan w:val="9"/>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时间</w:t>
            </w:r>
          </w:p>
        </w:tc>
        <w:tc>
          <w:tcPr>
            <w:tcW w:w="3788" w:type="dxa"/>
            <w:gridSpan w:val="3"/>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代表性项目</w:t>
            </w:r>
          </w:p>
        </w:tc>
        <w:tc>
          <w:tcPr>
            <w:tcW w:w="160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担任职务</w:t>
            </w:r>
          </w:p>
        </w:tc>
        <w:tc>
          <w:tcPr>
            <w:tcW w:w="2222"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3788" w:type="dxa"/>
            <w:gridSpan w:val="3"/>
            <w:vAlign w:val="center"/>
          </w:tcPr>
          <w:p>
            <w:pPr>
              <w:spacing w:after="120" w:afterLines="50" w:line="460" w:lineRule="exact"/>
              <w:ind w:firstLine="431" w:firstLineChars="196"/>
              <w:rPr>
                <w:rFonts w:ascii="宋体" w:hAnsi="宋体"/>
                <w:sz w:val="22"/>
                <w:szCs w:val="24"/>
              </w:rPr>
            </w:pPr>
          </w:p>
        </w:tc>
        <w:tc>
          <w:tcPr>
            <w:tcW w:w="1605" w:type="dxa"/>
            <w:gridSpan w:val="2"/>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p>
        </w:tc>
        <w:tc>
          <w:tcPr>
            <w:tcW w:w="3788" w:type="dxa"/>
            <w:gridSpan w:val="3"/>
            <w:vAlign w:val="center"/>
          </w:tcPr>
          <w:p>
            <w:pPr>
              <w:spacing w:after="120" w:afterLines="50" w:line="460" w:lineRule="exact"/>
              <w:ind w:firstLine="431" w:firstLineChars="196"/>
              <w:rPr>
                <w:rFonts w:ascii="宋体" w:hAnsi="宋体"/>
                <w:sz w:val="22"/>
                <w:szCs w:val="24"/>
              </w:rPr>
            </w:pPr>
          </w:p>
        </w:tc>
        <w:tc>
          <w:tcPr>
            <w:tcW w:w="1605" w:type="dxa"/>
            <w:gridSpan w:val="2"/>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spacing w:after="120" w:afterLines="50" w:line="460" w:lineRule="exact"/>
              <w:ind w:firstLine="431" w:firstLineChars="196"/>
              <w:rPr>
                <w:rFonts w:ascii="宋体" w:hAnsi="宋体"/>
                <w:sz w:val="22"/>
                <w:szCs w:val="24"/>
              </w:rPr>
            </w:pPr>
            <w:r>
              <w:rPr>
                <w:rFonts w:hint="eastAsia" w:ascii="宋体" w:hAnsi="宋体"/>
                <w:sz w:val="22"/>
                <w:szCs w:val="24"/>
              </w:rPr>
              <w:t>……</w:t>
            </w:r>
          </w:p>
        </w:tc>
        <w:tc>
          <w:tcPr>
            <w:tcW w:w="3788" w:type="dxa"/>
            <w:gridSpan w:val="3"/>
            <w:vAlign w:val="center"/>
          </w:tcPr>
          <w:p>
            <w:pPr>
              <w:spacing w:after="120" w:afterLines="50" w:line="460" w:lineRule="exact"/>
              <w:ind w:firstLine="431" w:firstLineChars="196"/>
              <w:rPr>
                <w:rFonts w:ascii="宋体" w:hAnsi="宋体"/>
                <w:sz w:val="22"/>
                <w:szCs w:val="24"/>
              </w:rPr>
            </w:pPr>
          </w:p>
        </w:tc>
        <w:tc>
          <w:tcPr>
            <w:tcW w:w="1605" w:type="dxa"/>
            <w:gridSpan w:val="2"/>
            <w:vAlign w:val="center"/>
          </w:tcPr>
          <w:p>
            <w:pPr>
              <w:spacing w:after="120" w:afterLines="50" w:line="460" w:lineRule="exact"/>
              <w:ind w:firstLine="431" w:firstLineChars="196"/>
              <w:rPr>
                <w:rFonts w:ascii="宋体" w:hAnsi="宋体"/>
                <w:sz w:val="22"/>
                <w:szCs w:val="24"/>
              </w:rPr>
            </w:pPr>
          </w:p>
        </w:tc>
        <w:tc>
          <w:tcPr>
            <w:tcW w:w="2222" w:type="dxa"/>
            <w:gridSpan w:val="2"/>
            <w:vAlign w:val="center"/>
          </w:tcPr>
          <w:p>
            <w:pPr>
              <w:spacing w:after="120" w:afterLines="50" w:line="460" w:lineRule="exact"/>
              <w:ind w:firstLine="431" w:firstLineChars="196"/>
              <w:rPr>
                <w:rFonts w:ascii="宋体" w:hAnsi="宋体"/>
                <w:sz w:val="22"/>
                <w:szCs w:val="24"/>
              </w:rPr>
            </w:pPr>
          </w:p>
        </w:tc>
      </w:tr>
    </w:tbl>
    <w:p>
      <w:pPr>
        <w:spacing w:after="120" w:afterLines="50" w:line="460" w:lineRule="exact"/>
        <w:ind w:firstLine="470" w:firstLineChars="196"/>
        <w:rPr>
          <w:rFonts w:ascii="宋体" w:hAnsi="宋体"/>
          <w:sz w:val="24"/>
          <w:szCs w:val="24"/>
        </w:rPr>
      </w:pPr>
      <w:r>
        <w:rPr>
          <w:rFonts w:hint="eastAsia" w:ascii="宋体" w:hAnsi="宋体"/>
          <w:sz w:val="24"/>
          <w:szCs w:val="24"/>
        </w:rPr>
        <w:t>备注：</w:t>
      </w:r>
    </w:p>
    <w:p>
      <w:pPr>
        <w:spacing w:after="120" w:afterLines="50" w:line="460" w:lineRule="exact"/>
        <w:ind w:firstLine="470" w:firstLineChars="196"/>
        <w:rPr>
          <w:rFonts w:ascii="宋体" w:hAnsi="宋体"/>
          <w:sz w:val="24"/>
          <w:szCs w:val="24"/>
        </w:rPr>
      </w:pPr>
      <w:r>
        <w:rPr>
          <w:rFonts w:hint="eastAsia" w:ascii="宋体" w:hAnsi="宋体"/>
          <w:sz w:val="24"/>
          <w:szCs w:val="24"/>
        </w:rPr>
        <w:t>1．个人主要履历从大学开始填写。</w:t>
      </w:r>
    </w:p>
    <w:p>
      <w:pPr>
        <w:spacing w:after="120" w:afterLines="50" w:line="460" w:lineRule="exact"/>
        <w:ind w:firstLine="470" w:firstLineChars="196"/>
        <w:rPr>
          <w:rFonts w:ascii="宋体" w:hAnsi="宋体"/>
          <w:sz w:val="24"/>
          <w:szCs w:val="24"/>
        </w:rPr>
      </w:pPr>
      <w:r>
        <w:rPr>
          <w:rFonts w:hint="eastAsia" w:ascii="宋体" w:hAnsi="宋体"/>
          <w:sz w:val="24"/>
          <w:szCs w:val="24"/>
        </w:rPr>
        <w:t>2．附身份证、国家造价工程师注册执业资格证书、职称证（若有）、学历学位证。</w:t>
      </w:r>
    </w:p>
    <w:p>
      <w:pPr>
        <w:spacing w:after="120" w:afterLines="50" w:line="460" w:lineRule="exact"/>
        <w:ind w:firstLine="470" w:firstLineChars="196"/>
        <w:rPr>
          <w:rFonts w:ascii="宋体" w:hAnsi="宋体"/>
          <w:sz w:val="24"/>
          <w:szCs w:val="24"/>
        </w:rPr>
      </w:pPr>
      <w:r>
        <w:rPr>
          <w:rFonts w:hint="eastAsia" w:ascii="宋体" w:hAnsi="宋体"/>
          <w:sz w:val="24"/>
          <w:szCs w:val="24"/>
        </w:rPr>
        <w:t>3．人员顺序与清单顺序一致，且一一对应。</w:t>
      </w:r>
    </w:p>
    <w:p>
      <w:pPr>
        <w:spacing w:line="460" w:lineRule="exact"/>
        <w:ind w:firstLine="472" w:firstLineChars="196"/>
        <w:rPr>
          <w:rFonts w:ascii="楷体_GB2312" w:hAnsi="黑体" w:eastAsia="楷体_GB2312"/>
          <w:b/>
          <w:sz w:val="24"/>
          <w:szCs w:val="24"/>
        </w:rPr>
      </w:pPr>
      <w:r>
        <w:rPr>
          <w:rFonts w:ascii="楷体_GB2312" w:hAnsi="黑体" w:eastAsia="楷体_GB2312"/>
          <w:b/>
          <w:sz w:val="24"/>
          <w:szCs w:val="24"/>
        </w:rPr>
        <w:br w:type="page"/>
      </w:r>
      <w:r>
        <w:rPr>
          <w:rFonts w:hint="eastAsia" w:ascii="楷体_GB2312" w:hAnsi="黑体" w:eastAsia="楷体_GB2312"/>
          <w:b/>
          <w:sz w:val="24"/>
          <w:szCs w:val="24"/>
        </w:rPr>
        <w:t>（三）注册监理工程师</w:t>
      </w:r>
    </w:p>
    <w:p>
      <w:pPr>
        <w:spacing w:after="120" w:afterLines="50" w:line="460" w:lineRule="exact"/>
        <w:ind w:firstLine="470" w:firstLineChars="196"/>
        <w:rPr>
          <w:rFonts w:ascii="仿宋_GB2312" w:hAnsi="黑体" w:eastAsia="仿宋_GB2312"/>
          <w:sz w:val="24"/>
          <w:szCs w:val="24"/>
        </w:rPr>
      </w:pPr>
      <w:r>
        <w:rPr>
          <w:rFonts w:hint="eastAsia" w:ascii="仿宋_GB2312" w:hAnsi="黑体" w:eastAsia="仿宋_GB2312"/>
          <w:sz w:val="24"/>
          <w:szCs w:val="24"/>
        </w:rPr>
        <w:t>1. 注册监理工程师清单</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97"/>
        <w:gridCol w:w="957"/>
        <w:gridCol w:w="2499"/>
        <w:gridCol w:w="1859"/>
        <w:gridCol w:w="1196"/>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序号</w:t>
            </w:r>
          </w:p>
        </w:tc>
        <w:tc>
          <w:tcPr>
            <w:tcW w:w="79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姓名</w:t>
            </w:r>
          </w:p>
        </w:tc>
        <w:tc>
          <w:tcPr>
            <w:tcW w:w="957"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职称</w:t>
            </w:r>
          </w:p>
        </w:tc>
        <w:tc>
          <w:tcPr>
            <w:tcW w:w="2499"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身份证号</w:t>
            </w:r>
          </w:p>
        </w:tc>
        <w:tc>
          <w:tcPr>
            <w:tcW w:w="1859"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执业资格证书</w:t>
            </w:r>
          </w:p>
          <w:p>
            <w:pPr>
              <w:spacing w:line="360" w:lineRule="exact"/>
              <w:jc w:val="center"/>
              <w:rPr>
                <w:rFonts w:ascii="黑体" w:hAnsi="黑体" w:eastAsia="黑体"/>
                <w:sz w:val="24"/>
                <w:szCs w:val="24"/>
              </w:rPr>
            </w:pPr>
            <w:r>
              <w:rPr>
                <w:rFonts w:hint="eastAsia" w:ascii="黑体" w:hAnsi="黑体" w:eastAsia="黑体"/>
                <w:sz w:val="24"/>
                <w:szCs w:val="24"/>
              </w:rPr>
              <w:t>注册号</w:t>
            </w:r>
          </w:p>
        </w:tc>
        <w:tc>
          <w:tcPr>
            <w:tcW w:w="1196"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获得年份</w:t>
            </w:r>
          </w:p>
        </w:tc>
        <w:tc>
          <w:tcPr>
            <w:tcW w:w="1015"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1</w:t>
            </w:r>
          </w:p>
        </w:tc>
        <w:tc>
          <w:tcPr>
            <w:tcW w:w="797" w:type="dxa"/>
            <w:vAlign w:val="center"/>
          </w:tcPr>
          <w:p>
            <w:pPr>
              <w:spacing w:line="460" w:lineRule="exact"/>
              <w:jc w:val="center"/>
              <w:rPr>
                <w:rFonts w:ascii="仿宋_GB2312" w:hAnsi="黑体" w:eastAsia="仿宋_GB2312"/>
                <w:sz w:val="24"/>
                <w:szCs w:val="24"/>
              </w:rPr>
            </w:pPr>
          </w:p>
        </w:tc>
        <w:tc>
          <w:tcPr>
            <w:tcW w:w="957" w:type="dxa"/>
            <w:vAlign w:val="center"/>
          </w:tcPr>
          <w:p>
            <w:pPr>
              <w:spacing w:line="460" w:lineRule="exact"/>
              <w:jc w:val="center"/>
              <w:rPr>
                <w:rFonts w:ascii="仿宋_GB2312" w:hAnsi="黑体" w:eastAsia="仿宋_GB2312"/>
                <w:sz w:val="24"/>
                <w:szCs w:val="24"/>
              </w:rPr>
            </w:pPr>
          </w:p>
        </w:tc>
        <w:tc>
          <w:tcPr>
            <w:tcW w:w="2499" w:type="dxa"/>
            <w:vAlign w:val="center"/>
          </w:tcPr>
          <w:p>
            <w:pPr>
              <w:spacing w:line="460" w:lineRule="exact"/>
              <w:jc w:val="center"/>
              <w:rPr>
                <w:rFonts w:ascii="仿宋_GB2312" w:hAnsi="黑体" w:eastAsia="仿宋_GB2312"/>
                <w:sz w:val="24"/>
                <w:szCs w:val="24"/>
              </w:rPr>
            </w:pPr>
          </w:p>
        </w:tc>
        <w:tc>
          <w:tcPr>
            <w:tcW w:w="1859" w:type="dxa"/>
          </w:tcPr>
          <w:p>
            <w:pPr>
              <w:spacing w:line="460" w:lineRule="exact"/>
              <w:jc w:val="center"/>
              <w:rPr>
                <w:rFonts w:ascii="仿宋_GB2312" w:hAnsi="黑体" w:eastAsia="仿宋_GB2312"/>
                <w:sz w:val="24"/>
                <w:szCs w:val="24"/>
              </w:rPr>
            </w:pPr>
          </w:p>
        </w:tc>
        <w:tc>
          <w:tcPr>
            <w:tcW w:w="1196" w:type="dxa"/>
          </w:tcPr>
          <w:p>
            <w:pPr>
              <w:spacing w:line="460" w:lineRule="exact"/>
              <w:jc w:val="center"/>
              <w:rPr>
                <w:rFonts w:ascii="仿宋_GB2312" w:hAnsi="黑体" w:eastAsia="仿宋_GB2312"/>
                <w:sz w:val="24"/>
                <w:szCs w:val="24"/>
              </w:rPr>
            </w:pPr>
          </w:p>
        </w:tc>
        <w:tc>
          <w:tcPr>
            <w:tcW w:w="1015"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2</w:t>
            </w:r>
          </w:p>
        </w:tc>
        <w:tc>
          <w:tcPr>
            <w:tcW w:w="797" w:type="dxa"/>
            <w:vAlign w:val="center"/>
          </w:tcPr>
          <w:p>
            <w:pPr>
              <w:spacing w:line="460" w:lineRule="exact"/>
              <w:jc w:val="center"/>
              <w:rPr>
                <w:rFonts w:ascii="仿宋_GB2312" w:hAnsi="黑体" w:eastAsia="仿宋_GB2312"/>
                <w:sz w:val="24"/>
                <w:szCs w:val="24"/>
              </w:rPr>
            </w:pPr>
          </w:p>
        </w:tc>
        <w:tc>
          <w:tcPr>
            <w:tcW w:w="957" w:type="dxa"/>
            <w:vAlign w:val="center"/>
          </w:tcPr>
          <w:p>
            <w:pPr>
              <w:spacing w:line="460" w:lineRule="exact"/>
              <w:jc w:val="center"/>
              <w:rPr>
                <w:rFonts w:ascii="仿宋_GB2312" w:hAnsi="黑体" w:eastAsia="仿宋_GB2312"/>
                <w:sz w:val="24"/>
                <w:szCs w:val="24"/>
              </w:rPr>
            </w:pPr>
          </w:p>
        </w:tc>
        <w:tc>
          <w:tcPr>
            <w:tcW w:w="2499" w:type="dxa"/>
            <w:vAlign w:val="center"/>
          </w:tcPr>
          <w:p>
            <w:pPr>
              <w:spacing w:line="460" w:lineRule="exact"/>
              <w:jc w:val="center"/>
              <w:rPr>
                <w:rFonts w:ascii="仿宋_GB2312" w:hAnsi="黑体" w:eastAsia="仿宋_GB2312"/>
                <w:sz w:val="24"/>
                <w:szCs w:val="24"/>
              </w:rPr>
            </w:pPr>
          </w:p>
        </w:tc>
        <w:tc>
          <w:tcPr>
            <w:tcW w:w="1859" w:type="dxa"/>
          </w:tcPr>
          <w:p>
            <w:pPr>
              <w:spacing w:line="460" w:lineRule="exact"/>
              <w:jc w:val="center"/>
              <w:rPr>
                <w:rFonts w:ascii="仿宋_GB2312" w:hAnsi="黑体" w:eastAsia="仿宋_GB2312"/>
                <w:sz w:val="24"/>
                <w:szCs w:val="24"/>
              </w:rPr>
            </w:pPr>
          </w:p>
        </w:tc>
        <w:tc>
          <w:tcPr>
            <w:tcW w:w="1196" w:type="dxa"/>
          </w:tcPr>
          <w:p>
            <w:pPr>
              <w:spacing w:line="460" w:lineRule="exact"/>
              <w:jc w:val="center"/>
              <w:rPr>
                <w:rFonts w:ascii="仿宋_GB2312" w:hAnsi="黑体" w:eastAsia="仿宋_GB2312"/>
                <w:sz w:val="24"/>
                <w:szCs w:val="24"/>
              </w:rPr>
            </w:pPr>
          </w:p>
        </w:tc>
        <w:tc>
          <w:tcPr>
            <w:tcW w:w="1015"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3</w:t>
            </w:r>
          </w:p>
        </w:tc>
        <w:tc>
          <w:tcPr>
            <w:tcW w:w="797" w:type="dxa"/>
            <w:vAlign w:val="center"/>
          </w:tcPr>
          <w:p>
            <w:pPr>
              <w:spacing w:line="460" w:lineRule="exact"/>
              <w:jc w:val="center"/>
              <w:rPr>
                <w:rFonts w:ascii="仿宋_GB2312" w:hAnsi="黑体" w:eastAsia="仿宋_GB2312"/>
                <w:sz w:val="24"/>
                <w:szCs w:val="24"/>
              </w:rPr>
            </w:pPr>
          </w:p>
        </w:tc>
        <w:tc>
          <w:tcPr>
            <w:tcW w:w="957" w:type="dxa"/>
            <w:vAlign w:val="center"/>
          </w:tcPr>
          <w:p>
            <w:pPr>
              <w:spacing w:line="460" w:lineRule="exact"/>
              <w:jc w:val="center"/>
              <w:rPr>
                <w:rFonts w:ascii="仿宋_GB2312" w:hAnsi="黑体" w:eastAsia="仿宋_GB2312"/>
                <w:sz w:val="24"/>
                <w:szCs w:val="24"/>
              </w:rPr>
            </w:pPr>
          </w:p>
        </w:tc>
        <w:tc>
          <w:tcPr>
            <w:tcW w:w="2499" w:type="dxa"/>
            <w:vAlign w:val="center"/>
          </w:tcPr>
          <w:p>
            <w:pPr>
              <w:spacing w:line="460" w:lineRule="exact"/>
              <w:jc w:val="center"/>
              <w:rPr>
                <w:rFonts w:ascii="仿宋_GB2312" w:hAnsi="黑体" w:eastAsia="仿宋_GB2312"/>
                <w:sz w:val="24"/>
                <w:szCs w:val="24"/>
              </w:rPr>
            </w:pPr>
          </w:p>
        </w:tc>
        <w:tc>
          <w:tcPr>
            <w:tcW w:w="1859" w:type="dxa"/>
          </w:tcPr>
          <w:p>
            <w:pPr>
              <w:spacing w:line="460" w:lineRule="exact"/>
              <w:jc w:val="center"/>
              <w:rPr>
                <w:rFonts w:ascii="仿宋_GB2312" w:hAnsi="黑体" w:eastAsia="仿宋_GB2312"/>
                <w:sz w:val="24"/>
                <w:szCs w:val="24"/>
              </w:rPr>
            </w:pPr>
          </w:p>
        </w:tc>
        <w:tc>
          <w:tcPr>
            <w:tcW w:w="1196" w:type="dxa"/>
          </w:tcPr>
          <w:p>
            <w:pPr>
              <w:spacing w:line="460" w:lineRule="exact"/>
              <w:jc w:val="center"/>
              <w:rPr>
                <w:rFonts w:ascii="仿宋_GB2312" w:hAnsi="黑体" w:eastAsia="仿宋_GB2312"/>
                <w:sz w:val="24"/>
                <w:szCs w:val="24"/>
              </w:rPr>
            </w:pPr>
          </w:p>
        </w:tc>
        <w:tc>
          <w:tcPr>
            <w:tcW w:w="1015" w:type="dxa"/>
            <w:vAlign w:val="center"/>
          </w:tcPr>
          <w:p>
            <w:pPr>
              <w:spacing w:line="460" w:lineRule="exact"/>
              <w:jc w:val="center"/>
              <w:rPr>
                <w:rFonts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460" w:lineRule="exact"/>
              <w:jc w:val="center"/>
              <w:rPr>
                <w:rFonts w:ascii="仿宋_GB2312" w:hAnsi="黑体" w:eastAsia="仿宋_GB2312"/>
                <w:sz w:val="24"/>
                <w:szCs w:val="24"/>
              </w:rPr>
            </w:pPr>
            <w:r>
              <w:rPr>
                <w:rFonts w:hint="eastAsia" w:ascii="仿宋_GB2312" w:hAnsi="黑体" w:eastAsia="仿宋_GB2312"/>
                <w:sz w:val="24"/>
                <w:szCs w:val="24"/>
              </w:rPr>
              <w:t>……</w:t>
            </w:r>
          </w:p>
        </w:tc>
        <w:tc>
          <w:tcPr>
            <w:tcW w:w="797" w:type="dxa"/>
            <w:vAlign w:val="center"/>
          </w:tcPr>
          <w:p>
            <w:pPr>
              <w:spacing w:line="460" w:lineRule="exact"/>
              <w:jc w:val="center"/>
              <w:rPr>
                <w:rFonts w:ascii="仿宋_GB2312" w:hAnsi="黑体" w:eastAsia="仿宋_GB2312"/>
                <w:sz w:val="24"/>
                <w:szCs w:val="24"/>
              </w:rPr>
            </w:pPr>
          </w:p>
        </w:tc>
        <w:tc>
          <w:tcPr>
            <w:tcW w:w="957" w:type="dxa"/>
            <w:vAlign w:val="center"/>
          </w:tcPr>
          <w:p>
            <w:pPr>
              <w:spacing w:line="460" w:lineRule="exact"/>
              <w:jc w:val="center"/>
              <w:rPr>
                <w:rFonts w:ascii="仿宋_GB2312" w:hAnsi="黑体" w:eastAsia="仿宋_GB2312"/>
                <w:sz w:val="24"/>
                <w:szCs w:val="24"/>
              </w:rPr>
            </w:pPr>
          </w:p>
        </w:tc>
        <w:tc>
          <w:tcPr>
            <w:tcW w:w="2499" w:type="dxa"/>
            <w:vAlign w:val="center"/>
          </w:tcPr>
          <w:p>
            <w:pPr>
              <w:spacing w:line="460" w:lineRule="exact"/>
              <w:jc w:val="center"/>
              <w:rPr>
                <w:rFonts w:ascii="仿宋_GB2312" w:hAnsi="黑体" w:eastAsia="仿宋_GB2312"/>
                <w:sz w:val="24"/>
                <w:szCs w:val="24"/>
              </w:rPr>
            </w:pPr>
          </w:p>
        </w:tc>
        <w:tc>
          <w:tcPr>
            <w:tcW w:w="1859" w:type="dxa"/>
          </w:tcPr>
          <w:p>
            <w:pPr>
              <w:spacing w:line="460" w:lineRule="exact"/>
              <w:jc w:val="center"/>
              <w:rPr>
                <w:rFonts w:ascii="仿宋_GB2312" w:hAnsi="黑体" w:eastAsia="仿宋_GB2312"/>
                <w:sz w:val="24"/>
                <w:szCs w:val="24"/>
              </w:rPr>
            </w:pPr>
          </w:p>
        </w:tc>
        <w:tc>
          <w:tcPr>
            <w:tcW w:w="1196" w:type="dxa"/>
          </w:tcPr>
          <w:p>
            <w:pPr>
              <w:spacing w:line="460" w:lineRule="exact"/>
              <w:jc w:val="center"/>
              <w:rPr>
                <w:rFonts w:ascii="仿宋_GB2312" w:hAnsi="黑体" w:eastAsia="仿宋_GB2312"/>
                <w:sz w:val="24"/>
                <w:szCs w:val="24"/>
              </w:rPr>
            </w:pPr>
          </w:p>
        </w:tc>
        <w:tc>
          <w:tcPr>
            <w:tcW w:w="1015" w:type="dxa"/>
            <w:vAlign w:val="center"/>
          </w:tcPr>
          <w:p>
            <w:pPr>
              <w:spacing w:line="460" w:lineRule="exact"/>
              <w:jc w:val="center"/>
              <w:rPr>
                <w:rFonts w:ascii="仿宋_GB2312" w:hAnsi="黑体" w:eastAsia="仿宋_GB2312"/>
                <w:sz w:val="24"/>
                <w:szCs w:val="24"/>
              </w:rPr>
            </w:pPr>
          </w:p>
        </w:tc>
      </w:tr>
    </w:tbl>
    <w:p>
      <w:pPr>
        <w:spacing w:line="460" w:lineRule="exact"/>
        <w:rPr>
          <w:rFonts w:ascii="仿宋_GB2312" w:hAnsi="黑体" w:eastAsia="仿宋_GB2312"/>
          <w:sz w:val="24"/>
          <w:szCs w:val="24"/>
        </w:rPr>
      </w:pPr>
      <w:r>
        <w:rPr>
          <w:rFonts w:hint="eastAsia" w:ascii="仿宋_GB2312" w:hAnsi="黑体" w:eastAsia="仿宋_GB2312"/>
          <w:sz w:val="24"/>
          <w:szCs w:val="24"/>
        </w:rPr>
        <w:t>备注：本清单仅作为评审参考，实际人员数量根据后附证明材料判定。</w:t>
      </w:r>
    </w:p>
    <w:p>
      <w:pPr>
        <w:spacing w:after="120" w:afterLines="50" w:line="460" w:lineRule="exact"/>
        <w:ind w:firstLine="472" w:firstLineChars="196"/>
        <w:rPr>
          <w:rFonts w:ascii="仿宋_GB2312" w:hAnsi="黑体" w:eastAsia="仿宋_GB2312"/>
          <w:sz w:val="24"/>
          <w:szCs w:val="24"/>
        </w:rPr>
      </w:pPr>
      <w:r>
        <w:rPr>
          <w:rFonts w:ascii="楷体_GB2312" w:hAnsi="黑体" w:eastAsia="楷体_GB2312"/>
          <w:b/>
          <w:sz w:val="24"/>
          <w:szCs w:val="24"/>
        </w:rPr>
        <w:br w:type="page"/>
      </w:r>
      <w:r>
        <w:rPr>
          <w:rFonts w:hint="eastAsia" w:ascii="仿宋_GB2312" w:hAnsi="黑体" w:eastAsia="仿宋_GB2312"/>
          <w:sz w:val="24"/>
          <w:szCs w:val="24"/>
        </w:rPr>
        <w:t>2. 注册监理工程师证明材料-【后缀“序号-姓名”】</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22"/>
        <w:gridCol w:w="1326"/>
        <w:gridCol w:w="1270"/>
        <w:gridCol w:w="1192"/>
        <w:gridCol w:w="16"/>
        <w:gridCol w:w="1589"/>
        <w:gridCol w:w="506"/>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jc w:val="center"/>
              <w:rPr>
                <w:rFonts w:ascii="宋体" w:hAnsi="宋体"/>
                <w:sz w:val="24"/>
                <w:szCs w:val="24"/>
              </w:rPr>
            </w:pPr>
            <w:r>
              <w:rPr>
                <w:rFonts w:hint="eastAsia" w:ascii="宋体" w:hAnsi="宋体"/>
                <w:sz w:val="24"/>
                <w:szCs w:val="24"/>
              </w:rPr>
              <w:t>姓名</w:t>
            </w:r>
          </w:p>
        </w:tc>
        <w:tc>
          <w:tcPr>
            <w:tcW w:w="1348" w:type="dxa"/>
            <w:gridSpan w:val="2"/>
            <w:vAlign w:val="center"/>
          </w:tcPr>
          <w:p>
            <w:pPr>
              <w:jc w:val="center"/>
              <w:rPr>
                <w:rFonts w:ascii="宋体" w:hAnsi="宋体"/>
                <w:sz w:val="24"/>
                <w:szCs w:val="24"/>
              </w:rPr>
            </w:pPr>
          </w:p>
        </w:tc>
        <w:tc>
          <w:tcPr>
            <w:tcW w:w="1270" w:type="dxa"/>
            <w:vAlign w:val="center"/>
          </w:tcPr>
          <w:p>
            <w:pPr>
              <w:jc w:val="center"/>
              <w:rPr>
                <w:rFonts w:ascii="宋体" w:hAnsi="宋体"/>
                <w:sz w:val="24"/>
                <w:szCs w:val="24"/>
              </w:rPr>
            </w:pPr>
            <w:r>
              <w:rPr>
                <w:rFonts w:hint="eastAsia" w:ascii="宋体" w:hAnsi="宋体"/>
                <w:sz w:val="24"/>
                <w:szCs w:val="24"/>
              </w:rPr>
              <w:t>年龄</w:t>
            </w:r>
          </w:p>
        </w:tc>
        <w:tc>
          <w:tcPr>
            <w:tcW w:w="1208" w:type="dxa"/>
            <w:gridSpan w:val="2"/>
            <w:vAlign w:val="center"/>
          </w:tcPr>
          <w:p>
            <w:pPr>
              <w:jc w:val="center"/>
              <w:rPr>
                <w:rFonts w:ascii="宋体" w:hAnsi="宋体"/>
                <w:sz w:val="24"/>
                <w:szCs w:val="24"/>
              </w:rPr>
            </w:pPr>
          </w:p>
        </w:tc>
        <w:tc>
          <w:tcPr>
            <w:tcW w:w="2095" w:type="dxa"/>
            <w:gridSpan w:val="2"/>
            <w:vMerge w:val="restart"/>
            <w:vAlign w:val="center"/>
          </w:tcPr>
          <w:p>
            <w:pPr>
              <w:spacing w:line="240" w:lineRule="exact"/>
              <w:jc w:val="center"/>
              <w:rPr>
                <w:rFonts w:ascii="宋体" w:hAnsi="宋体"/>
                <w:sz w:val="24"/>
                <w:szCs w:val="24"/>
              </w:rPr>
            </w:pPr>
            <w:r>
              <w:rPr>
                <w:rFonts w:hint="eastAsia" w:ascii="宋体" w:hAnsi="宋体"/>
                <w:sz w:val="24"/>
                <w:szCs w:val="24"/>
              </w:rPr>
              <w:t>执业资格证书</w:t>
            </w:r>
          </w:p>
          <w:p>
            <w:pPr>
              <w:spacing w:line="240" w:lineRule="exact"/>
              <w:jc w:val="center"/>
              <w:rPr>
                <w:rFonts w:ascii="宋体" w:hAnsi="宋体"/>
                <w:sz w:val="24"/>
                <w:szCs w:val="24"/>
              </w:rPr>
            </w:pPr>
            <w:r>
              <w:rPr>
                <w:rFonts w:hint="eastAsia" w:ascii="宋体" w:hAnsi="宋体"/>
                <w:sz w:val="24"/>
                <w:szCs w:val="24"/>
              </w:rPr>
              <w:t>注册号</w:t>
            </w:r>
          </w:p>
        </w:tc>
        <w:tc>
          <w:tcPr>
            <w:tcW w:w="1716" w:type="dxa"/>
            <w:vMerge w:val="restart"/>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jc w:val="center"/>
              <w:rPr>
                <w:rFonts w:ascii="宋体" w:hAnsi="宋体"/>
                <w:sz w:val="24"/>
                <w:szCs w:val="24"/>
              </w:rPr>
            </w:pPr>
            <w:r>
              <w:rPr>
                <w:rFonts w:hint="eastAsia" w:ascii="宋体" w:hAnsi="宋体"/>
                <w:sz w:val="24"/>
                <w:szCs w:val="24"/>
              </w:rPr>
              <w:t>职称</w:t>
            </w:r>
          </w:p>
        </w:tc>
        <w:tc>
          <w:tcPr>
            <w:tcW w:w="1348" w:type="dxa"/>
            <w:gridSpan w:val="2"/>
            <w:vAlign w:val="center"/>
          </w:tcPr>
          <w:p>
            <w:pPr>
              <w:jc w:val="center"/>
              <w:rPr>
                <w:rFonts w:ascii="宋体" w:hAnsi="宋体"/>
                <w:sz w:val="24"/>
                <w:szCs w:val="24"/>
              </w:rPr>
            </w:pPr>
          </w:p>
        </w:tc>
        <w:tc>
          <w:tcPr>
            <w:tcW w:w="1270" w:type="dxa"/>
            <w:vAlign w:val="center"/>
          </w:tcPr>
          <w:p>
            <w:pPr>
              <w:jc w:val="center"/>
              <w:rPr>
                <w:rFonts w:ascii="宋体" w:hAnsi="宋体"/>
                <w:sz w:val="24"/>
                <w:szCs w:val="24"/>
              </w:rPr>
            </w:pPr>
            <w:r>
              <w:rPr>
                <w:rFonts w:hint="eastAsia" w:ascii="宋体" w:hAnsi="宋体"/>
                <w:sz w:val="24"/>
                <w:szCs w:val="24"/>
              </w:rPr>
              <w:t>职务</w:t>
            </w:r>
          </w:p>
        </w:tc>
        <w:tc>
          <w:tcPr>
            <w:tcW w:w="1208" w:type="dxa"/>
            <w:gridSpan w:val="2"/>
            <w:vAlign w:val="center"/>
          </w:tcPr>
          <w:p>
            <w:pPr>
              <w:jc w:val="center"/>
              <w:rPr>
                <w:rFonts w:ascii="宋体" w:hAnsi="宋体"/>
                <w:sz w:val="24"/>
                <w:szCs w:val="24"/>
              </w:rPr>
            </w:pPr>
          </w:p>
        </w:tc>
        <w:tc>
          <w:tcPr>
            <w:tcW w:w="2095" w:type="dxa"/>
            <w:gridSpan w:val="2"/>
            <w:vMerge w:val="continue"/>
            <w:vAlign w:val="center"/>
          </w:tcPr>
          <w:p>
            <w:pPr>
              <w:spacing w:line="240" w:lineRule="exact"/>
              <w:jc w:val="center"/>
              <w:rPr>
                <w:rFonts w:ascii="宋体" w:hAnsi="宋体"/>
                <w:sz w:val="24"/>
                <w:szCs w:val="24"/>
              </w:rPr>
            </w:pPr>
          </w:p>
        </w:tc>
        <w:tc>
          <w:tcPr>
            <w:tcW w:w="1716" w:type="dxa"/>
            <w:vMerge w:val="continue"/>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3" w:type="dxa"/>
            <w:vAlign w:val="center"/>
          </w:tcPr>
          <w:p>
            <w:pPr>
              <w:jc w:val="center"/>
              <w:rPr>
                <w:rFonts w:ascii="宋体" w:hAnsi="宋体"/>
                <w:sz w:val="24"/>
                <w:szCs w:val="24"/>
              </w:rPr>
            </w:pPr>
            <w:r>
              <w:rPr>
                <w:rFonts w:hint="eastAsia" w:ascii="宋体" w:hAnsi="宋体"/>
                <w:sz w:val="24"/>
                <w:szCs w:val="24"/>
              </w:rPr>
              <w:t>毕业学校</w:t>
            </w:r>
          </w:p>
        </w:tc>
        <w:tc>
          <w:tcPr>
            <w:tcW w:w="7637" w:type="dxa"/>
            <w:gridSpan w:val="8"/>
            <w:vAlign w:val="center"/>
          </w:tcPr>
          <w:p>
            <w:pPr>
              <w:ind w:firstLine="600" w:firstLineChars="250"/>
              <w:jc w:val="center"/>
              <w:rPr>
                <w:rFonts w:ascii="宋体" w:hAnsi="宋体"/>
                <w:sz w:val="24"/>
                <w:szCs w:val="24"/>
              </w:rPr>
            </w:pPr>
            <w:r>
              <w:rPr>
                <w:rFonts w:hint="eastAsia" w:ascii="宋体" w:hAnsi="宋体"/>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0" w:type="dxa"/>
            <w:gridSpan w:val="9"/>
            <w:vAlign w:val="center"/>
          </w:tcPr>
          <w:p>
            <w:pPr>
              <w:jc w:val="center"/>
              <w:rPr>
                <w:rFonts w:ascii="宋体" w:hAnsi="宋体"/>
                <w:sz w:val="24"/>
                <w:szCs w:val="24"/>
              </w:rPr>
            </w:pPr>
            <w:r>
              <w:rPr>
                <w:rFonts w:hint="eastAsia" w:ascii="宋体" w:hAnsi="宋体"/>
                <w:sz w:val="24"/>
                <w:szCs w:val="24"/>
              </w:rPr>
              <w:t>个人主要履历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jc w:val="center"/>
              <w:rPr>
                <w:rFonts w:ascii="宋体" w:hAnsi="宋体"/>
                <w:sz w:val="24"/>
                <w:szCs w:val="24"/>
              </w:rPr>
            </w:pPr>
            <w:r>
              <w:rPr>
                <w:rFonts w:hint="eastAsia" w:ascii="宋体" w:hAnsi="宋体"/>
                <w:sz w:val="24"/>
                <w:szCs w:val="24"/>
              </w:rPr>
              <w:t>时间</w:t>
            </w:r>
          </w:p>
        </w:tc>
        <w:tc>
          <w:tcPr>
            <w:tcW w:w="5393" w:type="dxa"/>
            <w:gridSpan w:val="5"/>
            <w:vAlign w:val="center"/>
          </w:tcPr>
          <w:p>
            <w:pPr>
              <w:jc w:val="center"/>
              <w:rPr>
                <w:rFonts w:ascii="宋体" w:hAnsi="宋体"/>
                <w:sz w:val="24"/>
                <w:szCs w:val="24"/>
              </w:rPr>
            </w:pPr>
            <w:r>
              <w:rPr>
                <w:rFonts w:hint="eastAsia" w:ascii="宋体" w:hAnsi="宋体"/>
                <w:sz w:val="24"/>
                <w:szCs w:val="24"/>
              </w:rPr>
              <w:t>学校/单位</w:t>
            </w:r>
          </w:p>
        </w:tc>
        <w:tc>
          <w:tcPr>
            <w:tcW w:w="2222" w:type="dxa"/>
            <w:gridSpan w:val="2"/>
            <w:vAlign w:val="center"/>
          </w:tcPr>
          <w:p>
            <w:pPr>
              <w:jc w:val="center"/>
              <w:rPr>
                <w:rFonts w:ascii="宋体" w:hAnsi="宋体"/>
                <w:sz w:val="24"/>
                <w:szCs w:val="24"/>
              </w:rPr>
            </w:pPr>
            <w:r>
              <w:rPr>
                <w:rFonts w:hint="eastAsia" w:ascii="宋体" w:hAnsi="宋体"/>
                <w:sz w:val="24"/>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jc w:val="center"/>
              <w:rPr>
                <w:rFonts w:ascii="宋体" w:hAnsi="宋体"/>
                <w:sz w:val="24"/>
                <w:szCs w:val="24"/>
              </w:rPr>
            </w:pPr>
          </w:p>
        </w:tc>
        <w:tc>
          <w:tcPr>
            <w:tcW w:w="5393" w:type="dxa"/>
            <w:gridSpan w:val="5"/>
            <w:vAlign w:val="center"/>
          </w:tcPr>
          <w:p>
            <w:pPr>
              <w:jc w:val="center"/>
              <w:rPr>
                <w:rFonts w:ascii="宋体" w:hAnsi="宋体"/>
                <w:sz w:val="24"/>
                <w:szCs w:val="24"/>
              </w:rPr>
            </w:pPr>
          </w:p>
        </w:tc>
        <w:tc>
          <w:tcPr>
            <w:tcW w:w="2222" w:type="dxa"/>
            <w:gridSpan w:val="2"/>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jc w:val="center"/>
              <w:rPr>
                <w:rFonts w:ascii="宋体" w:hAnsi="宋体"/>
                <w:sz w:val="24"/>
                <w:szCs w:val="24"/>
              </w:rPr>
            </w:pPr>
          </w:p>
        </w:tc>
        <w:tc>
          <w:tcPr>
            <w:tcW w:w="5393" w:type="dxa"/>
            <w:gridSpan w:val="5"/>
            <w:vAlign w:val="center"/>
          </w:tcPr>
          <w:p>
            <w:pPr>
              <w:jc w:val="center"/>
              <w:rPr>
                <w:rFonts w:ascii="宋体" w:hAnsi="宋体"/>
                <w:sz w:val="24"/>
                <w:szCs w:val="24"/>
              </w:rPr>
            </w:pPr>
          </w:p>
        </w:tc>
        <w:tc>
          <w:tcPr>
            <w:tcW w:w="2222" w:type="dxa"/>
            <w:gridSpan w:val="2"/>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jc w:val="center"/>
              <w:rPr>
                <w:rFonts w:ascii="宋体" w:hAnsi="宋体"/>
                <w:sz w:val="24"/>
                <w:szCs w:val="24"/>
              </w:rPr>
            </w:pPr>
          </w:p>
        </w:tc>
        <w:tc>
          <w:tcPr>
            <w:tcW w:w="5393" w:type="dxa"/>
            <w:gridSpan w:val="5"/>
            <w:vAlign w:val="center"/>
          </w:tcPr>
          <w:p>
            <w:pPr>
              <w:jc w:val="center"/>
              <w:rPr>
                <w:rFonts w:ascii="宋体" w:hAnsi="宋体"/>
                <w:sz w:val="24"/>
                <w:szCs w:val="24"/>
              </w:rPr>
            </w:pPr>
          </w:p>
        </w:tc>
        <w:tc>
          <w:tcPr>
            <w:tcW w:w="2222" w:type="dxa"/>
            <w:gridSpan w:val="2"/>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jc w:val="center"/>
              <w:rPr>
                <w:rFonts w:ascii="宋体" w:hAnsi="宋体"/>
                <w:sz w:val="24"/>
                <w:szCs w:val="24"/>
              </w:rPr>
            </w:pPr>
            <w:r>
              <w:rPr>
                <w:rFonts w:hint="eastAsia" w:ascii="宋体" w:hAnsi="宋体"/>
                <w:sz w:val="24"/>
                <w:szCs w:val="24"/>
              </w:rPr>
              <w:t>……</w:t>
            </w:r>
          </w:p>
        </w:tc>
        <w:tc>
          <w:tcPr>
            <w:tcW w:w="5393" w:type="dxa"/>
            <w:gridSpan w:val="5"/>
            <w:vAlign w:val="center"/>
          </w:tcPr>
          <w:p>
            <w:pPr>
              <w:jc w:val="center"/>
              <w:rPr>
                <w:rFonts w:ascii="宋体" w:hAnsi="宋体"/>
                <w:sz w:val="24"/>
                <w:szCs w:val="24"/>
              </w:rPr>
            </w:pPr>
          </w:p>
        </w:tc>
        <w:tc>
          <w:tcPr>
            <w:tcW w:w="2222" w:type="dxa"/>
            <w:gridSpan w:val="2"/>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060" w:type="dxa"/>
            <w:gridSpan w:val="9"/>
            <w:vAlign w:val="center"/>
          </w:tcPr>
          <w:p>
            <w:pPr>
              <w:jc w:val="center"/>
              <w:rPr>
                <w:rFonts w:ascii="宋体" w:hAnsi="宋体"/>
                <w:sz w:val="24"/>
                <w:szCs w:val="24"/>
              </w:rPr>
            </w:pPr>
            <w:r>
              <w:rPr>
                <w:rFonts w:hint="eastAsia" w:ascii="宋体" w:hAnsi="宋体"/>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5" w:type="dxa"/>
            <w:gridSpan w:val="2"/>
            <w:vAlign w:val="center"/>
          </w:tcPr>
          <w:p>
            <w:pPr>
              <w:jc w:val="center"/>
              <w:rPr>
                <w:rFonts w:ascii="宋体" w:hAnsi="宋体"/>
                <w:sz w:val="24"/>
                <w:szCs w:val="24"/>
              </w:rPr>
            </w:pPr>
            <w:r>
              <w:rPr>
                <w:rFonts w:hint="eastAsia" w:ascii="宋体" w:hAnsi="宋体"/>
                <w:sz w:val="24"/>
                <w:szCs w:val="24"/>
              </w:rPr>
              <w:t>时间</w:t>
            </w:r>
          </w:p>
        </w:tc>
        <w:tc>
          <w:tcPr>
            <w:tcW w:w="3788" w:type="dxa"/>
            <w:gridSpan w:val="3"/>
            <w:vAlign w:val="center"/>
          </w:tcPr>
          <w:p>
            <w:pPr>
              <w:jc w:val="center"/>
              <w:rPr>
                <w:rFonts w:ascii="宋体" w:hAnsi="宋体"/>
                <w:sz w:val="24"/>
                <w:szCs w:val="24"/>
              </w:rPr>
            </w:pPr>
            <w:r>
              <w:rPr>
                <w:rFonts w:hint="eastAsia" w:ascii="宋体" w:hAnsi="宋体"/>
                <w:sz w:val="24"/>
                <w:szCs w:val="24"/>
              </w:rPr>
              <w:t>代表性项目</w:t>
            </w:r>
          </w:p>
        </w:tc>
        <w:tc>
          <w:tcPr>
            <w:tcW w:w="1605" w:type="dxa"/>
            <w:gridSpan w:val="2"/>
            <w:vAlign w:val="center"/>
          </w:tcPr>
          <w:p>
            <w:pPr>
              <w:jc w:val="center"/>
              <w:rPr>
                <w:rFonts w:ascii="宋体" w:hAnsi="宋体"/>
                <w:sz w:val="24"/>
                <w:szCs w:val="24"/>
              </w:rPr>
            </w:pPr>
            <w:r>
              <w:rPr>
                <w:rFonts w:hint="eastAsia" w:ascii="宋体" w:hAnsi="宋体"/>
                <w:sz w:val="24"/>
                <w:szCs w:val="24"/>
              </w:rPr>
              <w:t>担任职务</w:t>
            </w:r>
          </w:p>
        </w:tc>
        <w:tc>
          <w:tcPr>
            <w:tcW w:w="2222" w:type="dxa"/>
            <w:gridSpan w:val="2"/>
            <w:vAlign w:val="center"/>
          </w:tcPr>
          <w:p>
            <w:pPr>
              <w:jc w:val="center"/>
              <w:rPr>
                <w:rFonts w:ascii="宋体" w:hAnsi="宋体"/>
                <w:sz w:val="24"/>
                <w:szCs w:val="24"/>
              </w:rPr>
            </w:pPr>
            <w:r>
              <w:rPr>
                <w:rFonts w:hint="eastAsia" w:ascii="宋体" w:hAnsi="宋体"/>
                <w:sz w:val="24"/>
                <w:szCs w:val="24"/>
              </w:rPr>
              <w:t>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jc w:val="center"/>
              <w:rPr>
                <w:rFonts w:ascii="宋体" w:hAnsi="宋体"/>
                <w:sz w:val="24"/>
                <w:szCs w:val="24"/>
              </w:rPr>
            </w:pPr>
          </w:p>
        </w:tc>
        <w:tc>
          <w:tcPr>
            <w:tcW w:w="3788" w:type="dxa"/>
            <w:gridSpan w:val="3"/>
            <w:vAlign w:val="center"/>
          </w:tcPr>
          <w:p>
            <w:pPr>
              <w:jc w:val="center"/>
              <w:rPr>
                <w:rFonts w:ascii="宋体" w:hAnsi="宋体"/>
                <w:sz w:val="24"/>
                <w:szCs w:val="24"/>
              </w:rPr>
            </w:pPr>
          </w:p>
        </w:tc>
        <w:tc>
          <w:tcPr>
            <w:tcW w:w="1605" w:type="dxa"/>
            <w:gridSpan w:val="2"/>
            <w:vAlign w:val="center"/>
          </w:tcPr>
          <w:p>
            <w:pPr>
              <w:jc w:val="center"/>
              <w:rPr>
                <w:rFonts w:ascii="宋体" w:hAnsi="宋体"/>
                <w:sz w:val="24"/>
                <w:szCs w:val="24"/>
              </w:rPr>
            </w:pPr>
          </w:p>
        </w:tc>
        <w:tc>
          <w:tcPr>
            <w:tcW w:w="2222" w:type="dxa"/>
            <w:gridSpan w:val="2"/>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jc w:val="center"/>
              <w:rPr>
                <w:rFonts w:ascii="宋体" w:hAnsi="宋体"/>
                <w:sz w:val="24"/>
                <w:szCs w:val="24"/>
              </w:rPr>
            </w:pPr>
          </w:p>
        </w:tc>
        <w:tc>
          <w:tcPr>
            <w:tcW w:w="3788" w:type="dxa"/>
            <w:gridSpan w:val="3"/>
            <w:vAlign w:val="center"/>
          </w:tcPr>
          <w:p>
            <w:pPr>
              <w:jc w:val="center"/>
              <w:rPr>
                <w:rFonts w:ascii="宋体" w:hAnsi="宋体"/>
                <w:sz w:val="24"/>
                <w:szCs w:val="24"/>
              </w:rPr>
            </w:pPr>
          </w:p>
        </w:tc>
        <w:tc>
          <w:tcPr>
            <w:tcW w:w="1605" w:type="dxa"/>
            <w:gridSpan w:val="2"/>
            <w:vAlign w:val="center"/>
          </w:tcPr>
          <w:p>
            <w:pPr>
              <w:jc w:val="center"/>
              <w:rPr>
                <w:rFonts w:ascii="宋体" w:hAnsi="宋体"/>
                <w:sz w:val="24"/>
                <w:szCs w:val="24"/>
              </w:rPr>
            </w:pPr>
          </w:p>
        </w:tc>
        <w:tc>
          <w:tcPr>
            <w:tcW w:w="2222" w:type="dxa"/>
            <w:gridSpan w:val="2"/>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5" w:type="dxa"/>
            <w:gridSpan w:val="2"/>
            <w:vAlign w:val="center"/>
          </w:tcPr>
          <w:p>
            <w:pPr>
              <w:jc w:val="center"/>
              <w:rPr>
                <w:rFonts w:ascii="仿宋_GB2312" w:hAnsi="宋体" w:eastAsia="仿宋_GB2312"/>
                <w:sz w:val="24"/>
                <w:szCs w:val="24"/>
              </w:rPr>
            </w:pPr>
            <w:r>
              <w:rPr>
                <w:rFonts w:hint="eastAsia" w:ascii="仿宋_GB2312" w:hAnsi="宋体" w:eastAsia="仿宋_GB2312"/>
                <w:sz w:val="24"/>
                <w:szCs w:val="24"/>
              </w:rPr>
              <w:t>……</w:t>
            </w:r>
          </w:p>
        </w:tc>
        <w:tc>
          <w:tcPr>
            <w:tcW w:w="3788" w:type="dxa"/>
            <w:gridSpan w:val="3"/>
            <w:vAlign w:val="center"/>
          </w:tcPr>
          <w:p>
            <w:pPr>
              <w:jc w:val="center"/>
              <w:rPr>
                <w:rFonts w:ascii="仿宋_GB2312" w:hAnsi="宋体" w:eastAsia="仿宋_GB2312"/>
                <w:sz w:val="24"/>
                <w:szCs w:val="24"/>
              </w:rPr>
            </w:pPr>
          </w:p>
        </w:tc>
        <w:tc>
          <w:tcPr>
            <w:tcW w:w="1605" w:type="dxa"/>
            <w:gridSpan w:val="2"/>
            <w:vAlign w:val="center"/>
          </w:tcPr>
          <w:p>
            <w:pPr>
              <w:jc w:val="center"/>
              <w:rPr>
                <w:rFonts w:ascii="仿宋_GB2312" w:hAnsi="宋体" w:eastAsia="仿宋_GB2312"/>
                <w:sz w:val="24"/>
                <w:szCs w:val="24"/>
              </w:rPr>
            </w:pPr>
          </w:p>
        </w:tc>
        <w:tc>
          <w:tcPr>
            <w:tcW w:w="2222" w:type="dxa"/>
            <w:gridSpan w:val="2"/>
            <w:vAlign w:val="center"/>
          </w:tcPr>
          <w:p>
            <w:pPr>
              <w:jc w:val="center"/>
              <w:rPr>
                <w:rFonts w:ascii="仿宋_GB2312" w:hAnsi="宋体" w:eastAsia="仿宋_GB2312"/>
                <w:sz w:val="24"/>
                <w:szCs w:val="24"/>
              </w:rPr>
            </w:pPr>
          </w:p>
        </w:tc>
      </w:tr>
    </w:tbl>
    <w:p>
      <w:pPr>
        <w:spacing w:line="460" w:lineRule="exact"/>
        <w:rPr>
          <w:rFonts w:ascii="宋体" w:hAnsi="宋体"/>
          <w:sz w:val="24"/>
          <w:szCs w:val="24"/>
        </w:rPr>
      </w:pPr>
      <w:r>
        <w:rPr>
          <w:rFonts w:hint="eastAsia" w:ascii="宋体" w:hAnsi="宋体"/>
          <w:sz w:val="24"/>
          <w:szCs w:val="24"/>
        </w:rPr>
        <w:t>备注：</w:t>
      </w:r>
    </w:p>
    <w:p>
      <w:pPr>
        <w:spacing w:line="460" w:lineRule="exact"/>
        <w:ind w:firstLine="480" w:firstLineChars="200"/>
        <w:rPr>
          <w:rFonts w:ascii="宋体" w:hAnsi="宋体"/>
          <w:sz w:val="24"/>
          <w:szCs w:val="24"/>
        </w:rPr>
      </w:pPr>
      <w:r>
        <w:rPr>
          <w:rFonts w:hint="eastAsia" w:ascii="宋体" w:hAnsi="宋体"/>
          <w:sz w:val="24"/>
          <w:szCs w:val="24"/>
        </w:rPr>
        <w:t>1．个人主要履历从大学开始填写。</w:t>
      </w:r>
    </w:p>
    <w:p>
      <w:pPr>
        <w:spacing w:line="460" w:lineRule="exact"/>
        <w:ind w:firstLine="480" w:firstLineChars="200"/>
        <w:rPr>
          <w:rFonts w:ascii="宋体" w:hAnsi="宋体"/>
          <w:sz w:val="24"/>
          <w:szCs w:val="24"/>
        </w:rPr>
      </w:pPr>
      <w:r>
        <w:rPr>
          <w:rFonts w:hint="eastAsia" w:ascii="宋体" w:hAnsi="宋体"/>
          <w:sz w:val="24"/>
          <w:szCs w:val="24"/>
        </w:rPr>
        <w:t>2．附身份证、国家监理工程师注册执业资格证书、职称证（若有）、学历学位证件。</w:t>
      </w:r>
    </w:p>
    <w:p>
      <w:pPr>
        <w:spacing w:after="240" w:afterLines="100" w:line="460" w:lineRule="exact"/>
        <w:ind w:firstLine="480" w:firstLineChars="200"/>
        <w:rPr>
          <w:rFonts w:ascii="宋体" w:hAnsi="宋体"/>
          <w:sz w:val="24"/>
          <w:szCs w:val="24"/>
        </w:rPr>
      </w:pPr>
      <w:r>
        <w:rPr>
          <w:rFonts w:hint="eastAsia" w:ascii="宋体" w:hAnsi="宋体"/>
          <w:sz w:val="24"/>
          <w:szCs w:val="24"/>
        </w:rPr>
        <w:t>3．人员顺序与清单顺序一致，且一一对应。</w:t>
      </w:r>
    </w:p>
    <w:p>
      <w:pPr>
        <w:spacing w:after="240" w:afterLines="100" w:line="460" w:lineRule="exact"/>
        <w:ind w:firstLine="480" w:firstLineChars="200"/>
        <w:rPr>
          <w:rFonts w:ascii="宋体" w:hAnsi="宋体"/>
          <w:sz w:val="24"/>
          <w:szCs w:val="24"/>
        </w:rPr>
      </w:pPr>
    </w:p>
    <w:p>
      <w:pPr>
        <w:spacing w:after="120" w:afterLines="50" w:line="460" w:lineRule="exact"/>
        <w:ind w:firstLine="627" w:firstLineChars="196"/>
        <w:jc w:val="center"/>
        <w:outlineLvl w:val="2"/>
        <w:rPr>
          <w:rFonts w:hint="eastAsia" w:ascii="黑体" w:hAnsi="黑体" w:eastAsia="黑体"/>
          <w:sz w:val="32"/>
          <w:szCs w:val="32"/>
        </w:rPr>
        <w:sectPr>
          <w:pgSz w:w="11906" w:h="16838"/>
          <w:pgMar w:top="2098" w:right="1474" w:bottom="1928" w:left="1588" w:header="1134" w:footer="1418" w:gutter="0"/>
          <w:cols w:space="720" w:num="1"/>
          <w:docGrid w:linePitch="435" w:charSpace="0"/>
        </w:sectPr>
      </w:pPr>
      <w:bookmarkStart w:id="727" w:name="_Toc184916624"/>
    </w:p>
    <w:p>
      <w:pPr>
        <w:spacing w:after="120" w:afterLines="50" w:line="460" w:lineRule="exact"/>
        <w:ind w:firstLine="627" w:firstLineChars="196"/>
        <w:jc w:val="center"/>
        <w:outlineLvl w:val="2"/>
        <w:rPr>
          <w:rFonts w:ascii="黑体" w:hAnsi="黑体" w:eastAsia="黑体"/>
          <w:sz w:val="28"/>
          <w:szCs w:val="28"/>
        </w:rPr>
      </w:pPr>
      <w:r>
        <w:rPr>
          <w:rFonts w:hint="eastAsia" w:ascii="黑体" w:hAnsi="黑体" w:eastAsia="黑体"/>
          <w:sz w:val="32"/>
          <w:szCs w:val="32"/>
        </w:rPr>
        <w:t>五、项目管理机构</w:t>
      </w:r>
      <w:bookmarkEnd w:id="727"/>
    </w:p>
    <w:p>
      <w:pPr>
        <w:spacing w:after="120" w:afterLines="50" w:line="460" w:lineRule="exact"/>
        <w:ind w:firstLine="482" w:firstLineChars="200"/>
        <w:rPr>
          <w:rFonts w:ascii="宋体" w:hAnsi="宋体"/>
          <w:b/>
          <w:sz w:val="24"/>
          <w:szCs w:val="24"/>
        </w:rPr>
      </w:pPr>
      <w:r>
        <w:rPr>
          <w:rFonts w:hint="eastAsia" w:ascii="宋体" w:hAnsi="宋体"/>
          <w:b/>
          <w:sz w:val="24"/>
          <w:szCs w:val="24"/>
        </w:rPr>
        <w:t>（一）全过程工程咨询机构组成表</w:t>
      </w:r>
    </w:p>
    <w:p>
      <w:pPr>
        <w:spacing w:line="460" w:lineRule="exact"/>
        <w:ind w:firstLine="480" w:firstLineChars="200"/>
        <w:jc w:val="left"/>
        <w:rPr>
          <w:rFonts w:ascii="宋体" w:hAnsi="宋体"/>
          <w:sz w:val="24"/>
          <w:szCs w:val="24"/>
        </w:rPr>
      </w:pPr>
      <w:r>
        <w:rPr>
          <w:rFonts w:hint="eastAsia" w:ascii="宋体" w:hAnsi="宋体"/>
          <w:sz w:val="24"/>
          <w:szCs w:val="24"/>
        </w:rPr>
        <w:t>1. 全过程工程咨询机构人员名单</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39"/>
        <w:gridCol w:w="757"/>
        <w:gridCol w:w="881"/>
        <w:gridCol w:w="850"/>
        <w:gridCol w:w="1134"/>
        <w:gridCol w:w="141"/>
        <w:gridCol w:w="1136"/>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Merge w:val="restart"/>
            <w:vAlign w:val="center"/>
          </w:tcPr>
          <w:p>
            <w:pPr>
              <w:spacing w:line="320" w:lineRule="exact"/>
              <w:jc w:val="center"/>
              <w:rPr>
                <w:rFonts w:ascii="宋体" w:hAnsi="宋体"/>
                <w:sz w:val="24"/>
                <w:szCs w:val="24"/>
              </w:rPr>
            </w:pPr>
            <w:r>
              <w:rPr>
                <w:rFonts w:hint="eastAsia" w:ascii="宋体" w:hAnsi="宋体"/>
                <w:sz w:val="24"/>
                <w:szCs w:val="24"/>
              </w:rPr>
              <w:t>序号</w:t>
            </w:r>
          </w:p>
        </w:tc>
        <w:tc>
          <w:tcPr>
            <w:tcW w:w="1939" w:type="dxa"/>
            <w:vMerge w:val="restart"/>
            <w:vAlign w:val="center"/>
          </w:tcPr>
          <w:p>
            <w:pPr>
              <w:spacing w:line="320" w:lineRule="exact"/>
              <w:jc w:val="center"/>
              <w:rPr>
                <w:rFonts w:ascii="宋体" w:hAnsi="宋体"/>
                <w:sz w:val="24"/>
                <w:szCs w:val="24"/>
              </w:rPr>
            </w:pPr>
            <w:r>
              <w:rPr>
                <w:rFonts w:hint="eastAsia" w:ascii="宋体" w:hAnsi="宋体"/>
                <w:sz w:val="24"/>
                <w:szCs w:val="24"/>
              </w:rPr>
              <w:t>职务</w:t>
            </w:r>
          </w:p>
        </w:tc>
        <w:tc>
          <w:tcPr>
            <w:tcW w:w="757" w:type="dxa"/>
            <w:vMerge w:val="restart"/>
            <w:vAlign w:val="center"/>
          </w:tcPr>
          <w:p>
            <w:pPr>
              <w:spacing w:line="320" w:lineRule="exact"/>
              <w:jc w:val="center"/>
              <w:rPr>
                <w:rFonts w:ascii="宋体" w:hAnsi="宋体"/>
                <w:sz w:val="24"/>
                <w:szCs w:val="24"/>
              </w:rPr>
            </w:pPr>
            <w:r>
              <w:rPr>
                <w:rFonts w:hint="eastAsia" w:ascii="宋体" w:hAnsi="宋体"/>
                <w:sz w:val="24"/>
                <w:szCs w:val="24"/>
              </w:rPr>
              <w:t>姓名</w:t>
            </w:r>
          </w:p>
        </w:tc>
        <w:tc>
          <w:tcPr>
            <w:tcW w:w="881" w:type="dxa"/>
            <w:vMerge w:val="restart"/>
            <w:vAlign w:val="center"/>
          </w:tcPr>
          <w:p>
            <w:pPr>
              <w:spacing w:line="320" w:lineRule="exact"/>
              <w:jc w:val="center"/>
              <w:rPr>
                <w:rFonts w:ascii="宋体" w:hAnsi="宋体"/>
                <w:sz w:val="24"/>
                <w:szCs w:val="24"/>
              </w:rPr>
            </w:pPr>
            <w:r>
              <w:rPr>
                <w:rFonts w:hint="eastAsia" w:ascii="宋体" w:hAnsi="宋体"/>
                <w:sz w:val="24"/>
                <w:szCs w:val="24"/>
              </w:rPr>
              <w:t>身份证号</w:t>
            </w:r>
          </w:p>
        </w:tc>
        <w:tc>
          <w:tcPr>
            <w:tcW w:w="850" w:type="dxa"/>
            <w:vMerge w:val="restart"/>
            <w:vAlign w:val="center"/>
          </w:tcPr>
          <w:p>
            <w:pPr>
              <w:spacing w:line="320" w:lineRule="exact"/>
              <w:jc w:val="center"/>
              <w:rPr>
                <w:rFonts w:ascii="宋体" w:hAnsi="宋体"/>
                <w:sz w:val="24"/>
                <w:szCs w:val="24"/>
              </w:rPr>
            </w:pPr>
            <w:r>
              <w:rPr>
                <w:rFonts w:hint="eastAsia" w:ascii="宋体" w:hAnsi="宋体"/>
                <w:sz w:val="24"/>
                <w:szCs w:val="24"/>
              </w:rPr>
              <w:t>职称</w:t>
            </w:r>
          </w:p>
        </w:tc>
        <w:tc>
          <w:tcPr>
            <w:tcW w:w="2411" w:type="dxa"/>
            <w:gridSpan w:val="3"/>
            <w:vAlign w:val="center"/>
          </w:tcPr>
          <w:p>
            <w:pPr>
              <w:spacing w:line="320" w:lineRule="exact"/>
              <w:jc w:val="center"/>
              <w:rPr>
                <w:rFonts w:ascii="宋体" w:hAnsi="宋体"/>
                <w:sz w:val="24"/>
                <w:szCs w:val="24"/>
              </w:rPr>
            </w:pPr>
            <w:r>
              <w:rPr>
                <w:rFonts w:hint="eastAsia" w:ascii="宋体" w:hAnsi="宋体"/>
                <w:sz w:val="24"/>
                <w:szCs w:val="24"/>
              </w:rPr>
              <w:t>执业或职业资格证明</w:t>
            </w:r>
          </w:p>
        </w:tc>
        <w:tc>
          <w:tcPr>
            <w:tcW w:w="1437" w:type="dxa"/>
            <w:vMerge w:val="restart"/>
            <w:vAlign w:val="center"/>
          </w:tcPr>
          <w:p>
            <w:pPr>
              <w:spacing w:line="320" w:lineRule="exact"/>
              <w:jc w:val="center"/>
              <w:rPr>
                <w:rFonts w:ascii="宋体" w:hAnsi="宋体"/>
                <w:b/>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Merge w:val="continue"/>
            <w:vAlign w:val="center"/>
          </w:tcPr>
          <w:p>
            <w:pPr>
              <w:spacing w:line="320" w:lineRule="exact"/>
              <w:jc w:val="center"/>
              <w:rPr>
                <w:rFonts w:ascii="宋体" w:hAnsi="宋体"/>
                <w:sz w:val="24"/>
                <w:szCs w:val="24"/>
              </w:rPr>
            </w:pPr>
          </w:p>
        </w:tc>
        <w:tc>
          <w:tcPr>
            <w:tcW w:w="1939" w:type="dxa"/>
            <w:vMerge w:val="continue"/>
            <w:vAlign w:val="center"/>
          </w:tcPr>
          <w:p>
            <w:pPr>
              <w:spacing w:line="320" w:lineRule="exact"/>
              <w:jc w:val="center"/>
              <w:rPr>
                <w:rFonts w:ascii="宋体" w:hAnsi="宋体"/>
                <w:sz w:val="24"/>
                <w:szCs w:val="24"/>
              </w:rPr>
            </w:pPr>
          </w:p>
        </w:tc>
        <w:tc>
          <w:tcPr>
            <w:tcW w:w="757" w:type="dxa"/>
            <w:vMerge w:val="continue"/>
            <w:vAlign w:val="center"/>
          </w:tcPr>
          <w:p>
            <w:pPr>
              <w:spacing w:line="320" w:lineRule="exact"/>
              <w:jc w:val="center"/>
              <w:rPr>
                <w:rFonts w:ascii="宋体" w:hAnsi="宋体"/>
                <w:sz w:val="24"/>
                <w:szCs w:val="24"/>
              </w:rPr>
            </w:pPr>
          </w:p>
        </w:tc>
        <w:tc>
          <w:tcPr>
            <w:tcW w:w="881" w:type="dxa"/>
            <w:vMerge w:val="continue"/>
            <w:vAlign w:val="center"/>
          </w:tcPr>
          <w:p>
            <w:pPr>
              <w:spacing w:line="320" w:lineRule="exact"/>
              <w:jc w:val="center"/>
              <w:rPr>
                <w:rFonts w:ascii="宋体" w:hAnsi="宋体"/>
                <w:sz w:val="24"/>
                <w:szCs w:val="24"/>
              </w:rPr>
            </w:pPr>
          </w:p>
        </w:tc>
        <w:tc>
          <w:tcPr>
            <w:tcW w:w="850" w:type="dxa"/>
            <w:vMerge w:val="continue"/>
            <w:vAlign w:val="center"/>
          </w:tcPr>
          <w:p>
            <w:pPr>
              <w:spacing w:line="320" w:lineRule="exact"/>
              <w:jc w:val="center"/>
              <w:rPr>
                <w:rFonts w:ascii="宋体" w:hAnsi="宋体"/>
                <w:sz w:val="24"/>
                <w:szCs w:val="24"/>
              </w:rPr>
            </w:pPr>
          </w:p>
        </w:tc>
        <w:tc>
          <w:tcPr>
            <w:tcW w:w="1275" w:type="dxa"/>
            <w:gridSpan w:val="2"/>
            <w:vAlign w:val="center"/>
          </w:tcPr>
          <w:p>
            <w:pPr>
              <w:spacing w:line="320" w:lineRule="exact"/>
              <w:jc w:val="center"/>
              <w:rPr>
                <w:rFonts w:ascii="宋体" w:hAnsi="宋体"/>
                <w:sz w:val="24"/>
                <w:szCs w:val="24"/>
              </w:rPr>
            </w:pPr>
            <w:r>
              <w:rPr>
                <w:rFonts w:hint="eastAsia" w:ascii="宋体" w:hAnsi="宋体"/>
                <w:sz w:val="24"/>
                <w:szCs w:val="24"/>
              </w:rPr>
              <w:t>执业资格及专业</w:t>
            </w:r>
          </w:p>
        </w:tc>
        <w:tc>
          <w:tcPr>
            <w:tcW w:w="1136" w:type="dxa"/>
            <w:vAlign w:val="center"/>
          </w:tcPr>
          <w:p>
            <w:pPr>
              <w:spacing w:line="320" w:lineRule="exact"/>
              <w:jc w:val="center"/>
              <w:rPr>
                <w:rFonts w:ascii="宋体" w:hAnsi="宋体"/>
                <w:sz w:val="24"/>
                <w:szCs w:val="24"/>
              </w:rPr>
            </w:pPr>
            <w:r>
              <w:rPr>
                <w:rFonts w:hint="eastAsia" w:ascii="宋体" w:hAnsi="宋体"/>
                <w:sz w:val="24"/>
                <w:szCs w:val="24"/>
              </w:rPr>
              <w:t>证书号</w:t>
            </w:r>
          </w:p>
        </w:tc>
        <w:tc>
          <w:tcPr>
            <w:tcW w:w="1437" w:type="dxa"/>
            <w:vMerge w:val="continue"/>
            <w:vAlign w:val="center"/>
          </w:tcPr>
          <w:p>
            <w:pPr>
              <w:spacing w:line="32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9"/>
            <w:vAlign w:val="center"/>
          </w:tcPr>
          <w:p>
            <w:pPr>
              <w:rPr>
                <w:rFonts w:ascii="宋体" w:hAnsi="宋体"/>
                <w:b/>
                <w:sz w:val="24"/>
                <w:szCs w:val="24"/>
              </w:rPr>
            </w:pPr>
            <w:r>
              <w:rPr>
                <w:rFonts w:hint="eastAsia" w:ascii="宋体" w:hAnsi="宋体"/>
                <w:b/>
                <w:sz w:val="24"/>
                <w:szCs w:val="24"/>
              </w:rPr>
              <w:t>一、协调领导机构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总咨询师</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r>
              <w:rPr>
                <w:rFonts w:hint="eastAsia" w:ascii="宋体" w:hAnsi="宋体"/>
                <w:sz w:val="24"/>
                <w:szCs w:val="24"/>
              </w:rPr>
              <w:t>2</w:t>
            </w: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副总咨询师</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r>
              <w:rPr>
                <w:rFonts w:hint="eastAsia" w:ascii="宋体" w:hAnsi="宋体"/>
                <w:sz w:val="24"/>
                <w:szCs w:val="24"/>
              </w:rPr>
              <w:t>3</w:t>
            </w: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总工程师</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9"/>
            <w:vAlign w:val="center"/>
          </w:tcPr>
          <w:p>
            <w:pPr>
              <w:spacing w:line="360" w:lineRule="exact"/>
              <w:rPr>
                <w:rFonts w:ascii="宋体" w:hAnsi="宋体"/>
                <w:sz w:val="24"/>
                <w:szCs w:val="24"/>
              </w:rPr>
            </w:pPr>
            <w:r>
              <w:rPr>
                <w:rFonts w:hint="eastAsia" w:ascii="宋体" w:hAnsi="宋体"/>
                <w:b/>
                <w:sz w:val="24"/>
                <w:szCs w:val="24"/>
              </w:rPr>
              <w:t>二、设计小组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负责人</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9"/>
            <w:vAlign w:val="center"/>
          </w:tcPr>
          <w:p>
            <w:pPr>
              <w:spacing w:line="360" w:lineRule="exact"/>
              <w:rPr>
                <w:rFonts w:ascii="宋体" w:hAnsi="宋体"/>
                <w:sz w:val="24"/>
                <w:szCs w:val="24"/>
              </w:rPr>
            </w:pPr>
            <w:r>
              <w:rPr>
                <w:rFonts w:hint="eastAsia" w:ascii="宋体" w:hAnsi="宋体"/>
                <w:b/>
                <w:sz w:val="24"/>
                <w:szCs w:val="24"/>
              </w:rPr>
              <w:t>三、监理小组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总监理工程师</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9"/>
            <w:vAlign w:val="center"/>
          </w:tcPr>
          <w:p>
            <w:pPr>
              <w:spacing w:line="360" w:lineRule="exact"/>
              <w:rPr>
                <w:rFonts w:ascii="宋体" w:hAnsi="宋体"/>
                <w:sz w:val="24"/>
                <w:szCs w:val="24"/>
              </w:rPr>
            </w:pPr>
            <w:r>
              <w:rPr>
                <w:rFonts w:hint="eastAsia" w:ascii="宋体" w:hAnsi="宋体"/>
                <w:b/>
                <w:sz w:val="24"/>
                <w:szCs w:val="24"/>
              </w:rPr>
              <w:t>四、造价小组（纳入项目管理小组）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负责人</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9"/>
            <w:vAlign w:val="center"/>
          </w:tcPr>
          <w:p>
            <w:pPr>
              <w:spacing w:line="360" w:lineRule="exact"/>
              <w:rPr>
                <w:rFonts w:ascii="宋体" w:hAnsi="宋体"/>
                <w:sz w:val="24"/>
                <w:szCs w:val="24"/>
              </w:rPr>
            </w:pPr>
            <w:r>
              <w:rPr>
                <w:rFonts w:hint="eastAsia" w:ascii="宋体" w:hAnsi="宋体"/>
                <w:b/>
                <w:sz w:val="24"/>
                <w:szCs w:val="24"/>
              </w:rPr>
              <w:t>五、其他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360" w:lineRule="exact"/>
              <w:jc w:val="center"/>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负责人</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5" w:type="dxa"/>
            <w:vAlign w:val="center"/>
          </w:tcPr>
          <w:p>
            <w:pPr>
              <w:spacing w:line="360" w:lineRule="exact"/>
              <w:jc w:val="center"/>
              <w:rPr>
                <w:rFonts w:ascii="宋体" w:hAnsi="宋体"/>
                <w:sz w:val="24"/>
                <w:szCs w:val="24"/>
              </w:rPr>
            </w:pPr>
          </w:p>
        </w:tc>
        <w:tc>
          <w:tcPr>
            <w:tcW w:w="1939" w:type="dxa"/>
            <w:vAlign w:val="center"/>
          </w:tcPr>
          <w:p>
            <w:pPr>
              <w:spacing w:line="3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360" w:lineRule="exact"/>
              <w:jc w:val="center"/>
              <w:rPr>
                <w:rFonts w:ascii="宋体" w:hAnsi="宋体"/>
                <w:sz w:val="24"/>
                <w:szCs w:val="24"/>
              </w:rPr>
            </w:pPr>
          </w:p>
        </w:tc>
        <w:tc>
          <w:tcPr>
            <w:tcW w:w="881" w:type="dxa"/>
            <w:vAlign w:val="center"/>
          </w:tcPr>
          <w:p>
            <w:pPr>
              <w:spacing w:line="360" w:lineRule="exact"/>
              <w:jc w:val="center"/>
              <w:rPr>
                <w:rFonts w:ascii="宋体" w:hAnsi="宋体"/>
                <w:sz w:val="24"/>
                <w:szCs w:val="24"/>
              </w:rPr>
            </w:pPr>
          </w:p>
        </w:tc>
        <w:tc>
          <w:tcPr>
            <w:tcW w:w="850" w:type="dxa"/>
            <w:vAlign w:val="center"/>
          </w:tcPr>
          <w:p>
            <w:pPr>
              <w:spacing w:line="360" w:lineRule="exact"/>
              <w:jc w:val="center"/>
              <w:rPr>
                <w:rFonts w:ascii="宋体" w:hAnsi="宋体"/>
                <w:sz w:val="24"/>
                <w:szCs w:val="24"/>
              </w:rPr>
            </w:pPr>
          </w:p>
        </w:tc>
        <w:tc>
          <w:tcPr>
            <w:tcW w:w="1134" w:type="dxa"/>
            <w:vAlign w:val="center"/>
          </w:tcPr>
          <w:p>
            <w:pPr>
              <w:spacing w:line="360" w:lineRule="exact"/>
              <w:jc w:val="center"/>
              <w:rPr>
                <w:rFonts w:ascii="宋体" w:hAnsi="宋体"/>
                <w:sz w:val="24"/>
                <w:szCs w:val="24"/>
              </w:rPr>
            </w:pPr>
          </w:p>
        </w:tc>
        <w:tc>
          <w:tcPr>
            <w:tcW w:w="1277" w:type="dxa"/>
            <w:gridSpan w:val="2"/>
            <w:vAlign w:val="center"/>
          </w:tcPr>
          <w:p>
            <w:pPr>
              <w:spacing w:line="360" w:lineRule="exact"/>
              <w:jc w:val="center"/>
              <w:rPr>
                <w:rFonts w:ascii="宋体" w:hAnsi="宋体"/>
                <w:sz w:val="24"/>
                <w:szCs w:val="24"/>
              </w:rPr>
            </w:pPr>
          </w:p>
        </w:tc>
        <w:tc>
          <w:tcPr>
            <w:tcW w:w="1437" w:type="dxa"/>
            <w:vAlign w:val="center"/>
          </w:tcPr>
          <w:p>
            <w:pPr>
              <w:spacing w:line="360" w:lineRule="exact"/>
              <w:jc w:val="center"/>
              <w:rPr>
                <w:rFonts w:ascii="宋体" w:hAnsi="宋体"/>
                <w:sz w:val="24"/>
                <w:szCs w:val="24"/>
              </w:rPr>
            </w:pPr>
          </w:p>
        </w:tc>
      </w:tr>
    </w:tbl>
    <w:p>
      <w:pPr>
        <w:spacing w:line="460" w:lineRule="exact"/>
        <w:rPr>
          <w:rFonts w:ascii="宋体" w:hAnsi="宋体"/>
          <w:sz w:val="24"/>
          <w:szCs w:val="24"/>
        </w:rPr>
      </w:pPr>
      <w:r>
        <w:rPr>
          <w:rFonts w:hint="eastAsia" w:ascii="宋体" w:hAnsi="宋体"/>
          <w:sz w:val="24"/>
          <w:szCs w:val="24"/>
        </w:rPr>
        <w:t>备注：投标人可结合招标文件和合同草案要求，从满足工程建设实际需要出发，参考本表所列人员，自行优化组合，甲方有权根据工程情况对人员数量提出增减。</w:t>
      </w:r>
    </w:p>
    <w:p>
      <w:pPr>
        <w:spacing w:after="120" w:afterLines="50" w:line="460" w:lineRule="exact"/>
        <w:ind w:firstLine="470" w:firstLineChars="196"/>
        <w:rPr>
          <w:rFonts w:ascii="宋体" w:hAnsi="宋体"/>
          <w:sz w:val="24"/>
          <w:szCs w:val="24"/>
        </w:rPr>
      </w:pPr>
      <w:r>
        <w:rPr>
          <w:rFonts w:ascii="宋体" w:hAnsi="宋体"/>
          <w:sz w:val="24"/>
          <w:szCs w:val="24"/>
        </w:rPr>
        <w:br w:type="page"/>
      </w:r>
      <w:r>
        <w:rPr>
          <w:rFonts w:hint="eastAsia" w:ascii="宋体" w:hAnsi="宋体"/>
          <w:sz w:val="24"/>
          <w:szCs w:val="24"/>
        </w:rPr>
        <w:t>2. 专家顾问小组人员名单</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939"/>
        <w:gridCol w:w="757"/>
        <w:gridCol w:w="1276"/>
        <w:gridCol w:w="852"/>
        <w:gridCol w:w="1276"/>
        <w:gridCol w:w="1136"/>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Merge w:val="restart"/>
            <w:vAlign w:val="center"/>
          </w:tcPr>
          <w:p>
            <w:pPr>
              <w:spacing w:line="320" w:lineRule="exact"/>
              <w:jc w:val="center"/>
              <w:rPr>
                <w:rFonts w:ascii="宋体" w:hAnsi="宋体"/>
                <w:sz w:val="24"/>
                <w:szCs w:val="24"/>
              </w:rPr>
            </w:pPr>
            <w:r>
              <w:rPr>
                <w:rFonts w:hint="eastAsia" w:ascii="宋体" w:hAnsi="宋体"/>
                <w:sz w:val="24"/>
                <w:szCs w:val="24"/>
              </w:rPr>
              <w:t>序号</w:t>
            </w:r>
          </w:p>
        </w:tc>
        <w:tc>
          <w:tcPr>
            <w:tcW w:w="1939" w:type="dxa"/>
            <w:vMerge w:val="restart"/>
            <w:vAlign w:val="center"/>
          </w:tcPr>
          <w:p>
            <w:pPr>
              <w:spacing w:line="320" w:lineRule="exact"/>
              <w:jc w:val="center"/>
              <w:rPr>
                <w:rFonts w:ascii="宋体" w:hAnsi="宋体"/>
                <w:sz w:val="24"/>
                <w:szCs w:val="24"/>
              </w:rPr>
            </w:pPr>
            <w:r>
              <w:rPr>
                <w:rFonts w:hint="eastAsia" w:ascii="宋体" w:hAnsi="宋体"/>
                <w:sz w:val="24"/>
                <w:szCs w:val="24"/>
              </w:rPr>
              <w:t>职务</w:t>
            </w:r>
          </w:p>
        </w:tc>
        <w:tc>
          <w:tcPr>
            <w:tcW w:w="757" w:type="dxa"/>
            <w:vMerge w:val="restart"/>
            <w:vAlign w:val="center"/>
          </w:tcPr>
          <w:p>
            <w:pPr>
              <w:spacing w:line="320" w:lineRule="exact"/>
              <w:jc w:val="center"/>
              <w:rPr>
                <w:rFonts w:ascii="宋体" w:hAnsi="宋体"/>
                <w:sz w:val="24"/>
                <w:szCs w:val="24"/>
              </w:rPr>
            </w:pPr>
            <w:r>
              <w:rPr>
                <w:rFonts w:hint="eastAsia" w:ascii="宋体" w:hAnsi="宋体"/>
                <w:sz w:val="24"/>
                <w:szCs w:val="24"/>
              </w:rPr>
              <w:t>姓名</w:t>
            </w:r>
          </w:p>
        </w:tc>
        <w:tc>
          <w:tcPr>
            <w:tcW w:w="1276" w:type="dxa"/>
            <w:vMerge w:val="restart"/>
            <w:vAlign w:val="center"/>
          </w:tcPr>
          <w:p>
            <w:pPr>
              <w:spacing w:line="320" w:lineRule="exact"/>
              <w:jc w:val="center"/>
              <w:rPr>
                <w:rFonts w:ascii="宋体" w:hAnsi="宋体"/>
                <w:sz w:val="24"/>
                <w:szCs w:val="24"/>
              </w:rPr>
            </w:pPr>
            <w:r>
              <w:rPr>
                <w:rFonts w:hint="eastAsia" w:ascii="宋体" w:hAnsi="宋体"/>
                <w:sz w:val="24"/>
                <w:szCs w:val="24"/>
              </w:rPr>
              <w:t>身份证号</w:t>
            </w:r>
          </w:p>
        </w:tc>
        <w:tc>
          <w:tcPr>
            <w:tcW w:w="852" w:type="dxa"/>
            <w:vMerge w:val="restart"/>
            <w:vAlign w:val="center"/>
          </w:tcPr>
          <w:p>
            <w:pPr>
              <w:spacing w:line="320" w:lineRule="exact"/>
              <w:jc w:val="center"/>
              <w:rPr>
                <w:rFonts w:ascii="宋体" w:hAnsi="宋体"/>
                <w:sz w:val="24"/>
                <w:szCs w:val="24"/>
              </w:rPr>
            </w:pPr>
            <w:r>
              <w:rPr>
                <w:rFonts w:hint="eastAsia" w:ascii="宋体" w:hAnsi="宋体"/>
                <w:sz w:val="24"/>
                <w:szCs w:val="24"/>
              </w:rPr>
              <w:t>职称</w:t>
            </w:r>
          </w:p>
        </w:tc>
        <w:tc>
          <w:tcPr>
            <w:tcW w:w="2412" w:type="dxa"/>
            <w:gridSpan w:val="2"/>
            <w:vAlign w:val="center"/>
          </w:tcPr>
          <w:p>
            <w:pPr>
              <w:spacing w:line="320" w:lineRule="exact"/>
              <w:jc w:val="center"/>
              <w:rPr>
                <w:rFonts w:ascii="宋体" w:hAnsi="宋体"/>
                <w:sz w:val="24"/>
                <w:szCs w:val="24"/>
              </w:rPr>
            </w:pPr>
            <w:r>
              <w:rPr>
                <w:rFonts w:hint="eastAsia" w:ascii="宋体" w:hAnsi="宋体"/>
                <w:sz w:val="24"/>
                <w:szCs w:val="24"/>
              </w:rPr>
              <w:t>执业或职业资格证明</w:t>
            </w:r>
          </w:p>
        </w:tc>
        <w:tc>
          <w:tcPr>
            <w:tcW w:w="1040" w:type="dxa"/>
            <w:vMerge w:val="restart"/>
            <w:vAlign w:val="center"/>
          </w:tcPr>
          <w:p>
            <w:pPr>
              <w:spacing w:line="320" w:lineRule="exact"/>
              <w:jc w:val="center"/>
              <w:rPr>
                <w:rFonts w:ascii="宋体" w:hAnsi="宋体"/>
                <w:b/>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Merge w:val="continue"/>
            <w:vAlign w:val="center"/>
          </w:tcPr>
          <w:p>
            <w:pPr>
              <w:spacing w:line="320" w:lineRule="exact"/>
              <w:jc w:val="center"/>
              <w:rPr>
                <w:rFonts w:ascii="宋体" w:hAnsi="宋体"/>
                <w:sz w:val="24"/>
                <w:szCs w:val="24"/>
              </w:rPr>
            </w:pPr>
          </w:p>
        </w:tc>
        <w:tc>
          <w:tcPr>
            <w:tcW w:w="1939" w:type="dxa"/>
            <w:vMerge w:val="continue"/>
            <w:vAlign w:val="center"/>
          </w:tcPr>
          <w:p>
            <w:pPr>
              <w:spacing w:line="320" w:lineRule="exact"/>
              <w:jc w:val="center"/>
              <w:rPr>
                <w:rFonts w:ascii="宋体" w:hAnsi="宋体"/>
                <w:sz w:val="24"/>
                <w:szCs w:val="24"/>
              </w:rPr>
            </w:pPr>
          </w:p>
        </w:tc>
        <w:tc>
          <w:tcPr>
            <w:tcW w:w="757" w:type="dxa"/>
            <w:vMerge w:val="continue"/>
            <w:vAlign w:val="center"/>
          </w:tcPr>
          <w:p>
            <w:pPr>
              <w:spacing w:line="320" w:lineRule="exact"/>
              <w:jc w:val="center"/>
              <w:rPr>
                <w:rFonts w:ascii="宋体" w:hAnsi="宋体"/>
                <w:sz w:val="24"/>
                <w:szCs w:val="24"/>
              </w:rPr>
            </w:pPr>
          </w:p>
        </w:tc>
        <w:tc>
          <w:tcPr>
            <w:tcW w:w="1276" w:type="dxa"/>
            <w:vMerge w:val="continue"/>
            <w:vAlign w:val="center"/>
          </w:tcPr>
          <w:p>
            <w:pPr>
              <w:spacing w:line="320" w:lineRule="exact"/>
              <w:jc w:val="center"/>
              <w:rPr>
                <w:rFonts w:ascii="宋体" w:hAnsi="宋体"/>
                <w:sz w:val="24"/>
                <w:szCs w:val="24"/>
              </w:rPr>
            </w:pPr>
          </w:p>
        </w:tc>
        <w:tc>
          <w:tcPr>
            <w:tcW w:w="852" w:type="dxa"/>
            <w:vMerge w:val="continue"/>
            <w:vAlign w:val="center"/>
          </w:tcPr>
          <w:p>
            <w:pPr>
              <w:spacing w:line="320" w:lineRule="exact"/>
              <w:jc w:val="center"/>
              <w:rPr>
                <w:rFonts w:ascii="宋体" w:hAnsi="宋体"/>
                <w:sz w:val="24"/>
                <w:szCs w:val="24"/>
              </w:rPr>
            </w:pPr>
          </w:p>
        </w:tc>
        <w:tc>
          <w:tcPr>
            <w:tcW w:w="1276" w:type="dxa"/>
            <w:vAlign w:val="center"/>
          </w:tcPr>
          <w:p>
            <w:pPr>
              <w:spacing w:line="320" w:lineRule="exact"/>
              <w:jc w:val="center"/>
              <w:rPr>
                <w:rFonts w:ascii="宋体" w:hAnsi="宋体"/>
                <w:sz w:val="24"/>
                <w:szCs w:val="24"/>
              </w:rPr>
            </w:pPr>
            <w:r>
              <w:rPr>
                <w:rFonts w:hint="eastAsia" w:ascii="宋体" w:hAnsi="宋体"/>
                <w:sz w:val="24"/>
                <w:szCs w:val="24"/>
              </w:rPr>
              <w:t>执业资格及专业</w:t>
            </w:r>
          </w:p>
        </w:tc>
        <w:tc>
          <w:tcPr>
            <w:tcW w:w="1136" w:type="dxa"/>
            <w:vAlign w:val="center"/>
          </w:tcPr>
          <w:p>
            <w:pPr>
              <w:spacing w:line="320" w:lineRule="exact"/>
              <w:jc w:val="center"/>
              <w:rPr>
                <w:rFonts w:ascii="宋体" w:hAnsi="宋体"/>
                <w:sz w:val="24"/>
                <w:szCs w:val="24"/>
              </w:rPr>
            </w:pPr>
            <w:r>
              <w:rPr>
                <w:rFonts w:hint="eastAsia" w:ascii="宋体" w:hAnsi="宋体"/>
                <w:sz w:val="24"/>
                <w:szCs w:val="24"/>
              </w:rPr>
              <w:t>证书号</w:t>
            </w:r>
          </w:p>
        </w:tc>
        <w:tc>
          <w:tcPr>
            <w:tcW w:w="1040" w:type="dxa"/>
            <w:vMerge w:val="continue"/>
            <w:vAlign w:val="center"/>
          </w:tcPr>
          <w:p>
            <w:pPr>
              <w:spacing w:line="32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8"/>
            <w:vAlign w:val="center"/>
          </w:tcPr>
          <w:p>
            <w:pPr>
              <w:rPr>
                <w:rFonts w:ascii="宋体" w:hAnsi="宋体"/>
                <w:b/>
                <w:sz w:val="24"/>
                <w:szCs w:val="24"/>
              </w:rPr>
            </w:pPr>
            <w:r>
              <w:rPr>
                <w:rFonts w:hint="eastAsia" w:ascii="宋体" w:hAnsi="宋体"/>
                <w:b/>
                <w:sz w:val="24"/>
                <w:szCs w:val="24"/>
              </w:rPr>
              <w:t>一、领导层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3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360" w:lineRule="exact"/>
              <w:jc w:val="center"/>
              <w:rPr>
                <w:rFonts w:ascii="宋体" w:hAnsi="宋体"/>
                <w:sz w:val="24"/>
                <w:szCs w:val="24"/>
              </w:rPr>
            </w:pPr>
          </w:p>
        </w:tc>
        <w:tc>
          <w:tcPr>
            <w:tcW w:w="757" w:type="dxa"/>
            <w:vAlign w:val="center"/>
          </w:tcPr>
          <w:p>
            <w:pPr>
              <w:spacing w:line="360" w:lineRule="exact"/>
              <w:jc w:val="center"/>
              <w:rPr>
                <w:rFonts w:ascii="宋体" w:hAnsi="宋体"/>
                <w:sz w:val="24"/>
                <w:szCs w:val="24"/>
              </w:rPr>
            </w:pPr>
          </w:p>
        </w:tc>
        <w:tc>
          <w:tcPr>
            <w:tcW w:w="1276" w:type="dxa"/>
            <w:vAlign w:val="center"/>
          </w:tcPr>
          <w:p>
            <w:pPr>
              <w:spacing w:line="360" w:lineRule="exact"/>
              <w:jc w:val="center"/>
              <w:rPr>
                <w:rFonts w:ascii="宋体" w:hAnsi="宋体"/>
                <w:sz w:val="24"/>
                <w:szCs w:val="24"/>
              </w:rPr>
            </w:pPr>
          </w:p>
        </w:tc>
        <w:tc>
          <w:tcPr>
            <w:tcW w:w="852" w:type="dxa"/>
            <w:vAlign w:val="center"/>
          </w:tcPr>
          <w:p>
            <w:pPr>
              <w:spacing w:line="360" w:lineRule="exact"/>
              <w:jc w:val="center"/>
              <w:rPr>
                <w:rFonts w:ascii="宋体" w:hAnsi="宋体"/>
                <w:sz w:val="24"/>
                <w:szCs w:val="24"/>
              </w:rPr>
            </w:pPr>
          </w:p>
        </w:tc>
        <w:tc>
          <w:tcPr>
            <w:tcW w:w="1276" w:type="dxa"/>
            <w:vAlign w:val="center"/>
          </w:tcPr>
          <w:p>
            <w:pPr>
              <w:spacing w:line="360" w:lineRule="exact"/>
              <w:jc w:val="center"/>
              <w:rPr>
                <w:rFonts w:ascii="宋体" w:hAnsi="宋体"/>
                <w:sz w:val="24"/>
                <w:szCs w:val="24"/>
              </w:rPr>
            </w:pPr>
          </w:p>
        </w:tc>
        <w:tc>
          <w:tcPr>
            <w:tcW w:w="1136" w:type="dxa"/>
            <w:vAlign w:val="center"/>
          </w:tcPr>
          <w:p>
            <w:pPr>
              <w:spacing w:line="360" w:lineRule="exact"/>
              <w:jc w:val="center"/>
              <w:rPr>
                <w:rFonts w:ascii="宋体" w:hAnsi="宋体"/>
                <w:sz w:val="24"/>
                <w:szCs w:val="24"/>
              </w:rPr>
            </w:pPr>
          </w:p>
        </w:tc>
        <w:tc>
          <w:tcPr>
            <w:tcW w:w="1040"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360" w:lineRule="exact"/>
              <w:jc w:val="center"/>
              <w:rPr>
                <w:rFonts w:ascii="宋体" w:hAnsi="宋体"/>
                <w:sz w:val="24"/>
                <w:szCs w:val="24"/>
              </w:rPr>
            </w:pPr>
            <w:r>
              <w:rPr>
                <w:rFonts w:hint="eastAsia" w:ascii="宋体" w:hAnsi="宋体"/>
                <w:sz w:val="24"/>
                <w:szCs w:val="24"/>
              </w:rPr>
              <w:t>2</w:t>
            </w:r>
          </w:p>
        </w:tc>
        <w:tc>
          <w:tcPr>
            <w:tcW w:w="1939" w:type="dxa"/>
            <w:vAlign w:val="center"/>
          </w:tcPr>
          <w:p>
            <w:pPr>
              <w:spacing w:line="360" w:lineRule="exact"/>
              <w:jc w:val="center"/>
              <w:rPr>
                <w:rFonts w:ascii="宋体" w:hAnsi="宋体"/>
                <w:sz w:val="24"/>
                <w:szCs w:val="24"/>
              </w:rPr>
            </w:pPr>
          </w:p>
        </w:tc>
        <w:tc>
          <w:tcPr>
            <w:tcW w:w="757" w:type="dxa"/>
            <w:vAlign w:val="center"/>
          </w:tcPr>
          <w:p>
            <w:pPr>
              <w:spacing w:line="360" w:lineRule="exact"/>
              <w:jc w:val="center"/>
              <w:rPr>
                <w:rFonts w:ascii="宋体" w:hAnsi="宋体"/>
                <w:sz w:val="24"/>
                <w:szCs w:val="24"/>
              </w:rPr>
            </w:pPr>
          </w:p>
        </w:tc>
        <w:tc>
          <w:tcPr>
            <w:tcW w:w="1276" w:type="dxa"/>
            <w:vAlign w:val="center"/>
          </w:tcPr>
          <w:p>
            <w:pPr>
              <w:spacing w:line="360" w:lineRule="exact"/>
              <w:jc w:val="center"/>
              <w:rPr>
                <w:rFonts w:ascii="宋体" w:hAnsi="宋体"/>
                <w:sz w:val="24"/>
                <w:szCs w:val="24"/>
              </w:rPr>
            </w:pPr>
          </w:p>
        </w:tc>
        <w:tc>
          <w:tcPr>
            <w:tcW w:w="852" w:type="dxa"/>
            <w:vAlign w:val="center"/>
          </w:tcPr>
          <w:p>
            <w:pPr>
              <w:spacing w:line="360" w:lineRule="exact"/>
              <w:jc w:val="center"/>
              <w:rPr>
                <w:rFonts w:ascii="宋体" w:hAnsi="宋体"/>
                <w:sz w:val="24"/>
                <w:szCs w:val="24"/>
              </w:rPr>
            </w:pPr>
          </w:p>
        </w:tc>
        <w:tc>
          <w:tcPr>
            <w:tcW w:w="1276" w:type="dxa"/>
            <w:vAlign w:val="center"/>
          </w:tcPr>
          <w:p>
            <w:pPr>
              <w:spacing w:line="360" w:lineRule="exact"/>
              <w:jc w:val="center"/>
              <w:rPr>
                <w:rFonts w:ascii="宋体" w:hAnsi="宋体"/>
                <w:sz w:val="24"/>
                <w:szCs w:val="24"/>
              </w:rPr>
            </w:pPr>
          </w:p>
        </w:tc>
        <w:tc>
          <w:tcPr>
            <w:tcW w:w="1136" w:type="dxa"/>
            <w:vAlign w:val="center"/>
          </w:tcPr>
          <w:p>
            <w:pPr>
              <w:spacing w:line="360" w:lineRule="exact"/>
              <w:jc w:val="center"/>
              <w:rPr>
                <w:rFonts w:ascii="宋体" w:hAnsi="宋体"/>
                <w:sz w:val="24"/>
                <w:szCs w:val="24"/>
              </w:rPr>
            </w:pPr>
          </w:p>
        </w:tc>
        <w:tc>
          <w:tcPr>
            <w:tcW w:w="1040"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r>
              <w:rPr>
                <w:rFonts w:hint="eastAsia" w:ascii="宋体" w:hAnsi="宋体"/>
                <w:sz w:val="24"/>
                <w:szCs w:val="24"/>
              </w:rPr>
              <w:t>3</w:t>
            </w:r>
          </w:p>
        </w:tc>
        <w:tc>
          <w:tcPr>
            <w:tcW w:w="1939" w:type="dxa"/>
            <w:vAlign w:val="center"/>
          </w:tcPr>
          <w:p>
            <w:pPr>
              <w:spacing w:line="460" w:lineRule="exact"/>
              <w:jc w:val="center"/>
              <w:rPr>
                <w:rFonts w:ascii="宋体" w:hAnsi="宋体"/>
                <w:sz w:val="24"/>
                <w:szCs w:val="24"/>
              </w:rPr>
            </w:pP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r>
              <w:rPr>
                <w:rFonts w:hint="eastAsia" w:ascii="宋体" w:hAnsi="宋体"/>
                <w:sz w:val="24"/>
                <w:szCs w:val="24"/>
              </w:rPr>
              <w:t>4</w:t>
            </w:r>
          </w:p>
        </w:tc>
        <w:tc>
          <w:tcPr>
            <w:tcW w:w="1939" w:type="dxa"/>
            <w:vAlign w:val="center"/>
          </w:tcPr>
          <w:p>
            <w:pPr>
              <w:spacing w:line="460" w:lineRule="exact"/>
              <w:jc w:val="center"/>
              <w:rPr>
                <w:rFonts w:ascii="宋体" w:hAnsi="宋体"/>
                <w:sz w:val="24"/>
                <w:szCs w:val="24"/>
              </w:rPr>
            </w:pP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p>
        </w:tc>
        <w:tc>
          <w:tcPr>
            <w:tcW w:w="1939" w:type="dxa"/>
            <w:vAlign w:val="center"/>
          </w:tcPr>
          <w:p>
            <w:pPr>
              <w:spacing w:line="4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3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8"/>
            <w:vAlign w:val="center"/>
          </w:tcPr>
          <w:p>
            <w:pPr>
              <w:rPr>
                <w:rFonts w:ascii="宋体" w:hAnsi="宋体"/>
                <w:sz w:val="24"/>
                <w:szCs w:val="24"/>
              </w:rPr>
            </w:pPr>
            <w:r>
              <w:rPr>
                <w:rFonts w:hint="eastAsia" w:ascii="宋体" w:hAnsi="宋体"/>
                <w:b/>
                <w:sz w:val="24"/>
                <w:szCs w:val="24"/>
              </w:rPr>
              <w:t>二、设计小组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460" w:lineRule="exact"/>
              <w:jc w:val="center"/>
              <w:rPr>
                <w:rFonts w:ascii="宋体" w:hAnsi="宋体"/>
                <w:sz w:val="24"/>
                <w:szCs w:val="24"/>
              </w:rPr>
            </w:pPr>
            <w:r>
              <w:rPr>
                <w:rFonts w:hint="eastAsia" w:ascii="宋体" w:hAnsi="宋体"/>
                <w:sz w:val="24"/>
                <w:szCs w:val="24"/>
              </w:rPr>
              <w:t>设计负责人</w:t>
            </w: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p>
        </w:tc>
        <w:tc>
          <w:tcPr>
            <w:tcW w:w="1939" w:type="dxa"/>
            <w:vAlign w:val="center"/>
          </w:tcPr>
          <w:p>
            <w:pPr>
              <w:spacing w:line="4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8"/>
            <w:vAlign w:val="center"/>
          </w:tcPr>
          <w:p>
            <w:pPr>
              <w:rPr>
                <w:rFonts w:ascii="宋体" w:hAnsi="宋体"/>
                <w:sz w:val="24"/>
                <w:szCs w:val="24"/>
              </w:rPr>
            </w:pPr>
            <w:r>
              <w:rPr>
                <w:rFonts w:hint="eastAsia" w:ascii="宋体" w:hAnsi="宋体"/>
                <w:b/>
                <w:sz w:val="24"/>
                <w:szCs w:val="24"/>
              </w:rPr>
              <w:t>三、造价小组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460" w:lineRule="exact"/>
              <w:jc w:val="center"/>
              <w:rPr>
                <w:rFonts w:ascii="宋体" w:hAnsi="宋体"/>
                <w:sz w:val="24"/>
                <w:szCs w:val="24"/>
              </w:rPr>
            </w:pPr>
            <w:r>
              <w:rPr>
                <w:rFonts w:hint="eastAsia" w:ascii="宋体" w:hAnsi="宋体"/>
                <w:sz w:val="24"/>
                <w:szCs w:val="24"/>
              </w:rPr>
              <w:t>造价负责人</w:t>
            </w: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p>
        </w:tc>
        <w:tc>
          <w:tcPr>
            <w:tcW w:w="1939" w:type="dxa"/>
            <w:vAlign w:val="center"/>
          </w:tcPr>
          <w:p>
            <w:pPr>
              <w:spacing w:line="4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8"/>
            <w:vAlign w:val="center"/>
          </w:tcPr>
          <w:p>
            <w:pPr>
              <w:rPr>
                <w:rFonts w:ascii="宋体" w:hAnsi="宋体"/>
                <w:sz w:val="24"/>
                <w:szCs w:val="24"/>
              </w:rPr>
            </w:pPr>
            <w:r>
              <w:rPr>
                <w:rFonts w:hint="eastAsia" w:ascii="宋体" w:hAnsi="宋体"/>
                <w:b/>
                <w:sz w:val="24"/>
                <w:szCs w:val="24"/>
              </w:rPr>
              <w:t>四、其他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r>
              <w:rPr>
                <w:rFonts w:hint="eastAsia" w:ascii="宋体" w:hAnsi="宋体"/>
                <w:sz w:val="24"/>
                <w:szCs w:val="24"/>
              </w:rPr>
              <w:t>1</w:t>
            </w:r>
          </w:p>
        </w:tc>
        <w:tc>
          <w:tcPr>
            <w:tcW w:w="1939" w:type="dxa"/>
            <w:vAlign w:val="center"/>
          </w:tcPr>
          <w:p>
            <w:pPr>
              <w:spacing w:line="460" w:lineRule="exact"/>
              <w:jc w:val="center"/>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负责人</w:t>
            </w: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Align w:val="center"/>
          </w:tcPr>
          <w:p>
            <w:pPr>
              <w:spacing w:line="460" w:lineRule="exact"/>
              <w:jc w:val="center"/>
              <w:rPr>
                <w:rFonts w:ascii="宋体" w:hAnsi="宋体"/>
                <w:sz w:val="24"/>
                <w:szCs w:val="24"/>
              </w:rPr>
            </w:pPr>
          </w:p>
        </w:tc>
        <w:tc>
          <w:tcPr>
            <w:tcW w:w="1939" w:type="dxa"/>
            <w:vAlign w:val="center"/>
          </w:tcPr>
          <w:p>
            <w:pPr>
              <w:spacing w:line="460" w:lineRule="exact"/>
              <w:jc w:val="center"/>
              <w:rPr>
                <w:rFonts w:ascii="宋体" w:hAnsi="宋体"/>
                <w:sz w:val="24"/>
                <w:szCs w:val="24"/>
              </w:rPr>
            </w:pPr>
            <w:r>
              <w:rPr>
                <w:rFonts w:hint="eastAsia" w:ascii="宋体" w:hAnsi="宋体"/>
                <w:sz w:val="24"/>
                <w:szCs w:val="24"/>
              </w:rPr>
              <w:t>……</w:t>
            </w:r>
          </w:p>
        </w:tc>
        <w:tc>
          <w:tcPr>
            <w:tcW w:w="757"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852"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p>
        </w:tc>
        <w:tc>
          <w:tcPr>
            <w:tcW w:w="1136" w:type="dxa"/>
            <w:vAlign w:val="center"/>
          </w:tcPr>
          <w:p>
            <w:pPr>
              <w:spacing w:line="460" w:lineRule="exact"/>
              <w:jc w:val="center"/>
              <w:rPr>
                <w:rFonts w:ascii="宋体" w:hAnsi="宋体"/>
                <w:sz w:val="24"/>
                <w:szCs w:val="24"/>
              </w:rPr>
            </w:pPr>
          </w:p>
        </w:tc>
        <w:tc>
          <w:tcPr>
            <w:tcW w:w="1040" w:type="dxa"/>
            <w:vAlign w:val="center"/>
          </w:tcPr>
          <w:p>
            <w:pPr>
              <w:spacing w:line="460" w:lineRule="exact"/>
              <w:jc w:val="center"/>
              <w:rPr>
                <w:rFonts w:ascii="宋体" w:hAnsi="宋体"/>
                <w:sz w:val="24"/>
                <w:szCs w:val="24"/>
              </w:rPr>
            </w:pPr>
          </w:p>
        </w:tc>
      </w:tr>
    </w:tbl>
    <w:p>
      <w:pPr>
        <w:spacing w:line="460" w:lineRule="exact"/>
        <w:rPr>
          <w:rFonts w:ascii="宋体" w:hAnsi="宋体"/>
          <w:sz w:val="24"/>
          <w:szCs w:val="24"/>
        </w:rPr>
      </w:pPr>
    </w:p>
    <w:p>
      <w:pPr>
        <w:spacing w:after="120" w:afterLines="50" w:line="460" w:lineRule="exact"/>
        <w:ind w:firstLine="470" w:firstLineChars="196"/>
        <w:rPr>
          <w:rFonts w:ascii="宋体" w:hAnsi="宋体"/>
          <w:b/>
          <w:sz w:val="24"/>
          <w:szCs w:val="24"/>
        </w:rPr>
      </w:pPr>
      <w:r>
        <w:rPr>
          <w:rFonts w:ascii="宋体" w:hAnsi="宋体"/>
          <w:sz w:val="24"/>
          <w:szCs w:val="24"/>
        </w:rPr>
        <w:br w:type="page"/>
      </w:r>
      <w:r>
        <w:rPr>
          <w:rFonts w:hint="eastAsia" w:ascii="宋体" w:hAnsi="宋体"/>
          <w:b/>
          <w:sz w:val="24"/>
          <w:szCs w:val="24"/>
        </w:rPr>
        <w:t>（二）全过程工程咨询机构主要人员简历表</w:t>
      </w:r>
    </w:p>
    <w:p>
      <w:pPr>
        <w:spacing w:after="120" w:afterLines="50" w:line="460" w:lineRule="exact"/>
        <w:ind w:firstLine="470" w:firstLineChars="196"/>
        <w:rPr>
          <w:rFonts w:ascii="宋体" w:hAnsi="宋体"/>
          <w:sz w:val="24"/>
          <w:szCs w:val="24"/>
        </w:rPr>
      </w:pPr>
      <w:r>
        <w:rPr>
          <w:rFonts w:hint="eastAsia" w:ascii="宋体" w:hAnsi="宋体"/>
          <w:sz w:val="24"/>
          <w:szCs w:val="24"/>
        </w:rPr>
        <w:t>1．全过程工程咨询机构人员及相应业绩</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933"/>
        <w:gridCol w:w="1276"/>
        <w:gridCol w:w="993"/>
        <w:gridCol w:w="2194"/>
        <w:gridCol w:w="357"/>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姓名</w:t>
            </w:r>
          </w:p>
        </w:tc>
        <w:tc>
          <w:tcPr>
            <w:tcW w:w="933"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r>
              <w:rPr>
                <w:rFonts w:hint="eastAsia" w:ascii="宋体" w:hAnsi="宋体"/>
                <w:sz w:val="24"/>
                <w:szCs w:val="24"/>
              </w:rPr>
              <w:t>年龄</w:t>
            </w:r>
          </w:p>
        </w:tc>
        <w:tc>
          <w:tcPr>
            <w:tcW w:w="993" w:type="dxa"/>
            <w:vAlign w:val="center"/>
          </w:tcPr>
          <w:p>
            <w:pPr>
              <w:spacing w:line="460" w:lineRule="exact"/>
              <w:jc w:val="center"/>
              <w:rPr>
                <w:rFonts w:ascii="宋体" w:hAnsi="宋体"/>
                <w:sz w:val="24"/>
                <w:szCs w:val="24"/>
              </w:rPr>
            </w:pPr>
          </w:p>
        </w:tc>
        <w:tc>
          <w:tcPr>
            <w:tcW w:w="2551" w:type="dxa"/>
            <w:gridSpan w:val="2"/>
            <w:vAlign w:val="center"/>
          </w:tcPr>
          <w:p>
            <w:pPr>
              <w:spacing w:line="320" w:lineRule="exact"/>
              <w:jc w:val="center"/>
              <w:rPr>
                <w:rFonts w:ascii="宋体" w:hAnsi="宋体"/>
                <w:sz w:val="24"/>
                <w:szCs w:val="24"/>
              </w:rPr>
            </w:pPr>
            <w:r>
              <w:rPr>
                <w:rFonts w:hint="eastAsia" w:ascii="宋体" w:hAnsi="宋体"/>
                <w:sz w:val="24"/>
                <w:szCs w:val="24"/>
              </w:rPr>
              <w:t>执业资格证书（或上岗证书）名称、从事专业</w:t>
            </w:r>
          </w:p>
        </w:tc>
        <w:tc>
          <w:tcPr>
            <w:tcW w:w="1865"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职称</w:t>
            </w:r>
          </w:p>
        </w:tc>
        <w:tc>
          <w:tcPr>
            <w:tcW w:w="933"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r>
              <w:rPr>
                <w:rFonts w:hint="eastAsia" w:ascii="宋体" w:hAnsi="宋体"/>
                <w:sz w:val="24"/>
                <w:szCs w:val="24"/>
              </w:rPr>
              <w:t>学历</w:t>
            </w:r>
          </w:p>
        </w:tc>
        <w:tc>
          <w:tcPr>
            <w:tcW w:w="993" w:type="dxa"/>
            <w:vAlign w:val="center"/>
          </w:tcPr>
          <w:p>
            <w:pPr>
              <w:spacing w:line="460" w:lineRule="exact"/>
              <w:jc w:val="center"/>
              <w:rPr>
                <w:rFonts w:ascii="宋体" w:hAnsi="宋体"/>
                <w:sz w:val="24"/>
                <w:szCs w:val="24"/>
              </w:rPr>
            </w:pPr>
          </w:p>
        </w:tc>
        <w:tc>
          <w:tcPr>
            <w:tcW w:w="2551" w:type="dxa"/>
            <w:gridSpan w:val="2"/>
            <w:vAlign w:val="center"/>
          </w:tcPr>
          <w:p>
            <w:pPr>
              <w:spacing w:line="460" w:lineRule="exact"/>
              <w:jc w:val="center"/>
              <w:rPr>
                <w:rFonts w:ascii="宋体" w:hAnsi="宋体"/>
                <w:sz w:val="24"/>
                <w:szCs w:val="24"/>
              </w:rPr>
            </w:pPr>
            <w:r>
              <w:rPr>
                <w:rFonts w:hint="eastAsia" w:ascii="宋体" w:hAnsi="宋体"/>
                <w:sz w:val="24"/>
                <w:szCs w:val="24"/>
              </w:rPr>
              <w:t>拟在本合同任职</w:t>
            </w:r>
          </w:p>
        </w:tc>
        <w:tc>
          <w:tcPr>
            <w:tcW w:w="1865"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工作年限</w:t>
            </w:r>
          </w:p>
        </w:tc>
        <w:tc>
          <w:tcPr>
            <w:tcW w:w="3202" w:type="dxa"/>
            <w:gridSpan w:val="3"/>
            <w:vAlign w:val="center"/>
          </w:tcPr>
          <w:p>
            <w:pPr>
              <w:spacing w:line="460" w:lineRule="exact"/>
              <w:jc w:val="center"/>
              <w:rPr>
                <w:rFonts w:ascii="宋体" w:hAnsi="宋体"/>
                <w:sz w:val="24"/>
                <w:szCs w:val="24"/>
              </w:rPr>
            </w:pPr>
          </w:p>
        </w:tc>
        <w:tc>
          <w:tcPr>
            <w:tcW w:w="2551" w:type="dxa"/>
            <w:gridSpan w:val="2"/>
            <w:vAlign w:val="center"/>
          </w:tcPr>
          <w:p>
            <w:pPr>
              <w:spacing w:line="320" w:lineRule="exact"/>
              <w:jc w:val="center"/>
              <w:rPr>
                <w:rFonts w:ascii="宋体" w:hAnsi="宋体"/>
                <w:sz w:val="24"/>
                <w:szCs w:val="24"/>
              </w:rPr>
            </w:pPr>
            <w:r>
              <w:rPr>
                <w:rFonts w:hint="eastAsia" w:ascii="宋体" w:hAnsi="宋体"/>
                <w:sz w:val="24"/>
                <w:szCs w:val="24"/>
              </w:rPr>
              <w:t>从事相应专业</w:t>
            </w:r>
          </w:p>
          <w:p>
            <w:pPr>
              <w:spacing w:line="320" w:lineRule="exact"/>
              <w:jc w:val="center"/>
              <w:rPr>
                <w:rFonts w:ascii="宋体" w:hAnsi="宋体"/>
                <w:sz w:val="24"/>
                <w:szCs w:val="24"/>
              </w:rPr>
            </w:pPr>
            <w:r>
              <w:rPr>
                <w:rFonts w:hint="eastAsia" w:ascii="宋体" w:hAnsi="宋体"/>
                <w:sz w:val="24"/>
                <w:szCs w:val="24"/>
              </w:rPr>
              <w:t>工作年限</w:t>
            </w:r>
          </w:p>
        </w:tc>
        <w:tc>
          <w:tcPr>
            <w:tcW w:w="1865"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00" w:lineRule="exact"/>
              <w:jc w:val="center"/>
              <w:rPr>
                <w:rFonts w:ascii="宋体" w:hAnsi="宋体"/>
                <w:sz w:val="24"/>
                <w:szCs w:val="24"/>
              </w:rPr>
            </w:pPr>
            <w:r>
              <w:rPr>
                <w:rFonts w:hint="eastAsia" w:ascii="宋体" w:hAnsi="宋体"/>
                <w:sz w:val="24"/>
                <w:szCs w:val="24"/>
              </w:rPr>
              <w:t>现任职单位部门职务</w:t>
            </w:r>
          </w:p>
        </w:tc>
        <w:tc>
          <w:tcPr>
            <w:tcW w:w="7618" w:type="dxa"/>
            <w:gridSpan w:val="6"/>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毕业学校</w:t>
            </w:r>
          </w:p>
        </w:tc>
        <w:tc>
          <w:tcPr>
            <w:tcW w:w="7618" w:type="dxa"/>
            <w:gridSpan w:val="6"/>
            <w:vAlign w:val="center"/>
          </w:tcPr>
          <w:p>
            <w:pPr>
              <w:spacing w:line="460" w:lineRule="exact"/>
              <w:ind w:firstLine="600" w:firstLineChars="250"/>
              <w:jc w:val="center"/>
              <w:rPr>
                <w:rFonts w:ascii="宋体" w:hAnsi="宋体"/>
                <w:sz w:val="24"/>
                <w:szCs w:val="24"/>
              </w:rPr>
            </w:pPr>
            <w:r>
              <w:rPr>
                <w:rFonts w:hint="eastAsia" w:ascii="宋体" w:hAnsi="宋体"/>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0" w:type="dxa"/>
            <w:gridSpan w:val="7"/>
            <w:vAlign w:val="center"/>
          </w:tcPr>
          <w:p>
            <w:pPr>
              <w:spacing w:line="460" w:lineRule="exact"/>
              <w:jc w:val="center"/>
              <w:rPr>
                <w:rFonts w:ascii="宋体" w:hAnsi="宋体"/>
                <w:sz w:val="24"/>
                <w:szCs w:val="24"/>
              </w:rPr>
            </w:pPr>
            <w:r>
              <w:rPr>
                <w:rFonts w:hint="eastAsia" w:ascii="宋体" w:hAnsi="宋体"/>
                <w:sz w:val="24"/>
                <w:szCs w:val="24"/>
              </w:rPr>
              <w:t>个人主要履历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时间</w:t>
            </w:r>
          </w:p>
        </w:tc>
        <w:tc>
          <w:tcPr>
            <w:tcW w:w="5396" w:type="dxa"/>
            <w:gridSpan w:val="4"/>
            <w:vAlign w:val="center"/>
          </w:tcPr>
          <w:p>
            <w:pPr>
              <w:spacing w:line="460" w:lineRule="exact"/>
              <w:jc w:val="center"/>
              <w:rPr>
                <w:rFonts w:ascii="宋体" w:hAnsi="宋体"/>
                <w:sz w:val="24"/>
                <w:szCs w:val="24"/>
              </w:rPr>
            </w:pPr>
            <w:r>
              <w:rPr>
                <w:rFonts w:hint="eastAsia" w:ascii="宋体" w:hAnsi="宋体"/>
                <w:sz w:val="24"/>
                <w:szCs w:val="24"/>
              </w:rPr>
              <w:t>学校/单位</w:t>
            </w:r>
          </w:p>
        </w:tc>
        <w:tc>
          <w:tcPr>
            <w:tcW w:w="2222" w:type="dxa"/>
            <w:gridSpan w:val="2"/>
            <w:vAlign w:val="center"/>
          </w:tcPr>
          <w:p>
            <w:pPr>
              <w:spacing w:line="460" w:lineRule="exact"/>
              <w:jc w:val="center"/>
              <w:rPr>
                <w:rFonts w:ascii="宋体" w:hAnsi="宋体"/>
                <w:sz w:val="24"/>
                <w:szCs w:val="24"/>
              </w:rPr>
            </w:pPr>
            <w:r>
              <w:rPr>
                <w:rFonts w:hint="eastAsia" w:ascii="宋体" w:hAnsi="宋体"/>
                <w:sz w:val="24"/>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p>
        </w:tc>
        <w:tc>
          <w:tcPr>
            <w:tcW w:w="5396" w:type="dxa"/>
            <w:gridSpan w:val="4"/>
            <w:vAlign w:val="center"/>
          </w:tcPr>
          <w:p>
            <w:pPr>
              <w:spacing w:line="460" w:lineRule="exact"/>
              <w:jc w:val="center"/>
              <w:rPr>
                <w:rFonts w:ascii="宋体" w:hAnsi="宋体"/>
                <w:sz w:val="24"/>
                <w:szCs w:val="24"/>
              </w:rPr>
            </w:pPr>
          </w:p>
        </w:tc>
        <w:tc>
          <w:tcPr>
            <w:tcW w:w="2222" w:type="dxa"/>
            <w:gridSpan w:val="2"/>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w:t>
            </w:r>
          </w:p>
        </w:tc>
        <w:tc>
          <w:tcPr>
            <w:tcW w:w="5396" w:type="dxa"/>
            <w:gridSpan w:val="4"/>
            <w:vAlign w:val="center"/>
          </w:tcPr>
          <w:p>
            <w:pPr>
              <w:spacing w:line="460" w:lineRule="exact"/>
              <w:jc w:val="center"/>
              <w:rPr>
                <w:rFonts w:ascii="宋体" w:hAnsi="宋体"/>
                <w:sz w:val="24"/>
                <w:szCs w:val="24"/>
              </w:rPr>
            </w:pPr>
          </w:p>
        </w:tc>
        <w:tc>
          <w:tcPr>
            <w:tcW w:w="2222" w:type="dxa"/>
            <w:gridSpan w:val="2"/>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060" w:type="dxa"/>
            <w:gridSpan w:val="7"/>
            <w:vAlign w:val="center"/>
          </w:tcPr>
          <w:p>
            <w:pPr>
              <w:spacing w:line="460" w:lineRule="exact"/>
              <w:jc w:val="center"/>
              <w:rPr>
                <w:rFonts w:ascii="宋体" w:hAnsi="宋体"/>
                <w:sz w:val="24"/>
                <w:szCs w:val="24"/>
              </w:rPr>
            </w:pPr>
            <w:r>
              <w:rPr>
                <w:rFonts w:hint="eastAsia" w:ascii="宋体" w:hAnsi="宋体"/>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时间</w:t>
            </w:r>
          </w:p>
        </w:tc>
        <w:tc>
          <w:tcPr>
            <w:tcW w:w="3202" w:type="dxa"/>
            <w:gridSpan w:val="3"/>
            <w:vAlign w:val="center"/>
          </w:tcPr>
          <w:p>
            <w:pPr>
              <w:spacing w:line="460" w:lineRule="exact"/>
              <w:jc w:val="center"/>
              <w:rPr>
                <w:rFonts w:ascii="宋体" w:hAnsi="宋体"/>
                <w:sz w:val="24"/>
                <w:szCs w:val="24"/>
              </w:rPr>
            </w:pPr>
            <w:r>
              <w:rPr>
                <w:rFonts w:hint="eastAsia" w:ascii="宋体" w:hAnsi="宋体"/>
                <w:sz w:val="24"/>
                <w:szCs w:val="24"/>
              </w:rPr>
              <w:t>参加过的同类项目</w:t>
            </w:r>
          </w:p>
        </w:tc>
        <w:tc>
          <w:tcPr>
            <w:tcW w:w="2194" w:type="dxa"/>
            <w:vAlign w:val="center"/>
          </w:tcPr>
          <w:p>
            <w:pPr>
              <w:spacing w:line="460" w:lineRule="exact"/>
              <w:jc w:val="center"/>
              <w:rPr>
                <w:rFonts w:ascii="宋体" w:hAnsi="宋体"/>
                <w:sz w:val="24"/>
                <w:szCs w:val="24"/>
              </w:rPr>
            </w:pPr>
            <w:r>
              <w:rPr>
                <w:rFonts w:hint="eastAsia" w:ascii="宋体" w:hAnsi="宋体"/>
                <w:sz w:val="24"/>
                <w:szCs w:val="24"/>
              </w:rPr>
              <w:t>担任职务</w:t>
            </w:r>
          </w:p>
        </w:tc>
        <w:tc>
          <w:tcPr>
            <w:tcW w:w="2222" w:type="dxa"/>
            <w:gridSpan w:val="2"/>
            <w:vAlign w:val="center"/>
          </w:tcPr>
          <w:p>
            <w:pPr>
              <w:spacing w:line="460" w:lineRule="exact"/>
              <w:jc w:val="center"/>
              <w:rPr>
                <w:rFonts w:ascii="宋体" w:hAnsi="宋体"/>
                <w:sz w:val="24"/>
                <w:szCs w:val="24"/>
              </w:rPr>
            </w:pPr>
            <w:r>
              <w:rPr>
                <w:rFonts w:hint="eastAsia" w:ascii="宋体" w:hAnsi="宋体"/>
                <w:sz w:val="24"/>
                <w:szCs w:val="24"/>
              </w:rPr>
              <w:t>甲方及联系电话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p>
        </w:tc>
        <w:tc>
          <w:tcPr>
            <w:tcW w:w="3202" w:type="dxa"/>
            <w:gridSpan w:val="3"/>
            <w:vAlign w:val="center"/>
          </w:tcPr>
          <w:p>
            <w:pPr>
              <w:spacing w:line="460" w:lineRule="exact"/>
              <w:jc w:val="center"/>
              <w:rPr>
                <w:rFonts w:ascii="宋体" w:hAnsi="宋体"/>
                <w:sz w:val="24"/>
                <w:szCs w:val="24"/>
              </w:rPr>
            </w:pPr>
          </w:p>
        </w:tc>
        <w:tc>
          <w:tcPr>
            <w:tcW w:w="2194" w:type="dxa"/>
            <w:vAlign w:val="center"/>
          </w:tcPr>
          <w:p>
            <w:pPr>
              <w:spacing w:line="460" w:lineRule="exact"/>
              <w:jc w:val="center"/>
              <w:rPr>
                <w:rFonts w:ascii="宋体" w:hAnsi="宋体"/>
                <w:sz w:val="24"/>
                <w:szCs w:val="24"/>
              </w:rPr>
            </w:pPr>
          </w:p>
        </w:tc>
        <w:tc>
          <w:tcPr>
            <w:tcW w:w="2222" w:type="dxa"/>
            <w:gridSpan w:val="2"/>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w:t>
            </w:r>
          </w:p>
        </w:tc>
        <w:tc>
          <w:tcPr>
            <w:tcW w:w="3202" w:type="dxa"/>
            <w:gridSpan w:val="3"/>
            <w:vAlign w:val="center"/>
          </w:tcPr>
          <w:p>
            <w:pPr>
              <w:spacing w:line="460" w:lineRule="exact"/>
              <w:jc w:val="center"/>
              <w:rPr>
                <w:rFonts w:ascii="宋体" w:hAnsi="宋体"/>
                <w:sz w:val="24"/>
                <w:szCs w:val="24"/>
              </w:rPr>
            </w:pPr>
          </w:p>
        </w:tc>
        <w:tc>
          <w:tcPr>
            <w:tcW w:w="2194" w:type="dxa"/>
            <w:vAlign w:val="center"/>
          </w:tcPr>
          <w:p>
            <w:pPr>
              <w:spacing w:line="460" w:lineRule="exact"/>
              <w:jc w:val="center"/>
              <w:rPr>
                <w:rFonts w:ascii="宋体" w:hAnsi="宋体"/>
                <w:sz w:val="24"/>
                <w:szCs w:val="24"/>
              </w:rPr>
            </w:pPr>
          </w:p>
        </w:tc>
        <w:tc>
          <w:tcPr>
            <w:tcW w:w="2222" w:type="dxa"/>
            <w:gridSpan w:val="2"/>
            <w:vAlign w:val="center"/>
          </w:tcPr>
          <w:p>
            <w:pPr>
              <w:spacing w:line="460" w:lineRule="exact"/>
              <w:jc w:val="center"/>
              <w:rPr>
                <w:rFonts w:ascii="宋体" w:hAnsi="宋体"/>
                <w:sz w:val="24"/>
                <w:szCs w:val="24"/>
              </w:rPr>
            </w:pPr>
          </w:p>
        </w:tc>
      </w:tr>
    </w:tbl>
    <w:p>
      <w:pPr>
        <w:spacing w:line="460" w:lineRule="exact"/>
        <w:rPr>
          <w:rFonts w:ascii="宋体" w:hAnsi="宋体"/>
          <w:sz w:val="24"/>
          <w:szCs w:val="24"/>
        </w:rPr>
      </w:pPr>
      <w:r>
        <w:rPr>
          <w:rFonts w:hint="eastAsia" w:ascii="宋体" w:hAnsi="宋体"/>
          <w:sz w:val="24"/>
          <w:szCs w:val="24"/>
        </w:rPr>
        <w:t>备注：</w:t>
      </w:r>
    </w:p>
    <w:p>
      <w:pPr>
        <w:spacing w:line="460" w:lineRule="exact"/>
        <w:ind w:firstLine="480" w:firstLineChars="200"/>
        <w:rPr>
          <w:rFonts w:ascii="宋体" w:hAnsi="宋体"/>
          <w:sz w:val="24"/>
          <w:szCs w:val="24"/>
        </w:rPr>
      </w:pPr>
      <w:r>
        <w:rPr>
          <w:rFonts w:hint="eastAsia" w:ascii="宋体" w:hAnsi="宋体"/>
          <w:sz w:val="24"/>
          <w:szCs w:val="24"/>
        </w:rPr>
        <w:t>1．个人主要履历从大学开始填写。</w:t>
      </w:r>
    </w:p>
    <w:p>
      <w:pPr>
        <w:spacing w:after="240" w:afterLines="100" w:line="460" w:lineRule="exact"/>
        <w:ind w:firstLine="480" w:firstLineChars="200"/>
        <w:rPr>
          <w:rFonts w:ascii="宋体" w:hAnsi="宋体"/>
          <w:sz w:val="24"/>
          <w:szCs w:val="24"/>
        </w:rPr>
      </w:pPr>
      <w:r>
        <w:rPr>
          <w:rFonts w:hint="eastAsia" w:ascii="宋体" w:hAnsi="宋体"/>
          <w:sz w:val="24"/>
          <w:szCs w:val="24"/>
        </w:rPr>
        <w:t>2．附身份证、国家注册执业证、职称证、学历学位证、担任相关项目的合同协议书或竣工验收报告复印件（必须有人员姓名、职务），顺序与表格填报顺序一致。</w:t>
      </w:r>
    </w:p>
    <w:p>
      <w:pPr>
        <w:spacing w:after="120" w:afterLines="50" w:line="460" w:lineRule="exact"/>
        <w:rPr>
          <w:rFonts w:ascii="宋体" w:hAnsi="宋体"/>
          <w:sz w:val="24"/>
          <w:szCs w:val="24"/>
        </w:rPr>
      </w:pPr>
    </w:p>
    <w:p>
      <w:pPr>
        <w:spacing w:after="120" w:afterLines="50" w:line="460" w:lineRule="exact"/>
        <w:ind w:firstLine="470" w:firstLineChars="196"/>
        <w:rPr>
          <w:rFonts w:ascii="宋体" w:hAnsi="宋体"/>
          <w:sz w:val="24"/>
          <w:szCs w:val="24"/>
        </w:rPr>
      </w:pPr>
      <w:r>
        <w:rPr>
          <w:rFonts w:ascii="宋体" w:hAnsi="宋体"/>
          <w:sz w:val="24"/>
          <w:szCs w:val="24"/>
        </w:rPr>
        <w:br w:type="page"/>
      </w:r>
      <w:r>
        <w:rPr>
          <w:rFonts w:hint="eastAsia" w:ascii="宋体" w:hAnsi="宋体"/>
          <w:sz w:val="24"/>
          <w:szCs w:val="24"/>
        </w:rPr>
        <w:t>2．专家顾问小组人员及相应业绩</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933"/>
        <w:gridCol w:w="1276"/>
        <w:gridCol w:w="993"/>
        <w:gridCol w:w="2194"/>
        <w:gridCol w:w="357"/>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姓名</w:t>
            </w:r>
          </w:p>
        </w:tc>
        <w:tc>
          <w:tcPr>
            <w:tcW w:w="933"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r>
              <w:rPr>
                <w:rFonts w:hint="eastAsia" w:ascii="宋体" w:hAnsi="宋体"/>
                <w:sz w:val="24"/>
                <w:szCs w:val="24"/>
              </w:rPr>
              <w:t>年龄</w:t>
            </w:r>
          </w:p>
        </w:tc>
        <w:tc>
          <w:tcPr>
            <w:tcW w:w="993" w:type="dxa"/>
            <w:vAlign w:val="center"/>
          </w:tcPr>
          <w:p>
            <w:pPr>
              <w:spacing w:line="460" w:lineRule="exact"/>
              <w:jc w:val="center"/>
              <w:rPr>
                <w:rFonts w:ascii="宋体" w:hAnsi="宋体"/>
                <w:sz w:val="24"/>
                <w:szCs w:val="24"/>
              </w:rPr>
            </w:pPr>
          </w:p>
        </w:tc>
        <w:tc>
          <w:tcPr>
            <w:tcW w:w="2551" w:type="dxa"/>
            <w:gridSpan w:val="2"/>
            <w:vAlign w:val="center"/>
          </w:tcPr>
          <w:p>
            <w:pPr>
              <w:spacing w:line="320" w:lineRule="exact"/>
              <w:jc w:val="center"/>
              <w:rPr>
                <w:rFonts w:ascii="宋体" w:hAnsi="宋体"/>
                <w:sz w:val="24"/>
                <w:szCs w:val="24"/>
              </w:rPr>
            </w:pPr>
            <w:r>
              <w:rPr>
                <w:rFonts w:hint="eastAsia" w:ascii="宋体" w:hAnsi="宋体"/>
                <w:sz w:val="24"/>
                <w:szCs w:val="24"/>
              </w:rPr>
              <w:t>执业资格证书（或上岗证书）名称、从事专业</w:t>
            </w:r>
          </w:p>
        </w:tc>
        <w:tc>
          <w:tcPr>
            <w:tcW w:w="1865"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职称</w:t>
            </w:r>
          </w:p>
        </w:tc>
        <w:tc>
          <w:tcPr>
            <w:tcW w:w="933" w:type="dxa"/>
            <w:vAlign w:val="center"/>
          </w:tcPr>
          <w:p>
            <w:pPr>
              <w:spacing w:line="460" w:lineRule="exact"/>
              <w:jc w:val="center"/>
              <w:rPr>
                <w:rFonts w:ascii="宋体" w:hAnsi="宋体"/>
                <w:sz w:val="24"/>
                <w:szCs w:val="24"/>
              </w:rPr>
            </w:pPr>
          </w:p>
        </w:tc>
        <w:tc>
          <w:tcPr>
            <w:tcW w:w="1276" w:type="dxa"/>
            <w:vAlign w:val="center"/>
          </w:tcPr>
          <w:p>
            <w:pPr>
              <w:spacing w:line="460" w:lineRule="exact"/>
              <w:jc w:val="center"/>
              <w:rPr>
                <w:rFonts w:ascii="宋体" w:hAnsi="宋体"/>
                <w:sz w:val="24"/>
                <w:szCs w:val="24"/>
              </w:rPr>
            </w:pPr>
            <w:r>
              <w:rPr>
                <w:rFonts w:hint="eastAsia" w:ascii="宋体" w:hAnsi="宋体"/>
                <w:sz w:val="24"/>
                <w:szCs w:val="24"/>
              </w:rPr>
              <w:t>学历</w:t>
            </w:r>
          </w:p>
        </w:tc>
        <w:tc>
          <w:tcPr>
            <w:tcW w:w="993" w:type="dxa"/>
            <w:vAlign w:val="center"/>
          </w:tcPr>
          <w:p>
            <w:pPr>
              <w:spacing w:line="460" w:lineRule="exact"/>
              <w:jc w:val="center"/>
              <w:rPr>
                <w:rFonts w:ascii="宋体" w:hAnsi="宋体"/>
                <w:sz w:val="24"/>
                <w:szCs w:val="24"/>
              </w:rPr>
            </w:pPr>
          </w:p>
        </w:tc>
        <w:tc>
          <w:tcPr>
            <w:tcW w:w="2551" w:type="dxa"/>
            <w:gridSpan w:val="2"/>
            <w:vAlign w:val="center"/>
          </w:tcPr>
          <w:p>
            <w:pPr>
              <w:spacing w:line="460" w:lineRule="exact"/>
              <w:jc w:val="center"/>
              <w:rPr>
                <w:rFonts w:ascii="宋体" w:hAnsi="宋体"/>
                <w:sz w:val="24"/>
                <w:szCs w:val="24"/>
              </w:rPr>
            </w:pPr>
            <w:r>
              <w:rPr>
                <w:rFonts w:hint="eastAsia" w:ascii="宋体" w:hAnsi="宋体"/>
                <w:sz w:val="24"/>
                <w:szCs w:val="24"/>
              </w:rPr>
              <w:t>拟在本合同任职</w:t>
            </w:r>
          </w:p>
        </w:tc>
        <w:tc>
          <w:tcPr>
            <w:tcW w:w="1865"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工作年限</w:t>
            </w:r>
          </w:p>
        </w:tc>
        <w:tc>
          <w:tcPr>
            <w:tcW w:w="3202" w:type="dxa"/>
            <w:gridSpan w:val="3"/>
            <w:vAlign w:val="center"/>
          </w:tcPr>
          <w:p>
            <w:pPr>
              <w:spacing w:line="460" w:lineRule="exact"/>
              <w:jc w:val="center"/>
              <w:rPr>
                <w:rFonts w:ascii="宋体" w:hAnsi="宋体"/>
                <w:sz w:val="24"/>
                <w:szCs w:val="24"/>
              </w:rPr>
            </w:pPr>
          </w:p>
        </w:tc>
        <w:tc>
          <w:tcPr>
            <w:tcW w:w="2551" w:type="dxa"/>
            <w:gridSpan w:val="2"/>
            <w:vAlign w:val="center"/>
          </w:tcPr>
          <w:p>
            <w:pPr>
              <w:spacing w:line="320" w:lineRule="exact"/>
              <w:jc w:val="center"/>
              <w:rPr>
                <w:rFonts w:ascii="宋体" w:hAnsi="宋体"/>
                <w:sz w:val="24"/>
                <w:szCs w:val="24"/>
              </w:rPr>
            </w:pPr>
            <w:r>
              <w:rPr>
                <w:rFonts w:hint="eastAsia" w:ascii="宋体" w:hAnsi="宋体"/>
                <w:sz w:val="24"/>
                <w:szCs w:val="24"/>
              </w:rPr>
              <w:t>从事相应专业</w:t>
            </w:r>
          </w:p>
          <w:p>
            <w:pPr>
              <w:spacing w:line="320" w:lineRule="exact"/>
              <w:jc w:val="center"/>
              <w:rPr>
                <w:rFonts w:ascii="宋体" w:hAnsi="宋体"/>
                <w:sz w:val="24"/>
                <w:szCs w:val="24"/>
              </w:rPr>
            </w:pPr>
            <w:r>
              <w:rPr>
                <w:rFonts w:hint="eastAsia" w:ascii="宋体" w:hAnsi="宋体"/>
                <w:sz w:val="24"/>
                <w:szCs w:val="24"/>
              </w:rPr>
              <w:t>工作年限</w:t>
            </w:r>
          </w:p>
        </w:tc>
        <w:tc>
          <w:tcPr>
            <w:tcW w:w="1865" w:type="dxa"/>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00" w:lineRule="exact"/>
              <w:jc w:val="center"/>
              <w:rPr>
                <w:rFonts w:ascii="宋体" w:hAnsi="宋体"/>
                <w:sz w:val="24"/>
                <w:szCs w:val="24"/>
              </w:rPr>
            </w:pPr>
            <w:r>
              <w:rPr>
                <w:rFonts w:hint="eastAsia" w:ascii="宋体" w:hAnsi="宋体"/>
                <w:sz w:val="24"/>
                <w:szCs w:val="24"/>
              </w:rPr>
              <w:t>现任职单位部门职务</w:t>
            </w:r>
          </w:p>
        </w:tc>
        <w:tc>
          <w:tcPr>
            <w:tcW w:w="7618" w:type="dxa"/>
            <w:gridSpan w:val="6"/>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毕业学校</w:t>
            </w:r>
          </w:p>
        </w:tc>
        <w:tc>
          <w:tcPr>
            <w:tcW w:w="7618" w:type="dxa"/>
            <w:gridSpan w:val="6"/>
            <w:vAlign w:val="center"/>
          </w:tcPr>
          <w:p>
            <w:pPr>
              <w:spacing w:line="460" w:lineRule="exact"/>
              <w:ind w:firstLine="600" w:firstLineChars="250"/>
              <w:jc w:val="center"/>
              <w:rPr>
                <w:rFonts w:ascii="宋体" w:hAnsi="宋体"/>
                <w:sz w:val="24"/>
                <w:szCs w:val="24"/>
              </w:rPr>
            </w:pPr>
            <w:r>
              <w:rPr>
                <w:rFonts w:hint="eastAsia" w:ascii="宋体" w:hAnsi="宋体"/>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0" w:type="dxa"/>
            <w:gridSpan w:val="7"/>
            <w:vAlign w:val="center"/>
          </w:tcPr>
          <w:p>
            <w:pPr>
              <w:spacing w:line="460" w:lineRule="exact"/>
              <w:jc w:val="center"/>
              <w:rPr>
                <w:rFonts w:ascii="宋体" w:hAnsi="宋体"/>
                <w:sz w:val="24"/>
                <w:szCs w:val="24"/>
              </w:rPr>
            </w:pPr>
            <w:r>
              <w:rPr>
                <w:rFonts w:hint="eastAsia" w:ascii="宋体" w:hAnsi="宋体"/>
                <w:sz w:val="24"/>
                <w:szCs w:val="24"/>
              </w:rPr>
              <w:t>个人主要履历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时间</w:t>
            </w:r>
          </w:p>
        </w:tc>
        <w:tc>
          <w:tcPr>
            <w:tcW w:w="5396" w:type="dxa"/>
            <w:gridSpan w:val="4"/>
            <w:vAlign w:val="center"/>
          </w:tcPr>
          <w:p>
            <w:pPr>
              <w:spacing w:line="460" w:lineRule="exact"/>
              <w:jc w:val="center"/>
              <w:rPr>
                <w:rFonts w:ascii="宋体" w:hAnsi="宋体"/>
                <w:sz w:val="24"/>
                <w:szCs w:val="24"/>
              </w:rPr>
            </w:pPr>
            <w:r>
              <w:rPr>
                <w:rFonts w:hint="eastAsia" w:ascii="宋体" w:hAnsi="宋体"/>
                <w:sz w:val="24"/>
                <w:szCs w:val="24"/>
              </w:rPr>
              <w:t>学校/单位</w:t>
            </w:r>
          </w:p>
        </w:tc>
        <w:tc>
          <w:tcPr>
            <w:tcW w:w="2222" w:type="dxa"/>
            <w:gridSpan w:val="2"/>
            <w:vAlign w:val="center"/>
          </w:tcPr>
          <w:p>
            <w:pPr>
              <w:spacing w:line="460" w:lineRule="exact"/>
              <w:jc w:val="center"/>
              <w:rPr>
                <w:rFonts w:ascii="宋体" w:hAnsi="宋体"/>
                <w:sz w:val="24"/>
                <w:szCs w:val="24"/>
              </w:rPr>
            </w:pPr>
            <w:r>
              <w:rPr>
                <w:rFonts w:hint="eastAsia" w:ascii="宋体" w:hAnsi="宋体"/>
                <w:sz w:val="24"/>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p>
        </w:tc>
        <w:tc>
          <w:tcPr>
            <w:tcW w:w="5396" w:type="dxa"/>
            <w:gridSpan w:val="4"/>
            <w:vAlign w:val="center"/>
          </w:tcPr>
          <w:p>
            <w:pPr>
              <w:spacing w:line="460" w:lineRule="exact"/>
              <w:jc w:val="center"/>
              <w:rPr>
                <w:rFonts w:ascii="宋体" w:hAnsi="宋体"/>
                <w:sz w:val="24"/>
                <w:szCs w:val="24"/>
              </w:rPr>
            </w:pPr>
          </w:p>
        </w:tc>
        <w:tc>
          <w:tcPr>
            <w:tcW w:w="2222" w:type="dxa"/>
            <w:gridSpan w:val="2"/>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w:t>
            </w:r>
          </w:p>
        </w:tc>
        <w:tc>
          <w:tcPr>
            <w:tcW w:w="5396" w:type="dxa"/>
            <w:gridSpan w:val="4"/>
            <w:vAlign w:val="center"/>
          </w:tcPr>
          <w:p>
            <w:pPr>
              <w:spacing w:line="460" w:lineRule="exact"/>
              <w:jc w:val="center"/>
              <w:rPr>
                <w:rFonts w:ascii="宋体" w:hAnsi="宋体"/>
                <w:sz w:val="24"/>
                <w:szCs w:val="24"/>
              </w:rPr>
            </w:pPr>
          </w:p>
        </w:tc>
        <w:tc>
          <w:tcPr>
            <w:tcW w:w="2222" w:type="dxa"/>
            <w:gridSpan w:val="2"/>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060" w:type="dxa"/>
            <w:gridSpan w:val="7"/>
            <w:vAlign w:val="center"/>
          </w:tcPr>
          <w:p>
            <w:pPr>
              <w:spacing w:line="460" w:lineRule="exact"/>
              <w:jc w:val="center"/>
              <w:rPr>
                <w:rFonts w:ascii="宋体" w:hAnsi="宋体"/>
                <w:sz w:val="24"/>
                <w:szCs w:val="24"/>
              </w:rPr>
            </w:pPr>
            <w:r>
              <w:rPr>
                <w:rFonts w:hint="eastAsia" w:ascii="宋体" w:hAnsi="宋体"/>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时间</w:t>
            </w:r>
          </w:p>
        </w:tc>
        <w:tc>
          <w:tcPr>
            <w:tcW w:w="3202" w:type="dxa"/>
            <w:gridSpan w:val="3"/>
            <w:vAlign w:val="center"/>
          </w:tcPr>
          <w:p>
            <w:pPr>
              <w:spacing w:line="460" w:lineRule="exact"/>
              <w:jc w:val="center"/>
              <w:rPr>
                <w:rFonts w:ascii="宋体" w:hAnsi="宋体"/>
                <w:sz w:val="24"/>
                <w:szCs w:val="24"/>
              </w:rPr>
            </w:pPr>
            <w:r>
              <w:rPr>
                <w:rFonts w:hint="eastAsia" w:ascii="宋体" w:hAnsi="宋体"/>
                <w:sz w:val="24"/>
                <w:szCs w:val="24"/>
              </w:rPr>
              <w:t>参加过的同类项目</w:t>
            </w:r>
          </w:p>
        </w:tc>
        <w:tc>
          <w:tcPr>
            <w:tcW w:w="2194" w:type="dxa"/>
            <w:vAlign w:val="center"/>
          </w:tcPr>
          <w:p>
            <w:pPr>
              <w:spacing w:line="460" w:lineRule="exact"/>
              <w:jc w:val="center"/>
              <w:rPr>
                <w:rFonts w:ascii="宋体" w:hAnsi="宋体"/>
                <w:sz w:val="24"/>
                <w:szCs w:val="24"/>
              </w:rPr>
            </w:pPr>
            <w:r>
              <w:rPr>
                <w:rFonts w:hint="eastAsia" w:ascii="宋体" w:hAnsi="宋体"/>
                <w:sz w:val="24"/>
                <w:szCs w:val="24"/>
              </w:rPr>
              <w:t>担任职务</w:t>
            </w:r>
          </w:p>
        </w:tc>
        <w:tc>
          <w:tcPr>
            <w:tcW w:w="2222" w:type="dxa"/>
            <w:gridSpan w:val="2"/>
            <w:vAlign w:val="center"/>
          </w:tcPr>
          <w:p>
            <w:pPr>
              <w:spacing w:line="460" w:lineRule="exact"/>
              <w:jc w:val="center"/>
              <w:rPr>
                <w:rFonts w:ascii="宋体" w:hAnsi="宋体"/>
                <w:sz w:val="24"/>
                <w:szCs w:val="24"/>
              </w:rPr>
            </w:pPr>
            <w:r>
              <w:rPr>
                <w:rFonts w:hint="eastAsia" w:ascii="宋体" w:hAnsi="宋体"/>
                <w:sz w:val="24"/>
                <w:szCs w:val="24"/>
              </w:rPr>
              <w:t>甲方及联系电话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p>
        </w:tc>
        <w:tc>
          <w:tcPr>
            <w:tcW w:w="3202" w:type="dxa"/>
            <w:gridSpan w:val="3"/>
            <w:vAlign w:val="center"/>
          </w:tcPr>
          <w:p>
            <w:pPr>
              <w:spacing w:line="460" w:lineRule="exact"/>
              <w:jc w:val="center"/>
              <w:rPr>
                <w:rFonts w:ascii="宋体" w:hAnsi="宋体"/>
                <w:sz w:val="24"/>
                <w:szCs w:val="24"/>
              </w:rPr>
            </w:pPr>
          </w:p>
        </w:tc>
        <w:tc>
          <w:tcPr>
            <w:tcW w:w="2194" w:type="dxa"/>
            <w:vAlign w:val="center"/>
          </w:tcPr>
          <w:p>
            <w:pPr>
              <w:spacing w:line="460" w:lineRule="exact"/>
              <w:jc w:val="center"/>
              <w:rPr>
                <w:rFonts w:ascii="宋体" w:hAnsi="宋体"/>
                <w:sz w:val="24"/>
                <w:szCs w:val="24"/>
              </w:rPr>
            </w:pPr>
          </w:p>
        </w:tc>
        <w:tc>
          <w:tcPr>
            <w:tcW w:w="2222" w:type="dxa"/>
            <w:gridSpan w:val="2"/>
            <w:vAlign w:val="center"/>
          </w:tcPr>
          <w:p>
            <w:pPr>
              <w:spacing w:line="46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42" w:type="dxa"/>
            <w:vAlign w:val="center"/>
          </w:tcPr>
          <w:p>
            <w:pPr>
              <w:spacing w:line="460" w:lineRule="exact"/>
              <w:jc w:val="center"/>
              <w:rPr>
                <w:rFonts w:ascii="宋体" w:hAnsi="宋体"/>
                <w:sz w:val="24"/>
                <w:szCs w:val="24"/>
              </w:rPr>
            </w:pPr>
            <w:r>
              <w:rPr>
                <w:rFonts w:hint="eastAsia" w:ascii="宋体" w:hAnsi="宋体"/>
                <w:sz w:val="24"/>
                <w:szCs w:val="24"/>
              </w:rPr>
              <w:t>……</w:t>
            </w:r>
          </w:p>
        </w:tc>
        <w:tc>
          <w:tcPr>
            <w:tcW w:w="3202" w:type="dxa"/>
            <w:gridSpan w:val="3"/>
            <w:vAlign w:val="center"/>
          </w:tcPr>
          <w:p>
            <w:pPr>
              <w:spacing w:line="460" w:lineRule="exact"/>
              <w:jc w:val="center"/>
              <w:rPr>
                <w:rFonts w:ascii="宋体" w:hAnsi="宋体"/>
                <w:sz w:val="24"/>
                <w:szCs w:val="24"/>
              </w:rPr>
            </w:pPr>
          </w:p>
        </w:tc>
        <w:tc>
          <w:tcPr>
            <w:tcW w:w="2194" w:type="dxa"/>
            <w:vAlign w:val="center"/>
          </w:tcPr>
          <w:p>
            <w:pPr>
              <w:spacing w:line="460" w:lineRule="exact"/>
              <w:jc w:val="center"/>
              <w:rPr>
                <w:rFonts w:ascii="宋体" w:hAnsi="宋体"/>
                <w:sz w:val="24"/>
                <w:szCs w:val="24"/>
              </w:rPr>
            </w:pPr>
          </w:p>
        </w:tc>
        <w:tc>
          <w:tcPr>
            <w:tcW w:w="2222" w:type="dxa"/>
            <w:gridSpan w:val="2"/>
            <w:vAlign w:val="center"/>
          </w:tcPr>
          <w:p>
            <w:pPr>
              <w:spacing w:line="460" w:lineRule="exact"/>
              <w:jc w:val="center"/>
              <w:rPr>
                <w:rFonts w:ascii="宋体" w:hAnsi="宋体"/>
                <w:sz w:val="24"/>
                <w:szCs w:val="24"/>
              </w:rPr>
            </w:pPr>
          </w:p>
        </w:tc>
      </w:tr>
    </w:tbl>
    <w:p>
      <w:pPr>
        <w:spacing w:line="460" w:lineRule="exact"/>
        <w:rPr>
          <w:rFonts w:ascii="宋体" w:hAnsi="宋体"/>
          <w:sz w:val="24"/>
          <w:szCs w:val="24"/>
        </w:rPr>
      </w:pPr>
      <w:r>
        <w:rPr>
          <w:rFonts w:hint="eastAsia" w:ascii="宋体" w:hAnsi="宋体"/>
          <w:sz w:val="24"/>
          <w:szCs w:val="24"/>
        </w:rPr>
        <w:t>备注：</w:t>
      </w:r>
    </w:p>
    <w:p>
      <w:pPr>
        <w:spacing w:line="460" w:lineRule="exact"/>
        <w:ind w:firstLine="480" w:firstLineChars="200"/>
        <w:rPr>
          <w:rFonts w:ascii="宋体" w:hAnsi="宋体"/>
          <w:sz w:val="24"/>
          <w:szCs w:val="24"/>
        </w:rPr>
      </w:pPr>
      <w:r>
        <w:rPr>
          <w:rFonts w:hint="eastAsia" w:ascii="宋体" w:hAnsi="宋体"/>
          <w:sz w:val="24"/>
          <w:szCs w:val="24"/>
        </w:rPr>
        <w:t>1．个人主要履历从大学开始填写。</w:t>
      </w:r>
    </w:p>
    <w:p>
      <w:pPr>
        <w:spacing w:after="240" w:afterLines="100" w:line="460" w:lineRule="exact"/>
        <w:ind w:firstLine="480" w:firstLineChars="200"/>
        <w:rPr>
          <w:rFonts w:ascii="宋体" w:hAnsi="宋体"/>
          <w:sz w:val="24"/>
          <w:szCs w:val="24"/>
        </w:rPr>
      </w:pPr>
      <w:r>
        <w:rPr>
          <w:rFonts w:hint="eastAsia" w:ascii="宋体" w:hAnsi="宋体"/>
          <w:sz w:val="24"/>
          <w:szCs w:val="24"/>
        </w:rPr>
        <w:t>2．附身份证、国家注册执业证、职称证、学历学位证、担任相关项目的合同协议书或竣工验收报告复印件（必须有人员姓名、职务），顺序与表格填报顺序一致。</w:t>
      </w:r>
    </w:p>
    <w:p>
      <w:pPr>
        <w:spacing w:after="240" w:afterLines="100" w:line="460" w:lineRule="exact"/>
        <w:ind w:firstLine="480" w:firstLineChars="200"/>
        <w:rPr>
          <w:rFonts w:ascii="仿宋_GB2312" w:eastAsia="仿宋_GB2312"/>
          <w:sz w:val="24"/>
          <w:szCs w:val="24"/>
        </w:rPr>
      </w:pPr>
    </w:p>
    <w:p>
      <w:pPr>
        <w:spacing w:after="240" w:afterLines="100" w:line="460" w:lineRule="exact"/>
        <w:ind w:firstLine="480" w:firstLineChars="200"/>
        <w:rPr>
          <w:rFonts w:ascii="仿宋_GB2312" w:eastAsia="仿宋_GB2312"/>
          <w:sz w:val="24"/>
          <w:szCs w:val="24"/>
        </w:rPr>
      </w:pPr>
    </w:p>
    <w:p>
      <w:pPr>
        <w:spacing w:after="120" w:afterLines="50" w:line="460" w:lineRule="exact"/>
        <w:jc w:val="center"/>
        <w:outlineLvl w:val="2"/>
        <w:rPr>
          <w:rFonts w:ascii="黑体" w:hAnsi="黑体" w:eastAsia="黑体"/>
          <w:sz w:val="24"/>
          <w:szCs w:val="24"/>
        </w:rPr>
      </w:pPr>
      <w:r>
        <w:rPr>
          <w:rFonts w:ascii="仿宋_GB2312" w:hAnsi="宋体" w:eastAsia="仿宋_GB2312"/>
          <w:sz w:val="24"/>
          <w:szCs w:val="24"/>
        </w:rPr>
        <w:br w:type="page"/>
      </w:r>
      <w:bookmarkStart w:id="728" w:name="_Toc184916625"/>
      <w:r>
        <w:rPr>
          <w:rFonts w:hint="eastAsia" w:ascii="黑体" w:hAnsi="黑体" w:eastAsia="黑体"/>
          <w:sz w:val="32"/>
          <w:szCs w:val="32"/>
        </w:rPr>
        <w:t>六、其他资料</w:t>
      </w:r>
      <w:bookmarkEnd w:id="728"/>
    </w:p>
    <w:p>
      <w:pPr>
        <w:spacing w:after="120" w:afterLines="50" w:line="460" w:lineRule="exact"/>
        <w:ind w:firstLine="472" w:firstLineChars="196"/>
        <w:rPr>
          <w:rFonts w:ascii="楷体_GB2312" w:hAnsi="黑体" w:eastAsia="楷体_GB2312"/>
          <w:b/>
          <w:sz w:val="24"/>
          <w:szCs w:val="24"/>
        </w:rPr>
      </w:pPr>
      <w:r>
        <w:rPr>
          <w:rFonts w:hint="eastAsia" w:ascii="楷体_GB2312" w:hAnsi="黑体" w:eastAsia="楷体_GB2312"/>
          <w:b/>
          <w:sz w:val="24"/>
          <w:szCs w:val="24"/>
        </w:rPr>
        <w:t>（一）招标文件规定须提交的其他资料</w:t>
      </w:r>
      <w:bookmarkStart w:id="729" w:name="_Toc262123755"/>
      <w:bookmarkStart w:id="730" w:name="_Toc262123826"/>
    </w:p>
    <w:p>
      <w:pPr>
        <w:spacing w:after="120" w:afterLines="50" w:line="460" w:lineRule="exact"/>
        <w:ind w:firstLine="470" w:firstLineChars="196"/>
        <w:rPr>
          <w:rFonts w:ascii="仿宋_GB2312" w:hAnsi="宋体" w:eastAsia="仿宋_GB2312"/>
          <w:b/>
          <w:kern w:val="0"/>
          <w:sz w:val="24"/>
          <w:szCs w:val="24"/>
        </w:rPr>
      </w:pPr>
      <w:r>
        <w:rPr>
          <w:rFonts w:ascii="仿宋_GB2312" w:eastAsia="仿宋_GB2312"/>
          <w:sz w:val="24"/>
          <w:szCs w:val="24"/>
        </w:rPr>
        <w:br w:type="page"/>
      </w:r>
      <w:r>
        <w:rPr>
          <w:rFonts w:hint="eastAsia" w:ascii="楷体_GB2312" w:hAnsi="黑体" w:eastAsia="楷体_GB2312"/>
          <w:b/>
          <w:sz w:val="24"/>
          <w:szCs w:val="24"/>
        </w:rPr>
        <w:t>（二）投标人认为须提交的其他资料</w:t>
      </w:r>
      <w:bookmarkEnd w:id="729"/>
      <w:bookmarkEnd w:id="730"/>
      <w:bookmarkStart w:id="731" w:name="_Toc141067120"/>
      <w:bookmarkStart w:id="732" w:name="_Toc183141637"/>
      <w:bookmarkStart w:id="733" w:name="_Toc144002980"/>
      <w:bookmarkStart w:id="734" w:name="_Toc183141770"/>
      <w:bookmarkStart w:id="735" w:name="_Toc145647424"/>
      <w:bookmarkStart w:id="736" w:name="_Toc197135965"/>
    </w:p>
    <w:p>
      <w:pPr>
        <w:tabs>
          <w:tab w:val="left" w:pos="0"/>
          <w:tab w:val="left" w:pos="840"/>
        </w:tabs>
        <w:autoSpaceDE w:val="0"/>
        <w:autoSpaceDN w:val="0"/>
        <w:adjustRightInd w:val="0"/>
        <w:snapToGrid w:val="0"/>
        <w:spacing w:line="460" w:lineRule="exact"/>
        <w:ind w:left="564" w:hanging="144"/>
        <w:rPr>
          <w:rFonts w:ascii="宋体" w:hAnsi="宋体"/>
          <w:sz w:val="24"/>
          <w:szCs w:val="24"/>
        </w:rPr>
      </w:pPr>
      <w:r>
        <w:rPr>
          <w:rFonts w:hint="eastAsia" w:ascii="宋体" w:hAnsi="宋体"/>
          <w:sz w:val="24"/>
          <w:szCs w:val="24"/>
        </w:rPr>
        <w:t>【对招标人有利的承诺及证明等</w:t>
      </w:r>
      <w:bookmarkEnd w:id="731"/>
      <w:bookmarkEnd w:id="732"/>
      <w:bookmarkEnd w:id="733"/>
      <w:bookmarkEnd w:id="734"/>
      <w:bookmarkEnd w:id="735"/>
      <w:bookmarkEnd w:id="736"/>
      <w:r>
        <w:rPr>
          <w:rFonts w:hint="eastAsia" w:ascii="宋体" w:hAnsi="宋体"/>
          <w:sz w:val="24"/>
          <w:szCs w:val="24"/>
        </w:rPr>
        <w:t>。】</w:t>
      </w:r>
    </w:p>
    <w:p>
      <w:pPr>
        <w:spacing w:after="120" w:afterLines="50" w:line="460" w:lineRule="exact"/>
        <w:rPr>
          <w:rFonts w:ascii="宋体" w:hAnsi="宋体"/>
          <w:kern w:val="0"/>
          <w:sz w:val="24"/>
          <w:szCs w:val="24"/>
        </w:rPr>
        <w:sectPr>
          <w:pgSz w:w="11906" w:h="16838"/>
          <w:pgMar w:top="2098" w:right="1474" w:bottom="1928" w:left="1588" w:header="1134" w:footer="1418" w:gutter="0"/>
          <w:cols w:space="720" w:num="1"/>
          <w:docGrid w:linePitch="435" w:charSpace="0"/>
        </w:sectPr>
      </w:pPr>
    </w:p>
    <w:p>
      <w:pPr>
        <w:rPr>
          <w:b/>
          <w:bCs/>
          <w:sz w:val="24"/>
          <w:szCs w:val="22"/>
        </w:rPr>
      </w:pPr>
      <w:r>
        <w:rPr>
          <w:rFonts w:hint="eastAsia"/>
          <w:b/>
          <w:bCs/>
          <w:sz w:val="24"/>
          <w:szCs w:val="22"/>
        </w:rPr>
        <w:t>其他附件1：</w:t>
      </w:r>
    </w:p>
    <w:p/>
    <w:p>
      <w:pPr>
        <w:ind w:firstLine="440"/>
        <w:jc w:val="center"/>
        <w:rPr>
          <w:sz w:val="32"/>
          <w:szCs w:val="32"/>
        </w:rPr>
      </w:pPr>
      <w:r>
        <w:rPr>
          <w:rFonts w:ascii="宋体" w:hAnsi="宋体" w:cs="宋体"/>
          <w:b/>
          <w:bCs/>
          <w:sz w:val="32"/>
          <w:szCs w:val="32"/>
        </w:rPr>
        <w:t>联合体协议书</w:t>
      </w:r>
    </w:p>
    <w:p/>
    <w:p>
      <w:pPr>
        <w:spacing w:line="460" w:lineRule="exact"/>
        <w:ind w:firstLine="440"/>
        <w:rPr>
          <w:sz w:val="24"/>
          <w:szCs w:val="24"/>
        </w:rPr>
      </w:pPr>
      <w:r>
        <w:rPr>
          <w:rFonts w:ascii="宋体" w:hAnsi="宋体" w:cs="宋体"/>
          <w:sz w:val="24"/>
          <w:szCs w:val="24"/>
        </w:rPr>
        <w:t>(甲公司名称)_______________,(乙公司名称)_______________自愿组成联合体,参加</w:t>
      </w:r>
      <w:r>
        <w:rPr>
          <w:rFonts w:hint="eastAsia" w:ascii="宋体" w:hAnsi="宋体" w:cs="宋体"/>
          <w:sz w:val="24"/>
          <w:szCs w:val="24"/>
          <w:u w:val="single"/>
        </w:rPr>
        <w:t xml:space="preserve">                     </w:t>
      </w:r>
      <w:r>
        <w:rPr>
          <w:rFonts w:ascii="宋体" w:hAnsi="宋体" w:cs="宋体"/>
          <w:sz w:val="24"/>
          <w:szCs w:val="24"/>
        </w:rPr>
        <w:t>投标</w:t>
      </w:r>
      <w:r>
        <w:rPr>
          <w:rFonts w:hint="eastAsia" w:ascii="宋体" w:hAnsi="宋体" w:cs="宋体"/>
          <w:sz w:val="24"/>
          <w:szCs w:val="24"/>
        </w:rPr>
        <w:t>。</w:t>
      </w:r>
    </w:p>
    <w:p>
      <w:pPr>
        <w:spacing w:line="460" w:lineRule="exact"/>
        <w:ind w:firstLine="440"/>
        <w:rPr>
          <w:sz w:val="24"/>
          <w:szCs w:val="24"/>
        </w:rPr>
      </w:pPr>
    </w:p>
    <w:p>
      <w:pPr>
        <w:spacing w:line="460" w:lineRule="exact"/>
        <w:ind w:firstLine="440"/>
        <w:rPr>
          <w:sz w:val="24"/>
          <w:szCs w:val="24"/>
        </w:rPr>
      </w:pPr>
      <w:r>
        <w:rPr>
          <w:rFonts w:ascii="宋体" w:hAnsi="宋体" w:cs="宋体"/>
          <w:b/>
          <w:bCs/>
          <w:sz w:val="24"/>
          <w:szCs w:val="24"/>
        </w:rPr>
        <w:t>现就有关事宜订立协议如下</w:t>
      </w:r>
      <w:r>
        <w:rPr>
          <w:rFonts w:hint="eastAsia" w:ascii="宋体" w:hAnsi="宋体" w:cs="宋体"/>
          <w:b/>
          <w:bCs/>
          <w:sz w:val="24"/>
          <w:szCs w:val="24"/>
        </w:rPr>
        <w:t>：</w:t>
      </w:r>
    </w:p>
    <w:p>
      <w:pPr>
        <w:spacing w:line="460" w:lineRule="exact"/>
        <w:ind w:firstLine="440"/>
        <w:rPr>
          <w:sz w:val="24"/>
          <w:szCs w:val="24"/>
        </w:rPr>
      </w:pPr>
      <w:r>
        <w:rPr>
          <w:rFonts w:ascii="宋体" w:hAnsi="宋体" w:cs="宋体"/>
          <w:sz w:val="24"/>
          <w:szCs w:val="24"/>
        </w:rPr>
        <w:t>1.(甲公司名称)为联合体牵头方,(乙公司名称)为联合体成员</w:t>
      </w:r>
      <w:r>
        <w:rPr>
          <w:rFonts w:hint="eastAsia" w:ascii="宋体" w:hAnsi="宋体" w:cs="宋体"/>
          <w:sz w:val="24"/>
          <w:szCs w:val="24"/>
        </w:rPr>
        <w:t>；</w:t>
      </w:r>
    </w:p>
    <w:p>
      <w:pPr>
        <w:spacing w:line="460" w:lineRule="exact"/>
        <w:ind w:firstLine="440"/>
        <w:rPr>
          <w:sz w:val="24"/>
          <w:szCs w:val="24"/>
        </w:rPr>
      </w:pPr>
      <w:r>
        <w:rPr>
          <w:rFonts w:ascii="宋体" w:hAnsi="宋体" w:cs="宋体"/>
          <w:sz w:val="24"/>
          <w:szCs w:val="24"/>
        </w:rPr>
        <w:t>2.联合体内部有关事项规定如下</w:t>
      </w:r>
      <w:r>
        <w:rPr>
          <w:rFonts w:hint="eastAsia" w:ascii="宋体" w:hAnsi="宋体" w:cs="宋体"/>
          <w:sz w:val="24"/>
          <w:szCs w:val="24"/>
        </w:rPr>
        <w:t>：</w:t>
      </w:r>
    </w:p>
    <w:p>
      <w:pPr>
        <w:spacing w:line="460" w:lineRule="exact"/>
        <w:ind w:firstLine="440"/>
        <w:rPr>
          <w:sz w:val="24"/>
          <w:szCs w:val="24"/>
        </w:rPr>
      </w:pPr>
      <w:r>
        <w:rPr>
          <w:rFonts w:ascii="宋体" w:hAnsi="宋体" w:cs="宋体"/>
          <w:sz w:val="24"/>
          <w:szCs w:val="24"/>
        </w:rPr>
        <w:t>(1)联合体由牵头方负责与业主联系.</w:t>
      </w:r>
    </w:p>
    <w:p>
      <w:pPr>
        <w:spacing w:line="460" w:lineRule="exact"/>
        <w:ind w:firstLine="440"/>
        <w:rPr>
          <w:sz w:val="24"/>
          <w:szCs w:val="24"/>
        </w:rPr>
      </w:pPr>
      <w:r>
        <w:rPr>
          <w:rFonts w:ascii="宋体" w:hAnsi="宋体" w:cs="宋体"/>
          <w:sz w:val="24"/>
          <w:szCs w:val="24"/>
        </w:rPr>
        <w:t>(2)投标工作由联合体牵头方负责,由双方组成的投标小组具体实施</w:t>
      </w:r>
      <w:r>
        <w:rPr>
          <w:rFonts w:hint="eastAsia" w:ascii="宋体" w:hAnsi="宋体" w:cs="宋体"/>
          <w:sz w:val="24"/>
          <w:szCs w:val="24"/>
        </w:rPr>
        <w:t>；</w:t>
      </w:r>
      <w:r>
        <w:rPr>
          <w:rFonts w:ascii="宋体" w:hAnsi="宋体" w:cs="宋体"/>
          <w:sz w:val="24"/>
          <w:szCs w:val="24"/>
        </w:rPr>
        <w:t>联合体牵头方代表联合体办理投标事宜,联合体牵头方在投标文件中的所有承诺均代表了联合体各成员.</w:t>
      </w:r>
    </w:p>
    <w:p>
      <w:pPr>
        <w:spacing w:line="460" w:lineRule="exact"/>
        <w:ind w:firstLine="440"/>
        <w:rPr>
          <w:sz w:val="24"/>
          <w:szCs w:val="24"/>
        </w:rPr>
      </w:pPr>
      <w:r>
        <w:rPr>
          <w:rFonts w:ascii="宋体" w:hAnsi="宋体" w:cs="宋体"/>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pPr>
        <w:spacing w:line="460" w:lineRule="exact"/>
        <w:ind w:firstLine="440"/>
        <w:rPr>
          <w:sz w:val="24"/>
          <w:szCs w:val="24"/>
        </w:rPr>
      </w:pPr>
      <w:r>
        <w:rPr>
          <w:rFonts w:ascii="宋体" w:hAnsi="宋体" w:cs="宋体"/>
          <w:sz w:val="24"/>
          <w:szCs w:val="24"/>
        </w:rPr>
        <w:t>(4)如中标,联合体内部将遵守以下规定</w:t>
      </w:r>
      <w:r>
        <w:rPr>
          <w:rFonts w:hint="eastAsia" w:ascii="宋体" w:hAnsi="宋体" w:cs="宋体"/>
          <w:sz w:val="24"/>
          <w:szCs w:val="24"/>
        </w:rPr>
        <w:t>：</w:t>
      </w:r>
    </w:p>
    <w:p>
      <w:pPr>
        <w:spacing w:line="460" w:lineRule="exact"/>
        <w:ind w:firstLine="440"/>
        <w:rPr>
          <w:sz w:val="24"/>
          <w:szCs w:val="24"/>
        </w:rPr>
      </w:pPr>
      <w:r>
        <w:rPr>
          <w:rFonts w:ascii="宋体" w:hAnsi="宋体" w:cs="宋体"/>
          <w:sz w:val="24"/>
          <w:szCs w:val="24"/>
        </w:rPr>
        <w:t>a.联合体牵头方和成员共同与业主签订合同书,并就中标项目向业主负责有连带的和各自的法律责任</w:t>
      </w:r>
      <w:r>
        <w:rPr>
          <w:rFonts w:hint="eastAsia" w:ascii="宋体" w:hAnsi="宋体" w:cs="宋体"/>
          <w:sz w:val="24"/>
          <w:szCs w:val="24"/>
        </w:rPr>
        <w:t>；</w:t>
      </w:r>
    </w:p>
    <w:p>
      <w:pPr>
        <w:spacing w:line="460" w:lineRule="exact"/>
        <w:ind w:firstLine="440"/>
        <w:rPr>
          <w:sz w:val="24"/>
          <w:szCs w:val="24"/>
        </w:rPr>
      </w:pPr>
      <w:r>
        <w:rPr>
          <w:rFonts w:ascii="宋体" w:hAnsi="宋体" w:cs="宋体"/>
          <w:sz w:val="24"/>
          <w:szCs w:val="24"/>
        </w:rPr>
        <w:t>b.联合体牵头方代表联合体成员承担责任和接受业主的指令,指示和通知,并且在整个合同实施过程中的全部事宜(包括工程价款支付)均由联合体牵头方负责</w:t>
      </w:r>
      <w:r>
        <w:rPr>
          <w:rFonts w:hint="eastAsia" w:ascii="宋体" w:hAnsi="宋体" w:cs="宋体"/>
          <w:sz w:val="24"/>
          <w:szCs w:val="24"/>
        </w:rPr>
        <w:t>；</w:t>
      </w:r>
    </w:p>
    <w:p>
      <w:pPr>
        <w:spacing w:line="460" w:lineRule="exact"/>
        <w:ind w:firstLine="440"/>
        <w:jc w:val="left"/>
        <w:rPr>
          <w:sz w:val="24"/>
          <w:szCs w:val="24"/>
        </w:rPr>
      </w:pPr>
      <w:r>
        <w:rPr>
          <w:rFonts w:ascii="宋体" w:hAnsi="宋体" w:cs="宋体"/>
          <w:sz w:val="24"/>
          <w:szCs w:val="24"/>
        </w:rPr>
        <w:t>c.联合体分工</w:t>
      </w:r>
      <w:r>
        <w:rPr>
          <w:rFonts w:hint="eastAsia" w:ascii="宋体" w:hAnsi="宋体" w:cs="宋体"/>
          <w:sz w:val="24"/>
          <w:szCs w:val="24"/>
        </w:rPr>
        <w:t>原则：</w:t>
      </w:r>
      <w:r>
        <w:rPr>
          <w:rFonts w:ascii="宋体" w:hAnsi="宋体" w:cs="宋体"/>
          <w:sz w:val="24"/>
          <w:szCs w:val="24"/>
        </w:rPr>
        <w:t>_________________________________________________________.</w:t>
      </w:r>
    </w:p>
    <w:p>
      <w:pPr>
        <w:spacing w:line="460" w:lineRule="exact"/>
        <w:ind w:firstLine="440"/>
        <w:rPr>
          <w:sz w:val="24"/>
          <w:szCs w:val="24"/>
        </w:rPr>
      </w:pPr>
      <w:r>
        <w:rPr>
          <w:rFonts w:ascii="宋体" w:hAnsi="宋体" w:cs="宋体"/>
          <w:sz w:val="24"/>
          <w:szCs w:val="24"/>
        </w:rPr>
        <w:t>(5)投标工作和联合体在中标后工程实施过程中的有关费用按各自承担的工作量分摊.</w:t>
      </w:r>
    </w:p>
    <w:p>
      <w:pPr>
        <w:spacing w:line="460" w:lineRule="exact"/>
        <w:ind w:firstLine="440"/>
        <w:rPr>
          <w:sz w:val="24"/>
          <w:szCs w:val="24"/>
        </w:rPr>
      </w:pPr>
      <w:r>
        <w:rPr>
          <w:rFonts w:ascii="宋体" w:hAnsi="宋体" w:cs="宋体"/>
          <w:sz w:val="24"/>
          <w:szCs w:val="24"/>
        </w:rPr>
        <w:t>3.本协议书自签署之日起生效,在上述(4)a所述的合同书规定的期限之后后自行失效</w:t>
      </w:r>
      <w:r>
        <w:rPr>
          <w:rFonts w:hint="eastAsia" w:ascii="宋体" w:hAnsi="宋体" w:cs="宋体"/>
          <w:sz w:val="24"/>
          <w:szCs w:val="24"/>
        </w:rPr>
        <w:t>；</w:t>
      </w:r>
      <w:r>
        <w:rPr>
          <w:rFonts w:ascii="宋体" w:hAnsi="宋体" w:cs="宋体"/>
          <w:sz w:val="24"/>
          <w:szCs w:val="24"/>
        </w:rPr>
        <w:t>如中标后,联合体内部另有协议的,联合体牵头方应将该协议书送交业主.</w:t>
      </w:r>
    </w:p>
    <w:p>
      <w:pPr>
        <w:spacing w:line="460" w:lineRule="exact"/>
        <w:ind w:firstLine="440"/>
        <w:rPr>
          <w:sz w:val="24"/>
          <w:szCs w:val="24"/>
        </w:rPr>
      </w:pPr>
      <w:r>
        <w:rPr>
          <w:rFonts w:ascii="宋体" w:hAnsi="宋体" w:cs="宋体"/>
          <w:sz w:val="24"/>
          <w:szCs w:val="24"/>
        </w:rPr>
        <w:t>4.本协议书正本一式四份,送业主一份,投标报名时递交一份,联合体成员各一份</w:t>
      </w:r>
      <w:r>
        <w:rPr>
          <w:rFonts w:hint="eastAsia" w:ascii="宋体" w:hAnsi="宋体" w:cs="宋体"/>
          <w:sz w:val="24"/>
          <w:szCs w:val="24"/>
        </w:rPr>
        <w:t>；</w:t>
      </w:r>
      <w:r>
        <w:rPr>
          <w:rFonts w:ascii="宋体" w:hAnsi="宋体" w:cs="宋体"/>
          <w:sz w:val="24"/>
          <w:szCs w:val="24"/>
        </w:rPr>
        <w:t>副本一式六份,联合体成员各执三份.</w:t>
      </w:r>
    </w:p>
    <w:p>
      <w:pPr>
        <w:spacing w:line="460" w:lineRule="exact"/>
        <w:ind w:firstLine="440"/>
        <w:rPr>
          <w:sz w:val="24"/>
          <w:szCs w:val="24"/>
        </w:rPr>
      </w:pPr>
      <w:r>
        <w:rPr>
          <w:rFonts w:ascii="宋体" w:hAnsi="宋体" w:cs="宋体"/>
          <w:sz w:val="24"/>
          <w:szCs w:val="24"/>
        </w:rPr>
        <w:t>甲公司名称</w:t>
      </w:r>
      <w:r>
        <w:rPr>
          <w:rFonts w:hint="eastAsia" w:ascii="宋体" w:hAnsi="宋体" w:cs="宋体"/>
          <w:sz w:val="24"/>
          <w:szCs w:val="24"/>
        </w:rPr>
        <w:t>：</w:t>
      </w:r>
      <w:r>
        <w:rPr>
          <w:rFonts w:ascii="宋体" w:hAnsi="宋体" w:cs="宋体"/>
          <w:sz w:val="24"/>
          <w:szCs w:val="24"/>
        </w:rPr>
        <w:t>(全称)(盖章)            乙公司名称</w:t>
      </w:r>
      <w:r>
        <w:rPr>
          <w:rFonts w:hint="eastAsia" w:ascii="宋体" w:hAnsi="宋体" w:cs="宋体"/>
          <w:sz w:val="24"/>
          <w:szCs w:val="24"/>
        </w:rPr>
        <w:t>：</w:t>
      </w:r>
      <w:r>
        <w:rPr>
          <w:rFonts w:ascii="宋体" w:hAnsi="宋体" w:cs="宋体"/>
          <w:sz w:val="24"/>
          <w:szCs w:val="24"/>
        </w:rPr>
        <w:t>(全称)(盖章)</w:t>
      </w:r>
    </w:p>
    <w:p>
      <w:pPr>
        <w:spacing w:line="460" w:lineRule="exact"/>
        <w:ind w:firstLine="440"/>
        <w:rPr>
          <w:sz w:val="24"/>
          <w:szCs w:val="24"/>
        </w:rPr>
      </w:pPr>
      <w:r>
        <w:rPr>
          <w:rFonts w:ascii="宋体" w:hAnsi="宋体" w:cs="宋体"/>
          <w:sz w:val="24"/>
          <w:szCs w:val="24"/>
        </w:rPr>
        <w:t>法定代表人或授权委托人</w:t>
      </w:r>
      <w:r>
        <w:rPr>
          <w:rFonts w:hint="eastAsia" w:ascii="宋体" w:hAnsi="宋体" w:cs="宋体"/>
          <w:sz w:val="24"/>
          <w:szCs w:val="24"/>
        </w:rPr>
        <w:t>：</w:t>
      </w:r>
      <w:r>
        <w:rPr>
          <w:rFonts w:ascii="宋体" w:hAnsi="宋体" w:cs="宋体"/>
          <w:sz w:val="24"/>
          <w:szCs w:val="24"/>
        </w:rPr>
        <w:t>(签字盖章)   法定代表人或授权委托人</w:t>
      </w:r>
      <w:r>
        <w:rPr>
          <w:rFonts w:hint="eastAsia" w:ascii="宋体" w:hAnsi="宋体" w:cs="宋体"/>
          <w:sz w:val="24"/>
          <w:szCs w:val="24"/>
        </w:rPr>
        <w:t>：</w:t>
      </w:r>
      <w:r>
        <w:rPr>
          <w:rFonts w:ascii="宋体" w:hAnsi="宋体" w:cs="宋体"/>
          <w:sz w:val="24"/>
          <w:szCs w:val="24"/>
        </w:rPr>
        <w:t>(签字盖章)</w:t>
      </w:r>
    </w:p>
    <w:p>
      <w:pPr>
        <w:spacing w:line="460" w:lineRule="exact"/>
        <w:ind w:firstLine="1200" w:firstLineChars="500"/>
        <w:rPr>
          <w:sz w:val="24"/>
          <w:szCs w:val="24"/>
        </w:rPr>
      </w:pPr>
      <w:r>
        <w:rPr>
          <w:rFonts w:ascii="宋体" w:hAnsi="宋体" w:cs="宋体"/>
          <w:sz w:val="24"/>
          <w:szCs w:val="24"/>
        </w:rPr>
        <w:t>年</w:t>
      </w:r>
      <w:r>
        <w:rPr>
          <w:rFonts w:hint="eastAsia" w:ascii="宋体" w:hAnsi="宋体" w:cs="宋体"/>
          <w:sz w:val="24"/>
          <w:szCs w:val="24"/>
        </w:rPr>
        <w:t xml:space="preserve"> </w:t>
      </w:r>
      <w:r>
        <w:rPr>
          <w:rFonts w:ascii="宋体" w:hAnsi="宋体" w:cs="宋体"/>
          <w:sz w:val="24"/>
          <w:szCs w:val="24"/>
        </w:rPr>
        <w:t xml:space="preserve">  月</w:t>
      </w:r>
      <w:r>
        <w:rPr>
          <w:rFonts w:hint="eastAsia" w:ascii="宋体" w:hAnsi="宋体" w:cs="宋体"/>
          <w:sz w:val="24"/>
          <w:szCs w:val="24"/>
        </w:rPr>
        <w:t xml:space="preserve"> </w:t>
      </w:r>
      <w:r>
        <w:rPr>
          <w:rFonts w:ascii="宋体" w:hAnsi="宋体" w:cs="宋体"/>
          <w:sz w:val="24"/>
          <w:szCs w:val="24"/>
        </w:rPr>
        <w:t xml:space="preserve">  日</w:t>
      </w:r>
      <w:r>
        <w:rPr>
          <w:rFonts w:hint="eastAsia" w:ascii="宋体" w:hAnsi="宋体" w:cs="宋体"/>
          <w:sz w:val="24"/>
          <w:szCs w:val="24"/>
        </w:rPr>
        <w:t xml:space="preserve"> </w:t>
      </w:r>
      <w:r>
        <w:rPr>
          <w:rFonts w:ascii="宋体" w:hAnsi="宋体" w:cs="宋体"/>
          <w:sz w:val="24"/>
          <w:szCs w:val="24"/>
        </w:rPr>
        <w:t xml:space="preserve">                                 年</w:t>
      </w:r>
      <w:r>
        <w:rPr>
          <w:rFonts w:hint="eastAsia" w:ascii="宋体" w:hAnsi="宋体" w:cs="宋体"/>
          <w:sz w:val="24"/>
          <w:szCs w:val="24"/>
        </w:rPr>
        <w:t xml:space="preserve"> </w:t>
      </w:r>
      <w:r>
        <w:rPr>
          <w:rFonts w:ascii="宋体" w:hAnsi="宋体" w:cs="宋体"/>
          <w:sz w:val="24"/>
          <w:szCs w:val="24"/>
        </w:rPr>
        <w:t xml:space="preserve">  月</w:t>
      </w:r>
      <w:r>
        <w:rPr>
          <w:rFonts w:hint="eastAsia" w:ascii="宋体" w:hAnsi="宋体" w:cs="宋体"/>
          <w:sz w:val="24"/>
          <w:szCs w:val="24"/>
        </w:rPr>
        <w:t xml:space="preserve"> </w:t>
      </w:r>
      <w:r>
        <w:rPr>
          <w:rFonts w:ascii="宋体" w:hAnsi="宋体" w:cs="宋体"/>
          <w:sz w:val="24"/>
          <w:szCs w:val="24"/>
        </w:rPr>
        <w:t xml:space="preserve">  日</w:t>
      </w:r>
    </w:p>
    <w:p>
      <w:pPr>
        <w:widowControl/>
        <w:jc w:val="left"/>
        <w:rPr>
          <w:rFonts w:ascii="宋体" w:hAnsi="宋体" w:cs="宋体"/>
          <w:b/>
          <w:bCs/>
          <w:sz w:val="32"/>
          <w:szCs w:val="32"/>
        </w:rPr>
      </w:pPr>
      <w:r>
        <w:rPr>
          <w:rFonts w:ascii="宋体" w:hAnsi="宋体" w:cs="宋体"/>
          <w:b/>
          <w:bCs/>
          <w:sz w:val="32"/>
          <w:szCs w:val="32"/>
        </w:rPr>
        <w:br w:type="page"/>
      </w:r>
    </w:p>
    <w:p>
      <w:pPr>
        <w:spacing w:line="460" w:lineRule="exact"/>
        <w:ind w:firstLine="440"/>
        <w:jc w:val="center"/>
        <w:rPr>
          <w:rFonts w:ascii="宋体" w:hAnsi="宋体" w:cs="宋体"/>
          <w:b/>
          <w:bCs/>
          <w:sz w:val="32"/>
          <w:szCs w:val="32"/>
        </w:rPr>
      </w:pPr>
      <w:r>
        <w:rPr>
          <w:rFonts w:ascii="宋体" w:hAnsi="宋体" w:cs="宋体"/>
          <w:b/>
          <w:bCs/>
          <w:sz w:val="32"/>
          <w:szCs w:val="32"/>
        </w:rPr>
        <w:t>投标联合体授权牵头方协议书(参考格式)</w:t>
      </w:r>
    </w:p>
    <w:p>
      <w:pPr>
        <w:spacing w:line="460" w:lineRule="exact"/>
        <w:ind w:firstLine="440"/>
        <w:rPr>
          <w:sz w:val="24"/>
          <w:szCs w:val="24"/>
        </w:rPr>
      </w:pPr>
      <w:r>
        <w:rPr>
          <w:rFonts w:ascii="宋体" w:hAnsi="宋体" w:cs="宋体"/>
          <w:sz w:val="24"/>
          <w:szCs w:val="24"/>
        </w:rPr>
        <w:t>(联合体各方名称)________________,___________________,组成联合体,参加__________________________工程的`投标活动,现授权(联合体牵头方名称)________________________为本投标联合体牵头方,联合体牵头方负责项目的一切组织,协调工作,并授权投标代理人以联合体的名义参加本工程的投标,代理人在投标,开标,评标,合同谈判过程中所签署的一切文件和处理与本次招标有关的一切事务,联合体各方均予以承认并承担法律责任.</w:t>
      </w:r>
    </w:p>
    <w:p>
      <w:pPr>
        <w:spacing w:line="460" w:lineRule="exact"/>
        <w:ind w:firstLine="440"/>
        <w:rPr>
          <w:sz w:val="24"/>
          <w:szCs w:val="24"/>
        </w:rPr>
      </w:pPr>
      <w:r>
        <w:rPr>
          <w:rFonts w:ascii="宋体" w:hAnsi="宋体" w:cs="宋体"/>
          <w:sz w:val="24"/>
          <w:szCs w:val="24"/>
        </w:rPr>
        <w:t>本授权有效期至本次招标有关事务结束止.</w:t>
      </w:r>
    </w:p>
    <w:p>
      <w:pPr>
        <w:spacing w:line="460" w:lineRule="exact"/>
        <w:ind w:firstLine="440"/>
        <w:rPr>
          <w:sz w:val="24"/>
          <w:szCs w:val="24"/>
        </w:rPr>
      </w:pPr>
      <w:r>
        <w:rPr>
          <w:rFonts w:ascii="宋体" w:hAnsi="宋体" w:cs="宋体"/>
          <w:sz w:val="24"/>
          <w:szCs w:val="24"/>
        </w:rPr>
        <w:t>被授权方</w:t>
      </w:r>
      <w:r>
        <w:rPr>
          <w:rFonts w:hint="eastAsia" w:ascii="宋体" w:hAnsi="宋体" w:cs="宋体"/>
          <w:sz w:val="24"/>
          <w:szCs w:val="24"/>
        </w:rPr>
        <w:t>：</w:t>
      </w:r>
      <w:r>
        <w:rPr>
          <w:rFonts w:ascii="宋体" w:hAnsi="宋体" w:cs="宋体"/>
          <w:sz w:val="24"/>
          <w:szCs w:val="24"/>
        </w:rPr>
        <w:t>______________授权方</w:t>
      </w:r>
      <w:r>
        <w:rPr>
          <w:rFonts w:hint="eastAsia" w:ascii="宋体" w:hAnsi="宋体" w:cs="宋体"/>
          <w:sz w:val="24"/>
          <w:szCs w:val="24"/>
        </w:rPr>
        <w:t>：</w:t>
      </w:r>
      <w:r>
        <w:rPr>
          <w:rFonts w:ascii="宋体" w:hAnsi="宋体" w:cs="宋体"/>
          <w:sz w:val="24"/>
          <w:szCs w:val="24"/>
        </w:rPr>
        <w:t>_______________</w:t>
      </w:r>
    </w:p>
    <w:p>
      <w:pPr>
        <w:spacing w:line="460" w:lineRule="exact"/>
        <w:ind w:firstLine="440"/>
        <w:rPr>
          <w:sz w:val="24"/>
          <w:szCs w:val="24"/>
        </w:rPr>
      </w:pPr>
      <w:r>
        <w:rPr>
          <w:rFonts w:ascii="宋体" w:hAnsi="宋体" w:cs="宋体"/>
          <w:sz w:val="24"/>
          <w:szCs w:val="24"/>
        </w:rPr>
        <w:t>盖章</w:t>
      </w:r>
      <w:r>
        <w:rPr>
          <w:rFonts w:hint="eastAsia" w:ascii="宋体" w:hAnsi="宋体" w:cs="宋体"/>
          <w:sz w:val="24"/>
          <w:szCs w:val="24"/>
        </w:rPr>
        <w:t xml:space="preserve">： </w:t>
      </w:r>
      <w:r>
        <w:rPr>
          <w:rFonts w:ascii="宋体" w:hAnsi="宋体" w:cs="宋体"/>
          <w:sz w:val="24"/>
          <w:szCs w:val="24"/>
        </w:rPr>
        <w:t xml:space="preserve">                   盖章</w:t>
      </w:r>
      <w:r>
        <w:rPr>
          <w:rFonts w:hint="eastAsia" w:ascii="宋体" w:hAnsi="宋体" w:cs="宋体"/>
          <w:sz w:val="24"/>
          <w:szCs w:val="24"/>
        </w:rPr>
        <w:t>：</w:t>
      </w:r>
    </w:p>
    <w:p>
      <w:pPr>
        <w:spacing w:line="460" w:lineRule="exact"/>
        <w:ind w:firstLine="440"/>
        <w:rPr>
          <w:sz w:val="24"/>
          <w:szCs w:val="24"/>
        </w:rPr>
      </w:pPr>
      <w:r>
        <w:rPr>
          <w:rFonts w:ascii="宋体" w:hAnsi="宋体" w:cs="宋体"/>
          <w:sz w:val="24"/>
          <w:szCs w:val="24"/>
        </w:rPr>
        <w:t>电话</w:t>
      </w:r>
      <w:r>
        <w:rPr>
          <w:rFonts w:hint="eastAsia" w:ascii="宋体" w:hAnsi="宋体" w:cs="宋体"/>
          <w:sz w:val="24"/>
          <w:szCs w:val="24"/>
        </w:rPr>
        <w:t xml:space="preserve">： </w:t>
      </w:r>
      <w:r>
        <w:rPr>
          <w:rFonts w:ascii="宋体" w:hAnsi="宋体" w:cs="宋体"/>
          <w:sz w:val="24"/>
          <w:szCs w:val="24"/>
        </w:rPr>
        <w:t xml:space="preserve">                   电话</w:t>
      </w:r>
      <w:r>
        <w:rPr>
          <w:rFonts w:hint="eastAsia" w:ascii="宋体" w:hAnsi="宋体" w:cs="宋体"/>
          <w:sz w:val="24"/>
          <w:szCs w:val="24"/>
        </w:rPr>
        <w:t>：</w:t>
      </w:r>
    </w:p>
    <w:p>
      <w:pPr>
        <w:spacing w:line="460" w:lineRule="exact"/>
        <w:ind w:firstLine="440"/>
        <w:rPr>
          <w:sz w:val="24"/>
          <w:szCs w:val="24"/>
        </w:rPr>
      </w:pPr>
      <w:r>
        <w:rPr>
          <w:rFonts w:ascii="宋体" w:hAnsi="宋体" w:cs="宋体"/>
          <w:sz w:val="24"/>
          <w:szCs w:val="24"/>
        </w:rPr>
        <w:t>地址</w:t>
      </w:r>
      <w:r>
        <w:rPr>
          <w:rFonts w:hint="eastAsia" w:ascii="宋体" w:hAnsi="宋体" w:cs="宋体"/>
          <w:sz w:val="24"/>
          <w:szCs w:val="24"/>
        </w:rPr>
        <w:t xml:space="preserve">： </w:t>
      </w:r>
      <w:r>
        <w:rPr>
          <w:rFonts w:ascii="宋体" w:hAnsi="宋体" w:cs="宋体"/>
          <w:sz w:val="24"/>
          <w:szCs w:val="24"/>
        </w:rPr>
        <w:t xml:space="preserve">                   地址</w:t>
      </w:r>
      <w:r>
        <w:rPr>
          <w:rFonts w:hint="eastAsia" w:ascii="宋体" w:hAnsi="宋体" w:cs="宋体"/>
          <w:sz w:val="24"/>
          <w:szCs w:val="24"/>
        </w:rPr>
        <w:t>：</w:t>
      </w:r>
    </w:p>
    <w:p>
      <w:pPr>
        <w:spacing w:line="460" w:lineRule="exact"/>
        <w:ind w:firstLine="720" w:firstLineChars="300"/>
        <w:rPr>
          <w:sz w:val="24"/>
          <w:szCs w:val="24"/>
        </w:rPr>
      </w:pPr>
      <w:r>
        <w:rPr>
          <w:rFonts w:ascii="宋体" w:hAnsi="宋体" w:cs="宋体"/>
          <w:sz w:val="24"/>
          <w:szCs w:val="24"/>
        </w:rPr>
        <w:t>年</w:t>
      </w:r>
      <w:r>
        <w:rPr>
          <w:rFonts w:hint="eastAsia" w:ascii="宋体" w:hAnsi="宋体" w:cs="宋体"/>
          <w:sz w:val="24"/>
          <w:szCs w:val="24"/>
        </w:rPr>
        <w:t xml:space="preserve"> </w:t>
      </w:r>
      <w:r>
        <w:rPr>
          <w:rFonts w:ascii="宋体" w:hAnsi="宋体" w:cs="宋体"/>
          <w:sz w:val="24"/>
          <w:szCs w:val="24"/>
        </w:rPr>
        <w:t xml:space="preserve"> 月</w:t>
      </w:r>
      <w:r>
        <w:rPr>
          <w:rFonts w:hint="eastAsia" w:ascii="宋体" w:hAnsi="宋体" w:cs="宋体"/>
          <w:sz w:val="24"/>
          <w:szCs w:val="24"/>
        </w:rPr>
        <w:t xml:space="preserve"> </w:t>
      </w:r>
      <w:r>
        <w:rPr>
          <w:rFonts w:ascii="宋体" w:hAnsi="宋体" w:cs="宋体"/>
          <w:sz w:val="24"/>
          <w:szCs w:val="24"/>
        </w:rPr>
        <w:t xml:space="preserve"> 日</w:t>
      </w:r>
      <w:r>
        <w:rPr>
          <w:rFonts w:hint="eastAsia" w:ascii="宋体" w:hAnsi="宋体" w:cs="宋体"/>
          <w:sz w:val="24"/>
          <w:szCs w:val="24"/>
        </w:rPr>
        <w:t xml:space="preserve"> </w:t>
      </w:r>
      <w:r>
        <w:rPr>
          <w:rFonts w:ascii="宋体" w:hAnsi="宋体" w:cs="宋体"/>
          <w:sz w:val="24"/>
          <w:szCs w:val="24"/>
        </w:rPr>
        <w:t xml:space="preserve">                    年</w:t>
      </w:r>
      <w:r>
        <w:rPr>
          <w:rFonts w:hint="eastAsia" w:ascii="宋体" w:hAnsi="宋体" w:cs="宋体"/>
          <w:sz w:val="24"/>
          <w:szCs w:val="24"/>
        </w:rPr>
        <w:t xml:space="preserve"> </w:t>
      </w:r>
      <w:r>
        <w:rPr>
          <w:rFonts w:ascii="宋体" w:hAnsi="宋体" w:cs="宋体"/>
          <w:sz w:val="24"/>
          <w:szCs w:val="24"/>
        </w:rPr>
        <w:t xml:space="preserve"> 月</w:t>
      </w:r>
      <w:r>
        <w:rPr>
          <w:rFonts w:hint="eastAsia" w:ascii="宋体" w:hAnsi="宋体" w:cs="宋体"/>
          <w:sz w:val="24"/>
          <w:szCs w:val="24"/>
        </w:rPr>
        <w:t xml:space="preserve"> </w:t>
      </w:r>
      <w:r>
        <w:rPr>
          <w:rFonts w:ascii="宋体" w:hAnsi="宋体" w:cs="宋体"/>
          <w:sz w:val="24"/>
          <w:szCs w:val="24"/>
        </w:rPr>
        <w:t xml:space="preserve"> 日</w:t>
      </w:r>
    </w:p>
    <w:p>
      <w:pPr>
        <w:spacing w:line="460" w:lineRule="exact"/>
        <w:ind w:firstLine="440"/>
        <w:rPr>
          <w:sz w:val="24"/>
          <w:szCs w:val="24"/>
        </w:rPr>
      </w:pPr>
      <w:r>
        <w:rPr>
          <w:rFonts w:ascii="宋体" w:hAnsi="宋体" w:cs="宋体"/>
          <w:sz w:val="24"/>
          <w:szCs w:val="24"/>
        </w:rPr>
        <w:t>(注</w:t>
      </w:r>
      <w:r>
        <w:rPr>
          <w:rFonts w:hint="eastAsia" w:ascii="宋体" w:hAnsi="宋体" w:cs="宋体"/>
          <w:sz w:val="24"/>
          <w:szCs w:val="24"/>
        </w:rPr>
        <w:t>：</w:t>
      </w:r>
      <w:r>
        <w:rPr>
          <w:rFonts w:ascii="宋体" w:hAnsi="宋体" w:cs="宋体"/>
          <w:sz w:val="24"/>
          <w:szCs w:val="24"/>
        </w:rPr>
        <w:t>本协议书需完全注明联合体其它方组成成员)</w:t>
      </w:r>
    </w:p>
    <w:p>
      <w:pPr>
        <w:spacing w:line="460" w:lineRule="exact"/>
        <w:ind w:firstLine="440"/>
        <w:rPr>
          <w:sz w:val="24"/>
          <w:szCs w:val="24"/>
        </w:rPr>
      </w:pPr>
      <w:r>
        <w:rPr>
          <w:rFonts w:ascii="宋体" w:hAnsi="宋体" w:cs="宋体"/>
          <w:sz w:val="24"/>
          <w:szCs w:val="24"/>
        </w:rPr>
        <w:t>本授权委托书声明</w:t>
      </w:r>
      <w:r>
        <w:rPr>
          <w:rFonts w:hint="eastAsia" w:ascii="宋体" w:hAnsi="宋体" w:cs="宋体"/>
          <w:sz w:val="24"/>
          <w:szCs w:val="24"/>
        </w:rPr>
        <w:t>：</w:t>
      </w:r>
      <w:r>
        <w:rPr>
          <w:rFonts w:ascii="宋体" w:hAnsi="宋体" w:cs="宋体"/>
          <w:sz w:val="24"/>
          <w:szCs w:val="24"/>
        </w:rPr>
        <w:t>我_________(姓名)系_________________________(单位名称)的法定代表人,现授权委托_________________(联合体牵头方的单位名称)的_________(姓名)为联合体全权代表,以_______________________________(联合体名称</w:t>
      </w:r>
      <w:r>
        <w:rPr>
          <w:rFonts w:hint="eastAsia" w:ascii="宋体" w:hAnsi="宋体" w:cs="宋体"/>
          <w:sz w:val="24"/>
          <w:szCs w:val="24"/>
        </w:rPr>
        <w:t>：</w:t>
      </w:r>
      <w:r>
        <w:rPr>
          <w:rFonts w:ascii="宋体" w:hAnsi="宋体" w:cs="宋体"/>
          <w:sz w:val="24"/>
          <w:szCs w:val="24"/>
        </w:rPr>
        <w:t>牵头方加成员单位)联合体的名义参加_______________________________(招标人)的</w:t>
      </w:r>
      <w:r>
        <w:rPr>
          <w:rFonts w:hint="eastAsia" w:ascii="宋体" w:hAnsi="宋体" w:cs="宋体"/>
          <w:sz w:val="24"/>
          <w:szCs w:val="24"/>
          <w:u w:val="single"/>
        </w:rPr>
        <w:t>09020006工程全过程工程咨询（2024-JJDCBG-G1006）</w:t>
      </w:r>
      <w:r>
        <w:rPr>
          <w:rFonts w:hint="eastAsia" w:ascii="宋体" w:hAnsi="宋体" w:cs="宋体"/>
          <w:sz w:val="24"/>
          <w:szCs w:val="24"/>
        </w:rPr>
        <w:t>服务采购</w:t>
      </w:r>
      <w:r>
        <w:rPr>
          <w:rFonts w:ascii="宋体" w:hAnsi="宋体" w:cs="宋体"/>
          <w:sz w:val="24"/>
          <w:szCs w:val="24"/>
        </w:rPr>
        <w:t>的投标活动.全权代表在开标,评标,询标,合同谈判过程中所签署的一切文件和处理与之有关的一切事务,我均以承认.</w:t>
      </w:r>
    </w:p>
    <w:p>
      <w:pPr>
        <w:spacing w:line="460" w:lineRule="exact"/>
        <w:ind w:firstLine="440"/>
        <w:rPr>
          <w:sz w:val="24"/>
          <w:szCs w:val="24"/>
        </w:rPr>
      </w:pPr>
      <w:r>
        <w:rPr>
          <w:rFonts w:ascii="宋体" w:hAnsi="宋体" w:cs="宋体"/>
          <w:sz w:val="24"/>
          <w:szCs w:val="24"/>
        </w:rPr>
        <w:t>代理人无转委托权.特此委托.</w:t>
      </w:r>
    </w:p>
    <w:p>
      <w:pPr>
        <w:spacing w:line="460" w:lineRule="exact"/>
        <w:ind w:firstLine="440"/>
        <w:rPr>
          <w:sz w:val="24"/>
          <w:szCs w:val="24"/>
        </w:rPr>
      </w:pPr>
      <w:r>
        <w:rPr>
          <w:rFonts w:ascii="宋体" w:hAnsi="宋体" w:cs="宋体"/>
          <w:sz w:val="24"/>
          <w:szCs w:val="24"/>
        </w:rPr>
        <w:t>代理人</w:t>
      </w:r>
      <w:r>
        <w:rPr>
          <w:rFonts w:hint="eastAsia" w:ascii="宋体" w:hAnsi="宋体" w:cs="宋体"/>
          <w:sz w:val="24"/>
          <w:szCs w:val="24"/>
        </w:rPr>
        <w:t>：</w:t>
      </w:r>
      <w:r>
        <w:rPr>
          <w:rFonts w:ascii="宋体" w:hAnsi="宋体" w:cs="宋体"/>
          <w:sz w:val="24"/>
          <w:szCs w:val="24"/>
        </w:rPr>
        <w:t>________________性别</w:t>
      </w:r>
      <w:r>
        <w:rPr>
          <w:rFonts w:hint="eastAsia" w:ascii="宋体" w:hAnsi="宋体" w:cs="宋体"/>
          <w:sz w:val="24"/>
          <w:szCs w:val="24"/>
        </w:rPr>
        <w:t>：</w:t>
      </w:r>
      <w:r>
        <w:rPr>
          <w:rFonts w:ascii="宋体" w:hAnsi="宋体" w:cs="宋体"/>
          <w:sz w:val="24"/>
          <w:szCs w:val="24"/>
        </w:rPr>
        <w:t>________年龄</w:t>
      </w:r>
      <w:r>
        <w:rPr>
          <w:rFonts w:hint="eastAsia" w:ascii="宋体" w:hAnsi="宋体" w:cs="宋体"/>
          <w:sz w:val="24"/>
          <w:szCs w:val="24"/>
        </w:rPr>
        <w:t>：</w:t>
      </w:r>
      <w:r>
        <w:rPr>
          <w:rFonts w:ascii="宋体" w:hAnsi="宋体" w:cs="宋体"/>
          <w:sz w:val="24"/>
          <w:szCs w:val="24"/>
        </w:rPr>
        <w:t>_____________</w:t>
      </w:r>
    </w:p>
    <w:p>
      <w:pPr>
        <w:spacing w:line="460" w:lineRule="exact"/>
        <w:ind w:firstLine="440"/>
        <w:rPr>
          <w:sz w:val="24"/>
          <w:szCs w:val="24"/>
        </w:rPr>
      </w:pPr>
      <w:r>
        <w:rPr>
          <w:rFonts w:ascii="宋体" w:hAnsi="宋体" w:cs="宋体"/>
          <w:sz w:val="24"/>
          <w:szCs w:val="24"/>
        </w:rPr>
        <w:t>身份证号码</w:t>
      </w:r>
      <w:r>
        <w:rPr>
          <w:rFonts w:hint="eastAsia" w:ascii="宋体" w:hAnsi="宋体" w:cs="宋体"/>
          <w:sz w:val="24"/>
          <w:szCs w:val="24"/>
        </w:rPr>
        <w:t>：</w:t>
      </w:r>
      <w:r>
        <w:rPr>
          <w:rFonts w:ascii="宋体" w:hAnsi="宋体" w:cs="宋体"/>
          <w:sz w:val="24"/>
          <w:szCs w:val="24"/>
        </w:rPr>
        <w:t>__________</w:t>
      </w:r>
      <w:r>
        <w:rPr>
          <w:rFonts w:ascii="宋体" w:hAnsi="宋体" w:cs="宋体"/>
          <w:sz w:val="24"/>
          <w:szCs w:val="24"/>
          <w:u w:val="single"/>
        </w:rPr>
        <w:t>_</w:t>
      </w:r>
      <w:r>
        <w:rPr>
          <w:rFonts w:hint="eastAsia" w:ascii="宋体" w:hAnsi="宋体" w:cs="宋体"/>
          <w:sz w:val="24"/>
          <w:szCs w:val="24"/>
          <w:u w:val="single"/>
        </w:rPr>
        <w:t xml:space="preserve">          </w:t>
      </w:r>
      <w:r>
        <w:rPr>
          <w:rFonts w:ascii="宋体" w:hAnsi="宋体" w:cs="宋体"/>
          <w:sz w:val="24"/>
          <w:szCs w:val="24"/>
          <w:u w:val="single"/>
        </w:rPr>
        <w:t>_</w:t>
      </w:r>
      <w:r>
        <w:rPr>
          <w:rFonts w:ascii="宋体" w:hAnsi="宋体" w:cs="宋体"/>
          <w:sz w:val="24"/>
          <w:szCs w:val="24"/>
        </w:rPr>
        <w:t>_________________</w:t>
      </w:r>
      <w:r>
        <w:rPr>
          <w:rFonts w:ascii="宋体" w:hAnsi="宋体" w:cs="宋体"/>
          <w:sz w:val="24"/>
          <w:szCs w:val="24"/>
          <w:u w:val="single"/>
        </w:rPr>
        <w:t>_</w:t>
      </w:r>
      <w:r>
        <w:rPr>
          <w:rFonts w:hint="eastAsia" w:ascii="宋体" w:hAnsi="宋体" w:cs="宋体"/>
          <w:sz w:val="24"/>
          <w:szCs w:val="24"/>
          <w:u w:val="single"/>
        </w:rPr>
        <w:t xml:space="preserve"> </w:t>
      </w:r>
      <w:r>
        <w:rPr>
          <w:rFonts w:ascii="宋体" w:hAnsi="宋体" w:cs="宋体"/>
          <w:sz w:val="24"/>
          <w:szCs w:val="24"/>
          <w:u w:val="single"/>
        </w:rPr>
        <w:t>__</w:t>
      </w:r>
    </w:p>
    <w:p>
      <w:pPr>
        <w:spacing w:line="460" w:lineRule="exact"/>
        <w:ind w:firstLine="440"/>
        <w:rPr>
          <w:sz w:val="24"/>
          <w:szCs w:val="24"/>
        </w:rPr>
      </w:pPr>
      <w:r>
        <w:rPr>
          <w:rFonts w:ascii="宋体" w:hAnsi="宋体" w:cs="宋体"/>
          <w:sz w:val="24"/>
          <w:szCs w:val="24"/>
        </w:rPr>
        <w:t>单位</w:t>
      </w:r>
      <w:r>
        <w:rPr>
          <w:rFonts w:hint="eastAsia" w:ascii="宋体" w:hAnsi="宋体" w:cs="宋体"/>
          <w:sz w:val="24"/>
          <w:szCs w:val="24"/>
        </w:rPr>
        <w:t>：</w:t>
      </w:r>
      <w:r>
        <w:rPr>
          <w:rFonts w:ascii="宋体" w:hAnsi="宋体" w:cs="宋体"/>
          <w:sz w:val="24"/>
          <w:szCs w:val="24"/>
        </w:rPr>
        <w:t>_______________</w:t>
      </w:r>
      <w:r>
        <w:rPr>
          <w:rFonts w:hint="eastAsia" w:ascii="宋体" w:hAnsi="宋体" w:cs="宋体"/>
          <w:sz w:val="24"/>
          <w:szCs w:val="24"/>
        </w:rPr>
        <w:t xml:space="preserve"> </w:t>
      </w:r>
      <w:r>
        <w:rPr>
          <w:rFonts w:ascii="宋体" w:hAnsi="宋体" w:cs="宋体"/>
          <w:sz w:val="24"/>
          <w:szCs w:val="24"/>
        </w:rPr>
        <w:t>部门</w:t>
      </w:r>
      <w:r>
        <w:rPr>
          <w:rFonts w:hint="eastAsia" w:ascii="宋体" w:hAnsi="宋体" w:cs="宋体"/>
          <w:sz w:val="24"/>
          <w:szCs w:val="24"/>
        </w:rPr>
        <w:t>：</w:t>
      </w:r>
      <w:r>
        <w:rPr>
          <w:rFonts w:ascii="宋体" w:hAnsi="宋体" w:cs="宋体"/>
          <w:sz w:val="24"/>
          <w:szCs w:val="24"/>
        </w:rPr>
        <w:t>_________职务</w:t>
      </w:r>
      <w:r>
        <w:rPr>
          <w:rFonts w:hint="eastAsia" w:ascii="宋体" w:hAnsi="宋体" w:cs="宋体"/>
          <w:sz w:val="24"/>
          <w:szCs w:val="24"/>
        </w:rPr>
        <w:t>：</w:t>
      </w:r>
      <w:r>
        <w:rPr>
          <w:rFonts w:ascii="宋体" w:hAnsi="宋体" w:cs="宋体"/>
          <w:sz w:val="24"/>
          <w:szCs w:val="24"/>
        </w:rPr>
        <w:t>______________</w:t>
      </w:r>
    </w:p>
    <w:p>
      <w:pPr>
        <w:spacing w:line="460" w:lineRule="exact"/>
        <w:ind w:firstLine="440"/>
        <w:rPr>
          <w:sz w:val="24"/>
          <w:szCs w:val="24"/>
        </w:rPr>
      </w:pPr>
      <w:r>
        <w:rPr>
          <w:rFonts w:ascii="宋体" w:hAnsi="宋体" w:cs="宋体"/>
          <w:sz w:val="24"/>
          <w:szCs w:val="24"/>
        </w:rPr>
        <w:t>联合体成员(盖章)</w:t>
      </w:r>
      <w:r>
        <w:rPr>
          <w:rFonts w:hint="eastAsia" w:ascii="宋体" w:hAnsi="宋体" w:cs="宋体"/>
          <w:sz w:val="24"/>
          <w:szCs w:val="24"/>
        </w:rPr>
        <w:t>：</w:t>
      </w:r>
    </w:p>
    <w:p>
      <w:pPr>
        <w:spacing w:line="460" w:lineRule="exact"/>
        <w:ind w:firstLine="440"/>
        <w:rPr>
          <w:sz w:val="24"/>
          <w:szCs w:val="24"/>
        </w:rPr>
      </w:pPr>
      <w:r>
        <w:rPr>
          <w:rFonts w:ascii="宋体" w:hAnsi="宋体" w:cs="宋体"/>
          <w:sz w:val="24"/>
          <w:szCs w:val="24"/>
        </w:rPr>
        <w:t>法定代表人(签字盖章)</w:t>
      </w:r>
      <w:r>
        <w:rPr>
          <w:rFonts w:hint="eastAsia" w:ascii="宋体" w:hAnsi="宋体" w:cs="宋体"/>
          <w:sz w:val="24"/>
          <w:szCs w:val="24"/>
        </w:rPr>
        <w:t>：</w:t>
      </w:r>
    </w:p>
    <w:p>
      <w:pPr>
        <w:spacing w:line="460" w:lineRule="exact"/>
        <w:ind w:firstLine="440"/>
        <w:rPr>
          <w:rFonts w:ascii="宋体" w:hAnsi="宋体" w:cs="宋体"/>
          <w:sz w:val="24"/>
          <w:szCs w:val="24"/>
        </w:rPr>
        <w:sectPr>
          <w:pgSz w:w="11906" w:h="16838"/>
          <w:pgMar w:top="2098" w:right="1474" w:bottom="1928" w:left="1588" w:header="1134" w:footer="1418" w:gutter="0"/>
          <w:cols w:space="720" w:num="1"/>
          <w:docGrid w:linePitch="435" w:charSpace="0"/>
        </w:sectPr>
      </w:pPr>
      <w:r>
        <w:rPr>
          <w:rFonts w:ascii="宋体" w:hAnsi="宋体" w:cs="宋体"/>
          <w:sz w:val="24"/>
          <w:szCs w:val="24"/>
        </w:rPr>
        <w:t>日期</w:t>
      </w:r>
      <w:r>
        <w:rPr>
          <w:rFonts w:hint="eastAsia" w:ascii="宋体" w:hAnsi="宋体" w:cs="宋体"/>
          <w:sz w:val="24"/>
          <w:szCs w:val="24"/>
        </w:rPr>
        <w:t xml:space="preserve">：  </w:t>
      </w:r>
      <w:r>
        <w:rPr>
          <w:rFonts w:ascii="宋体" w:hAnsi="宋体" w:cs="宋体"/>
          <w:sz w:val="24"/>
          <w:szCs w:val="24"/>
        </w:rPr>
        <w:t>年</w:t>
      </w:r>
      <w:r>
        <w:rPr>
          <w:rFonts w:hint="eastAsia" w:ascii="宋体" w:hAnsi="宋体" w:cs="宋体"/>
          <w:sz w:val="24"/>
          <w:szCs w:val="24"/>
        </w:rPr>
        <w:t xml:space="preserve"> </w:t>
      </w:r>
      <w:r>
        <w:rPr>
          <w:rFonts w:ascii="宋体" w:hAnsi="宋体" w:cs="宋体"/>
          <w:sz w:val="24"/>
          <w:szCs w:val="24"/>
        </w:rPr>
        <w:t>月</w:t>
      </w:r>
      <w:r>
        <w:rPr>
          <w:rFonts w:hint="eastAsia" w:ascii="宋体" w:hAnsi="宋体" w:cs="宋体"/>
          <w:sz w:val="24"/>
          <w:szCs w:val="24"/>
        </w:rPr>
        <w:t xml:space="preserve"> </w:t>
      </w:r>
      <w:r>
        <w:rPr>
          <w:rFonts w:ascii="宋体" w:hAnsi="宋体" w:cs="宋体"/>
          <w:sz w:val="24"/>
          <w:szCs w:val="24"/>
        </w:rPr>
        <w:t>日</w:t>
      </w:r>
    </w:p>
    <w:p>
      <w:pPr>
        <w:rPr>
          <w:b/>
          <w:bCs/>
          <w:sz w:val="24"/>
          <w:szCs w:val="22"/>
        </w:rPr>
      </w:pPr>
      <w:r>
        <w:rPr>
          <w:rFonts w:hint="eastAsia"/>
          <w:b/>
          <w:bCs/>
          <w:sz w:val="24"/>
          <w:szCs w:val="22"/>
        </w:rPr>
        <w:t>其他附件2：《关于建设工程全过程工程咨询违约处罚实施细则的通知》</w:t>
      </w:r>
    </w:p>
    <w:p>
      <w:pPr>
        <w:jc w:val="center"/>
        <w:rPr>
          <w:rFonts w:ascii="宋体" w:hAnsi="宋体" w:cs="宋体"/>
          <w:b/>
          <w:bCs/>
          <w:sz w:val="24"/>
          <w:szCs w:val="24"/>
        </w:rPr>
      </w:pPr>
    </w:p>
    <w:p>
      <w:pPr>
        <w:spacing w:line="580" w:lineRule="exact"/>
        <w:rPr>
          <w:rFonts w:ascii="宋体" w:hAnsi="宋体" w:cs="宋体"/>
          <w:sz w:val="24"/>
          <w:szCs w:val="24"/>
        </w:rPr>
      </w:pPr>
      <w:r>
        <w:rPr>
          <w:rFonts w:hint="eastAsia" w:ascii="宋体" w:hAnsi="宋体" w:cs="宋体"/>
          <w:sz w:val="24"/>
          <w:szCs w:val="24"/>
        </w:rPr>
        <w:t>中标服务单位：</w:t>
      </w:r>
    </w:p>
    <w:p>
      <w:pPr>
        <w:spacing w:line="580" w:lineRule="exact"/>
        <w:ind w:firstLine="600"/>
        <w:rPr>
          <w:rFonts w:ascii="宋体" w:hAnsi="宋体" w:cs="宋体"/>
          <w:sz w:val="24"/>
          <w:szCs w:val="24"/>
        </w:rPr>
      </w:pPr>
      <w:r>
        <w:rPr>
          <w:rFonts w:hint="eastAsia" w:ascii="宋体" w:hAnsi="宋体" w:cs="宋体"/>
          <w:sz w:val="24"/>
          <w:szCs w:val="24"/>
        </w:rPr>
        <w:t>为进一步提高公司工程建设管理咨询服务的水平，规范全过程工程咨询工程过程中服务行为，以求做到程序规范、施工文明、生产安全，根据全过程招标文件与合同文件的有关规定及合同谈判的相关约定，结合本工程全过程工程咨询建设实际，我单位起草了全过程工程咨询服务违约处罚实施细则，现印发给你们。</w:t>
      </w:r>
    </w:p>
    <w:p>
      <w:pPr>
        <w:spacing w:line="480" w:lineRule="exact"/>
        <w:ind w:firstLine="600"/>
        <w:rPr>
          <w:rFonts w:ascii="宋体" w:hAnsi="宋体" w:cs="宋体"/>
          <w:sz w:val="24"/>
          <w:szCs w:val="24"/>
        </w:rPr>
      </w:pPr>
    </w:p>
    <w:p>
      <w:pPr>
        <w:spacing w:line="480" w:lineRule="exact"/>
        <w:ind w:firstLine="600"/>
        <w:rPr>
          <w:rFonts w:ascii="宋体" w:hAnsi="宋体" w:cs="宋体"/>
          <w:sz w:val="24"/>
          <w:szCs w:val="24"/>
        </w:rPr>
      </w:pPr>
      <w:r>
        <w:rPr>
          <w:rFonts w:hint="eastAsia" w:ascii="宋体" w:hAnsi="宋体" w:cs="宋体"/>
          <w:sz w:val="24"/>
          <w:szCs w:val="24"/>
        </w:rPr>
        <w:t>附件：《服务企业月考核表》</w:t>
      </w:r>
    </w:p>
    <w:p>
      <w:pPr>
        <w:ind w:firstLine="600"/>
        <w:rPr>
          <w:rFonts w:ascii="宋体" w:hAnsi="宋体" w:cs="宋体"/>
          <w:sz w:val="24"/>
          <w:szCs w:val="24"/>
        </w:rPr>
      </w:pPr>
    </w:p>
    <w:p>
      <w:pPr>
        <w:ind w:firstLine="600"/>
        <w:rPr>
          <w:rFonts w:ascii="宋体" w:hAnsi="宋体" w:cs="宋体"/>
          <w:sz w:val="24"/>
          <w:szCs w:val="24"/>
        </w:rPr>
      </w:pPr>
      <w:r>
        <w:rPr>
          <w:rFonts w:hint="eastAsia" w:ascii="宋体" w:hAnsi="宋体" w:cs="宋体"/>
          <w:sz w:val="24"/>
          <w:szCs w:val="24"/>
        </w:rPr>
        <w:t xml:space="preserve">                               </w:t>
      </w:r>
    </w:p>
    <w:p>
      <w:pPr>
        <w:ind w:firstLine="600"/>
        <w:rPr>
          <w:rFonts w:ascii="宋体" w:hAnsi="宋体" w:cs="宋体"/>
          <w:sz w:val="24"/>
          <w:szCs w:val="24"/>
        </w:rPr>
      </w:pPr>
    </w:p>
    <w:p>
      <w:pPr>
        <w:ind w:firstLine="4800" w:firstLineChars="2000"/>
        <w:rPr>
          <w:rFonts w:ascii="宋体" w:hAnsi="宋体" w:cs="宋体"/>
          <w:sz w:val="24"/>
          <w:szCs w:val="24"/>
        </w:rPr>
      </w:pPr>
    </w:p>
    <w:p>
      <w:pPr>
        <w:ind w:firstLine="4800" w:firstLineChars="2000"/>
        <w:rPr>
          <w:rFonts w:ascii="宋体" w:hAnsi="宋体" w:cs="宋体"/>
          <w:sz w:val="24"/>
          <w:szCs w:val="24"/>
        </w:rPr>
      </w:pPr>
      <w:r>
        <w:rPr>
          <w:rFonts w:hint="eastAsia" w:ascii="宋体" w:hAnsi="宋体" w:cs="宋体"/>
          <w:sz w:val="24"/>
          <w:szCs w:val="24"/>
        </w:rPr>
        <w:t>二○二</w:t>
      </w:r>
      <w:r>
        <w:rPr>
          <w:rFonts w:hint="eastAsia" w:ascii="宋体" w:hAnsi="宋体" w:cs="宋体"/>
          <w:sz w:val="24"/>
          <w:szCs w:val="24"/>
          <w:lang w:eastAsia="zh-CN"/>
        </w:rPr>
        <w:t>五</w:t>
      </w:r>
      <w:r>
        <w:rPr>
          <w:rFonts w:hint="eastAsia" w:ascii="宋体" w:hAnsi="宋体" w:cs="宋体"/>
          <w:sz w:val="24"/>
          <w:szCs w:val="24"/>
        </w:rPr>
        <w:t>年</w:t>
      </w:r>
      <w:r>
        <w:rPr>
          <w:rFonts w:hint="eastAsia" w:ascii="宋体" w:hAnsi="宋体" w:cs="宋体"/>
          <w:sz w:val="24"/>
          <w:szCs w:val="24"/>
          <w:lang w:eastAsia="zh-CN"/>
        </w:rPr>
        <w:t>六</w:t>
      </w:r>
      <w:r>
        <w:rPr>
          <w:rFonts w:hint="eastAsia" w:ascii="宋体" w:hAnsi="宋体" w:cs="宋体"/>
          <w:sz w:val="24"/>
          <w:szCs w:val="24"/>
        </w:rPr>
        <w:t>月</w:t>
      </w:r>
    </w:p>
    <w:p>
      <w:pPr>
        <w:jc w:val="center"/>
        <w:rPr>
          <w:rFonts w:ascii="宋体" w:hAnsi="宋体" w:cs="宋体"/>
          <w:b/>
          <w:bCs/>
          <w:sz w:val="24"/>
          <w:szCs w:val="24"/>
        </w:rPr>
      </w:pPr>
    </w:p>
    <w:p>
      <w:pPr>
        <w:jc w:val="center"/>
        <w:rPr>
          <w:rFonts w:ascii="宋体" w:hAnsi="宋体" w:cs="宋体"/>
          <w:b/>
          <w:bCs/>
          <w:sz w:val="24"/>
          <w:szCs w:val="24"/>
        </w:rPr>
      </w:pPr>
    </w:p>
    <w:p>
      <w:pPr>
        <w:jc w:val="center"/>
        <w:rPr>
          <w:rFonts w:ascii="宋体" w:hAnsi="宋体" w:cs="宋体"/>
          <w:b/>
          <w:bCs/>
          <w:sz w:val="24"/>
          <w:szCs w:val="24"/>
        </w:rPr>
      </w:pPr>
    </w:p>
    <w:p>
      <w:pPr>
        <w:jc w:val="center"/>
        <w:rPr>
          <w:rFonts w:ascii="宋体" w:hAnsi="宋体" w:cs="宋体"/>
          <w:b/>
          <w:bCs/>
          <w:sz w:val="24"/>
          <w:szCs w:val="24"/>
        </w:rPr>
      </w:pPr>
    </w:p>
    <w:p>
      <w:pPr>
        <w:rPr>
          <w:rFonts w:ascii="宋体" w:hAnsi="宋体" w:cs="宋体"/>
          <w:b/>
          <w:bCs/>
          <w:sz w:val="24"/>
          <w:szCs w:val="24"/>
        </w:rPr>
      </w:pPr>
      <w:r>
        <w:rPr>
          <w:rFonts w:hint="eastAsia" w:ascii="宋体" w:hAnsi="宋体" w:cs="宋体"/>
          <w:b/>
          <w:bCs/>
          <w:sz w:val="24"/>
          <w:szCs w:val="24"/>
        </w:rPr>
        <w:br w:type="page"/>
      </w:r>
    </w:p>
    <w:p>
      <w:pPr>
        <w:jc w:val="center"/>
        <w:rPr>
          <w:rFonts w:ascii="宋体" w:hAnsi="宋体" w:cs="宋体"/>
          <w:b/>
          <w:bCs/>
          <w:sz w:val="24"/>
          <w:szCs w:val="24"/>
        </w:rPr>
      </w:pPr>
    </w:p>
    <w:p>
      <w:pPr>
        <w:spacing w:line="440" w:lineRule="exact"/>
        <w:rPr>
          <w:rFonts w:ascii="宋体" w:hAnsi="宋体" w:cs="宋体"/>
          <w:bCs/>
          <w:sz w:val="24"/>
          <w:szCs w:val="24"/>
        </w:rPr>
      </w:pPr>
    </w:p>
    <w:p>
      <w:pPr>
        <w:spacing w:line="500" w:lineRule="exact"/>
        <w:jc w:val="center"/>
        <w:rPr>
          <w:rFonts w:ascii="宋体" w:hAnsi="宋体" w:cs="宋体"/>
          <w:b/>
          <w:bCs/>
          <w:sz w:val="24"/>
          <w:szCs w:val="24"/>
        </w:rPr>
      </w:pPr>
      <w:r>
        <w:rPr>
          <w:rFonts w:hint="eastAsia" w:ascii="宋体" w:hAnsi="宋体" w:cs="宋体"/>
          <w:b/>
          <w:bCs/>
          <w:sz w:val="24"/>
          <w:szCs w:val="24"/>
        </w:rPr>
        <w:t xml:space="preserve">第一章 </w:t>
      </w:r>
      <w:r>
        <w:rPr>
          <w:rFonts w:ascii="宋体" w:hAnsi="宋体" w:cs="宋体"/>
          <w:b/>
          <w:bCs/>
          <w:sz w:val="24"/>
          <w:szCs w:val="24"/>
        </w:rPr>
        <w:t xml:space="preserve"> </w:t>
      </w:r>
      <w:r>
        <w:rPr>
          <w:rFonts w:hint="eastAsia" w:ascii="宋体" w:hAnsi="宋体" w:cs="宋体"/>
          <w:b/>
          <w:bCs/>
          <w:sz w:val="24"/>
          <w:szCs w:val="24"/>
        </w:rPr>
        <w:t>总  则</w:t>
      </w:r>
    </w:p>
    <w:p>
      <w:pPr>
        <w:ind w:firstLine="480" w:firstLineChars="200"/>
        <w:jc w:val="left"/>
        <w:rPr>
          <w:rFonts w:ascii="宋体" w:hAnsi="宋体" w:cs="宋体"/>
          <w:sz w:val="24"/>
          <w:szCs w:val="24"/>
        </w:rPr>
      </w:pPr>
    </w:p>
    <w:p>
      <w:pPr>
        <w:spacing w:line="360" w:lineRule="exact"/>
        <w:ind w:firstLine="480" w:firstLineChars="200"/>
        <w:jc w:val="left"/>
        <w:rPr>
          <w:rFonts w:ascii="宋体" w:hAnsi="宋体" w:cs="宋体"/>
          <w:sz w:val="24"/>
          <w:szCs w:val="24"/>
        </w:rPr>
      </w:pPr>
      <w:r>
        <w:rPr>
          <w:rFonts w:hint="eastAsia" w:ascii="宋体" w:hAnsi="宋体" w:cs="宋体"/>
          <w:sz w:val="24"/>
          <w:szCs w:val="24"/>
        </w:rPr>
        <w:t>1.1为进一步提高公司全过程工程咨询管理水平，规范工程建设全过程工程咨询服务中行为，以求做到服务流程、程序规范、施工文明、生产安全，根据工程招标文件与合同文件的有关规定及合同谈判的相关约定，结合我单位工程建设实际，特制定本细则。</w:t>
      </w:r>
    </w:p>
    <w:p>
      <w:pPr>
        <w:spacing w:line="360" w:lineRule="exact"/>
        <w:ind w:firstLine="480" w:firstLineChars="200"/>
        <w:jc w:val="left"/>
        <w:rPr>
          <w:rFonts w:ascii="宋体" w:hAnsi="宋体" w:cs="宋体"/>
          <w:sz w:val="24"/>
          <w:szCs w:val="24"/>
        </w:rPr>
      </w:pPr>
      <w:r>
        <w:rPr>
          <w:rFonts w:hint="eastAsia" w:ascii="宋体" w:hAnsi="宋体" w:cs="宋体"/>
          <w:sz w:val="24"/>
          <w:szCs w:val="24"/>
        </w:rPr>
        <w:t xml:space="preserve">1.2中标人根据本细则对工程建设全过程进行严格的监督和管理，并对违反本细则的服务行为扣以违约金。 </w:t>
      </w:r>
    </w:p>
    <w:p>
      <w:pPr>
        <w:spacing w:line="360" w:lineRule="exact"/>
        <w:ind w:firstLine="480" w:firstLineChars="200"/>
        <w:jc w:val="left"/>
        <w:rPr>
          <w:rFonts w:ascii="宋体" w:hAnsi="宋体" w:cs="宋体"/>
          <w:sz w:val="24"/>
          <w:szCs w:val="24"/>
        </w:rPr>
      </w:pPr>
      <w:r>
        <w:rPr>
          <w:rFonts w:hint="eastAsia" w:ascii="宋体" w:hAnsi="宋体" w:cs="宋体"/>
          <w:sz w:val="24"/>
          <w:szCs w:val="24"/>
        </w:rPr>
        <w:t>1.3 根据违约行为性质的轻重程度,一般实行分级处理：</w:t>
      </w:r>
    </w:p>
    <w:p>
      <w:pPr>
        <w:spacing w:line="360" w:lineRule="exact"/>
        <w:ind w:firstLine="480" w:firstLineChars="200"/>
        <w:jc w:val="left"/>
        <w:rPr>
          <w:rFonts w:ascii="宋体" w:hAnsi="宋体" w:cs="宋体"/>
          <w:sz w:val="24"/>
          <w:szCs w:val="24"/>
        </w:rPr>
      </w:pPr>
      <w:r>
        <w:rPr>
          <w:rFonts w:hint="eastAsia" w:ascii="宋体" w:hAnsi="宋体" w:cs="宋体"/>
          <w:sz w:val="24"/>
          <w:szCs w:val="24"/>
        </w:rPr>
        <w:t>一级：口头批评、警告；</w:t>
      </w:r>
    </w:p>
    <w:p>
      <w:pPr>
        <w:spacing w:line="360" w:lineRule="exact"/>
        <w:ind w:firstLine="480" w:firstLineChars="200"/>
        <w:jc w:val="left"/>
        <w:rPr>
          <w:rFonts w:ascii="宋体" w:hAnsi="宋体" w:cs="宋体"/>
          <w:sz w:val="24"/>
          <w:szCs w:val="24"/>
        </w:rPr>
      </w:pPr>
      <w:r>
        <w:rPr>
          <w:rFonts w:hint="eastAsia" w:ascii="宋体" w:hAnsi="宋体" w:cs="宋体"/>
          <w:sz w:val="24"/>
          <w:szCs w:val="24"/>
        </w:rPr>
        <w:t>二级：书面整改通知；</w:t>
      </w:r>
    </w:p>
    <w:p>
      <w:pPr>
        <w:spacing w:line="360" w:lineRule="exact"/>
        <w:ind w:firstLine="480" w:firstLineChars="200"/>
        <w:jc w:val="left"/>
        <w:rPr>
          <w:rFonts w:ascii="宋体" w:hAnsi="宋体" w:cs="宋体"/>
          <w:sz w:val="24"/>
          <w:szCs w:val="24"/>
        </w:rPr>
      </w:pPr>
      <w:r>
        <w:rPr>
          <w:rFonts w:hint="eastAsia" w:ascii="宋体" w:hAnsi="宋体" w:cs="宋体"/>
          <w:sz w:val="24"/>
          <w:szCs w:val="24"/>
        </w:rPr>
        <w:t>三级：在一级、二级处理无效的情况下，按照下列规定违约处罚。</w:t>
      </w:r>
    </w:p>
    <w:p>
      <w:pPr>
        <w:spacing w:line="360" w:lineRule="exact"/>
        <w:ind w:firstLine="480" w:firstLineChars="200"/>
        <w:rPr>
          <w:rFonts w:ascii="宋体" w:hAnsi="宋体" w:cs="宋体"/>
          <w:sz w:val="24"/>
          <w:szCs w:val="24"/>
        </w:rPr>
      </w:pPr>
      <w:r>
        <w:rPr>
          <w:rFonts w:hint="eastAsia" w:ascii="宋体" w:hAnsi="宋体" w:cs="宋体"/>
          <w:sz w:val="24"/>
          <w:szCs w:val="24"/>
        </w:rPr>
        <w:t>1.4</w:t>
      </w:r>
      <w:r>
        <w:rPr>
          <w:rFonts w:hint="eastAsia" w:ascii="宋体" w:hAnsi="宋体" w:cs="宋体"/>
          <w:b/>
          <w:sz w:val="24"/>
          <w:szCs w:val="24"/>
        </w:rPr>
        <w:t xml:space="preserve"> </w:t>
      </w:r>
      <w:r>
        <w:rPr>
          <w:rFonts w:hint="eastAsia" w:ascii="宋体" w:hAnsi="宋体" w:cs="宋体"/>
          <w:sz w:val="24"/>
          <w:szCs w:val="24"/>
        </w:rPr>
        <w:t>服务单位应认真履行合同条款、相关规范规定和本细则，凡是违反合同条款、相关规范规定和本细则的，均应承担违约责任，自觉接受违约处罚，处罚并不免除整改的责任。</w:t>
      </w:r>
    </w:p>
    <w:p>
      <w:pPr>
        <w:spacing w:line="500" w:lineRule="exact"/>
        <w:jc w:val="center"/>
        <w:rPr>
          <w:rFonts w:ascii="宋体" w:hAnsi="宋体" w:cs="宋体"/>
          <w:b/>
          <w:bCs/>
          <w:sz w:val="24"/>
          <w:szCs w:val="24"/>
        </w:rPr>
      </w:pPr>
    </w:p>
    <w:p>
      <w:pPr>
        <w:spacing w:line="500" w:lineRule="exact"/>
        <w:jc w:val="center"/>
        <w:rPr>
          <w:rFonts w:ascii="宋体" w:hAnsi="宋体" w:cs="宋体"/>
          <w:b/>
          <w:bCs/>
          <w:sz w:val="24"/>
          <w:szCs w:val="24"/>
        </w:rPr>
      </w:pPr>
      <w:r>
        <w:rPr>
          <w:rFonts w:hint="eastAsia" w:ascii="宋体" w:hAnsi="宋体" w:cs="宋体"/>
          <w:b/>
          <w:bCs/>
          <w:sz w:val="24"/>
          <w:szCs w:val="24"/>
        </w:rPr>
        <w:t>第二章  勘察设计违约责任</w:t>
      </w:r>
    </w:p>
    <w:p>
      <w:pPr>
        <w:spacing w:line="360" w:lineRule="exact"/>
        <w:ind w:firstLine="560"/>
        <w:rPr>
          <w:rFonts w:ascii="宋体" w:hAnsi="宋体" w:cs="宋体"/>
          <w:sz w:val="24"/>
          <w:szCs w:val="24"/>
        </w:rPr>
      </w:pPr>
      <w:r>
        <w:rPr>
          <w:rFonts w:hint="eastAsia" w:ascii="宋体" w:hAnsi="宋体" w:cs="宋体"/>
          <w:sz w:val="24"/>
          <w:szCs w:val="24"/>
        </w:rPr>
        <w:t>1. 发包人违约责任</w:t>
      </w:r>
    </w:p>
    <w:p>
      <w:pPr>
        <w:spacing w:line="360" w:lineRule="exact"/>
        <w:ind w:firstLine="560"/>
        <w:rPr>
          <w:rFonts w:ascii="宋体" w:hAnsi="宋体" w:cs="宋体"/>
          <w:sz w:val="24"/>
          <w:szCs w:val="24"/>
        </w:rPr>
      </w:pPr>
      <w:r>
        <w:rPr>
          <w:rFonts w:hint="eastAsia" w:ascii="宋体" w:hAnsi="宋体" w:cs="宋体"/>
          <w:sz w:val="24"/>
          <w:szCs w:val="24"/>
        </w:rPr>
        <w:t>因发包人原因导致工程设计进度延误低于</w:t>
      </w:r>
      <w:r>
        <w:rPr>
          <w:rFonts w:hint="eastAsia" w:ascii="宋体" w:hAnsi="宋体" w:cs="宋体"/>
          <w:sz w:val="24"/>
          <w:szCs w:val="24"/>
          <w:u w:val="single"/>
        </w:rPr>
        <w:t xml:space="preserve"> 20 天</w:t>
      </w:r>
      <w:r>
        <w:rPr>
          <w:rFonts w:hint="eastAsia" w:ascii="宋体" w:hAnsi="宋体" w:cs="宋体"/>
          <w:sz w:val="24"/>
          <w:szCs w:val="24"/>
        </w:rPr>
        <w:t>的，设计人可书面递交延期申请，经发包人书面批准后，继续履行本合同；超过</w:t>
      </w:r>
      <w:r>
        <w:rPr>
          <w:rFonts w:hint="eastAsia" w:ascii="宋体" w:hAnsi="宋体" w:cs="宋体"/>
          <w:sz w:val="24"/>
          <w:szCs w:val="24"/>
          <w:u w:val="single"/>
        </w:rPr>
        <w:t xml:space="preserve"> 20 天</w:t>
      </w:r>
      <w:r>
        <w:rPr>
          <w:rFonts w:hint="eastAsia" w:ascii="宋体" w:hAnsi="宋体" w:cs="宋体"/>
          <w:sz w:val="24"/>
          <w:szCs w:val="24"/>
        </w:rPr>
        <w:t>的，设计人可申请解除本合同，并要求发包人对已完成工作量予以结算。</w:t>
      </w:r>
    </w:p>
    <w:p>
      <w:pPr>
        <w:spacing w:line="360" w:lineRule="exact"/>
        <w:ind w:firstLine="560"/>
        <w:rPr>
          <w:rFonts w:ascii="宋体" w:hAnsi="宋体" w:cs="宋体"/>
          <w:sz w:val="24"/>
          <w:szCs w:val="24"/>
        </w:rPr>
      </w:pPr>
      <w:r>
        <w:rPr>
          <w:rFonts w:hint="eastAsia" w:ascii="宋体" w:hAnsi="宋体" w:cs="宋体"/>
          <w:sz w:val="24"/>
          <w:szCs w:val="24"/>
        </w:rPr>
        <w:t>2 设计人违约责任</w:t>
      </w:r>
    </w:p>
    <w:p>
      <w:pPr>
        <w:spacing w:line="360" w:lineRule="exact"/>
        <w:ind w:firstLine="560"/>
        <w:rPr>
          <w:rFonts w:ascii="宋体" w:hAnsi="宋体" w:cs="宋体"/>
          <w:sz w:val="24"/>
          <w:szCs w:val="24"/>
        </w:rPr>
      </w:pPr>
      <w:r>
        <w:rPr>
          <w:rFonts w:hint="eastAsia" w:ascii="宋体" w:hAnsi="宋体" w:cs="宋体"/>
          <w:sz w:val="24"/>
          <w:szCs w:val="24"/>
        </w:rPr>
        <w:t>以下处罚分项累计计算，不设上限，发包人有权从合同价款中直接扣除。因设计人违约造成发包人经济损失的，设计人还需继续承担赔偿责任，发包人可从合同价款中直接扣除。</w:t>
      </w:r>
    </w:p>
    <w:p>
      <w:pPr>
        <w:spacing w:line="360" w:lineRule="exact"/>
        <w:ind w:firstLine="560"/>
        <w:rPr>
          <w:rFonts w:ascii="宋体" w:hAnsi="宋体" w:cs="宋体"/>
          <w:sz w:val="24"/>
          <w:szCs w:val="24"/>
        </w:rPr>
      </w:pPr>
      <w:r>
        <w:rPr>
          <w:rFonts w:hint="eastAsia" w:ascii="宋体" w:hAnsi="宋体" w:cs="宋体"/>
          <w:sz w:val="24"/>
          <w:szCs w:val="24"/>
        </w:rPr>
        <w:t>2.1 进度延误违约责任</w:t>
      </w:r>
    </w:p>
    <w:p>
      <w:pPr>
        <w:spacing w:line="360" w:lineRule="exact"/>
        <w:ind w:firstLine="560"/>
        <w:rPr>
          <w:rFonts w:ascii="宋体" w:hAnsi="宋体" w:cs="宋体"/>
          <w:sz w:val="24"/>
          <w:szCs w:val="24"/>
        </w:rPr>
      </w:pPr>
      <w:r>
        <w:rPr>
          <w:rFonts w:hint="eastAsia" w:ascii="宋体" w:hAnsi="宋体" w:cs="宋体"/>
          <w:sz w:val="24"/>
          <w:szCs w:val="24"/>
        </w:rPr>
        <w:t>进度延误以最后一份图纸交付时间延误为进度延误衡量标准。</w:t>
      </w:r>
    </w:p>
    <w:p>
      <w:pPr>
        <w:spacing w:line="360" w:lineRule="exact"/>
        <w:ind w:firstLine="560"/>
        <w:rPr>
          <w:rFonts w:ascii="宋体" w:hAnsi="宋体" w:cs="宋体"/>
          <w:sz w:val="24"/>
          <w:szCs w:val="24"/>
        </w:rPr>
      </w:pPr>
      <w:r>
        <w:rPr>
          <w:rFonts w:hint="eastAsia" w:ascii="宋体" w:hAnsi="宋体" w:cs="宋体"/>
          <w:sz w:val="24"/>
          <w:szCs w:val="24"/>
        </w:rPr>
        <w:t>①在设计人正式提交设计资料及文件后，发包人可对资料及文件进行审查，若出现设计内容与项目现状和特点不相符、所实现功能不足以满足发包人要求的情况，设计人应无条件修改设计资料及文件，所造成的进度延误由设计人自行承担。</w:t>
      </w:r>
    </w:p>
    <w:p>
      <w:pPr>
        <w:spacing w:line="360" w:lineRule="exact"/>
        <w:ind w:firstLine="560"/>
        <w:rPr>
          <w:rFonts w:ascii="宋体" w:hAnsi="宋体" w:cs="宋体"/>
          <w:sz w:val="24"/>
          <w:szCs w:val="24"/>
        </w:rPr>
      </w:pPr>
      <w:r>
        <w:rPr>
          <w:rFonts w:hint="eastAsia" w:ascii="宋体" w:hAnsi="宋体" w:cs="宋体"/>
          <w:sz w:val="24"/>
          <w:szCs w:val="24"/>
        </w:rPr>
        <w:t>②除经发包人书面批准的延期申请，其他进度延误问题均由设计人自行承担，发包人可视情对设计人处以罚款，计算方式为每延期一天，扣除</w:t>
      </w:r>
      <w:r>
        <w:rPr>
          <w:rFonts w:hint="eastAsia" w:ascii="宋体" w:hAnsi="宋体" w:cs="宋体"/>
          <w:sz w:val="24"/>
          <w:szCs w:val="24"/>
          <w:u w:val="single"/>
        </w:rPr>
        <w:t xml:space="preserve">合同价的 2 % </w:t>
      </w:r>
      <w:r>
        <w:rPr>
          <w:rFonts w:hint="eastAsia" w:ascii="宋体" w:hAnsi="宋体" w:cs="宋体"/>
          <w:sz w:val="24"/>
          <w:szCs w:val="24"/>
        </w:rPr>
        <w:t>。</w:t>
      </w:r>
    </w:p>
    <w:p>
      <w:pPr>
        <w:spacing w:line="360" w:lineRule="exact"/>
        <w:ind w:firstLine="560"/>
        <w:rPr>
          <w:rFonts w:ascii="宋体" w:hAnsi="宋体" w:cs="宋体"/>
          <w:sz w:val="24"/>
          <w:szCs w:val="24"/>
        </w:rPr>
      </w:pPr>
      <w:r>
        <w:rPr>
          <w:rFonts w:hint="eastAsia" w:ascii="宋体" w:hAnsi="宋体" w:cs="宋体"/>
          <w:sz w:val="24"/>
          <w:szCs w:val="24"/>
        </w:rPr>
        <w:t>2.2 技术质量违约责任</w:t>
      </w:r>
    </w:p>
    <w:p>
      <w:pPr>
        <w:spacing w:line="360" w:lineRule="exact"/>
        <w:ind w:firstLine="560"/>
        <w:rPr>
          <w:rFonts w:ascii="宋体" w:hAnsi="宋体" w:cs="宋体"/>
          <w:sz w:val="24"/>
          <w:szCs w:val="24"/>
        </w:rPr>
      </w:pPr>
      <w:r>
        <w:rPr>
          <w:rFonts w:hint="eastAsia" w:ascii="宋体" w:hAnsi="宋体" w:cs="宋体"/>
          <w:sz w:val="24"/>
          <w:szCs w:val="24"/>
        </w:rPr>
        <w:t>①经审查，设计人提交的设计资料及文件存在严重问题，如抄袭他人图纸、违反国家规定技术规范、标准、规程等，按每个</w:t>
      </w:r>
      <w:r>
        <w:rPr>
          <w:rFonts w:hint="eastAsia" w:ascii="宋体" w:hAnsi="宋体" w:cs="宋体"/>
          <w:sz w:val="24"/>
          <w:szCs w:val="24"/>
          <w:u w:val="single"/>
        </w:rPr>
        <w:t>合同价20%～50%</w:t>
      </w:r>
      <w:r>
        <w:rPr>
          <w:rFonts w:hint="eastAsia" w:ascii="宋体" w:hAnsi="宋体" w:cs="宋体"/>
          <w:sz w:val="24"/>
          <w:szCs w:val="24"/>
        </w:rPr>
        <w:t>计算。</w:t>
      </w:r>
    </w:p>
    <w:p>
      <w:pPr>
        <w:spacing w:line="360" w:lineRule="exact"/>
        <w:ind w:firstLine="560"/>
        <w:rPr>
          <w:rFonts w:ascii="宋体" w:hAnsi="宋体" w:cs="宋体"/>
          <w:sz w:val="24"/>
          <w:szCs w:val="24"/>
        </w:rPr>
      </w:pPr>
      <w:r>
        <w:rPr>
          <w:rFonts w:hint="eastAsia" w:ascii="宋体" w:hAnsi="宋体" w:cs="宋体"/>
          <w:sz w:val="24"/>
          <w:szCs w:val="24"/>
        </w:rPr>
        <w:t>②因设计人提交的设计资料及文件导致后期变更签证，发包人可对设计人处以罚款，按每个</w:t>
      </w:r>
      <w:r>
        <w:rPr>
          <w:rFonts w:hint="eastAsia" w:ascii="宋体" w:hAnsi="宋体" w:cs="宋体"/>
          <w:sz w:val="24"/>
          <w:szCs w:val="24"/>
          <w:u w:val="single"/>
        </w:rPr>
        <w:t>合同价 20%～50%</w:t>
      </w:r>
      <w:r>
        <w:rPr>
          <w:rFonts w:hint="eastAsia" w:ascii="宋体" w:hAnsi="宋体" w:cs="宋体"/>
          <w:sz w:val="24"/>
          <w:szCs w:val="24"/>
        </w:rPr>
        <w:t>计算。</w:t>
      </w:r>
    </w:p>
    <w:p>
      <w:pPr>
        <w:spacing w:line="360" w:lineRule="exact"/>
        <w:ind w:firstLine="560"/>
        <w:rPr>
          <w:rFonts w:ascii="宋体" w:hAnsi="宋体" w:cs="宋体"/>
          <w:sz w:val="24"/>
          <w:szCs w:val="24"/>
        </w:rPr>
      </w:pPr>
      <w:r>
        <w:rPr>
          <w:rFonts w:hint="eastAsia" w:ascii="宋体" w:hAnsi="宋体" w:cs="宋体"/>
          <w:sz w:val="24"/>
          <w:szCs w:val="24"/>
        </w:rPr>
        <w:t>③因设计人提供工程设计文件出现遗漏、错误或不满足发包人需求，导致后期需变更签证，引起施工费用增加超过施工合同总价5%的部分，由设计人承担。</w:t>
      </w:r>
    </w:p>
    <w:p>
      <w:pPr>
        <w:spacing w:line="360" w:lineRule="exact"/>
        <w:ind w:firstLine="560"/>
        <w:rPr>
          <w:rFonts w:ascii="宋体" w:hAnsi="宋体" w:cs="宋体"/>
          <w:sz w:val="24"/>
          <w:szCs w:val="24"/>
        </w:rPr>
      </w:pPr>
      <w:r>
        <w:rPr>
          <w:rFonts w:hint="eastAsia" w:ascii="宋体" w:hAnsi="宋体" w:cs="宋体"/>
          <w:sz w:val="24"/>
          <w:szCs w:val="24"/>
        </w:rPr>
        <w:t>④因设计人原因造成工程质量事故，所引发的损失由设计人承担，发包人有权扣除直接受损失部分的设计费。</w:t>
      </w:r>
    </w:p>
    <w:p>
      <w:pPr>
        <w:spacing w:line="360" w:lineRule="exact"/>
        <w:ind w:firstLine="560"/>
        <w:rPr>
          <w:rFonts w:ascii="宋体" w:hAnsi="宋体" w:cs="宋体"/>
          <w:sz w:val="24"/>
          <w:szCs w:val="24"/>
        </w:rPr>
      </w:pPr>
      <w:r>
        <w:rPr>
          <w:rFonts w:hint="eastAsia" w:ascii="宋体" w:hAnsi="宋体" w:cs="宋体"/>
          <w:sz w:val="24"/>
          <w:szCs w:val="24"/>
        </w:rPr>
        <w:t>2.3 服务承诺违约责任</w:t>
      </w:r>
    </w:p>
    <w:p>
      <w:pPr>
        <w:spacing w:line="360" w:lineRule="exact"/>
        <w:ind w:firstLine="560"/>
        <w:rPr>
          <w:rFonts w:ascii="宋体" w:hAnsi="宋体" w:cs="宋体"/>
          <w:sz w:val="24"/>
          <w:szCs w:val="24"/>
        </w:rPr>
      </w:pPr>
      <w:r>
        <w:rPr>
          <w:rFonts w:hint="eastAsia" w:ascii="宋体" w:hAnsi="宋体" w:cs="宋体"/>
          <w:sz w:val="24"/>
          <w:szCs w:val="24"/>
        </w:rPr>
        <w:t>①设计人未经发包人书面批准，擅自更换项目负责人的，按每次</w:t>
      </w:r>
      <w:r>
        <w:rPr>
          <w:rFonts w:hint="eastAsia" w:ascii="宋体" w:hAnsi="宋体" w:cs="宋体"/>
          <w:sz w:val="24"/>
          <w:szCs w:val="24"/>
          <w:u w:val="single"/>
        </w:rPr>
        <w:t>合同价10%</w:t>
      </w:r>
      <w:r>
        <w:rPr>
          <w:rFonts w:hint="eastAsia" w:ascii="宋体" w:hAnsi="宋体" w:cs="宋体"/>
          <w:sz w:val="24"/>
          <w:szCs w:val="24"/>
        </w:rPr>
        <w:t>处以罚款。</w:t>
      </w:r>
    </w:p>
    <w:p>
      <w:pPr>
        <w:spacing w:line="360" w:lineRule="exact"/>
        <w:ind w:firstLine="560"/>
        <w:rPr>
          <w:rFonts w:ascii="宋体" w:hAnsi="宋体" w:cs="宋体"/>
          <w:sz w:val="24"/>
          <w:szCs w:val="24"/>
        </w:rPr>
      </w:pPr>
      <w:r>
        <w:rPr>
          <w:rFonts w:hint="eastAsia" w:ascii="宋体" w:hAnsi="宋体" w:cs="宋体"/>
          <w:sz w:val="24"/>
          <w:szCs w:val="24"/>
        </w:rPr>
        <w:t>②设计人违反设计人义务，出现拒绝到场办公、提供技术咨询、配合进行设计变更、工程验收等情况的，发包人可对设计人处以</w:t>
      </w:r>
      <w:r>
        <w:rPr>
          <w:rFonts w:hint="eastAsia" w:ascii="宋体" w:hAnsi="宋体" w:cs="宋体"/>
          <w:sz w:val="24"/>
          <w:szCs w:val="24"/>
          <w:u w:val="single"/>
        </w:rPr>
        <w:t xml:space="preserve">合同价10% - 70% </w:t>
      </w:r>
      <w:r>
        <w:rPr>
          <w:rFonts w:hint="eastAsia" w:ascii="宋体" w:hAnsi="宋体" w:cs="宋体"/>
          <w:sz w:val="24"/>
          <w:szCs w:val="24"/>
        </w:rPr>
        <w:t>的罚款，情节严重的，发包人可拒付设计费，并追究其法律责任。</w:t>
      </w:r>
    </w:p>
    <w:p>
      <w:pPr>
        <w:spacing w:line="360" w:lineRule="exact"/>
        <w:ind w:firstLine="480" w:firstLineChars="200"/>
        <w:jc w:val="left"/>
        <w:rPr>
          <w:rFonts w:ascii="宋体" w:hAnsi="宋体" w:cs="宋体"/>
          <w:sz w:val="24"/>
          <w:szCs w:val="24"/>
        </w:rPr>
      </w:pPr>
      <w:r>
        <w:rPr>
          <w:rFonts w:hint="eastAsia" w:ascii="宋体" w:hAnsi="宋体" w:cs="宋体"/>
          <w:sz w:val="24"/>
          <w:szCs w:val="24"/>
        </w:rPr>
        <w:t>③因设计人保管不善，致使发包人提供的文件资料泄露或丢失，或设计人未经发包人书面同意，擅自向第三人泄露、转让发包人具有知识产权的文件和资料的，发包人可对设计人处以</w:t>
      </w:r>
      <w:r>
        <w:rPr>
          <w:rFonts w:hint="eastAsia" w:ascii="宋体" w:hAnsi="宋体" w:cs="宋体"/>
          <w:sz w:val="24"/>
          <w:szCs w:val="24"/>
          <w:u w:val="single"/>
        </w:rPr>
        <w:t>合同价 10 % - 70 %</w:t>
      </w:r>
      <w:r>
        <w:rPr>
          <w:rFonts w:hint="eastAsia" w:ascii="宋体" w:hAnsi="宋体" w:cs="宋体"/>
          <w:sz w:val="24"/>
          <w:szCs w:val="24"/>
        </w:rPr>
        <w:t>的罚款，情节严重的，发包人可拒付设计费，并追究其法律责任。</w:t>
      </w:r>
    </w:p>
    <w:p>
      <w:pPr>
        <w:ind w:firstLine="480" w:firstLineChars="200"/>
        <w:jc w:val="left"/>
        <w:rPr>
          <w:rFonts w:ascii="宋体" w:hAnsi="宋体" w:cs="宋体"/>
          <w:sz w:val="24"/>
          <w:szCs w:val="24"/>
        </w:rPr>
      </w:pPr>
    </w:p>
    <w:p>
      <w:pPr>
        <w:spacing w:line="500" w:lineRule="exact"/>
        <w:jc w:val="center"/>
        <w:rPr>
          <w:rFonts w:ascii="宋体" w:hAnsi="宋体" w:cs="宋体"/>
          <w:b/>
          <w:bCs/>
          <w:sz w:val="24"/>
          <w:szCs w:val="24"/>
        </w:rPr>
      </w:pPr>
      <w:r>
        <w:rPr>
          <w:rFonts w:hint="eastAsia" w:ascii="宋体" w:hAnsi="宋体" w:cs="宋体"/>
          <w:b/>
          <w:bCs/>
          <w:sz w:val="24"/>
          <w:szCs w:val="24"/>
        </w:rPr>
        <w:t>第三章  监理违约责任</w:t>
      </w:r>
    </w:p>
    <w:p>
      <w:pPr>
        <w:spacing w:line="360" w:lineRule="exact"/>
        <w:ind w:firstLine="560"/>
        <w:rPr>
          <w:rFonts w:ascii="宋体" w:hAnsi="宋体" w:cs="宋体"/>
          <w:sz w:val="24"/>
          <w:szCs w:val="24"/>
        </w:rPr>
      </w:pPr>
      <w:r>
        <w:rPr>
          <w:rFonts w:hint="eastAsia" w:ascii="宋体" w:hAnsi="宋体" w:cs="宋体"/>
          <w:sz w:val="24"/>
          <w:szCs w:val="24"/>
        </w:rPr>
        <w:t>1. 发包人违约责任</w:t>
      </w:r>
    </w:p>
    <w:p>
      <w:pPr>
        <w:spacing w:line="360" w:lineRule="exact"/>
        <w:ind w:left="210" w:leftChars="100" w:firstLine="398" w:firstLineChars="166"/>
        <w:rPr>
          <w:rFonts w:ascii="宋体" w:hAnsi="宋体" w:cs="宋体"/>
          <w:sz w:val="24"/>
          <w:szCs w:val="24"/>
        </w:rPr>
      </w:pPr>
      <w:r>
        <w:rPr>
          <w:rFonts w:hint="eastAsia" w:ascii="宋体" w:hAnsi="宋体" w:cs="宋体"/>
          <w:sz w:val="24"/>
          <w:szCs w:val="24"/>
        </w:rPr>
        <w:t>因发包人原因导致工程监理进度延误低于</w:t>
      </w:r>
      <w:r>
        <w:rPr>
          <w:rFonts w:hint="eastAsia" w:ascii="宋体" w:hAnsi="宋体" w:cs="宋体"/>
          <w:sz w:val="24"/>
          <w:szCs w:val="24"/>
          <w:u w:val="single"/>
        </w:rPr>
        <w:t xml:space="preserve"> 20 天</w:t>
      </w:r>
      <w:r>
        <w:rPr>
          <w:rFonts w:hint="eastAsia" w:ascii="宋体" w:hAnsi="宋体" w:cs="宋体"/>
          <w:sz w:val="24"/>
          <w:szCs w:val="24"/>
        </w:rPr>
        <w:t>的，监理人可书面递交延期申请，经发包人书面批准后，继续履行本合同；超过</w:t>
      </w:r>
      <w:r>
        <w:rPr>
          <w:rFonts w:hint="eastAsia" w:ascii="宋体" w:hAnsi="宋体" w:cs="宋体"/>
          <w:sz w:val="24"/>
          <w:szCs w:val="24"/>
          <w:u w:val="single"/>
        </w:rPr>
        <w:t xml:space="preserve"> 20 天</w:t>
      </w:r>
      <w:r>
        <w:rPr>
          <w:rFonts w:hint="eastAsia" w:ascii="宋体" w:hAnsi="宋体" w:cs="宋体"/>
          <w:sz w:val="24"/>
          <w:szCs w:val="24"/>
        </w:rPr>
        <w:t>的，监理人可申请解除本合同，并要求发包人对已完成工作量予以结算。</w:t>
      </w:r>
    </w:p>
    <w:p>
      <w:pPr>
        <w:spacing w:line="360" w:lineRule="exact"/>
        <w:ind w:firstLine="480" w:firstLineChars="200"/>
        <w:rPr>
          <w:rFonts w:ascii="宋体" w:hAnsi="宋体" w:cs="宋体"/>
          <w:sz w:val="24"/>
          <w:szCs w:val="24"/>
        </w:rPr>
      </w:pPr>
      <w:r>
        <w:rPr>
          <w:rFonts w:hint="eastAsia" w:ascii="宋体" w:hAnsi="宋体" w:cs="宋体"/>
          <w:sz w:val="24"/>
          <w:szCs w:val="24"/>
        </w:rPr>
        <w:t>2.监理人的违约责任</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2.1因监理人原因造成委托人的经济损失，由监理人进行赔偿，赔偿金额按下列方法确定：</w:t>
      </w:r>
    </w:p>
    <w:p>
      <w:pPr>
        <w:adjustRightInd w:val="0"/>
        <w:snapToGrid w:val="0"/>
        <w:spacing w:line="360" w:lineRule="exact"/>
        <w:ind w:firstLine="480"/>
        <w:rPr>
          <w:rFonts w:ascii="宋体" w:hAnsi="宋体" w:cs="宋体"/>
          <w:kern w:val="0"/>
          <w:sz w:val="24"/>
          <w:szCs w:val="24"/>
        </w:rPr>
      </w:pPr>
      <w:r>
        <w:rPr>
          <w:rFonts w:hint="eastAsia" w:ascii="宋体" w:hAnsi="宋体" w:cs="宋体"/>
          <w:sz w:val="24"/>
          <w:szCs w:val="24"/>
        </w:rPr>
        <w:t>赔偿金＝直接经济损失×</w:t>
      </w:r>
      <w:r>
        <w:rPr>
          <w:rFonts w:hint="eastAsia" w:ascii="宋体" w:hAnsi="宋体" w:cs="宋体"/>
          <w:kern w:val="0"/>
          <w:sz w:val="24"/>
          <w:szCs w:val="24"/>
        </w:rPr>
        <w:t>除合同价</w:t>
      </w:r>
      <w:r>
        <w:rPr>
          <w:rFonts w:hint="eastAsia" w:ascii="宋体" w:hAnsi="宋体" w:cs="宋体"/>
          <w:sz w:val="24"/>
          <w:szCs w:val="24"/>
        </w:rPr>
        <w:t>÷工程概算</w:t>
      </w:r>
      <w:r>
        <w:rPr>
          <w:rFonts w:hint="eastAsia" w:ascii="宋体" w:hAnsi="宋体" w:cs="宋体"/>
          <w:kern w:val="0"/>
          <w:sz w:val="24"/>
          <w:szCs w:val="24"/>
        </w:rPr>
        <w:t>投资额（或建筑安装工程费）</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2.2出现以下情况，委托人可对监理人进行相应罚款：</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（1）施工期间，监理人员不得无故缺勤，每缺勤一天扣除合同价的</w:t>
      </w:r>
      <w:r>
        <w:rPr>
          <w:rFonts w:hint="eastAsia" w:ascii="宋体" w:hAnsi="宋体" w:cs="宋体"/>
          <w:kern w:val="0"/>
          <w:sz w:val="24"/>
          <w:szCs w:val="24"/>
          <w:u w:val="single"/>
        </w:rPr>
        <w:t>2%</w:t>
      </w:r>
      <w:r>
        <w:rPr>
          <w:rFonts w:hint="eastAsia" w:ascii="宋体" w:hAnsi="宋体" w:cs="宋体"/>
          <w:kern w:val="0"/>
          <w:sz w:val="24"/>
          <w:szCs w:val="24"/>
        </w:rPr>
        <w:t>。</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（2）未按照合同规定配备齐全监理部监理人员，处以5000元罚款，限期改正，并扣除相应监理费用。</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（3）监理单位未经批准更换总监，处以合同价10%罚款，并扣除相应监理费用。</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（4）监理单位未经批准更换监理工程师，处以合同价10%罚款，并扣除相应监理费用。</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（5）监理仪器设备配备不全，处以2000元罚款，并限期改正。</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（6）监理制度不健全，相关制度图表未上墙，处以2000元罚款，并限期改正。</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（7）未编写《监理规划》、《监理实施细则》，或不符合现场实际情况，胡编乱造的，处以5000元罚款，并限期改正。</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（8）施工组织设计、施工方案审批不及时，处以1000元/次罚款，导致开工延误的，处罚加倍，并追究当事人责任。</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（9）合同执行期间，监理人员无正当理由拒绝接受甲方管理，处以合同价10% - 70%/次罚款，情节严重的，撤换当事人。</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（10）未及时提交日报或月报，处以500元/次罚款，连续3次的，处罚加倍，撤换当事人。</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（11）未按监理规范要求实施旁站，或跟班检查，处以500元/次罚款。</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（12）进度滞后，未及时预警，造成项目工程计划节点工期延误的，处以1000元/次罚款。</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（13）未记录监理日志，或记录不完整的，处罚500元/次。</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（14）监理人员接到检验申请后，应及时进行现场检验，无正当理由延误检验，处以500 元／次的罚款，累计三次延误或情节严重的监理单位撤换当事人，并对监理单位处以5000元罚款。</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（15）监理应对施工单位所用的材料进行检查，防止施工单位偷工减料，确保工程质量，若不认真进行检查，材料有明显质量问题，每发现一次则处罚监理单位1000 元。累计三次或情节严重的监理单位撤换当事人，并对监理单位处以5000元罚款。</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（16）抽样频率(包括平行试验的频率)达不到要求或弄虚作假，经检查核实，处罚监理单位500 元／次，同时要求补做有关试验。</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（17）施工单位上报的签证工程数量与实际不符，监理工程师未作复核或更正，发现一次，处罚监理单位5000 元。属弄虚作假、多计重报者，撤换监理工程师外并处以监理单位5000 元／次的罚款，情节严重的，承担相应法律责任。</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（18）向施工单位安插施工队伍、工作期间徇私舞弊、索要接受施工单位贿赂，处以2000元/次罚款，并退还贿赂款项，情节严重的，辞退相关人员。</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（19）泄露业主秘密，根据情节轻重，处以合同价 10 % - 70 %罚款，情节严重的，辞退相关人员。</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（20）敲诈勒索、吃拿卡要，为得到好处对施工单位进行刁难的，处以5000元/次罚款，情节严重的，辞退相关人员。</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（21）以“服务”为名，收取劳务费、服务费，处以2000元/次罚款，并退还有关费用，情节严重的，辞退相关人员。</w:t>
      </w:r>
    </w:p>
    <w:p>
      <w:pPr>
        <w:adjustRightInd w:val="0"/>
        <w:snapToGrid w:val="0"/>
        <w:spacing w:line="360" w:lineRule="exact"/>
        <w:ind w:firstLine="480"/>
        <w:rPr>
          <w:rFonts w:ascii="宋体" w:hAnsi="宋体" w:cs="宋体"/>
          <w:kern w:val="0"/>
          <w:sz w:val="24"/>
          <w:szCs w:val="24"/>
        </w:rPr>
      </w:pPr>
      <w:r>
        <w:rPr>
          <w:rFonts w:hint="eastAsia" w:ascii="宋体" w:hAnsi="宋体" w:cs="宋体"/>
          <w:kern w:val="0"/>
          <w:sz w:val="24"/>
          <w:szCs w:val="24"/>
        </w:rPr>
        <w:t>（22）.监理未认真履行工作职责，没有及时发现质量隐患，工程出现质量事故，按下列情况处罚：①质量较差，造成直接经济损失(包括修复费用)在20 万元以下的，处以1000—10000 元的罚款；②一般质量事故，直接经济损失(包括修复费用)在20万元至100万元间的事故，造成较大影响，视其性质和失职的程度，处以1000—50000 元罚款，并通报批评；③重大质量事故，直接经济损失(包括修复费用)在100 万元以上的事故，处以50000 元以上罚款并中止合同；④对照甲方的合同工期每滞后一天，按500元/天处罚(因建设单位工程变更或不可抗拒因素除外)，延误时间不予计算监理费用；⑤政府工程监督部门对本工程质量、安全进行通报批评，视性质和通报等级，每次处以500—5000 元罚款。</w:t>
      </w:r>
    </w:p>
    <w:p>
      <w:pPr>
        <w:adjustRightInd w:val="0"/>
        <w:snapToGrid w:val="0"/>
        <w:spacing w:line="360" w:lineRule="exact"/>
        <w:ind w:firstLine="480"/>
        <w:rPr>
          <w:rFonts w:ascii="宋体" w:hAnsi="宋体" w:cs="宋体"/>
          <w:kern w:val="0"/>
          <w:sz w:val="24"/>
          <w:szCs w:val="24"/>
        </w:rPr>
      </w:pPr>
    </w:p>
    <w:p>
      <w:pPr>
        <w:numPr>
          <w:ilvl w:val="0"/>
          <w:numId w:val="9"/>
        </w:numPr>
        <w:ind w:firstLine="482" w:firstLineChars="200"/>
        <w:jc w:val="center"/>
        <w:rPr>
          <w:rFonts w:ascii="宋体" w:hAnsi="宋体" w:cs="宋体"/>
          <w:b/>
          <w:bCs/>
          <w:sz w:val="24"/>
          <w:szCs w:val="24"/>
        </w:rPr>
      </w:pPr>
      <w:r>
        <w:rPr>
          <w:rFonts w:hint="eastAsia" w:ascii="宋体" w:hAnsi="宋体" w:cs="宋体"/>
          <w:b/>
          <w:bCs/>
          <w:sz w:val="24"/>
          <w:szCs w:val="24"/>
        </w:rPr>
        <w:t xml:space="preserve"> 造价咨询违责任</w:t>
      </w:r>
    </w:p>
    <w:p>
      <w:pPr>
        <w:spacing w:line="360" w:lineRule="exact"/>
        <w:ind w:firstLine="560"/>
        <w:rPr>
          <w:rFonts w:ascii="宋体" w:hAnsi="宋体" w:cs="宋体"/>
          <w:sz w:val="24"/>
          <w:szCs w:val="24"/>
        </w:rPr>
      </w:pPr>
      <w:r>
        <w:rPr>
          <w:rFonts w:hint="eastAsia" w:ascii="宋体" w:hAnsi="宋体" w:cs="宋体"/>
          <w:sz w:val="24"/>
          <w:szCs w:val="24"/>
        </w:rPr>
        <w:t>1. 发包人违约责任</w:t>
      </w:r>
    </w:p>
    <w:p>
      <w:pPr>
        <w:spacing w:line="360" w:lineRule="exact"/>
        <w:ind w:firstLine="560"/>
        <w:rPr>
          <w:rFonts w:ascii="宋体" w:hAnsi="宋体" w:cs="宋体"/>
          <w:sz w:val="24"/>
          <w:szCs w:val="24"/>
        </w:rPr>
      </w:pPr>
      <w:r>
        <w:rPr>
          <w:rFonts w:hint="eastAsia" w:ascii="宋体" w:hAnsi="宋体" w:cs="宋体"/>
          <w:sz w:val="24"/>
          <w:szCs w:val="24"/>
        </w:rPr>
        <w:t>因发包人原因导致工程造价成果文件编制进度延误低于</w:t>
      </w:r>
      <w:r>
        <w:rPr>
          <w:rFonts w:hint="eastAsia" w:ascii="宋体" w:hAnsi="宋体" w:cs="宋体"/>
          <w:sz w:val="24"/>
          <w:szCs w:val="24"/>
          <w:u w:val="single"/>
        </w:rPr>
        <w:t xml:space="preserve"> 20 天</w:t>
      </w:r>
      <w:r>
        <w:rPr>
          <w:rFonts w:hint="eastAsia" w:ascii="宋体" w:hAnsi="宋体" w:cs="宋体"/>
          <w:sz w:val="24"/>
          <w:szCs w:val="24"/>
        </w:rPr>
        <w:t>的，咨询人可书面递交延期申请，经发包人书面批准后，继续履行本合同；超过</w:t>
      </w:r>
      <w:r>
        <w:rPr>
          <w:rFonts w:hint="eastAsia" w:ascii="宋体" w:hAnsi="宋体" w:cs="宋体"/>
          <w:sz w:val="24"/>
          <w:szCs w:val="24"/>
          <w:u w:val="single"/>
        </w:rPr>
        <w:t xml:space="preserve"> 20 天</w:t>
      </w:r>
      <w:r>
        <w:rPr>
          <w:rFonts w:hint="eastAsia" w:ascii="宋体" w:hAnsi="宋体" w:cs="宋体"/>
          <w:sz w:val="24"/>
          <w:szCs w:val="24"/>
        </w:rPr>
        <w:t>的，咨询人可申请解除本合同，并要求发包人对已完成工作量予以结算。</w:t>
      </w:r>
    </w:p>
    <w:p>
      <w:pPr>
        <w:spacing w:line="360" w:lineRule="exact"/>
        <w:ind w:firstLine="560"/>
        <w:rPr>
          <w:rFonts w:ascii="宋体" w:hAnsi="宋体" w:cs="宋体"/>
          <w:sz w:val="24"/>
          <w:szCs w:val="24"/>
        </w:rPr>
      </w:pPr>
      <w:r>
        <w:rPr>
          <w:rFonts w:hint="eastAsia" w:ascii="宋体" w:hAnsi="宋体" w:cs="宋体"/>
          <w:sz w:val="24"/>
          <w:szCs w:val="24"/>
        </w:rPr>
        <w:t>2 .咨询人违约责任</w:t>
      </w:r>
    </w:p>
    <w:p>
      <w:pPr>
        <w:spacing w:line="360" w:lineRule="exact"/>
        <w:ind w:firstLine="560"/>
        <w:rPr>
          <w:rFonts w:ascii="宋体" w:hAnsi="宋体" w:cs="宋体"/>
          <w:sz w:val="24"/>
          <w:szCs w:val="24"/>
        </w:rPr>
      </w:pPr>
      <w:r>
        <w:rPr>
          <w:rFonts w:hint="eastAsia" w:ascii="宋体" w:hAnsi="宋体" w:cs="宋体"/>
          <w:sz w:val="24"/>
          <w:szCs w:val="24"/>
        </w:rPr>
        <w:t>以下处罚分项累计计算，不设上限，发包人有权从合同价款中直接扣除。因咨询人违约造成发包人经济损失的，咨询人还需继续承担赔偿责任，发包人可从合同价款中直接扣除。</w:t>
      </w:r>
    </w:p>
    <w:p>
      <w:pPr>
        <w:spacing w:line="360" w:lineRule="exact"/>
        <w:ind w:firstLine="560"/>
        <w:rPr>
          <w:rFonts w:ascii="宋体" w:hAnsi="宋体" w:cs="宋体"/>
          <w:sz w:val="24"/>
          <w:szCs w:val="24"/>
        </w:rPr>
      </w:pPr>
      <w:r>
        <w:rPr>
          <w:rFonts w:hint="eastAsia" w:ascii="宋体" w:hAnsi="宋体" w:cs="宋体"/>
          <w:sz w:val="24"/>
          <w:szCs w:val="24"/>
        </w:rPr>
        <w:t>2.1 进度延误违约责任</w:t>
      </w:r>
    </w:p>
    <w:p>
      <w:pPr>
        <w:spacing w:line="360" w:lineRule="exact"/>
        <w:rPr>
          <w:rFonts w:ascii="宋体" w:hAnsi="宋体" w:cs="宋体"/>
          <w:sz w:val="24"/>
          <w:szCs w:val="24"/>
        </w:rPr>
      </w:pPr>
      <w:r>
        <w:rPr>
          <w:rFonts w:hint="eastAsia" w:ascii="宋体" w:hAnsi="宋体" w:cs="宋体"/>
          <w:sz w:val="24"/>
          <w:szCs w:val="24"/>
        </w:rPr>
        <w:t>进度延误以提交发包人审核前，最后定稿的造价成果文件交付时间延误为进度延误衡量标准。除经发包人书面批准的延期申请，其他进度延误问题均由咨询人自行承担，发包人可视情对咨询人处以罚款，计算方式为每延期一天，扣除</w:t>
      </w:r>
      <w:r>
        <w:rPr>
          <w:rFonts w:hint="eastAsia" w:ascii="宋体" w:hAnsi="宋体" w:cs="宋体"/>
          <w:sz w:val="24"/>
          <w:szCs w:val="24"/>
          <w:u w:val="single"/>
        </w:rPr>
        <w:t xml:space="preserve">合同价的2% </w:t>
      </w:r>
      <w:r>
        <w:rPr>
          <w:rFonts w:hint="eastAsia" w:ascii="宋体" w:hAnsi="宋体" w:cs="宋体"/>
          <w:sz w:val="24"/>
          <w:szCs w:val="24"/>
        </w:rPr>
        <w:t>。</w:t>
      </w:r>
    </w:p>
    <w:p>
      <w:pPr>
        <w:spacing w:line="360" w:lineRule="exact"/>
        <w:ind w:firstLine="560"/>
        <w:rPr>
          <w:rFonts w:ascii="宋体" w:hAnsi="宋体" w:cs="宋体"/>
          <w:sz w:val="24"/>
          <w:szCs w:val="24"/>
        </w:rPr>
      </w:pPr>
      <w:r>
        <w:rPr>
          <w:rFonts w:hint="eastAsia" w:ascii="宋体" w:hAnsi="宋体" w:cs="宋体"/>
          <w:sz w:val="24"/>
          <w:szCs w:val="24"/>
        </w:rPr>
        <w:t>2.2 技术质量违约责任</w:t>
      </w:r>
    </w:p>
    <w:p>
      <w:pPr>
        <w:spacing w:line="360" w:lineRule="exact"/>
        <w:ind w:firstLine="720" w:firstLineChars="300"/>
        <w:rPr>
          <w:rFonts w:ascii="宋体" w:hAnsi="宋体" w:cs="宋体"/>
          <w:sz w:val="24"/>
          <w:szCs w:val="24"/>
        </w:rPr>
      </w:pPr>
      <w:r>
        <w:rPr>
          <w:rFonts w:hint="eastAsia" w:ascii="宋体" w:hAnsi="宋体" w:cs="宋体"/>
          <w:sz w:val="24"/>
          <w:szCs w:val="24"/>
        </w:rPr>
        <w:t>①若清单、控制价经复核误差率超过3%，超出3%部分的审核绩效费用由咨询人支付，发包人可根据咨询人后期工作完成情况扣除合同价的20%～50%。</w:t>
      </w:r>
    </w:p>
    <w:p>
      <w:pPr>
        <w:spacing w:line="360" w:lineRule="exact"/>
        <w:ind w:firstLine="560"/>
        <w:rPr>
          <w:rFonts w:ascii="宋体" w:hAnsi="宋体" w:cs="宋体"/>
          <w:sz w:val="24"/>
          <w:szCs w:val="24"/>
          <w:u w:val="single"/>
        </w:rPr>
      </w:pPr>
      <w:r>
        <w:rPr>
          <w:rFonts w:hint="eastAsia" w:ascii="宋体" w:hAnsi="宋体" w:cs="宋体"/>
          <w:sz w:val="24"/>
          <w:szCs w:val="24"/>
        </w:rPr>
        <w:t>②若清单、控制价出现遗漏、错误，导致后期需变更签证，引起施工费用增加超过施工合同总价5%的部分，由咨询人承担</w:t>
      </w:r>
      <w:r>
        <w:rPr>
          <w:rFonts w:hint="eastAsia" w:ascii="宋体" w:hAnsi="宋体" w:cs="宋体"/>
          <w:sz w:val="24"/>
          <w:szCs w:val="24"/>
          <w:u w:val="single"/>
        </w:rPr>
        <w:t xml:space="preserve"> 50% </w:t>
      </w:r>
      <w:r>
        <w:rPr>
          <w:rFonts w:hint="eastAsia" w:ascii="宋体" w:hAnsi="宋体" w:cs="宋体"/>
          <w:sz w:val="24"/>
          <w:szCs w:val="24"/>
        </w:rPr>
        <w:t>，造价审核单位承担</w:t>
      </w:r>
      <w:r>
        <w:rPr>
          <w:rFonts w:hint="eastAsia" w:ascii="宋体" w:hAnsi="宋体" w:cs="宋体"/>
          <w:sz w:val="24"/>
          <w:szCs w:val="24"/>
          <w:u w:val="single"/>
        </w:rPr>
        <w:t xml:space="preserve"> 50% </w:t>
      </w:r>
      <w:r>
        <w:rPr>
          <w:rFonts w:hint="eastAsia" w:ascii="宋体" w:hAnsi="宋体" w:cs="宋体"/>
          <w:sz w:val="24"/>
          <w:szCs w:val="24"/>
        </w:rPr>
        <w:t>。</w:t>
      </w:r>
    </w:p>
    <w:p>
      <w:pPr>
        <w:spacing w:line="360" w:lineRule="exact"/>
        <w:ind w:firstLine="560"/>
        <w:rPr>
          <w:rFonts w:ascii="宋体" w:hAnsi="宋体" w:cs="宋体"/>
          <w:sz w:val="24"/>
          <w:szCs w:val="24"/>
        </w:rPr>
      </w:pPr>
      <w:r>
        <w:rPr>
          <w:rFonts w:hint="eastAsia" w:ascii="宋体" w:hAnsi="宋体" w:cs="宋体"/>
          <w:sz w:val="24"/>
          <w:szCs w:val="24"/>
        </w:rPr>
        <w:t>③因咨询人原因造成工程质量事故，所引发的损失由咨询人承担，发包人有权扣除直接受损失部分的造价咨询费。</w:t>
      </w:r>
    </w:p>
    <w:p>
      <w:pPr>
        <w:spacing w:line="360" w:lineRule="exact"/>
        <w:ind w:firstLine="560"/>
        <w:rPr>
          <w:rFonts w:ascii="宋体" w:hAnsi="宋体" w:cs="宋体"/>
          <w:sz w:val="24"/>
          <w:szCs w:val="24"/>
        </w:rPr>
      </w:pPr>
      <w:r>
        <w:rPr>
          <w:rFonts w:hint="eastAsia" w:ascii="宋体" w:hAnsi="宋体" w:cs="宋体"/>
          <w:sz w:val="24"/>
          <w:szCs w:val="24"/>
        </w:rPr>
        <w:t>2.3 服务承诺违约责任</w:t>
      </w:r>
    </w:p>
    <w:p>
      <w:pPr>
        <w:spacing w:line="360" w:lineRule="exact"/>
        <w:ind w:firstLine="560"/>
        <w:rPr>
          <w:rFonts w:ascii="宋体" w:hAnsi="宋体" w:cs="宋体"/>
          <w:sz w:val="24"/>
          <w:szCs w:val="24"/>
        </w:rPr>
      </w:pPr>
      <w:r>
        <w:rPr>
          <w:rFonts w:hint="eastAsia" w:ascii="宋体" w:hAnsi="宋体" w:cs="宋体"/>
          <w:sz w:val="24"/>
          <w:szCs w:val="24"/>
        </w:rPr>
        <w:t>①咨询人未经发包人书面批准，擅自更换咨询人代表的，按每次</w:t>
      </w:r>
      <w:r>
        <w:rPr>
          <w:rFonts w:hint="eastAsia" w:ascii="宋体" w:hAnsi="宋体" w:cs="宋体"/>
          <w:sz w:val="24"/>
          <w:szCs w:val="24"/>
          <w:u w:val="single"/>
        </w:rPr>
        <w:t>合同价10%</w:t>
      </w:r>
      <w:r>
        <w:rPr>
          <w:rFonts w:hint="eastAsia" w:ascii="宋体" w:hAnsi="宋体" w:cs="宋体"/>
          <w:sz w:val="24"/>
          <w:szCs w:val="24"/>
        </w:rPr>
        <w:t>处以罚款。</w:t>
      </w:r>
    </w:p>
    <w:p>
      <w:pPr>
        <w:spacing w:line="360" w:lineRule="exact"/>
        <w:ind w:firstLine="560"/>
        <w:rPr>
          <w:rFonts w:ascii="宋体" w:hAnsi="宋体" w:cs="宋体"/>
          <w:sz w:val="24"/>
          <w:szCs w:val="24"/>
        </w:rPr>
      </w:pPr>
      <w:r>
        <w:rPr>
          <w:rFonts w:hint="eastAsia" w:ascii="宋体" w:hAnsi="宋体" w:cs="宋体"/>
          <w:sz w:val="24"/>
          <w:szCs w:val="24"/>
        </w:rPr>
        <w:t>②咨询人违反咨询人义务，出现拒绝到场办公、提供技术咨询等情况的，发包人可对咨询人处以</w:t>
      </w:r>
      <w:r>
        <w:rPr>
          <w:rFonts w:hint="eastAsia" w:ascii="宋体" w:hAnsi="宋体" w:cs="宋体"/>
          <w:sz w:val="24"/>
          <w:szCs w:val="24"/>
          <w:u w:val="single"/>
        </w:rPr>
        <w:t xml:space="preserve">合同价10% - 70% </w:t>
      </w:r>
      <w:r>
        <w:rPr>
          <w:rFonts w:hint="eastAsia" w:ascii="宋体" w:hAnsi="宋体" w:cs="宋体"/>
          <w:sz w:val="24"/>
          <w:szCs w:val="24"/>
        </w:rPr>
        <w:t>的罚款，情节严重的，发包人可拒付造价咨询费，并追究其法律责任。</w:t>
      </w:r>
    </w:p>
    <w:p>
      <w:pPr>
        <w:spacing w:line="360" w:lineRule="exact"/>
        <w:ind w:firstLine="560"/>
        <w:rPr>
          <w:rFonts w:ascii="宋体" w:hAnsi="宋体" w:cs="宋体"/>
          <w:sz w:val="24"/>
          <w:szCs w:val="24"/>
        </w:rPr>
      </w:pPr>
      <w:r>
        <w:rPr>
          <w:rFonts w:hint="eastAsia" w:ascii="宋体" w:hAnsi="宋体" w:cs="宋体"/>
          <w:sz w:val="24"/>
          <w:szCs w:val="24"/>
        </w:rPr>
        <w:t>③因咨询人保管不善，致使发包人提供的文件资料泄露或丢失，或咨询人未经发包人书面同意，擅自向第三人泄露、转让发包人具有知识产权的文件和资料的，发包人可对咨询人处以</w:t>
      </w:r>
      <w:r>
        <w:rPr>
          <w:rFonts w:hint="eastAsia" w:ascii="宋体" w:hAnsi="宋体" w:cs="宋体"/>
          <w:sz w:val="24"/>
          <w:szCs w:val="24"/>
          <w:u w:val="single"/>
        </w:rPr>
        <w:t>合同价 10 % - 70 %</w:t>
      </w:r>
      <w:r>
        <w:rPr>
          <w:rFonts w:hint="eastAsia" w:ascii="宋体" w:hAnsi="宋体" w:cs="宋体"/>
          <w:sz w:val="24"/>
          <w:szCs w:val="24"/>
        </w:rPr>
        <w:t>的罚款，情节严重的，发包人可拒付造价咨询费，并追究其法律责任。</w:t>
      </w:r>
    </w:p>
    <w:p>
      <w:pPr>
        <w:rPr>
          <w:rFonts w:ascii="宋体" w:hAnsi="宋体" w:cs="宋体"/>
          <w:b/>
          <w:bCs/>
          <w:sz w:val="24"/>
          <w:szCs w:val="24"/>
        </w:rPr>
      </w:pPr>
    </w:p>
    <w:p>
      <w:pPr>
        <w:spacing w:line="360" w:lineRule="auto"/>
        <w:ind w:firstLine="3132" w:firstLineChars="1300"/>
        <w:rPr>
          <w:rFonts w:ascii="宋体" w:hAnsi="宋体" w:cs="宋体"/>
          <w:b/>
          <w:sz w:val="24"/>
          <w:szCs w:val="24"/>
          <w:highlight w:val="none"/>
        </w:rPr>
      </w:pPr>
    </w:p>
    <w:p>
      <w:pPr>
        <w:spacing w:line="360" w:lineRule="auto"/>
        <w:ind w:firstLine="3132" w:firstLineChars="1300"/>
        <w:rPr>
          <w:rFonts w:ascii="宋体" w:hAnsi="宋体" w:cs="宋体"/>
          <w:b/>
          <w:sz w:val="24"/>
          <w:szCs w:val="24"/>
          <w:highlight w:val="none"/>
        </w:rPr>
      </w:pPr>
      <w:r>
        <w:rPr>
          <w:rFonts w:hint="eastAsia" w:ascii="宋体" w:hAnsi="宋体" w:cs="宋体"/>
          <w:b/>
          <w:sz w:val="24"/>
          <w:szCs w:val="24"/>
          <w:highlight w:val="none"/>
        </w:rPr>
        <w:t>第</w:t>
      </w:r>
      <w:r>
        <w:rPr>
          <w:rFonts w:hint="eastAsia" w:ascii="宋体" w:hAnsi="宋体" w:cs="宋体"/>
          <w:b/>
          <w:sz w:val="24"/>
          <w:szCs w:val="24"/>
          <w:highlight w:val="none"/>
          <w:lang w:val="en-US" w:eastAsia="zh-CN"/>
        </w:rPr>
        <w:t>五</w:t>
      </w:r>
      <w:r>
        <w:rPr>
          <w:rFonts w:hint="eastAsia" w:ascii="宋体" w:hAnsi="宋体" w:cs="宋体"/>
          <w:b/>
          <w:sz w:val="24"/>
          <w:szCs w:val="24"/>
          <w:highlight w:val="none"/>
        </w:rPr>
        <w:t>章  附   则</w:t>
      </w:r>
    </w:p>
    <w:p>
      <w:pPr>
        <w:spacing w:line="360" w:lineRule="exact"/>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.各服务单位项目部的监督和管理，并行使处罚权力。《限期整改通知书》及《处罚通知书》按统一格式下达。（表式附后）</w:t>
      </w:r>
    </w:p>
    <w:p>
      <w:pPr>
        <w:spacing w:line="360" w:lineRule="exact"/>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 xml:space="preserve"> 违约金全数充入军队设立的财务账户。</w:t>
      </w:r>
    </w:p>
    <w:p>
      <w:pPr>
        <w:spacing w:line="360" w:lineRule="exact"/>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本细则最终解释权归军队所有。</w:t>
      </w:r>
    </w:p>
    <w:p>
      <w:pPr>
        <w:spacing w:line="360" w:lineRule="exact"/>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 xml:space="preserve">本细则自印发之日起施行。 </w:t>
      </w:r>
    </w:p>
    <w:p>
      <w:pPr>
        <w:spacing w:line="360" w:lineRule="exact"/>
        <w:ind w:firstLine="480" w:firstLineChars="200"/>
        <w:rPr>
          <w:rFonts w:ascii="宋体" w:hAnsi="宋体" w:cs="宋体"/>
          <w:sz w:val="24"/>
          <w:szCs w:val="24"/>
        </w:rPr>
      </w:pPr>
    </w:p>
    <w:p>
      <w:pPr>
        <w:spacing w:line="360" w:lineRule="exact"/>
        <w:rPr>
          <w:rFonts w:ascii="宋体" w:hAnsi="宋体" w:cs="宋体"/>
          <w:sz w:val="24"/>
          <w:szCs w:val="24"/>
        </w:rPr>
      </w:pPr>
      <w:r>
        <w:rPr>
          <w:rFonts w:hint="eastAsia" w:ascii="宋体" w:hAnsi="宋体" w:cs="宋体"/>
          <w:sz w:val="24"/>
          <w:szCs w:val="24"/>
        </w:rPr>
        <w:br w:type="page"/>
      </w:r>
    </w:p>
    <w:p>
      <w:pPr>
        <w:spacing w:line="360" w:lineRule="auto"/>
        <w:ind w:firstLine="480" w:firstLineChars="200"/>
        <w:rPr>
          <w:rFonts w:ascii="宋体" w:hAnsi="宋体" w:cs="宋体"/>
          <w:sz w:val="24"/>
          <w:szCs w:val="24"/>
        </w:rPr>
      </w:pPr>
    </w:p>
    <w:p>
      <w:pPr>
        <w:ind w:right="840"/>
        <w:rPr>
          <w:rFonts w:ascii="宋体" w:hAnsi="宋体" w:cs="宋体"/>
          <w:sz w:val="24"/>
          <w:szCs w:val="24"/>
        </w:rPr>
      </w:pPr>
      <w:r>
        <w:rPr>
          <w:rFonts w:hint="eastAsia" w:ascii="宋体" w:hAnsi="宋体" w:cs="宋体"/>
          <w:sz w:val="24"/>
          <w:szCs w:val="24"/>
        </w:rPr>
        <w:t>附表一：</w:t>
      </w:r>
    </w:p>
    <w:p>
      <w:pPr>
        <w:jc w:val="center"/>
        <w:rPr>
          <w:rFonts w:ascii="宋体" w:hAnsi="宋体" w:cs="宋体"/>
          <w:b/>
          <w:bCs/>
          <w:sz w:val="24"/>
          <w:szCs w:val="24"/>
        </w:rPr>
      </w:pPr>
      <w:r>
        <w:rPr>
          <w:rFonts w:hint="eastAsia" w:ascii="宋体" w:hAnsi="宋体" w:cs="宋体"/>
          <w:b/>
          <w:bCs/>
          <w:sz w:val="24"/>
          <w:szCs w:val="24"/>
        </w:rPr>
        <w:t>服务咨询单位限期整改通知书</w:t>
      </w:r>
    </w:p>
    <w:p>
      <w:pPr>
        <w:adjustRightInd w:val="0"/>
        <w:snapToGrid w:val="0"/>
        <w:spacing w:line="100" w:lineRule="atLeast"/>
        <w:jc w:val="left"/>
        <w:rPr>
          <w:rFonts w:ascii="宋体" w:hAnsi="宋体" w:cs="宋体"/>
          <w:sz w:val="24"/>
          <w:szCs w:val="24"/>
        </w:rPr>
      </w:pPr>
      <w:r>
        <w:rPr>
          <w:rFonts w:hint="eastAsia" w:ascii="宋体" w:hAnsi="宋体" w:cs="宋体"/>
          <w:sz w:val="24"/>
          <w:szCs w:val="24"/>
        </w:rPr>
        <w:t>工程名称：</w:t>
      </w:r>
      <w:r>
        <w:rPr>
          <w:rFonts w:hint="eastAsia" w:ascii="宋体" w:hAnsi="宋体" w:cs="宋体"/>
          <w:sz w:val="24"/>
          <w:szCs w:val="24"/>
          <w:u w:val="single"/>
        </w:rPr>
        <w:t xml:space="preserve">                            </w:t>
      </w:r>
      <w:r>
        <w:rPr>
          <w:rFonts w:hint="eastAsia" w:ascii="宋体" w:hAnsi="宋体" w:cs="宋体"/>
          <w:sz w:val="24"/>
          <w:szCs w:val="24"/>
        </w:rPr>
        <w:t xml:space="preserve">                                      编号：</w:t>
      </w:r>
    </w:p>
    <w:tbl>
      <w:tblPr>
        <w:tblStyle w:val="88"/>
        <w:tblW w:w="9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0" w:hRule="atLeast"/>
        </w:trPr>
        <w:tc>
          <w:tcPr>
            <w:tcW w:w="9467" w:type="dxa"/>
          </w:tcPr>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致：</w:t>
            </w: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 xml:space="preserve">                                           </w:t>
            </w: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 xml:space="preserve">                                                       单位（公章）</w:t>
            </w:r>
          </w:p>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467" w:type="dxa"/>
            <w:vAlign w:val="center"/>
          </w:tcPr>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附  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467" w:type="dxa"/>
            <w:vAlign w:val="center"/>
          </w:tcPr>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抄  送：</w:t>
            </w:r>
          </w:p>
        </w:tc>
      </w:tr>
    </w:tbl>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 xml:space="preserve">经办人：                                 负责人：           </w:t>
      </w:r>
    </w:p>
    <w:p>
      <w:pPr>
        <w:adjustRightInd w:val="0"/>
        <w:snapToGrid w:val="0"/>
        <w:spacing w:line="100" w:lineRule="atLeast"/>
        <w:rPr>
          <w:rFonts w:ascii="宋体" w:hAnsi="宋体" w:cs="宋体"/>
          <w:sz w:val="24"/>
          <w:szCs w:val="24"/>
        </w:rPr>
      </w:pPr>
      <w:r>
        <w:rPr>
          <w:rFonts w:hint="eastAsia" w:ascii="宋体" w:hAnsi="宋体" w:cs="宋体"/>
          <w:sz w:val="24"/>
          <w:szCs w:val="24"/>
        </w:rPr>
        <w:t xml:space="preserve"> </w:t>
      </w:r>
    </w:p>
    <w:p>
      <w:pPr>
        <w:ind w:right="840"/>
        <w:rPr>
          <w:rFonts w:ascii="宋体" w:hAnsi="宋体" w:cs="宋体"/>
          <w:sz w:val="24"/>
          <w:szCs w:val="24"/>
        </w:rPr>
      </w:pPr>
      <w:r>
        <w:rPr>
          <w:rFonts w:hint="eastAsia" w:ascii="宋体" w:hAnsi="宋体" w:cs="宋体"/>
          <w:sz w:val="24"/>
          <w:szCs w:val="24"/>
        </w:rPr>
        <w:t>附表二</w:t>
      </w:r>
    </w:p>
    <w:p>
      <w:pPr>
        <w:ind w:right="840"/>
        <w:jc w:val="center"/>
        <w:rPr>
          <w:rFonts w:ascii="宋体" w:hAnsi="宋体" w:cs="宋体"/>
          <w:b/>
          <w:bCs/>
          <w:sz w:val="24"/>
          <w:szCs w:val="24"/>
        </w:rPr>
      </w:pPr>
      <w:r>
        <w:rPr>
          <w:rFonts w:hint="eastAsia" w:ascii="宋体" w:hAnsi="宋体" w:cs="宋体"/>
          <w:sz w:val="24"/>
          <w:szCs w:val="24"/>
        </w:rPr>
        <w:t xml:space="preserve"> </w:t>
      </w:r>
      <w:r>
        <w:rPr>
          <w:rFonts w:hint="eastAsia" w:ascii="宋体" w:hAnsi="宋体" w:cs="宋体"/>
          <w:b/>
          <w:bCs/>
          <w:sz w:val="24"/>
          <w:szCs w:val="24"/>
        </w:rPr>
        <w:t xml:space="preserve">     服务咨询单位违约处罚通知书</w:t>
      </w:r>
    </w:p>
    <w:p>
      <w:pPr>
        <w:adjustRightInd w:val="0"/>
        <w:snapToGrid w:val="0"/>
        <w:spacing w:line="100" w:lineRule="atLeast"/>
        <w:rPr>
          <w:rFonts w:ascii="宋体" w:hAnsi="宋体" w:cs="宋体"/>
          <w:sz w:val="24"/>
          <w:szCs w:val="24"/>
        </w:rPr>
      </w:pPr>
      <w:r>
        <w:rPr>
          <w:rFonts w:hint="eastAsia" w:ascii="宋体" w:hAnsi="宋体" w:cs="宋体"/>
          <w:sz w:val="24"/>
          <w:szCs w:val="24"/>
        </w:rPr>
        <w:t>签    发：</w:t>
      </w:r>
    </w:p>
    <w:p>
      <w:pPr>
        <w:adjustRightInd w:val="0"/>
        <w:snapToGrid w:val="0"/>
        <w:spacing w:line="100" w:lineRule="atLeast"/>
        <w:rPr>
          <w:rFonts w:ascii="宋体" w:hAnsi="宋体" w:cs="宋体"/>
          <w:sz w:val="24"/>
          <w:szCs w:val="24"/>
        </w:rPr>
      </w:pPr>
      <w:r>
        <w:rPr>
          <w:rFonts w:hint="eastAsia" w:ascii="宋体" w:hAnsi="宋体" w:cs="宋体"/>
          <w:sz w:val="24"/>
          <w:szCs w:val="24"/>
        </w:rPr>
        <w:t xml:space="preserve">工程名称：                                             编号：  </w:t>
      </w:r>
      <w:r>
        <w:rPr>
          <w:rFonts w:hint="eastAsia" w:ascii="宋体" w:hAnsi="宋体" w:cs="宋体"/>
          <w:bCs/>
          <w:sz w:val="24"/>
          <w:szCs w:val="24"/>
        </w:rPr>
        <w:t xml:space="preserve">     </w:t>
      </w:r>
    </w:p>
    <w:tbl>
      <w:tblPr>
        <w:tblStyle w:val="88"/>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7" w:hRule="atLeast"/>
        </w:trPr>
        <w:tc>
          <w:tcPr>
            <w:tcW w:w="9479" w:type="dxa"/>
          </w:tcPr>
          <w:p>
            <w:pPr>
              <w:adjustRightInd w:val="0"/>
              <w:snapToGrid w:val="0"/>
              <w:spacing w:line="100" w:lineRule="atLeast"/>
              <w:rPr>
                <w:rFonts w:ascii="宋体" w:hAnsi="宋体" w:cs="宋体"/>
                <w:sz w:val="24"/>
                <w:szCs w:val="24"/>
              </w:rPr>
            </w:pPr>
            <w:r>
              <w:rPr>
                <w:rFonts w:hint="eastAsia" w:ascii="宋体" w:hAnsi="宋体" w:cs="宋体"/>
                <w:sz w:val="24"/>
                <w:szCs w:val="24"/>
              </w:rPr>
              <w:t>致：</w:t>
            </w:r>
          </w:p>
          <w:p>
            <w:pPr>
              <w:adjustRightInd w:val="0"/>
              <w:snapToGrid w:val="0"/>
              <w:spacing w:line="100" w:lineRule="atLeast"/>
              <w:rPr>
                <w:rFonts w:ascii="宋体" w:hAnsi="宋体" w:cs="宋体"/>
                <w:sz w:val="24"/>
                <w:szCs w:val="24"/>
              </w:rPr>
            </w:pPr>
            <w:r>
              <w:rPr>
                <w:rFonts w:hint="eastAsia" w:ascii="宋体" w:hAnsi="宋体" w:cs="宋体"/>
                <w:sz w:val="24"/>
                <w:szCs w:val="24"/>
              </w:rPr>
              <w:t>事由：</w:t>
            </w:r>
          </w:p>
          <w:p>
            <w:pPr>
              <w:rPr>
                <w:rFonts w:ascii="宋体" w:hAnsi="宋体" w:cs="宋体"/>
                <w:sz w:val="24"/>
                <w:szCs w:val="24"/>
              </w:rPr>
            </w:pPr>
          </w:p>
          <w:p>
            <w:pPr>
              <w:spacing w:line="240" w:lineRule="atLeast"/>
              <w:ind w:firstLine="460" w:firstLineChars="192"/>
              <w:rPr>
                <w:rFonts w:ascii="宋体" w:hAnsi="宋体" w:cs="宋体"/>
                <w:sz w:val="24"/>
                <w:szCs w:val="24"/>
              </w:rPr>
            </w:pPr>
          </w:p>
          <w:p>
            <w:pPr>
              <w:spacing w:line="240" w:lineRule="atLeast"/>
              <w:ind w:firstLine="460" w:firstLineChars="192"/>
              <w:rPr>
                <w:rFonts w:ascii="宋体" w:hAnsi="宋体" w:cs="宋体"/>
                <w:sz w:val="24"/>
                <w:szCs w:val="24"/>
              </w:rPr>
            </w:pPr>
          </w:p>
          <w:p>
            <w:pPr>
              <w:spacing w:line="240" w:lineRule="atLeast"/>
              <w:ind w:firstLine="460" w:firstLineChars="192"/>
              <w:rPr>
                <w:rFonts w:ascii="宋体" w:hAnsi="宋体" w:cs="宋体"/>
                <w:sz w:val="24"/>
                <w:szCs w:val="24"/>
              </w:rPr>
            </w:pPr>
          </w:p>
          <w:p>
            <w:pPr>
              <w:tabs>
                <w:tab w:val="left" w:pos="7403"/>
              </w:tabs>
              <w:spacing w:line="240" w:lineRule="atLeast"/>
              <w:ind w:firstLine="460" w:firstLineChars="192"/>
              <w:rPr>
                <w:rFonts w:ascii="宋体" w:hAnsi="宋体" w:cs="宋体"/>
                <w:sz w:val="24"/>
                <w:szCs w:val="24"/>
              </w:rPr>
            </w:pPr>
            <w:r>
              <w:rPr>
                <w:rFonts w:hint="eastAsia" w:ascii="宋体" w:hAnsi="宋体" w:cs="宋体"/>
                <w:sz w:val="24"/>
                <w:szCs w:val="24"/>
              </w:rPr>
              <w:tab/>
            </w:r>
          </w:p>
          <w:p>
            <w:pPr>
              <w:spacing w:line="240" w:lineRule="atLeast"/>
              <w:rPr>
                <w:rFonts w:ascii="宋体" w:hAnsi="宋体" w:cs="宋体"/>
                <w:sz w:val="24"/>
                <w:szCs w:val="24"/>
              </w:rPr>
            </w:pPr>
          </w:p>
          <w:p>
            <w:pPr>
              <w:spacing w:line="240" w:lineRule="atLeast"/>
              <w:rPr>
                <w:rFonts w:ascii="宋体" w:hAnsi="宋体" w:cs="宋体"/>
                <w:sz w:val="24"/>
                <w:szCs w:val="24"/>
              </w:rPr>
            </w:pPr>
          </w:p>
          <w:p>
            <w:pPr>
              <w:spacing w:line="240" w:lineRule="atLeast"/>
              <w:ind w:firstLine="460" w:firstLineChars="192"/>
              <w:rPr>
                <w:rFonts w:ascii="宋体" w:hAnsi="宋体" w:cs="宋体"/>
                <w:sz w:val="24"/>
                <w:szCs w:val="24"/>
              </w:rPr>
            </w:pPr>
          </w:p>
          <w:p>
            <w:pPr>
              <w:spacing w:line="240" w:lineRule="atLeast"/>
              <w:ind w:firstLine="460" w:firstLineChars="192"/>
              <w:rPr>
                <w:rFonts w:ascii="宋体" w:hAnsi="宋体" w:cs="宋体"/>
                <w:sz w:val="24"/>
                <w:szCs w:val="24"/>
              </w:rPr>
            </w:pPr>
          </w:p>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根据《全过程工程咨询服务违约处罚实施细则（试行）》第      条的规定，口（      元）的违约金，第      条的规定，口（      元）的违约金，第      条的规定，口（      元）的违约金……，相关费用在第     期计量款中扣减，特此通知。</w:t>
            </w:r>
          </w:p>
          <w:p>
            <w:pPr>
              <w:spacing w:line="240" w:lineRule="atLeast"/>
              <w:ind w:firstLine="6580" w:firstLineChars="2742"/>
              <w:rPr>
                <w:rFonts w:ascii="宋体" w:hAnsi="宋体" w:cs="宋体"/>
                <w:sz w:val="24"/>
                <w:szCs w:val="24"/>
              </w:rPr>
            </w:pPr>
            <w:r>
              <w:rPr>
                <w:rFonts w:hint="eastAsia" w:ascii="宋体" w:hAnsi="宋体" w:cs="宋体"/>
                <w:sz w:val="24"/>
                <w:szCs w:val="24"/>
              </w:rPr>
              <w:t>单位（公章）</w:t>
            </w:r>
          </w:p>
          <w:p>
            <w:pPr>
              <w:spacing w:line="240" w:lineRule="atLeast"/>
              <w:ind w:firstLine="6580" w:firstLineChars="2742"/>
              <w:rPr>
                <w:rFonts w:ascii="宋体" w:hAnsi="宋体" w:cs="宋体"/>
                <w:sz w:val="24"/>
                <w:szCs w:val="24"/>
              </w:rPr>
            </w:pPr>
            <w:r>
              <w:rPr>
                <w:rFonts w:hint="eastAsia" w:ascii="宋体" w:hAnsi="宋体" w:cs="宋体"/>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479" w:type="dxa"/>
            <w:vAlign w:val="center"/>
          </w:tcPr>
          <w:p>
            <w:pPr>
              <w:adjustRightInd w:val="0"/>
              <w:snapToGrid w:val="0"/>
              <w:spacing w:line="100" w:lineRule="atLeast"/>
              <w:rPr>
                <w:rFonts w:ascii="宋体" w:hAnsi="宋体" w:cs="宋体"/>
                <w:sz w:val="24"/>
                <w:szCs w:val="24"/>
              </w:rPr>
            </w:pPr>
            <w:r>
              <w:rPr>
                <w:rFonts w:hint="eastAsia" w:ascii="宋体" w:hAnsi="宋体" w:cs="宋体"/>
                <w:sz w:val="24"/>
                <w:szCs w:val="24"/>
              </w:rPr>
              <w:t>附 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79" w:type="dxa"/>
            <w:vAlign w:val="center"/>
          </w:tcPr>
          <w:p>
            <w:pPr>
              <w:adjustRightInd w:val="0"/>
              <w:snapToGrid w:val="0"/>
              <w:spacing w:line="100" w:lineRule="atLeast"/>
              <w:rPr>
                <w:rFonts w:ascii="宋体" w:hAnsi="宋体" w:cs="宋体"/>
                <w:sz w:val="24"/>
                <w:szCs w:val="24"/>
              </w:rPr>
            </w:pPr>
            <w:r>
              <w:rPr>
                <w:rFonts w:hint="eastAsia" w:ascii="宋体" w:hAnsi="宋体" w:cs="宋体"/>
                <w:sz w:val="24"/>
                <w:szCs w:val="24"/>
              </w:rPr>
              <w:t>抄 送：</w:t>
            </w:r>
          </w:p>
        </w:tc>
      </w:tr>
    </w:tbl>
    <w:p>
      <w:pPr>
        <w:adjustRightInd w:val="0"/>
        <w:snapToGrid w:val="0"/>
        <w:spacing w:line="100" w:lineRule="atLeast"/>
        <w:ind w:firstLine="480" w:firstLineChars="200"/>
        <w:rPr>
          <w:rFonts w:ascii="宋体" w:hAnsi="宋体" w:cs="宋体"/>
          <w:sz w:val="24"/>
          <w:szCs w:val="24"/>
        </w:rPr>
      </w:pPr>
      <w:r>
        <w:rPr>
          <w:rFonts w:hint="eastAsia" w:ascii="宋体" w:hAnsi="宋体" w:cs="宋体"/>
          <w:sz w:val="24"/>
          <w:szCs w:val="24"/>
        </w:rPr>
        <w:t xml:space="preserve">经办人：     </w:t>
      </w:r>
    </w:p>
    <w:p>
      <w:pPr>
        <w:ind w:right="840"/>
        <w:rPr>
          <w:rFonts w:ascii="宋体" w:hAnsi="宋体" w:cs="宋体"/>
          <w:sz w:val="24"/>
          <w:szCs w:val="24"/>
        </w:rPr>
      </w:pPr>
    </w:p>
    <w:bookmarkEnd w:id="0"/>
    <w:p/>
    <w:sectPr>
      <w:pgSz w:w="11906" w:h="16838"/>
      <w:pgMar w:top="2098" w:right="1474" w:bottom="1928" w:left="1588" w:header="1134" w:footer="1418" w:gutter="0"/>
      <w:cols w:space="720" w:num="1"/>
      <w:docGrid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662C737-F84D-4E2A-93AB-0CB051550524}"/>
  </w:font>
  <w:font w:name="Arial">
    <w:panose1 w:val="020B0604020202020204"/>
    <w:charset w:val="01"/>
    <w:family w:val="swiss"/>
    <w:pitch w:val="default"/>
    <w:sig w:usb0="E0002EFF" w:usb1="C000785B" w:usb2="00000009" w:usb3="00000000" w:csb0="400001FF" w:csb1="FFFF0000"/>
    <w:embedRegular r:id="rId2" w:fontKey="{0B5532BD-FCE2-40C9-A87E-EA867A5A4EE3}"/>
  </w:font>
  <w:font w:name="黑体">
    <w:panose1 w:val="02010609060101010101"/>
    <w:charset w:val="86"/>
    <w:family w:val="auto"/>
    <w:pitch w:val="default"/>
    <w:sig w:usb0="800002BF" w:usb1="38CF7CFA" w:usb2="00000016" w:usb3="00000000" w:csb0="00040001" w:csb1="00000000"/>
    <w:embedRegular r:id="rId3" w:fontKey="{45F8AA73-08EB-4D6D-B85E-519410BE92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A387F858-A131-4DD3-977E-BBC70C2ED078}"/>
  </w:font>
  <w:font w:name="华文细黑">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embedRegular r:id="rId5" w:fontKey="{C7E894B5-12F7-43D5-B377-1A6A17C10467}"/>
  </w:font>
  <w:font w:name="华文中宋">
    <w:panose1 w:val="02010600040101010101"/>
    <w:charset w:val="86"/>
    <w:family w:val="auto"/>
    <w:pitch w:val="default"/>
    <w:sig w:usb0="00000287" w:usb1="080F0000" w:usb2="00000000" w:usb3="00000000" w:csb0="0004009F" w:csb1="DFD70000"/>
    <w:embedRegular r:id="rId6" w:fontKey="{9870E950-38F1-4187-9E65-19B10515EBF5}"/>
  </w:font>
  <w:font w:name="Cambria">
    <w:panose1 w:val="02040503050406030204"/>
    <w:charset w:val="00"/>
    <w:family w:val="roman"/>
    <w:pitch w:val="default"/>
    <w:sig w:usb0="E00006FF" w:usb1="420024FF" w:usb2="02000000" w:usb3="00000000" w:csb0="2000019F" w:csb1="00000000"/>
    <w:embedRegular r:id="rId7" w:fontKey="{DF5318A3-A7BF-43A7-B271-7047C4D9631E}"/>
  </w:font>
  <w:font w:name="Arial Narrow">
    <w:panose1 w:val="020B0606020202030204"/>
    <w:charset w:val="00"/>
    <w:family w:val="swiss"/>
    <w:pitch w:val="default"/>
    <w:sig w:usb0="00000287" w:usb1="00000800" w:usb2="00000000" w:usb3="00000000" w:csb0="2000009F" w:csb1="DFD70000"/>
  </w:font>
  <w:font w:name="BatangChe">
    <w:altName w:val="Malgun Gothic"/>
    <w:panose1 w:val="00000000000000000000"/>
    <w:charset w:val="81"/>
    <w:family w:val="modern"/>
    <w:pitch w:val="default"/>
    <w:sig w:usb0="00000000" w:usb1="00000000" w:usb2="00000030" w:usb3="00000000" w:csb0="4008009F" w:csb1="DFD7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embedRegular r:id="rId8" w:fontKey="{BD16257A-08AB-481D-A0D4-7347FC02F8C1}"/>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全真中明體">
    <w:altName w:val="MingLiU-ExtB"/>
    <w:panose1 w:val="00000000000000000000"/>
    <w:charset w:val="88"/>
    <w:family w:val="modern"/>
    <w:pitch w:val="default"/>
    <w:sig w:usb0="00000000" w:usb1="00000000" w:usb2="00000010" w:usb3="00000000" w:csb0="00100000"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embedRegular r:id="rId9" w:fontKey="{67F44D1A-E4C0-4357-A66A-C7F537547EE8}"/>
  </w:font>
  <w:font w:name="仿宋体">
    <w:altName w:val="仿宋"/>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modern"/>
    <w:pitch w:val="default"/>
    <w:sig w:usb0="00000000" w:usb1="00000000" w:usb2="00000000" w:usb3="00000000" w:csb0="00040001" w:csb1="00000000"/>
  </w:font>
  <w:font w:name="方正小标宋简体">
    <w:panose1 w:val="02000000000000000000"/>
    <w:charset w:val="86"/>
    <w:family w:val="script"/>
    <w:pitch w:val="default"/>
    <w:sig w:usb0="00000001" w:usb1="08000000" w:usb2="00000000" w:usb3="00000000" w:csb0="00040000" w:csb1="00000000"/>
    <w:embedRegular r:id="rId10" w:fontKey="{4807CAC1-14BF-4AE7-8DDF-99DF23F0C87A}"/>
  </w:font>
  <w:font w:name="Times">
    <w:altName w:val="Times New Roman"/>
    <w:panose1 w:val="02020603050405020304"/>
    <w:charset w:val="00"/>
    <w:family w:val="roman"/>
    <w:pitch w:val="default"/>
    <w:sig w:usb0="00000000" w:usb1="00000000" w:usb2="00000009" w:usb3="00000000" w:csb0="000001FF" w:csb1="00000000"/>
    <w:embedRegular r:id="rId11" w:fontKey="{ED9EE91B-232E-41E0-BFC4-D44AA9E006CA}"/>
  </w:font>
  <w:font w:name="MingLiU">
    <w:altName w:val="PMingLiU-ExtB"/>
    <w:panose1 w:val="02010609000101010101"/>
    <w:charset w:val="88"/>
    <w:family w:val="modern"/>
    <w:pitch w:val="default"/>
    <w:sig w:usb0="00000000" w:usb1="00000000" w:usb2="00000000" w:usb3="00000000" w:csb0="00000000" w:csb1="00000000"/>
    <w:embedRegular r:id="rId12" w:fontKey="{0080616F-3D86-4DF5-87E0-9790FD269A19}"/>
  </w:font>
  <w:font w:name="Wingdings 2">
    <w:panose1 w:val="05020102010507070707"/>
    <w:charset w:val="02"/>
    <w:family w:val="roman"/>
    <w:pitch w:val="default"/>
    <w:sig w:usb0="00000000" w:usb1="00000000" w:usb2="00000000" w:usb3="00000000" w:csb0="80000000" w:csb1="00000000"/>
    <w:embedRegular r:id="rId13" w:fontKey="{310BD01A-F5EE-4B76-B390-D7B98E2693B4}"/>
  </w:font>
  <w:font w:name="仿宋">
    <w:panose1 w:val="02010609060101010101"/>
    <w:charset w:val="86"/>
    <w:family w:val="auto"/>
    <w:pitch w:val="default"/>
    <w:sig w:usb0="800002BF" w:usb1="38CF7CFA" w:usb2="00000016" w:usb3="00000000" w:csb0="00040001" w:csb1="00000000"/>
    <w:embedRegular r:id="rId14" w:fontKey="{B7636BF0-B429-4345-8021-7D82C4D1E631}"/>
  </w:font>
  <w:font w:name="微软雅黑">
    <w:panose1 w:val="020B0503020204020204"/>
    <w:charset w:val="86"/>
    <w:family w:val="swiss"/>
    <w:pitch w:val="default"/>
    <w:sig w:usb0="80000287" w:usb1="2ACF3C50" w:usb2="00000016" w:usb3="00000000" w:csb0="0004001F" w:csb1="00000000"/>
    <w:embedRegular r:id="rId15" w:fontKey="{27B7D61A-DA2E-4CE4-8073-6E617D17D351}"/>
  </w:font>
  <w:font w:name="方正仿宋_GB2312">
    <w:panose1 w:val="02000000000000000000"/>
    <w:charset w:val="86"/>
    <w:family w:val="auto"/>
    <w:pitch w:val="default"/>
    <w:sig w:usb0="A00002BF" w:usb1="184F6CFA" w:usb2="00000012" w:usb3="00000000" w:csb0="00040001" w:csb1="00000000"/>
    <w:embedRegular r:id="rId16" w:fontKey="{0D22199B-5242-4B80-8BFE-2C81146AE961}"/>
  </w:font>
  <w:font w:name="Malgun Gothic">
    <w:panose1 w:val="020B0503020000020004"/>
    <w:charset w:val="81"/>
    <w:family w:val="auto"/>
    <w:pitch w:val="default"/>
    <w:sig w:usb0="9000002F" w:usb1="29D77CFB" w:usb2="00000012" w:usb3="00000000" w:csb0="00080001" w:csb1="00000000"/>
  </w:font>
  <w:font w:name="MingLiU-ExtB">
    <w:panose1 w:val="02020500000000000000"/>
    <w:charset w:val="88"/>
    <w:family w:val="auto"/>
    <w:pitch w:val="default"/>
    <w:sig w:usb0="8000002F" w:usb1="02000008" w:usb2="00000000"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rPr>
        <w:rFonts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38</w:t>
                    </w:r>
                    <w:r>
                      <w:fldChar w:fldCharType="end"/>
                    </w:r>
                  </w:p>
                </w:txbxContent>
              </v:textbox>
            </v:shape>
          </w:pict>
        </mc:Fallback>
      </mc:AlternateContent>
    </w:r>
  </w:p>
  <w:p>
    <w:pPr>
      <w:pStyle w:val="5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rPr>
        <w:rFonts w:ascii="宋体" w:hAnsi="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47</w:t>
                    </w:r>
                    <w:r>
                      <w:fldChar w:fldCharType="end"/>
                    </w:r>
                  </w:p>
                </w:txbxContent>
              </v:textbox>
            </v:shape>
          </w:pict>
        </mc:Fallback>
      </mc:AlternateContent>
    </w:r>
  </w:p>
  <w:p>
    <w:pPr>
      <w:pStyle w:val="5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rPr>
        <w:rFonts w:ascii="宋体" w:hAnsi="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48</w:t>
                    </w:r>
                    <w: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ct9BcoBAACXAwAADgAAAAAAAAABACAAAAAeAQAAZHJzL2Uyb0Rv&#10;Yy54bWxQSwUGAAAAAAYABgBZAQAAWgUAAAAA&#10;">
              <v:fill on="f" focussize="0,0"/>
              <v:stroke on="f"/>
              <v:imagedata o:title=""/>
              <o:lock v:ext="edit" aspectratio="f"/>
              <v:textbox inset="0mm,0mm,0mm,0mm" style="mso-fit-shape-to-text:t;">
                <w:txbxContent>
                  <w:p>
                    <w:pPr>
                      <w:snapToGrid w:val="0"/>
                      <w:rPr>
                        <w:sz w:val="18"/>
                      </w:rPr>
                    </w:pPr>
                  </w:p>
                </w:txbxContent>
              </v:textbox>
            </v:shape>
          </w:pict>
        </mc:Fallback>
      </mc:AlternateContent>
    </w:r>
  </w:p>
  <w:p>
    <w:pPr>
      <w:pStyle w:val="56"/>
    </w:pPr>
    <w:r>
      <w:rPr>
        <w:sz w:val="28"/>
      </w:rPr>
      <mc:AlternateContent>
        <mc:Choice Requires="wps">
          <w:drawing>
            <wp:anchor distT="0" distB="0" distL="114300" distR="114300" simplePos="0" relativeHeight="251659264" behindDoc="0" locked="0" layoutInCell="1" allowOverlap="1">
              <wp:simplePos x="0" y="0"/>
              <wp:positionH relativeFrom="margin">
                <wp:posOffset>1905</wp:posOffset>
              </wp:positionH>
              <wp:positionV relativeFrom="paragraph">
                <wp:posOffset>80645</wp:posOffset>
              </wp:positionV>
              <wp:extent cx="1828800" cy="1828800"/>
              <wp:effectExtent l="0" t="0" r="0" b="0"/>
              <wp:wrapNone/>
              <wp:docPr id="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txbxContent>
                    </wps:txbx>
                    <wps:bodyPr wrap="none" lIns="0" tIns="0" rIns="0" bIns="0">
                      <a:spAutoFit/>
                    </wps:bodyPr>
                  </wps:wsp>
                </a:graphicData>
              </a:graphic>
            </wp:anchor>
          </w:drawing>
        </mc:Choice>
        <mc:Fallback>
          <w:pict>
            <v:shape id="文本框 10" o:spid="_x0000_s1026" o:spt="202" type="#_x0000_t202" style="position:absolute;left:0pt;margin-left:0.15pt;margin-top:6.35pt;height:144pt;width:144pt;mso-position-horizontal-relative:margin;mso-wrap-style:none;z-index:251659264;mso-width-relative:page;mso-height-relative:page;" filled="f" stroked="f" coordsize="21600,21600" o:gfxdata="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kd5Kx0QAAAAcBAAAPAAAAAAAAAAEAIAAAACIAAABkcnMvZG93bnJl&#10;di54bWxQSwECFAAUAAAACACHTuJAFslvU8sBAACXAwAADgAAAAAAAAABACAAAAAgAQAAZHJzL2Uy&#10;b0RvYy54bWxQSwUGAAAAAAYABgBZAQAAXQUAAAAA&#10;">
              <v:fill on="f" focussize="0,0"/>
              <v:stroke on="f"/>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rPr>
        <w:rFonts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p>
    <w:pPr>
      <w:pStyle w:val="5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pict>
        <v:shape id="PowerPlusWaterMarkObject581016899" o:spid="_x0000_s2058" o:spt="136" type="#_x0000_t136" style="position:absolute;left:0pt;height:34.6pt;width:588.7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209001工程全过程咨询招标文件发售版"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pict>
        <v:shape id="PowerPlusWaterMarkObject581016890" o:spid="_x0000_s2049" o:spt="136" type="#_x0000_t136" style="position:absolute;left:0pt;height:34.6pt;width:588.7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209001工程全过程咨询招标文件发售版"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pict>
        <v:shape id="PowerPlusWaterMarkObject581016896" o:spid="_x0000_s2055" o:spt="136" type="#_x0000_t136" style="position:absolute;left:0pt;height:34.6pt;width:588.7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209001工程全过程咨询招标文件发售版"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900D2A"/>
    <w:multiLevelType w:val="singleLevel"/>
    <w:tmpl w:val="FD900D2A"/>
    <w:lvl w:ilvl="0" w:tentative="0">
      <w:start w:val="4"/>
      <w:numFmt w:val="chineseCounting"/>
      <w:suff w:val="space"/>
      <w:lvlText w:val="第%1章"/>
      <w:lvlJc w:val="left"/>
      <w:rPr>
        <w:rFonts w:hint="eastAsia"/>
      </w:rPr>
    </w:lvl>
  </w:abstractNum>
  <w:abstractNum w:abstractNumId="1">
    <w:nsid w:val="0000000D"/>
    <w:multiLevelType w:val="multilevel"/>
    <w:tmpl w:val="0000000D"/>
    <w:lvl w:ilvl="0" w:tentative="0">
      <w:start w:val="1"/>
      <w:numFmt w:val="decimal"/>
      <w:lvlText w:val="%1."/>
      <w:lvlJc w:val="left"/>
      <w:pPr>
        <w:ind w:left="780" w:hanging="360"/>
      </w:pPr>
    </w:lvl>
    <w:lvl w:ilvl="1" w:tentative="0">
      <w:start w:val="1"/>
      <w:numFmt w:val="decimal"/>
      <w:lvlText w:val="%2)"/>
      <w:lvlJc w:val="left"/>
      <w:pPr>
        <w:ind w:left="1200" w:hanging="36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0000010"/>
    <w:multiLevelType w:val="singleLevel"/>
    <w:tmpl w:val="00000010"/>
    <w:lvl w:ilvl="0" w:tentative="0">
      <w:start w:val="1"/>
      <w:numFmt w:val="decimal"/>
      <w:lvlText w:val="%1."/>
      <w:lvlJc w:val="left"/>
      <w:pPr>
        <w:tabs>
          <w:tab w:val="left" w:pos="312"/>
        </w:tabs>
      </w:pPr>
    </w:lvl>
  </w:abstractNum>
  <w:abstractNum w:abstractNumId="3">
    <w:nsid w:val="00000012"/>
    <w:multiLevelType w:val="multilevel"/>
    <w:tmpl w:val="00000012"/>
    <w:lvl w:ilvl="0" w:tentative="0">
      <w:start w:val="1"/>
      <w:numFmt w:val="decimal"/>
      <w:lvlText w:val="%1."/>
      <w:lvlJc w:val="left"/>
      <w:pPr>
        <w:ind w:left="780" w:hanging="360"/>
      </w:pPr>
    </w:lvl>
    <w:lvl w:ilvl="1" w:tentative="0">
      <w:start w:val="1"/>
      <w:numFmt w:val="decimal"/>
      <w:lvlText w:val="%2)"/>
      <w:lvlJc w:val="left"/>
      <w:pPr>
        <w:ind w:left="1200" w:hanging="36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0000016"/>
    <w:multiLevelType w:val="singleLevel"/>
    <w:tmpl w:val="00000016"/>
    <w:lvl w:ilvl="0" w:tentative="0">
      <w:start w:val="1"/>
      <w:numFmt w:val="decimal"/>
      <w:suff w:val="nothing"/>
      <w:lvlText w:val="（%1）"/>
      <w:lvlJc w:val="left"/>
    </w:lvl>
  </w:abstractNum>
  <w:abstractNum w:abstractNumId="5">
    <w:nsid w:val="00000017"/>
    <w:multiLevelType w:val="multilevel"/>
    <w:tmpl w:val="00000017"/>
    <w:lvl w:ilvl="0" w:tentative="0">
      <w:start w:val="1"/>
      <w:numFmt w:val="decimal"/>
      <w:lvlText w:val="%1."/>
      <w:lvlJc w:val="left"/>
      <w:pPr>
        <w:ind w:left="780" w:hanging="360"/>
      </w:pPr>
    </w:lvl>
    <w:lvl w:ilvl="1" w:tentative="0">
      <w:start w:val="1"/>
      <w:numFmt w:val="decimal"/>
      <w:lvlText w:val="%2)"/>
      <w:lvlJc w:val="left"/>
      <w:pPr>
        <w:ind w:left="1200" w:hanging="36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AE10517"/>
    <w:multiLevelType w:val="singleLevel"/>
    <w:tmpl w:val="2AE10517"/>
    <w:lvl w:ilvl="0" w:tentative="0">
      <w:start w:val="1"/>
      <w:numFmt w:val="decimal"/>
      <w:suff w:val="space"/>
      <w:lvlText w:val="%1."/>
      <w:lvlJc w:val="left"/>
    </w:lvl>
  </w:abstractNum>
  <w:abstractNum w:abstractNumId="7">
    <w:nsid w:val="5B19ACC6"/>
    <w:multiLevelType w:val="singleLevel"/>
    <w:tmpl w:val="5B19ACC6"/>
    <w:lvl w:ilvl="0" w:tentative="0">
      <w:start w:val="1"/>
      <w:numFmt w:val="chineseCounting"/>
      <w:suff w:val="nothing"/>
      <w:lvlText w:val="%1、"/>
      <w:lvlJc w:val="left"/>
      <w:rPr>
        <w:rFonts w:hint="eastAsia"/>
      </w:rPr>
    </w:lvl>
  </w:abstractNum>
  <w:abstractNum w:abstractNumId="8">
    <w:nsid w:val="61704A5C"/>
    <w:multiLevelType w:val="singleLevel"/>
    <w:tmpl w:val="61704A5C"/>
    <w:lvl w:ilvl="0" w:tentative="0">
      <w:start w:val="1"/>
      <w:numFmt w:val="decimal"/>
      <w:suff w:val="nothing"/>
      <w:lvlText w:val="（%1）"/>
      <w:lvlJc w:val="left"/>
    </w:lvl>
  </w:abstractNum>
  <w:num w:numId="1">
    <w:abstractNumId w:val="8"/>
  </w:num>
  <w:num w:numId="2">
    <w:abstractNumId w:val="5"/>
  </w:num>
  <w:num w:numId="3">
    <w:abstractNumId w:val="2"/>
  </w:num>
  <w:num w:numId="4">
    <w:abstractNumId w:val="4"/>
  </w:num>
  <w:num w:numId="5">
    <w:abstractNumId w:val="3"/>
  </w:num>
  <w:num w:numId="6">
    <w:abstractNumId w:val="1"/>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bordersDoNotSurroundHeader w:val="0"/>
  <w:bordersDoNotSurroundFooter w:val="0"/>
  <w:hideSpellingErrors/>
  <w:documentProtection w:enforcement="0"/>
  <w:defaultTabStop w:val="420"/>
  <w:evenAndOddHeaders w:val="1"/>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NhNDM5Mzc5M2VlZDZlZTI4MTQxNzllMzQyMTg5ZjMifQ=="/>
  </w:docVars>
  <w:rsids>
    <w:rsidRoot w:val="00172A27"/>
    <w:rsid w:val="000000E1"/>
    <w:rsid w:val="00000112"/>
    <w:rsid w:val="0000011D"/>
    <w:rsid w:val="00001030"/>
    <w:rsid w:val="00001673"/>
    <w:rsid w:val="00001BE1"/>
    <w:rsid w:val="00001CE7"/>
    <w:rsid w:val="00001FF4"/>
    <w:rsid w:val="0000218C"/>
    <w:rsid w:val="000021F7"/>
    <w:rsid w:val="000025BF"/>
    <w:rsid w:val="0000264A"/>
    <w:rsid w:val="000027F5"/>
    <w:rsid w:val="000028CC"/>
    <w:rsid w:val="00003425"/>
    <w:rsid w:val="00003503"/>
    <w:rsid w:val="00003618"/>
    <w:rsid w:val="0000363E"/>
    <w:rsid w:val="000037A5"/>
    <w:rsid w:val="000038D1"/>
    <w:rsid w:val="00003BAF"/>
    <w:rsid w:val="00003BD2"/>
    <w:rsid w:val="00003DDB"/>
    <w:rsid w:val="000040C1"/>
    <w:rsid w:val="000040EE"/>
    <w:rsid w:val="00004286"/>
    <w:rsid w:val="00004C97"/>
    <w:rsid w:val="00004FFE"/>
    <w:rsid w:val="000052BC"/>
    <w:rsid w:val="000056BC"/>
    <w:rsid w:val="00005990"/>
    <w:rsid w:val="00005B62"/>
    <w:rsid w:val="00005CA6"/>
    <w:rsid w:val="00005FEF"/>
    <w:rsid w:val="0000600F"/>
    <w:rsid w:val="00006117"/>
    <w:rsid w:val="00006349"/>
    <w:rsid w:val="00006C10"/>
    <w:rsid w:val="0000703B"/>
    <w:rsid w:val="0000708A"/>
    <w:rsid w:val="000070E9"/>
    <w:rsid w:val="0000738C"/>
    <w:rsid w:val="000077B2"/>
    <w:rsid w:val="0000789F"/>
    <w:rsid w:val="0000799B"/>
    <w:rsid w:val="00007D48"/>
    <w:rsid w:val="00007D9E"/>
    <w:rsid w:val="000100F1"/>
    <w:rsid w:val="00010166"/>
    <w:rsid w:val="000101A3"/>
    <w:rsid w:val="0001085E"/>
    <w:rsid w:val="00010B6A"/>
    <w:rsid w:val="00010EF3"/>
    <w:rsid w:val="00011482"/>
    <w:rsid w:val="00011560"/>
    <w:rsid w:val="000115B7"/>
    <w:rsid w:val="0001190D"/>
    <w:rsid w:val="000119B3"/>
    <w:rsid w:val="00011B48"/>
    <w:rsid w:val="00011E31"/>
    <w:rsid w:val="00011FAF"/>
    <w:rsid w:val="000122DA"/>
    <w:rsid w:val="00012395"/>
    <w:rsid w:val="000124E3"/>
    <w:rsid w:val="00012728"/>
    <w:rsid w:val="00012789"/>
    <w:rsid w:val="000129B1"/>
    <w:rsid w:val="00012B94"/>
    <w:rsid w:val="00012E0F"/>
    <w:rsid w:val="00013037"/>
    <w:rsid w:val="000130D3"/>
    <w:rsid w:val="000130D6"/>
    <w:rsid w:val="000130FE"/>
    <w:rsid w:val="000131C9"/>
    <w:rsid w:val="0001322C"/>
    <w:rsid w:val="000132BF"/>
    <w:rsid w:val="000133BE"/>
    <w:rsid w:val="00013684"/>
    <w:rsid w:val="00013885"/>
    <w:rsid w:val="0001391E"/>
    <w:rsid w:val="000139C3"/>
    <w:rsid w:val="00013A88"/>
    <w:rsid w:val="0001428F"/>
    <w:rsid w:val="0001469D"/>
    <w:rsid w:val="0001485D"/>
    <w:rsid w:val="00014C79"/>
    <w:rsid w:val="000157AE"/>
    <w:rsid w:val="00015865"/>
    <w:rsid w:val="00015A9D"/>
    <w:rsid w:val="00015E20"/>
    <w:rsid w:val="00015E69"/>
    <w:rsid w:val="00015EAB"/>
    <w:rsid w:val="00016971"/>
    <w:rsid w:val="00016987"/>
    <w:rsid w:val="00016BC8"/>
    <w:rsid w:val="00016C1A"/>
    <w:rsid w:val="00017240"/>
    <w:rsid w:val="0001757F"/>
    <w:rsid w:val="00017731"/>
    <w:rsid w:val="00017A15"/>
    <w:rsid w:val="00017A44"/>
    <w:rsid w:val="00017F70"/>
    <w:rsid w:val="00020517"/>
    <w:rsid w:val="0002061E"/>
    <w:rsid w:val="0002081F"/>
    <w:rsid w:val="00020B88"/>
    <w:rsid w:val="00020CA3"/>
    <w:rsid w:val="000210FC"/>
    <w:rsid w:val="00021154"/>
    <w:rsid w:val="000214A4"/>
    <w:rsid w:val="000215F6"/>
    <w:rsid w:val="00021677"/>
    <w:rsid w:val="00021AFB"/>
    <w:rsid w:val="00021D0E"/>
    <w:rsid w:val="00022A41"/>
    <w:rsid w:val="00023045"/>
    <w:rsid w:val="0002311F"/>
    <w:rsid w:val="0002321E"/>
    <w:rsid w:val="0002326D"/>
    <w:rsid w:val="000238DC"/>
    <w:rsid w:val="000239F8"/>
    <w:rsid w:val="00023B18"/>
    <w:rsid w:val="00023DAD"/>
    <w:rsid w:val="00023E5D"/>
    <w:rsid w:val="00023FF3"/>
    <w:rsid w:val="0002436B"/>
    <w:rsid w:val="000244FA"/>
    <w:rsid w:val="00024F3C"/>
    <w:rsid w:val="00024FCF"/>
    <w:rsid w:val="000251F7"/>
    <w:rsid w:val="000256C5"/>
    <w:rsid w:val="000259EE"/>
    <w:rsid w:val="00025CD2"/>
    <w:rsid w:val="000260B0"/>
    <w:rsid w:val="000260B2"/>
    <w:rsid w:val="000263B2"/>
    <w:rsid w:val="0002692E"/>
    <w:rsid w:val="000270E7"/>
    <w:rsid w:val="00027481"/>
    <w:rsid w:val="00027980"/>
    <w:rsid w:val="000279A6"/>
    <w:rsid w:val="00027A8F"/>
    <w:rsid w:val="00027CC9"/>
    <w:rsid w:val="00027E8F"/>
    <w:rsid w:val="00027F6B"/>
    <w:rsid w:val="00030454"/>
    <w:rsid w:val="000304BA"/>
    <w:rsid w:val="00030B5E"/>
    <w:rsid w:val="00030DFA"/>
    <w:rsid w:val="00030FBB"/>
    <w:rsid w:val="00030FEE"/>
    <w:rsid w:val="000313F1"/>
    <w:rsid w:val="00031497"/>
    <w:rsid w:val="000317FC"/>
    <w:rsid w:val="00031845"/>
    <w:rsid w:val="00031C53"/>
    <w:rsid w:val="00031E8C"/>
    <w:rsid w:val="000320AF"/>
    <w:rsid w:val="00032606"/>
    <w:rsid w:val="0003287F"/>
    <w:rsid w:val="00033D4E"/>
    <w:rsid w:val="00033DF2"/>
    <w:rsid w:val="0003420C"/>
    <w:rsid w:val="00034506"/>
    <w:rsid w:val="000345E5"/>
    <w:rsid w:val="0003473A"/>
    <w:rsid w:val="00034854"/>
    <w:rsid w:val="00034B68"/>
    <w:rsid w:val="00034B82"/>
    <w:rsid w:val="00034BFF"/>
    <w:rsid w:val="00034FBE"/>
    <w:rsid w:val="00035701"/>
    <w:rsid w:val="00035716"/>
    <w:rsid w:val="000357FE"/>
    <w:rsid w:val="0003582E"/>
    <w:rsid w:val="00035A94"/>
    <w:rsid w:val="00035CFB"/>
    <w:rsid w:val="00035D77"/>
    <w:rsid w:val="00035F3B"/>
    <w:rsid w:val="00035F61"/>
    <w:rsid w:val="00035F89"/>
    <w:rsid w:val="00036500"/>
    <w:rsid w:val="000368B8"/>
    <w:rsid w:val="00036944"/>
    <w:rsid w:val="00036964"/>
    <w:rsid w:val="00036A14"/>
    <w:rsid w:val="00036A29"/>
    <w:rsid w:val="00036CC1"/>
    <w:rsid w:val="00036D9A"/>
    <w:rsid w:val="000376A4"/>
    <w:rsid w:val="000376E5"/>
    <w:rsid w:val="0003783D"/>
    <w:rsid w:val="000379E0"/>
    <w:rsid w:val="00037ABF"/>
    <w:rsid w:val="000404FF"/>
    <w:rsid w:val="000406AA"/>
    <w:rsid w:val="000406C6"/>
    <w:rsid w:val="0004079F"/>
    <w:rsid w:val="00040C7B"/>
    <w:rsid w:val="00040D8A"/>
    <w:rsid w:val="00040D9E"/>
    <w:rsid w:val="000412A6"/>
    <w:rsid w:val="0004131A"/>
    <w:rsid w:val="000414CB"/>
    <w:rsid w:val="000415E8"/>
    <w:rsid w:val="000416D3"/>
    <w:rsid w:val="00041A9F"/>
    <w:rsid w:val="00041CCF"/>
    <w:rsid w:val="00041DAD"/>
    <w:rsid w:val="00041EC3"/>
    <w:rsid w:val="000421E6"/>
    <w:rsid w:val="000422FE"/>
    <w:rsid w:val="00042794"/>
    <w:rsid w:val="000427B4"/>
    <w:rsid w:val="00042802"/>
    <w:rsid w:val="00042B3D"/>
    <w:rsid w:val="00042FB9"/>
    <w:rsid w:val="00043057"/>
    <w:rsid w:val="00043127"/>
    <w:rsid w:val="000433EE"/>
    <w:rsid w:val="00043EDD"/>
    <w:rsid w:val="0004433A"/>
    <w:rsid w:val="000445CF"/>
    <w:rsid w:val="00044685"/>
    <w:rsid w:val="00044687"/>
    <w:rsid w:val="0004481C"/>
    <w:rsid w:val="00044962"/>
    <w:rsid w:val="00044E38"/>
    <w:rsid w:val="00044FB5"/>
    <w:rsid w:val="00045049"/>
    <w:rsid w:val="000455E6"/>
    <w:rsid w:val="0004605E"/>
    <w:rsid w:val="000461EA"/>
    <w:rsid w:val="0004630E"/>
    <w:rsid w:val="000463B9"/>
    <w:rsid w:val="000463C2"/>
    <w:rsid w:val="00046659"/>
    <w:rsid w:val="000466BE"/>
    <w:rsid w:val="00046AF9"/>
    <w:rsid w:val="00046D4D"/>
    <w:rsid w:val="00046E51"/>
    <w:rsid w:val="000471A8"/>
    <w:rsid w:val="000473F7"/>
    <w:rsid w:val="000478D4"/>
    <w:rsid w:val="00047ACF"/>
    <w:rsid w:val="000504B3"/>
    <w:rsid w:val="000504ED"/>
    <w:rsid w:val="00050E22"/>
    <w:rsid w:val="00051703"/>
    <w:rsid w:val="00051978"/>
    <w:rsid w:val="00051BBD"/>
    <w:rsid w:val="00051CD2"/>
    <w:rsid w:val="00051CD8"/>
    <w:rsid w:val="00051FFE"/>
    <w:rsid w:val="00052058"/>
    <w:rsid w:val="0005208E"/>
    <w:rsid w:val="000522D3"/>
    <w:rsid w:val="000524EB"/>
    <w:rsid w:val="00052551"/>
    <w:rsid w:val="00052602"/>
    <w:rsid w:val="00052AF4"/>
    <w:rsid w:val="00052B22"/>
    <w:rsid w:val="00052B2D"/>
    <w:rsid w:val="00052D4C"/>
    <w:rsid w:val="00052F1C"/>
    <w:rsid w:val="0005306E"/>
    <w:rsid w:val="000530A4"/>
    <w:rsid w:val="0005316D"/>
    <w:rsid w:val="00053453"/>
    <w:rsid w:val="00053DF9"/>
    <w:rsid w:val="000542FC"/>
    <w:rsid w:val="00054330"/>
    <w:rsid w:val="0005437A"/>
    <w:rsid w:val="0005440F"/>
    <w:rsid w:val="0005471E"/>
    <w:rsid w:val="00055628"/>
    <w:rsid w:val="00055C29"/>
    <w:rsid w:val="00055CCE"/>
    <w:rsid w:val="00055E50"/>
    <w:rsid w:val="00056115"/>
    <w:rsid w:val="0005640C"/>
    <w:rsid w:val="00056744"/>
    <w:rsid w:val="00056C36"/>
    <w:rsid w:val="00056CDD"/>
    <w:rsid w:val="00057191"/>
    <w:rsid w:val="000571F5"/>
    <w:rsid w:val="000572B7"/>
    <w:rsid w:val="0005738C"/>
    <w:rsid w:val="000576F5"/>
    <w:rsid w:val="00060033"/>
    <w:rsid w:val="00060234"/>
    <w:rsid w:val="0006033B"/>
    <w:rsid w:val="000606C0"/>
    <w:rsid w:val="0006094D"/>
    <w:rsid w:val="0006140F"/>
    <w:rsid w:val="000615D8"/>
    <w:rsid w:val="0006185C"/>
    <w:rsid w:val="000618AB"/>
    <w:rsid w:val="00061973"/>
    <w:rsid w:val="0006198E"/>
    <w:rsid w:val="00061E7D"/>
    <w:rsid w:val="00062124"/>
    <w:rsid w:val="0006214F"/>
    <w:rsid w:val="000621C8"/>
    <w:rsid w:val="00062766"/>
    <w:rsid w:val="00062932"/>
    <w:rsid w:val="00062BEB"/>
    <w:rsid w:val="00062DC9"/>
    <w:rsid w:val="00062DF0"/>
    <w:rsid w:val="00062E00"/>
    <w:rsid w:val="00063349"/>
    <w:rsid w:val="0006337E"/>
    <w:rsid w:val="0006358C"/>
    <w:rsid w:val="00063737"/>
    <w:rsid w:val="00064188"/>
    <w:rsid w:val="00064350"/>
    <w:rsid w:val="0006489A"/>
    <w:rsid w:val="00064D09"/>
    <w:rsid w:val="00064EB0"/>
    <w:rsid w:val="0006518A"/>
    <w:rsid w:val="000657BF"/>
    <w:rsid w:val="000657DF"/>
    <w:rsid w:val="00065B9C"/>
    <w:rsid w:val="0006623C"/>
    <w:rsid w:val="00066269"/>
    <w:rsid w:val="000663E0"/>
    <w:rsid w:val="00066473"/>
    <w:rsid w:val="0006664F"/>
    <w:rsid w:val="00066BD3"/>
    <w:rsid w:val="00066C24"/>
    <w:rsid w:val="000674EB"/>
    <w:rsid w:val="0006757E"/>
    <w:rsid w:val="000678C2"/>
    <w:rsid w:val="0006794E"/>
    <w:rsid w:val="00067B81"/>
    <w:rsid w:val="00067BF8"/>
    <w:rsid w:val="000701B5"/>
    <w:rsid w:val="000705B0"/>
    <w:rsid w:val="00070B19"/>
    <w:rsid w:val="00070FCA"/>
    <w:rsid w:val="00071661"/>
    <w:rsid w:val="00071A47"/>
    <w:rsid w:val="00071D2E"/>
    <w:rsid w:val="00071D84"/>
    <w:rsid w:val="00072223"/>
    <w:rsid w:val="0007252A"/>
    <w:rsid w:val="0007287F"/>
    <w:rsid w:val="000728D3"/>
    <w:rsid w:val="00072A17"/>
    <w:rsid w:val="00072A8E"/>
    <w:rsid w:val="00073122"/>
    <w:rsid w:val="0007323B"/>
    <w:rsid w:val="00073522"/>
    <w:rsid w:val="0007393F"/>
    <w:rsid w:val="000739EB"/>
    <w:rsid w:val="00073D0C"/>
    <w:rsid w:val="00073E5F"/>
    <w:rsid w:val="00073FA1"/>
    <w:rsid w:val="000746F4"/>
    <w:rsid w:val="00074DC7"/>
    <w:rsid w:val="000750F1"/>
    <w:rsid w:val="00075604"/>
    <w:rsid w:val="000757FF"/>
    <w:rsid w:val="00075BDC"/>
    <w:rsid w:val="0007601B"/>
    <w:rsid w:val="00076086"/>
    <w:rsid w:val="000762E8"/>
    <w:rsid w:val="000764CB"/>
    <w:rsid w:val="00076550"/>
    <w:rsid w:val="0007663B"/>
    <w:rsid w:val="000769E0"/>
    <w:rsid w:val="00076B63"/>
    <w:rsid w:val="000770D1"/>
    <w:rsid w:val="000770F9"/>
    <w:rsid w:val="00077329"/>
    <w:rsid w:val="000777C5"/>
    <w:rsid w:val="00077C19"/>
    <w:rsid w:val="00077CB0"/>
    <w:rsid w:val="00080027"/>
    <w:rsid w:val="000807A0"/>
    <w:rsid w:val="00080BB3"/>
    <w:rsid w:val="00080F5A"/>
    <w:rsid w:val="00081454"/>
    <w:rsid w:val="00081597"/>
    <w:rsid w:val="00081B23"/>
    <w:rsid w:val="00082376"/>
    <w:rsid w:val="00082CB1"/>
    <w:rsid w:val="000830DD"/>
    <w:rsid w:val="000830EC"/>
    <w:rsid w:val="00083273"/>
    <w:rsid w:val="000834BE"/>
    <w:rsid w:val="00083720"/>
    <w:rsid w:val="0008379A"/>
    <w:rsid w:val="00083994"/>
    <w:rsid w:val="00083D39"/>
    <w:rsid w:val="00083F8C"/>
    <w:rsid w:val="00084049"/>
    <w:rsid w:val="000842BE"/>
    <w:rsid w:val="0008463A"/>
    <w:rsid w:val="00084794"/>
    <w:rsid w:val="000847B1"/>
    <w:rsid w:val="000847C4"/>
    <w:rsid w:val="00084999"/>
    <w:rsid w:val="000849BA"/>
    <w:rsid w:val="00084AC4"/>
    <w:rsid w:val="00084B96"/>
    <w:rsid w:val="00084BA2"/>
    <w:rsid w:val="00084D70"/>
    <w:rsid w:val="00084E18"/>
    <w:rsid w:val="000850E3"/>
    <w:rsid w:val="000856FE"/>
    <w:rsid w:val="000859D4"/>
    <w:rsid w:val="00085A29"/>
    <w:rsid w:val="00085E9F"/>
    <w:rsid w:val="00085EA2"/>
    <w:rsid w:val="0008629D"/>
    <w:rsid w:val="000862EB"/>
    <w:rsid w:val="0008636E"/>
    <w:rsid w:val="0008678B"/>
    <w:rsid w:val="00086C88"/>
    <w:rsid w:val="00086EAB"/>
    <w:rsid w:val="00087041"/>
    <w:rsid w:val="00087C33"/>
    <w:rsid w:val="00087D2F"/>
    <w:rsid w:val="0009004C"/>
    <w:rsid w:val="00090149"/>
    <w:rsid w:val="00090289"/>
    <w:rsid w:val="000902A4"/>
    <w:rsid w:val="00090774"/>
    <w:rsid w:val="00090A1B"/>
    <w:rsid w:val="00090A9D"/>
    <w:rsid w:val="000912EE"/>
    <w:rsid w:val="0009141E"/>
    <w:rsid w:val="00091878"/>
    <w:rsid w:val="00091BC0"/>
    <w:rsid w:val="00091CD3"/>
    <w:rsid w:val="00092566"/>
    <w:rsid w:val="000929AF"/>
    <w:rsid w:val="000929BB"/>
    <w:rsid w:val="00092A66"/>
    <w:rsid w:val="00092B8A"/>
    <w:rsid w:val="000930D8"/>
    <w:rsid w:val="000933CB"/>
    <w:rsid w:val="000936AF"/>
    <w:rsid w:val="00093901"/>
    <w:rsid w:val="00093918"/>
    <w:rsid w:val="00093BB4"/>
    <w:rsid w:val="00093E7B"/>
    <w:rsid w:val="00094222"/>
    <w:rsid w:val="00094447"/>
    <w:rsid w:val="000948CE"/>
    <w:rsid w:val="000950E4"/>
    <w:rsid w:val="00095279"/>
    <w:rsid w:val="00095553"/>
    <w:rsid w:val="000958E9"/>
    <w:rsid w:val="00095B1E"/>
    <w:rsid w:val="00095E7F"/>
    <w:rsid w:val="00095FAE"/>
    <w:rsid w:val="0009606E"/>
    <w:rsid w:val="000960AC"/>
    <w:rsid w:val="0009621B"/>
    <w:rsid w:val="000967B9"/>
    <w:rsid w:val="00096891"/>
    <w:rsid w:val="00096AC1"/>
    <w:rsid w:val="00096C97"/>
    <w:rsid w:val="00096EDC"/>
    <w:rsid w:val="00096F2B"/>
    <w:rsid w:val="00097340"/>
    <w:rsid w:val="00097389"/>
    <w:rsid w:val="000979CF"/>
    <w:rsid w:val="00097ABD"/>
    <w:rsid w:val="00097BBB"/>
    <w:rsid w:val="000A0736"/>
    <w:rsid w:val="000A0916"/>
    <w:rsid w:val="000A0CF7"/>
    <w:rsid w:val="000A0DAF"/>
    <w:rsid w:val="000A0DB5"/>
    <w:rsid w:val="000A0E4A"/>
    <w:rsid w:val="000A0E71"/>
    <w:rsid w:val="000A154B"/>
    <w:rsid w:val="000A1605"/>
    <w:rsid w:val="000A1732"/>
    <w:rsid w:val="000A1801"/>
    <w:rsid w:val="000A185B"/>
    <w:rsid w:val="000A221F"/>
    <w:rsid w:val="000A2854"/>
    <w:rsid w:val="000A28A2"/>
    <w:rsid w:val="000A2C3E"/>
    <w:rsid w:val="000A2F03"/>
    <w:rsid w:val="000A2F73"/>
    <w:rsid w:val="000A3076"/>
    <w:rsid w:val="000A35DA"/>
    <w:rsid w:val="000A35FB"/>
    <w:rsid w:val="000A382B"/>
    <w:rsid w:val="000A3B8C"/>
    <w:rsid w:val="000A3B8E"/>
    <w:rsid w:val="000A4215"/>
    <w:rsid w:val="000A450A"/>
    <w:rsid w:val="000A49EF"/>
    <w:rsid w:val="000A4D44"/>
    <w:rsid w:val="000A4F16"/>
    <w:rsid w:val="000A527C"/>
    <w:rsid w:val="000A53FB"/>
    <w:rsid w:val="000A5456"/>
    <w:rsid w:val="000A5580"/>
    <w:rsid w:val="000A5709"/>
    <w:rsid w:val="000A58BA"/>
    <w:rsid w:val="000A5914"/>
    <w:rsid w:val="000A5925"/>
    <w:rsid w:val="000A5A56"/>
    <w:rsid w:val="000A5E77"/>
    <w:rsid w:val="000A6262"/>
    <w:rsid w:val="000A65A4"/>
    <w:rsid w:val="000A6731"/>
    <w:rsid w:val="000A6B34"/>
    <w:rsid w:val="000A6CB2"/>
    <w:rsid w:val="000A6F7E"/>
    <w:rsid w:val="000A7133"/>
    <w:rsid w:val="000A738B"/>
    <w:rsid w:val="000A7990"/>
    <w:rsid w:val="000A7B3B"/>
    <w:rsid w:val="000A7BA1"/>
    <w:rsid w:val="000A7EB8"/>
    <w:rsid w:val="000A7FF6"/>
    <w:rsid w:val="000B002F"/>
    <w:rsid w:val="000B076B"/>
    <w:rsid w:val="000B0851"/>
    <w:rsid w:val="000B09FE"/>
    <w:rsid w:val="000B0B62"/>
    <w:rsid w:val="000B0BE4"/>
    <w:rsid w:val="000B1215"/>
    <w:rsid w:val="000B121C"/>
    <w:rsid w:val="000B1321"/>
    <w:rsid w:val="000B14C2"/>
    <w:rsid w:val="000B14E9"/>
    <w:rsid w:val="000B15EF"/>
    <w:rsid w:val="000B198F"/>
    <w:rsid w:val="000B1C3C"/>
    <w:rsid w:val="000B1E7C"/>
    <w:rsid w:val="000B2D42"/>
    <w:rsid w:val="000B2F28"/>
    <w:rsid w:val="000B3096"/>
    <w:rsid w:val="000B3C57"/>
    <w:rsid w:val="000B4349"/>
    <w:rsid w:val="000B44BF"/>
    <w:rsid w:val="000B4599"/>
    <w:rsid w:val="000B4E57"/>
    <w:rsid w:val="000B5556"/>
    <w:rsid w:val="000B566D"/>
    <w:rsid w:val="000B5783"/>
    <w:rsid w:val="000B5984"/>
    <w:rsid w:val="000B5B91"/>
    <w:rsid w:val="000B5C36"/>
    <w:rsid w:val="000B5D3F"/>
    <w:rsid w:val="000B5D5B"/>
    <w:rsid w:val="000B61A4"/>
    <w:rsid w:val="000B682A"/>
    <w:rsid w:val="000B6B81"/>
    <w:rsid w:val="000B6F61"/>
    <w:rsid w:val="000B6FB0"/>
    <w:rsid w:val="000B6FCC"/>
    <w:rsid w:val="000B7108"/>
    <w:rsid w:val="000B77AF"/>
    <w:rsid w:val="000B78A2"/>
    <w:rsid w:val="000B7E74"/>
    <w:rsid w:val="000C00BE"/>
    <w:rsid w:val="000C0E57"/>
    <w:rsid w:val="000C1370"/>
    <w:rsid w:val="000C1465"/>
    <w:rsid w:val="000C178D"/>
    <w:rsid w:val="000C1811"/>
    <w:rsid w:val="000C1AE5"/>
    <w:rsid w:val="000C1CE3"/>
    <w:rsid w:val="000C1FE0"/>
    <w:rsid w:val="000C224A"/>
    <w:rsid w:val="000C2325"/>
    <w:rsid w:val="000C249B"/>
    <w:rsid w:val="000C2A7C"/>
    <w:rsid w:val="000C2B2C"/>
    <w:rsid w:val="000C2BFB"/>
    <w:rsid w:val="000C323C"/>
    <w:rsid w:val="000C3247"/>
    <w:rsid w:val="000C3629"/>
    <w:rsid w:val="000C3633"/>
    <w:rsid w:val="000C38E6"/>
    <w:rsid w:val="000C3E37"/>
    <w:rsid w:val="000C4089"/>
    <w:rsid w:val="000C44D4"/>
    <w:rsid w:val="000C4904"/>
    <w:rsid w:val="000C498B"/>
    <w:rsid w:val="000C4A36"/>
    <w:rsid w:val="000C4C07"/>
    <w:rsid w:val="000C4EB6"/>
    <w:rsid w:val="000C4F91"/>
    <w:rsid w:val="000C5027"/>
    <w:rsid w:val="000C508C"/>
    <w:rsid w:val="000C5A52"/>
    <w:rsid w:val="000C601E"/>
    <w:rsid w:val="000C6289"/>
    <w:rsid w:val="000C6368"/>
    <w:rsid w:val="000C65B4"/>
    <w:rsid w:val="000C692D"/>
    <w:rsid w:val="000C702F"/>
    <w:rsid w:val="000C7164"/>
    <w:rsid w:val="000C72D6"/>
    <w:rsid w:val="000C7719"/>
    <w:rsid w:val="000C779F"/>
    <w:rsid w:val="000C7888"/>
    <w:rsid w:val="000C794F"/>
    <w:rsid w:val="000C7AF7"/>
    <w:rsid w:val="000C7B42"/>
    <w:rsid w:val="000C7C8A"/>
    <w:rsid w:val="000C7FDE"/>
    <w:rsid w:val="000D03B1"/>
    <w:rsid w:val="000D044E"/>
    <w:rsid w:val="000D0474"/>
    <w:rsid w:val="000D0633"/>
    <w:rsid w:val="000D072E"/>
    <w:rsid w:val="000D078A"/>
    <w:rsid w:val="000D09D5"/>
    <w:rsid w:val="000D13F7"/>
    <w:rsid w:val="000D169E"/>
    <w:rsid w:val="000D190F"/>
    <w:rsid w:val="000D1DD8"/>
    <w:rsid w:val="000D1E3D"/>
    <w:rsid w:val="000D1F48"/>
    <w:rsid w:val="000D2A50"/>
    <w:rsid w:val="000D2B85"/>
    <w:rsid w:val="000D2C63"/>
    <w:rsid w:val="000D2C68"/>
    <w:rsid w:val="000D2E26"/>
    <w:rsid w:val="000D2F57"/>
    <w:rsid w:val="000D305D"/>
    <w:rsid w:val="000D35FC"/>
    <w:rsid w:val="000D36AF"/>
    <w:rsid w:val="000D3958"/>
    <w:rsid w:val="000D39F0"/>
    <w:rsid w:val="000D3BBB"/>
    <w:rsid w:val="000D407C"/>
    <w:rsid w:val="000D47F1"/>
    <w:rsid w:val="000D4B42"/>
    <w:rsid w:val="000D4C28"/>
    <w:rsid w:val="000D4C36"/>
    <w:rsid w:val="000D4DAF"/>
    <w:rsid w:val="000D5144"/>
    <w:rsid w:val="000D52CD"/>
    <w:rsid w:val="000D5337"/>
    <w:rsid w:val="000D55E4"/>
    <w:rsid w:val="000D590A"/>
    <w:rsid w:val="000D5B61"/>
    <w:rsid w:val="000D5E0A"/>
    <w:rsid w:val="000D60E6"/>
    <w:rsid w:val="000D638B"/>
    <w:rsid w:val="000D63A3"/>
    <w:rsid w:val="000D654B"/>
    <w:rsid w:val="000D66B5"/>
    <w:rsid w:val="000D679A"/>
    <w:rsid w:val="000D6865"/>
    <w:rsid w:val="000D6922"/>
    <w:rsid w:val="000D6DA5"/>
    <w:rsid w:val="000D6F89"/>
    <w:rsid w:val="000D7205"/>
    <w:rsid w:val="000D7219"/>
    <w:rsid w:val="000D7235"/>
    <w:rsid w:val="000D7822"/>
    <w:rsid w:val="000D7DD7"/>
    <w:rsid w:val="000D7E08"/>
    <w:rsid w:val="000E00AF"/>
    <w:rsid w:val="000E028E"/>
    <w:rsid w:val="000E029C"/>
    <w:rsid w:val="000E036A"/>
    <w:rsid w:val="000E0486"/>
    <w:rsid w:val="000E08A3"/>
    <w:rsid w:val="000E0A0D"/>
    <w:rsid w:val="000E0A5E"/>
    <w:rsid w:val="000E0C24"/>
    <w:rsid w:val="000E0C3C"/>
    <w:rsid w:val="000E0D5B"/>
    <w:rsid w:val="000E0D60"/>
    <w:rsid w:val="000E0F63"/>
    <w:rsid w:val="000E1114"/>
    <w:rsid w:val="000E1143"/>
    <w:rsid w:val="000E14F1"/>
    <w:rsid w:val="000E17B4"/>
    <w:rsid w:val="000E1E49"/>
    <w:rsid w:val="000E2223"/>
    <w:rsid w:val="000E2409"/>
    <w:rsid w:val="000E2458"/>
    <w:rsid w:val="000E24DC"/>
    <w:rsid w:val="000E307C"/>
    <w:rsid w:val="000E3323"/>
    <w:rsid w:val="000E3666"/>
    <w:rsid w:val="000E38DB"/>
    <w:rsid w:val="000E38F6"/>
    <w:rsid w:val="000E39C5"/>
    <w:rsid w:val="000E3A6A"/>
    <w:rsid w:val="000E3BA3"/>
    <w:rsid w:val="000E3E1D"/>
    <w:rsid w:val="000E42CD"/>
    <w:rsid w:val="000E4332"/>
    <w:rsid w:val="000E46C7"/>
    <w:rsid w:val="000E47B5"/>
    <w:rsid w:val="000E4A13"/>
    <w:rsid w:val="000E4A15"/>
    <w:rsid w:val="000E4A8D"/>
    <w:rsid w:val="000E4D33"/>
    <w:rsid w:val="000E4F0B"/>
    <w:rsid w:val="000E52ED"/>
    <w:rsid w:val="000E5664"/>
    <w:rsid w:val="000E5988"/>
    <w:rsid w:val="000E5BEF"/>
    <w:rsid w:val="000E5F9F"/>
    <w:rsid w:val="000E5FCC"/>
    <w:rsid w:val="000E6112"/>
    <w:rsid w:val="000E6134"/>
    <w:rsid w:val="000E6169"/>
    <w:rsid w:val="000E6716"/>
    <w:rsid w:val="000E672D"/>
    <w:rsid w:val="000E6767"/>
    <w:rsid w:val="000E7AF3"/>
    <w:rsid w:val="000E7DB3"/>
    <w:rsid w:val="000F019D"/>
    <w:rsid w:val="000F0564"/>
    <w:rsid w:val="000F0705"/>
    <w:rsid w:val="000F0F07"/>
    <w:rsid w:val="000F0F83"/>
    <w:rsid w:val="000F14A4"/>
    <w:rsid w:val="000F15B3"/>
    <w:rsid w:val="000F15F7"/>
    <w:rsid w:val="000F16E8"/>
    <w:rsid w:val="000F1D0F"/>
    <w:rsid w:val="000F1E97"/>
    <w:rsid w:val="000F2131"/>
    <w:rsid w:val="000F2913"/>
    <w:rsid w:val="000F29B5"/>
    <w:rsid w:val="000F2C02"/>
    <w:rsid w:val="000F2D06"/>
    <w:rsid w:val="000F2E85"/>
    <w:rsid w:val="000F2F0C"/>
    <w:rsid w:val="000F35E3"/>
    <w:rsid w:val="000F35F3"/>
    <w:rsid w:val="000F3957"/>
    <w:rsid w:val="000F3A46"/>
    <w:rsid w:val="000F3B1C"/>
    <w:rsid w:val="000F3C37"/>
    <w:rsid w:val="000F405C"/>
    <w:rsid w:val="000F41FD"/>
    <w:rsid w:val="000F4384"/>
    <w:rsid w:val="000F4E40"/>
    <w:rsid w:val="000F5057"/>
    <w:rsid w:val="000F508E"/>
    <w:rsid w:val="000F5527"/>
    <w:rsid w:val="000F553C"/>
    <w:rsid w:val="000F5698"/>
    <w:rsid w:val="000F5D36"/>
    <w:rsid w:val="000F5EB7"/>
    <w:rsid w:val="000F6212"/>
    <w:rsid w:val="000F6382"/>
    <w:rsid w:val="000F6A40"/>
    <w:rsid w:val="000F6A9F"/>
    <w:rsid w:val="000F6C3A"/>
    <w:rsid w:val="000F6D2B"/>
    <w:rsid w:val="000F6D2C"/>
    <w:rsid w:val="000F7192"/>
    <w:rsid w:val="000F77AA"/>
    <w:rsid w:val="000F795B"/>
    <w:rsid w:val="000F7A2A"/>
    <w:rsid w:val="000F7F56"/>
    <w:rsid w:val="001000A6"/>
    <w:rsid w:val="001001FE"/>
    <w:rsid w:val="0010058B"/>
    <w:rsid w:val="00100E3A"/>
    <w:rsid w:val="001010BE"/>
    <w:rsid w:val="00101360"/>
    <w:rsid w:val="00101495"/>
    <w:rsid w:val="00101500"/>
    <w:rsid w:val="0010150D"/>
    <w:rsid w:val="00101913"/>
    <w:rsid w:val="00101FBD"/>
    <w:rsid w:val="00102327"/>
    <w:rsid w:val="0010233D"/>
    <w:rsid w:val="001023F9"/>
    <w:rsid w:val="00102458"/>
    <w:rsid w:val="001029E6"/>
    <w:rsid w:val="00103201"/>
    <w:rsid w:val="0010362A"/>
    <w:rsid w:val="00103AEA"/>
    <w:rsid w:val="00103B52"/>
    <w:rsid w:val="00103CB1"/>
    <w:rsid w:val="00103D1D"/>
    <w:rsid w:val="00103EAC"/>
    <w:rsid w:val="00104030"/>
    <w:rsid w:val="0010493A"/>
    <w:rsid w:val="0010496D"/>
    <w:rsid w:val="00104B9F"/>
    <w:rsid w:val="00105009"/>
    <w:rsid w:val="001057FF"/>
    <w:rsid w:val="00105E1B"/>
    <w:rsid w:val="001060EB"/>
    <w:rsid w:val="00106124"/>
    <w:rsid w:val="00106685"/>
    <w:rsid w:val="00106AA1"/>
    <w:rsid w:val="00107166"/>
    <w:rsid w:val="0010727D"/>
    <w:rsid w:val="00107844"/>
    <w:rsid w:val="00107A67"/>
    <w:rsid w:val="00107B04"/>
    <w:rsid w:val="00107BC6"/>
    <w:rsid w:val="00107D95"/>
    <w:rsid w:val="00107E77"/>
    <w:rsid w:val="00107F5F"/>
    <w:rsid w:val="0011014E"/>
    <w:rsid w:val="0011023E"/>
    <w:rsid w:val="00110359"/>
    <w:rsid w:val="00110A52"/>
    <w:rsid w:val="00110FDE"/>
    <w:rsid w:val="00111344"/>
    <w:rsid w:val="001113DC"/>
    <w:rsid w:val="0011165B"/>
    <w:rsid w:val="001116B7"/>
    <w:rsid w:val="00111716"/>
    <w:rsid w:val="001117DC"/>
    <w:rsid w:val="00111AD7"/>
    <w:rsid w:val="00111E29"/>
    <w:rsid w:val="00111EFA"/>
    <w:rsid w:val="00112275"/>
    <w:rsid w:val="00112464"/>
    <w:rsid w:val="00112DB9"/>
    <w:rsid w:val="00112F97"/>
    <w:rsid w:val="00112FA7"/>
    <w:rsid w:val="00113A48"/>
    <w:rsid w:val="00113C5B"/>
    <w:rsid w:val="00114086"/>
    <w:rsid w:val="00114352"/>
    <w:rsid w:val="00114631"/>
    <w:rsid w:val="001148FF"/>
    <w:rsid w:val="00114AA8"/>
    <w:rsid w:val="00114F7A"/>
    <w:rsid w:val="00115044"/>
    <w:rsid w:val="001151D3"/>
    <w:rsid w:val="00115A00"/>
    <w:rsid w:val="00115AC0"/>
    <w:rsid w:val="00115B0F"/>
    <w:rsid w:val="0011624E"/>
    <w:rsid w:val="00116479"/>
    <w:rsid w:val="001167EB"/>
    <w:rsid w:val="00116E23"/>
    <w:rsid w:val="00116EE5"/>
    <w:rsid w:val="00116FD9"/>
    <w:rsid w:val="0011737C"/>
    <w:rsid w:val="00117C18"/>
    <w:rsid w:val="00117C4D"/>
    <w:rsid w:val="001200F5"/>
    <w:rsid w:val="00120666"/>
    <w:rsid w:val="001207AC"/>
    <w:rsid w:val="001209D9"/>
    <w:rsid w:val="00120FC7"/>
    <w:rsid w:val="00121206"/>
    <w:rsid w:val="00121224"/>
    <w:rsid w:val="0012170E"/>
    <w:rsid w:val="00121765"/>
    <w:rsid w:val="00121D48"/>
    <w:rsid w:val="00122251"/>
    <w:rsid w:val="00122491"/>
    <w:rsid w:val="00123411"/>
    <w:rsid w:val="0012341F"/>
    <w:rsid w:val="001234A4"/>
    <w:rsid w:val="0012381C"/>
    <w:rsid w:val="00123B15"/>
    <w:rsid w:val="00123BCC"/>
    <w:rsid w:val="00123F5E"/>
    <w:rsid w:val="00124379"/>
    <w:rsid w:val="001244D3"/>
    <w:rsid w:val="00124829"/>
    <w:rsid w:val="001249FD"/>
    <w:rsid w:val="00124CED"/>
    <w:rsid w:val="00124CF9"/>
    <w:rsid w:val="00124D3A"/>
    <w:rsid w:val="00124FC3"/>
    <w:rsid w:val="001256F7"/>
    <w:rsid w:val="001259FC"/>
    <w:rsid w:val="00125A09"/>
    <w:rsid w:val="00125B70"/>
    <w:rsid w:val="00125C65"/>
    <w:rsid w:val="00126195"/>
    <w:rsid w:val="0012699E"/>
    <w:rsid w:val="001269DB"/>
    <w:rsid w:val="00126B73"/>
    <w:rsid w:val="00126CBD"/>
    <w:rsid w:val="00126D4F"/>
    <w:rsid w:val="00126F15"/>
    <w:rsid w:val="001271FB"/>
    <w:rsid w:val="001273E1"/>
    <w:rsid w:val="00127B2E"/>
    <w:rsid w:val="00127D40"/>
    <w:rsid w:val="00130056"/>
    <w:rsid w:val="001300BD"/>
    <w:rsid w:val="001307B7"/>
    <w:rsid w:val="00130851"/>
    <w:rsid w:val="00130903"/>
    <w:rsid w:val="00130CC9"/>
    <w:rsid w:val="00130F55"/>
    <w:rsid w:val="00131163"/>
    <w:rsid w:val="00131266"/>
    <w:rsid w:val="001313F3"/>
    <w:rsid w:val="001314CC"/>
    <w:rsid w:val="00131AFA"/>
    <w:rsid w:val="00131C87"/>
    <w:rsid w:val="00132034"/>
    <w:rsid w:val="00132452"/>
    <w:rsid w:val="0013274F"/>
    <w:rsid w:val="0013275E"/>
    <w:rsid w:val="00132978"/>
    <w:rsid w:val="00132D52"/>
    <w:rsid w:val="00132E8F"/>
    <w:rsid w:val="00133071"/>
    <w:rsid w:val="0013307D"/>
    <w:rsid w:val="0013312B"/>
    <w:rsid w:val="001332E7"/>
    <w:rsid w:val="00133CF5"/>
    <w:rsid w:val="00133D2B"/>
    <w:rsid w:val="00133DCD"/>
    <w:rsid w:val="00133F42"/>
    <w:rsid w:val="00133F6E"/>
    <w:rsid w:val="0013404B"/>
    <w:rsid w:val="0013418F"/>
    <w:rsid w:val="00134A6A"/>
    <w:rsid w:val="00134CF6"/>
    <w:rsid w:val="00134DE8"/>
    <w:rsid w:val="00134F8C"/>
    <w:rsid w:val="0013505E"/>
    <w:rsid w:val="00135BAB"/>
    <w:rsid w:val="00135FB6"/>
    <w:rsid w:val="00136081"/>
    <w:rsid w:val="0013611B"/>
    <w:rsid w:val="00136237"/>
    <w:rsid w:val="00136B57"/>
    <w:rsid w:val="00136D13"/>
    <w:rsid w:val="00136D3E"/>
    <w:rsid w:val="00136DA1"/>
    <w:rsid w:val="00137175"/>
    <w:rsid w:val="001372A0"/>
    <w:rsid w:val="00137404"/>
    <w:rsid w:val="00137779"/>
    <w:rsid w:val="00137D84"/>
    <w:rsid w:val="00140033"/>
    <w:rsid w:val="00140569"/>
    <w:rsid w:val="00140643"/>
    <w:rsid w:val="0014098D"/>
    <w:rsid w:val="00140B29"/>
    <w:rsid w:val="00141973"/>
    <w:rsid w:val="00141E22"/>
    <w:rsid w:val="001420F7"/>
    <w:rsid w:val="001421E9"/>
    <w:rsid w:val="00142658"/>
    <w:rsid w:val="0014292F"/>
    <w:rsid w:val="00142F82"/>
    <w:rsid w:val="0014300C"/>
    <w:rsid w:val="00143053"/>
    <w:rsid w:val="0014313B"/>
    <w:rsid w:val="0014353C"/>
    <w:rsid w:val="00143790"/>
    <w:rsid w:val="001437CF"/>
    <w:rsid w:val="00143895"/>
    <w:rsid w:val="001439DA"/>
    <w:rsid w:val="00143E28"/>
    <w:rsid w:val="00143EA2"/>
    <w:rsid w:val="00144174"/>
    <w:rsid w:val="001444CE"/>
    <w:rsid w:val="00144542"/>
    <w:rsid w:val="001445A1"/>
    <w:rsid w:val="0014479C"/>
    <w:rsid w:val="001447CB"/>
    <w:rsid w:val="0014485B"/>
    <w:rsid w:val="00144B8B"/>
    <w:rsid w:val="00144F71"/>
    <w:rsid w:val="001451EA"/>
    <w:rsid w:val="0014559C"/>
    <w:rsid w:val="001456ED"/>
    <w:rsid w:val="00145782"/>
    <w:rsid w:val="0014592D"/>
    <w:rsid w:val="001459ED"/>
    <w:rsid w:val="00145AC5"/>
    <w:rsid w:val="00145C2F"/>
    <w:rsid w:val="00145CDC"/>
    <w:rsid w:val="00146026"/>
    <w:rsid w:val="001461C9"/>
    <w:rsid w:val="00146395"/>
    <w:rsid w:val="001465B7"/>
    <w:rsid w:val="00146885"/>
    <w:rsid w:val="00146ED4"/>
    <w:rsid w:val="00147568"/>
    <w:rsid w:val="001475A7"/>
    <w:rsid w:val="00147614"/>
    <w:rsid w:val="00147676"/>
    <w:rsid w:val="0015030C"/>
    <w:rsid w:val="0015067D"/>
    <w:rsid w:val="00150984"/>
    <w:rsid w:val="00150D3B"/>
    <w:rsid w:val="00150DA9"/>
    <w:rsid w:val="001519CA"/>
    <w:rsid w:val="00151A11"/>
    <w:rsid w:val="00151B5C"/>
    <w:rsid w:val="00151EC9"/>
    <w:rsid w:val="00152F74"/>
    <w:rsid w:val="0015326A"/>
    <w:rsid w:val="001533B9"/>
    <w:rsid w:val="0015356D"/>
    <w:rsid w:val="0015369C"/>
    <w:rsid w:val="00153811"/>
    <w:rsid w:val="00153826"/>
    <w:rsid w:val="0015386B"/>
    <w:rsid w:val="0015391B"/>
    <w:rsid w:val="001539C8"/>
    <w:rsid w:val="00153B66"/>
    <w:rsid w:val="00154122"/>
    <w:rsid w:val="001546CD"/>
    <w:rsid w:val="0015470F"/>
    <w:rsid w:val="001547CE"/>
    <w:rsid w:val="001547F4"/>
    <w:rsid w:val="00154A40"/>
    <w:rsid w:val="00154E56"/>
    <w:rsid w:val="00154F4A"/>
    <w:rsid w:val="0015522D"/>
    <w:rsid w:val="001552A9"/>
    <w:rsid w:val="001552D1"/>
    <w:rsid w:val="00155519"/>
    <w:rsid w:val="00155546"/>
    <w:rsid w:val="001557FF"/>
    <w:rsid w:val="00155E21"/>
    <w:rsid w:val="00155E5C"/>
    <w:rsid w:val="00155EF9"/>
    <w:rsid w:val="001560BD"/>
    <w:rsid w:val="001560D6"/>
    <w:rsid w:val="00156555"/>
    <w:rsid w:val="00156EEA"/>
    <w:rsid w:val="001573E6"/>
    <w:rsid w:val="00157D5C"/>
    <w:rsid w:val="00157DE1"/>
    <w:rsid w:val="00160633"/>
    <w:rsid w:val="00160786"/>
    <w:rsid w:val="001608AF"/>
    <w:rsid w:val="001608E6"/>
    <w:rsid w:val="00160F31"/>
    <w:rsid w:val="00162385"/>
    <w:rsid w:val="001623AB"/>
    <w:rsid w:val="001623D9"/>
    <w:rsid w:val="001623DE"/>
    <w:rsid w:val="0016246C"/>
    <w:rsid w:val="001624BF"/>
    <w:rsid w:val="00162511"/>
    <w:rsid w:val="001625D5"/>
    <w:rsid w:val="00162B7F"/>
    <w:rsid w:val="00162E4F"/>
    <w:rsid w:val="00162EEE"/>
    <w:rsid w:val="001635C9"/>
    <w:rsid w:val="001637A7"/>
    <w:rsid w:val="00163975"/>
    <w:rsid w:val="00163B4E"/>
    <w:rsid w:val="00164314"/>
    <w:rsid w:val="0016469A"/>
    <w:rsid w:val="00164A0B"/>
    <w:rsid w:val="00164A2A"/>
    <w:rsid w:val="00164A55"/>
    <w:rsid w:val="00164AB6"/>
    <w:rsid w:val="00164C77"/>
    <w:rsid w:val="00164F2D"/>
    <w:rsid w:val="00164FF5"/>
    <w:rsid w:val="00165020"/>
    <w:rsid w:val="001650B6"/>
    <w:rsid w:val="001655E6"/>
    <w:rsid w:val="00165B54"/>
    <w:rsid w:val="00165F2D"/>
    <w:rsid w:val="00166393"/>
    <w:rsid w:val="00166987"/>
    <w:rsid w:val="00166A49"/>
    <w:rsid w:val="00166A67"/>
    <w:rsid w:val="00166DAC"/>
    <w:rsid w:val="00166F43"/>
    <w:rsid w:val="00167B63"/>
    <w:rsid w:val="00167B8C"/>
    <w:rsid w:val="00167D05"/>
    <w:rsid w:val="00167E59"/>
    <w:rsid w:val="0017042A"/>
    <w:rsid w:val="00170532"/>
    <w:rsid w:val="00170A70"/>
    <w:rsid w:val="00170BDE"/>
    <w:rsid w:val="00170BEE"/>
    <w:rsid w:val="001711B9"/>
    <w:rsid w:val="00171273"/>
    <w:rsid w:val="001719F5"/>
    <w:rsid w:val="00171A02"/>
    <w:rsid w:val="00171B1E"/>
    <w:rsid w:val="00171FCD"/>
    <w:rsid w:val="0017209B"/>
    <w:rsid w:val="0017219E"/>
    <w:rsid w:val="00172215"/>
    <w:rsid w:val="001723B1"/>
    <w:rsid w:val="001725C1"/>
    <w:rsid w:val="001725CD"/>
    <w:rsid w:val="0017279C"/>
    <w:rsid w:val="0017292D"/>
    <w:rsid w:val="00172939"/>
    <w:rsid w:val="00172A27"/>
    <w:rsid w:val="00172F9E"/>
    <w:rsid w:val="00173001"/>
    <w:rsid w:val="001733EE"/>
    <w:rsid w:val="0017382F"/>
    <w:rsid w:val="0017397B"/>
    <w:rsid w:val="00173C8C"/>
    <w:rsid w:val="00173EB7"/>
    <w:rsid w:val="0017450D"/>
    <w:rsid w:val="0017486D"/>
    <w:rsid w:val="001748D6"/>
    <w:rsid w:val="00174B56"/>
    <w:rsid w:val="00174E7B"/>
    <w:rsid w:val="0017588D"/>
    <w:rsid w:val="001758E6"/>
    <w:rsid w:val="00175B73"/>
    <w:rsid w:val="0017637B"/>
    <w:rsid w:val="00176B6F"/>
    <w:rsid w:val="00176EAF"/>
    <w:rsid w:val="001771DC"/>
    <w:rsid w:val="00177641"/>
    <w:rsid w:val="00177711"/>
    <w:rsid w:val="00177A8E"/>
    <w:rsid w:val="00177DD3"/>
    <w:rsid w:val="00180222"/>
    <w:rsid w:val="001804E5"/>
    <w:rsid w:val="001805B8"/>
    <w:rsid w:val="0018081B"/>
    <w:rsid w:val="00180A2D"/>
    <w:rsid w:val="00180B87"/>
    <w:rsid w:val="00180E77"/>
    <w:rsid w:val="00181013"/>
    <w:rsid w:val="001810FD"/>
    <w:rsid w:val="00181180"/>
    <w:rsid w:val="0018170F"/>
    <w:rsid w:val="00181CBD"/>
    <w:rsid w:val="00182288"/>
    <w:rsid w:val="00182415"/>
    <w:rsid w:val="00182801"/>
    <w:rsid w:val="00182BBB"/>
    <w:rsid w:val="00182C7B"/>
    <w:rsid w:val="001831B6"/>
    <w:rsid w:val="001832E2"/>
    <w:rsid w:val="00183307"/>
    <w:rsid w:val="001839DE"/>
    <w:rsid w:val="00183BEA"/>
    <w:rsid w:val="001841DF"/>
    <w:rsid w:val="00184392"/>
    <w:rsid w:val="00184540"/>
    <w:rsid w:val="001846E0"/>
    <w:rsid w:val="0018476F"/>
    <w:rsid w:val="001848CD"/>
    <w:rsid w:val="001849A4"/>
    <w:rsid w:val="00184B60"/>
    <w:rsid w:val="00184BDC"/>
    <w:rsid w:val="00184CB1"/>
    <w:rsid w:val="00185517"/>
    <w:rsid w:val="0018566B"/>
    <w:rsid w:val="00185B24"/>
    <w:rsid w:val="00185CAE"/>
    <w:rsid w:val="00185E6D"/>
    <w:rsid w:val="00185F18"/>
    <w:rsid w:val="0018636F"/>
    <w:rsid w:val="001864CE"/>
    <w:rsid w:val="001867B1"/>
    <w:rsid w:val="001867CA"/>
    <w:rsid w:val="00186813"/>
    <w:rsid w:val="001870EE"/>
    <w:rsid w:val="001877C6"/>
    <w:rsid w:val="00187920"/>
    <w:rsid w:val="00187A5F"/>
    <w:rsid w:val="00187C66"/>
    <w:rsid w:val="00187E11"/>
    <w:rsid w:val="00187E19"/>
    <w:rsid w:val="001901AB"/>
    <w:rsid w:val="00190577"/>
    <w:rsid w:val="001908D2"/>
    <w:rsid w:val="0019180D"/>
    <w:rsid w:val="00191E86"/>
    <w:rsid w:val="001926C1"/>
    <w:rsid w:val="00192952"/>
    <w:rsid w:val="00192BA8"/>
    <w:rsid w:val="00192F3F"/>
    <w:rsid w:val="00193065"/>
    <w:rsid w:val="001937DC"/>
    <w:rsid w:val="00193C9E"/>
    <w:rsid w:val="00193DD4"/>
    <w:rsid w:val="00194097"/>
    <w:rsid w:val="001942A9"/>
    <w:rsid w:val="00194591"/>
    <w:rsid w:val="0019535C"/>
    <w:rsid w:val="00195605"/>
    <w:rsid w:val="001956D6"/>
    <w:rsid w:val="00196167"/>
    <w:rsid w:val="0019675D"/>
    <w:rsid w:val="001967AE"/>
    <w:rsid w:val="001968D0"/>
    <w:rsid w:val="001969FB"/>
    <w:rsid w:val="00196CF2"/>
    <w:rsid w:val="001970A7"/>
    <w:rsid w:val="0019729B"/>
    <w:rsid w:val="00197321"/>
    <w:rsid w:val="001976F2"/>
    <w:rsid w:val="00197A17"/>
    <w:rsid w:val="00197B49"/>
    <w:rsid w:val="00197C2E"/>
    <w:rsid w:val="00197DA9"/>
    <w:rsid w:val="001A02B7"/>
    <w:rsid w:val="001A05FA"/>
    <w:rsid w:val="001A0984"/>
    <w:rsid w:val="001A0A17"/>
    <w:rsid w:val="001A0A35"/>
    <w:rsid w:val="001A0EC7"/>
    <w:rsid w:val="001A0F83"/>
    <w:rsid w:val="001A12FE"/>
    <w:rsid w:val="001A1975"/>
    <w:rsid w:val="001A1A88"/>
    <w:rsid w:val="001A1E9E"/>
    <w:rsid w:val="001A21D4"/>
    <w:rsid w:val="001A22ED"/>
    <w:rsid w:val="001A2479"/>
    <w:rsid w:val="001A26F0"/>
    <w:rsid w:val="001A28B2"/>
    <w:rsid w:val="001A2C14"/>
    <w:rsid w:val="001A2D8C"/>
    <w:rsid w:val="001A2E16"/>
    <w:rsid w:val="001A2EBE"/>
    <w:rsid w:val="001A3013"/>
    <w:rsid w:val="001A323E"/>
    <w:rsid w:val="001A35BC"/>
    <w:rsid w:val="001A3775"/>
    <w:rsid w:val="001A3B3F"/>
    <w:rsid w:val="001A3CB6"/>
    <w:rsid w:val="001A3F70"/>
    <w:rsid w:val="001A3FB6"/>
    <w:rsid w:val="001A40C0"/>
    <w:rsid w:val="001A4741"/>
    <w:rsid w:val="001A4C21"/>
    <w:rsid w:val="001A5295"/>
    <w:rsid w:val="001A5443"/>
    <w:rsid w:val="001A545E"/>
    <w:rsid w:val="001A5560"/>
    <w:rsid w:val="001A5F94"/>
    <w:rsid w:val="001A5FA5"/>
    <w:rsid w:val="001A60B7"/>
    <w:rsid w:val="001A6153"/>
    <w:rsid w:val="001A6799"/>
    <w:rsid w:val="001A6A1B"/>
    <w:rsid w:val="001A6BBB"/>
    <w:rsid w:val="001A6FCB"/>
    <w:rsid w:val="001A707C"/>
    <w:rsid w:val="001A7401"/>
    <w:rsid w:val="001A78E1"/>
    <w:rsid w:val="001A79E7"/>
    <w:rsid w:val="001A7E68"/>
    <w:rsid w:val="001A7E8B"/>
    <w:rsid w:val="001A7F98"/>
    <w:rsid w:val="001A7FD1"/>
    <w:rsid w:val="001B04C4"/>
    <w:rsid w:val="001B0CD3"/>
    <w:rsid w:val="001B0FBD"/>
    <w:rsid w:val="001B1031"/>
    <w:rsid w:val="001B18BB"/>
    <w:rsid w:val="001B1A84"/>
    <w:rsid w:val="001B2069"/>
    <w:rsid w:val="001B27E4"/>
    <w:rsid w:val="001B2B55"/>
    <w:rsid w:val="001B2EF4"/>
    <w:rsid w:val="001B3131"/>
    <w:rsid w:val="001B3374"/>
    <w:rsid w:val="001B33C7"/>
    <w:rsid w:val="001B3CDE"/>
    <w:rsid w:val="001B3E4F"/>
    <w:rsid w:val="001B42A3"/>
    <w:rsid w:val="001B45BE"/>
    <w:rsid w:val="001B46C6"/>
    <w:rsid w:val="001B48E4"/>
    <w:rsid w:val="001B497C"/>
    <w:rsid w:val="001B49B4"/>
    <w:rsid w:val="001B509A"/>
    <w:rsid w:val="001B51EC"/>
    <w:rsid w:val="001B5578"/>
    <w:rsid w:val="001B5B84"/>
    <w:rsid w:val="001B5C50"/>
    <w:rsid w:val="001B5E92"/>
    <w:rsid w:val="001B62D7"/>
    <w:rsid w:val="001B6C1C"/>
    <w:rsid w:val="001B6E32"/>
    <w:rsid w:val="001B70F7"/>
    <w:rsid w:val="001B73FC"/>
    <w:rsid w:val="001B799F"/>
    <w:rsid w:val="001B7F9D"/>
    <w:rsid w:val="001C0243"/>
    <w:rsid w:val="001C0310"/>
    <w:rsid w:val="001C0427"/>
    <w:rsid w:val="001C0C29"/>
    <w:rsid w:val="001C0DCE"/>
    <w:rsid w:val="001C188A"/>
    <w:rsid w:val="001C216B"/>
    <w:rsid w:val="001C241E"/>
    <w:rsid w:val="001C2CF5"/>
    <w:rsid w:val="001C2E02"/>
    <w:rsid w:val="001C35C4"/>
    <w:rsid w:val="001C3732"/>
    <w:rsid w:val="001C3812"/>
    <w:rsid w:val="001C3997"/>
    <w:rsid w:val="001C3A2D"/>
    <w:rsid w:val="001C3AFF"/>
    <w:rsid w:val="001C3EB2"/>
    <w:rsid w:val="001C3F71"/>
    <w:rsid w:val="001C4483"/>
    <w:rsid w:val="001C45B7"/>
    <w:rsid w:val="001C4958"/>
    <w:rsid w:val="001C49A0"/>
    <w:rsid w:val="001C4F62"/>
    <w:rsid w:val="001C5114"/>
    <w:rsid w:val="001C52E8"/>
    <w:rsid w:val="001C55BF"/>
    <w:rsid w:val="001C5973"/>
    <w:rsid w:val="001C59B6"/>
    <w:rsid w:val="001C5BFB"/>
    <w:rsid w:val="001C5C93"/>
    <w:rsid w:val="001C60C3"/>
    <w:rsid w:val="001C63EE"/>
    <w:rsid w:val="001C7330"/>
    <w:rsid w:val="001C7644"/>
    <w:rsid w:val="001C7D64"/>
    <w:rsid w:val="001C7E74"/>
    <w:rsid w:val="001D0080"/>
    <w:rsid w:val="001D02F4"/>
    <w:rsid w:val="001D0827"/>
    <w:rsid w:val="001D0C39"/>
    <w:rsid w:val="001D1203"/>
    <w:rsid w:val="001D1286"/>
    <w:rsid w:val="001D1360"/>
    <w:rsid w:val="001D150E"/>
    <w:rsid w:val="001D16FA"/>
    <w:rsid w:val="001D1E89"/>
    <w:rsid w:val="001D2368"/>
    <w:rsid w:val="001D245D"/>
    <w:rsid w:val="001D24EA"/>
    <w:rsid w:val="001D25C1"/>
    <w:rsid w:val="001D29B6"/>
    <w:rsid w:val="001D2AED"/>
    <w:rsid w:val="001D2D9A"/>
    <w:rsid w:val="001D2FB0"/>
    <w:rsid w:val="001D314D"/>
    <w:rsid w:val="001D39FA"/>
    <w:rsid w:val="001D3DB5"/>
    <w:rsid w:val="001D3EA1"/>
    <w:rsid w:val="001D437A"/>
    <w:rsid w:val="001D45E7"/>
    <w:rsid w:val="001D4D87"/>
    <w:rsid w:val="001D5B70"/>
    <w:rsid w:val="001D5F24"/>
    <w:rsid w:val="001D5FF0"/>
    <w:rsid w:val="001D6020"/>
    <w:rsid w:val="001D66C1"/>
    <w:rsid w:val="001D67C8"/>
    <w:rsid w:val="001D785A"/>
    <w:rsid w:val="001D7A9F"/>
    <w:rsid w:val="001D7ADE"/>
    <w:rsid w:val="001E08D5"/>
    <w:rsid w:val="001E0B68"/>
    <w:rsid w:val="001E10FF"/>
    <w:rsid w:val="001E1128"/>
    <w:rsid w:val="001E116A"/>
    <w:rsid w:val="001E13A4"/>
    <w:rsid w:val="001E1754"/>
    <w:rsid w:val="001E1892"/>
    <w:rsid w:val="001E1ADA"/>
    <w:rsid w:val="001E23DF"/>
    <w:rsid w:val="001E27B9"/>
    <w:rsid w:val="001E2995"/>
    <w:rsid w:val="001E32B8"/>
    <w:rsid w:val="001E33E3"/>
    <w:rsid w:val="001E3C32"/>
    <w:rsid w:val="001E3D1C"/>
    <w:rsid w:val="001E4322"/>
    <w:rsid w:val="001E433D"/>
    <w:rsid w:val="001E45F5"/>
    <w:rsid w:val="001E45FA"/>
    <w:rsid w:val="001E475F"/>
    <w:rsid w:val="001E49BC"/>
    <w:rsid w:val="001E4F89"/>
    <w:rsid w:val="001E52C2"/>
    <w:rsid w:val="001E536A"/>
    <w:rsid w:val="001E56A9"/>
    <w:rsid w:val="001E5C60"/>
    <w:rsid w:val="001E5DF4"/>
    <w:rsid w:val="001E5EE6"/>
    <w:rsid w:val="001E5F13"/>
    <w:rsid w:val="001E6290"/>
    <w:rsid w:val="001E639C"/>
    <w:rsid w:val="001E63B4"/>
    <w:rsid w:val="001E63D4"/>
    <w:rsid w:val="001E67BE"/>
    <w:rsid w:val="001E6C6D"/>
    <w:rsid w:val="001E6D93"/>
    <w:rsid w:val="001E6E92"/>
    <w:rsid w:val="001E6E93"/>
    <w:rsid w:val="001E7064"/>
    <w:rsid w:val="001E71DB"/>
    <w:rsid w:val="001E7299"/>
    <w:rsid w:val="001E7942"/>
    <w:rsid w:val="001E7AD1"/>
    <w:rsid w:val="001E7B24"/>
    <w:rsid w:val="001F0574"/>
    <w:rsid w:val="001F07D2"/>
    <w:rsid w:val="001F082D"/>
    <w:rsid w:val="001F08B9"/>
    <w:rsid w:val="001F10E2"/>
    <w:rsid w:val="001F193C"/>
    <w:rsid w:val="001F1B9B"/>
    <w:rsid w:val="001F1CB6"/>
    <w:rsid w:val="001F1CD8"/>
    <w:rsid w:val="001F1CFD"/>
    <w:rsid w:val="001F1FD6"/>
    <w:rsid w:val="001F2283"/>
    <w:rsid w:val="001F25A5"/>
    <w:rsid w:val="001F2B52"/>
    <w:rsid w:val="001F30BB"/>
    <w:rsid w:val="001F38A8"/>
    <w:rsid w:val="001F41B3"/>
    <w:rsid w:val="001F42B4"/>
    <w:rsid w:val="001F4D86"/>
    <w:rsid w:val="001F4EE7"/>
    <w:rsid w:val="001F506A"/>
    <w:rsid w:val="001F5120"/>
    <w:rsid w:val="001F550F"/>
    <w:rsid w:val="001F55E4"/>
    <w:rsid w:val="001F5934"/>
    <w:rsid w:val="001F5DF7"/>
    <w:rsid w:val="001F635E"/>
    <w:rsid w:val="001F6677"/>
    <w:rsid w:val="001F67BB"/>
    <w:rsid w:val="001F69BA"/>
    <w:rsid w:val="001F6A64"/>
    <w:rsid w:val="001F6D8B"/>
    <w:rsid w:val="001F7077"/>
    <w:rsid w:val="001F70EA"/>
    <w:rsid w:val="001F727E"/>
    <w:rsid w:val="001F7635"/>
    <w:rsid w:val="001F7C63"/>
    <w:rsid w:val="001F7CA9"/>
    <w:rsid w:val="002004A0"/>
    <w:rsid w:val="00200D2B"/>
    <w:rsid w:val="00200D8F"/>
    <w:rsid w:val="00200D93"/>
    <w:rsid w:val="002010C0"/>
    <w:rsid w:val="00201A05"/>
    <w:rsid w:val="00201A81"/>
    <w:rsid w:val="00201D89"/>
    <w:rsid w:val="00202037"/>
    <w:rsid w:val="00202045"/>
    <w:rsid w:val="0020265B"/>
    <w:rsid w:val="002029EE"/>
    <w:rsid w:val="00202C2A"/>
    <w:rsid w:val="0020316C"/>
    <w:rsid w:val="002031EC"/>
    <w:rsid w:val="002033DC"/>
    <w:rsid w:val="0020368F"/>
    <w:rsid w:val="0020394E"/>
    <w:rsid w:val="00203B45"/>
    <w:rsid w:val="00203D31"/>
    <w:rsid w:val="00203FEC"/>
    <w:rsid w:val="00204133"/>
    <w:rsid w:val="00204426"/>
    <w:rsid w:val="00204472"/>
    <w:rsid w:val="002046F1"/>
    <w:rsid w:val="0020471F"/>
    <w:rsid w:val="002048DF"/>
    <w:rsid w:val="00204A37"/>
    <w:rsid w:val="00204DC2"/>
    <w:rsid w:val="00204DD4"/>
    <w:rsid w:val="00204FB2"/>
    <w:rsid w:val="0020502A"/>
    <w:rsid w:val="002056CD"/>
    <w:rsid w:val="002057E7"/>
    <w:rsid w:val="0020584B"/>
    <w:rsid w:val="0020592A"/>
    <w:rsid w:val="00205E3F"/>
    <w:rsid w:val="00206038"/>
    <w:rsid w:val="0020633F"/>
    <w:rsid w:val="002064EB"/>
    <w:rsid w:val="0020670F"/>
    <w:rsid w:val="00206B94"/>
    <w:rsid w:val="00206CF5"/>
    <w:rsid w:val="00206F8C"/>
    <w:rsid w:val="00206FED"/>
    <w:rsid w:val="002071F0"/>
    <w:rsid w:val="00207697"/>
    <w:rsid w:val="002076F6"/>
    <w:rsid w:val="002077AE"/>
    <w:rsid w:val="00207B5C"/>
    <w:rsid w:val="00207B9A"/>
    <w:rsid w:val="0021050E"/>
    <w:rsid w:val="002105F6"/>
    <w:rsid w:val="0021079F"/>
    <w:rsid w:val="00210927"/>
    <w:rsid w:val="002109C4"/>
    <w:rsid w:val="00210CEE"/>
    <w:rsid w:val="00211330"/>
    <w:rsid w:val="0021181E"/>
    <w:rsid w:val="00211FF3"/>
    <w:rsid w:val="0021226C"/>
    <w:rsid w:val="0021240D"/>
    <w:rsid w:val="0021272D"/>
    <w:rsid w:val="00212741"/>
    <w:rsid w:val="002127BA"/>
    <w:rsid w:val="0021293F"/>
    <w:rsid w:val="00212E4B"/>
    <w:rsid w:val="00212E4E"/>
    <w:rsid w:val="00213050"/>
    <w:rsid w:val="00213110"/>
    <w:rsid w:val="002131A2"/>
    <w:rsid w:val="002131D8"/>
    <w:rsid w:val="00213695"/>
    <w:rsid w:val="00213CCD"/>
    <w:rsid w:val="00213D3D"/>
    <w:rsid w:val="00213F68"/>
    <w:rsid w:val="00213FF5"/>
    <w:rsid w:val="00214189"/>
    <w:rsid w:val="002142D5"/>
    <w:rsid w:val="002142EE"/>
    <w:rsid w:val="0021470E"/>
    <w:rsid w:val="0021479B"/>
    <w:rsid w:val="00214A14"/>
    <w:rsid w:val="00215034"/>
    <w:rsid w:val="00215AF7"/>
    <w:rsid w:val="00215D86"/>
    <w:rsid w:val="002161E7"/>
    <w:rsid w:val="00216300"/>
    <w:rsid w:val="00216506"/>
    <w:rsid w:val="00216800"/>
    <w:rsid w:val="00216AE7"/>
    <w:rsid w:val="00216C77"/>
    <w:rsid w:val="00216CD2"/>
    <w:rsid w:val="00216E97"/>
    <w:rsid w:val="00216EC9"/>
    <w:rsid w:val="00216FF9"/>
    <w:rsid w:val="002170D0"/>
    <w:rsid w:val="0021723A"/>
    <w:rsid w:val="00217495"/>
    <w:rsid w:val="002175A2"/>
    <w:rsid w:val="0021785B"/>
    <w:rsid w:val="00217A7B"/>
    <w:rsid w:val="002202EE"/>
    <w:rsid w:val="00220AD3"/>
    <w:rsid w:val="002213DB"/>
    <w:rsid w:val="00221B38"/>
    <w:rsid w:val="00221FDB"/>
    <w:rsid w:val="0022241F"/>
    <w:rsid w:val="00222899"/>
    <w:rsid w:val="002229EF"/>
    <w:rsid w:val="00222BAD"/>
    <w:rsid w:val="00222DF4"/>
    <w:rsid w:val="00222E0D"/>
    <w:rsid w:val="00222EC2"/>
    <w:rsid w:val="00222FC9"/>
    <w:rsid w:val="002231D2"/>
    <w:rsid w:val="002236D0"/>
    <w:rsid w:val="00223E49"/>
    <w:rsid w:val="00223EC4"/>
    <w:rsid w:val="002242E8"/>
    <w:rsid w:val="00224354"/>
    <w:rsid w:val="002245A4"/>
    <w:rsid w:val="00224DAD"/>
    <w:rsid w:val="00225287"/>
    <w:rsid w:val="002254D7"/>
    <w:rsid w:val="00225A50"/>
    <w:rsid w:val="00225C12"/>
    <w:rsid w:val="00225D79"/>
    <w:rsid w:val="00225DF5"/>
    <w:rsid w:val="0022612F"/>
    <w:rsid w:val="00226361"/>
    <w:rsid w:val="0022637C"/>
    <w:rsid w:val="00226440"/>
    <w:rsid w:val="00226847"/>
    <w:rsid w:val="00226A26"/>
    <w:rsid w:val="00226B12"/>
    <w:rsid w:val="00227793"/>
    <w:rsid w:val="00227D04"/>
    <w:rsid w:val="002305B6"/>
    <w:rsid w:val="00230923"/>
    <w:rsid w:val="00230A74"/>
    <w:rsid w:val="00230CD5"/>
    <w:rsid w:val="0023157B"/>
    <w:rsid w:val="002316EC"/>
    <w:rsid w:val="00231953"/>
    <w:rsid w:val="0023195C"/>
    <w:rsid w:val="00231E7C"/>
    <w:rsid w:val="00231EFC"/>
    <w:rsid w:val="00232942"/>
    <w:rsid w:val="00232AE6"/>
    <w:rsid w:val="00232B96"/>
    <w:rsid w:val="00232D58"/>
    <w:rsid w:val="0023320F"/>
    <w:rsid w:val="00233321"/>
    <w:rsid w:val="0023391E"/>
    <w:rsid w:val="00233B87"/>
    <w:rsid w:val="00233EA1"/>
    <w:rsid w:val="0023401D"/>
    <w:rsid w:val="0023402C"/>
    <w:rsid w:val="0023446F"/>
    <w:rsid w:val="002346BF"/>
    <w:rsid w:val="00234A4E"/>
    <w:rsid w:val="00234E34"/>
    <w:rsid w:val="00234EE4"/>
    <w:rsid w:val="00235086"/>
    <w:rsid w:val="002355C0"/>
    <w:rsid w:val="00235673"/>
    <w:rsid w:val="00235DF3"/>
    <w:rsid w:val="0023689B"/>
    <w:rsid w:val="0023694A"/>
    <w:rsid w:val="002369DB"/>
    <w:rsid w:val="00236CFD"/>
    <w:rsid w:val="00236F0A"/>
    <w:rsid w:val="00236F46"/>
    <w:rsid w:val="0023732B"/>
    <w:rsid w:val="00237419"/>
    <w:rsid w:val="002374BF"/>
    <w:rsid w:val="0023757E"/>
    <w:rsid w:val="002375F0"/>
    <w:rsid w:val="002375FB"/>
    <w:rsid w:val="002378BB"/>
    <w:rsid w:val="00237AA9"/>
    <w:rsid w:val="00237DCA"/>
    <w:rsid w:val="00237FF6"/>
    <w:rsid w:val="002401C1"/>
    <w:rsid w:val="00240200"/>
    <w:rsid w:val="00240CB6"/>
    <w:rsid w:val="00240ECE"/>
    <w:rsid w:val="002412C7"/>
    <w:rsid w:val="0024177B"/>
    <w:rsid w:val="00241B48"/>
    <w:rsid w:val="00242399"/>
    <w:rsid w:val="00242494"/>
    <w:rsid w:val="002428C4"/>
    <w:rsid w:val="00242B6C"/>
    <w:rsid w:val="00243A65"/>
    <w:rsid w:val="00243AFA"/>
    <w:rsid w:val="00243B11"/>
    <w:rsid w:val="00243E71"/>
    <w:rsid w:val="00244581"/>
    <w:rsid w:val="00244B0A"/>
    <w:rsid w:val="00244BC1"/>
    <w:rsid w:val="00244CD5"/>
    <w:rsid w:val="0024572E"/>
    <w:rsid w:val="00245876"/>
    <w:rsid w:val="00245987"/>
    <w:rsid w:val="00245B76"/>
    <w:rsid w:val="00245C0F"/>
    <w:rsid w:val="00246027"/>
    <w:rsid w:val="002464D8"/>
    <w:rsid w:val="00246776"/>
    <w:rsid w:val="00246B67"/>
    <w:rsid w:val="00246D98"/>
    <w:rsid w:val="00246EB3"/>
    <w:rsid w:val="0024714C"/>
    <w:rsid w:val="0024717B"/>
    <w:rsid w:val="0024732A"/>
    <w:rsid w:val="002474BF"/>
    <w:rsid w:val="0024793C"/>
    <w:rsid w:val="002479DC"/>
    <w:rsid w:val="00247BB7"/>
    <w:rsid w:val="00250087"/>
    <w:rsid w:val="0025036C"/>
    <w:rsid w:val="002504B2"/>
    <w:rsid w:val="00250980"/>
    <w:rsid w:val="002509E6"/>
    <w:rsid w:val="00250B9A"/>
    <w:rsid w:val="00250C91"/>
    <w:rsid w:val="00250D10"/>
    <w:rsid w:val="00250F97"/>
    <w:rsid w:val="00251299"/>
    <w:rsid w:val="00251455"/>
    <w:rsid w:val="002516F5"/>
    <w:rsid w:val="002517F4"/>
    <w:rsid w:val="0025191F"/>
    <w:rsid w:val="0025241D"/>
    <w:rsid w:val="00252BCC"/>
    <w:rsid w:val="00252C5F"/>
    <w:rsid w:val="00252F3C"/>
    <w:rsid w:val="00252F8D"/>
    <w:rsid w:val="002530AB"/>
    <w:rsid w:val="002530B7"/>
    <w:rsid w:val="0025321F"/>
    <w:rsid w:val="00253B31"/>
    <w:rsid w:val="00253F5E"/>
    <w:rsid w:val="00254363"/>
    <w:rsid w:val="002545EC"/>
    <w:rsid w:val="0025497E"/>
    <w:rsid w:val="00254E7D"/>
    <w:rsid w:val="00254EF0"/>
    <w:rsid w:val="0025545A"/>
    <w:rsid w:val="002556B4"/>
    <w:rsid w:val="00255972"/>
    <w:rsid w:val="00255AB9"/>
    <w:rsid w:val="00255CF7"/>
    <w:rsid w:val="00256257"/>
    <w:rsid w:val="0025636A"/>
    <w:rsid w:val="0025671F"/>
    <w:rsid w:val="00256888"/>
    <w:rsid w:val="00256977"/>
    <w:rsid w:val="00256C84"/>
    <w:rsid w:val="0025716E"/>
    <w:rsid w:val="002571DE"/>
    <w:rsid w:val="002572A8"/>
    <w:rsid w:val="002572F6"/>
    <w:rsid w:val="002578F0"/>
    <w:rsid w:val="00257CC5"/>
    <w:rsid w:val="0026004E"/>
    <w:rsid w:val="00260485"/>
    <w:rsid w:val="0026075F"/>
    <w:rsid w:val="00260769"/>
    <w:rsid w:val="00260832"/>
    <w:rsid w:val="00260F4B"/>
    <w:rsid w:val="00261460"/>
    <w:rsid w:val="002614BF"/>
    <w:rsid w:val="00261617"/>
    <w:rsid w:val="00261908"/>
    <w:rsid w:val="00261C60"/>
    <w:rsid w:val="00261FF7"/>
    <w:rsid w:val="0026247D"/>
    <w:rsid w:val="002624BE"/>
    <w:rsid w:val="002629D3"/>
    <w:rsid w:val="00262A4A"/>
    <w:rsid w:val="00262AC3"/>
    <w:rsid w:val="00262C26"/>
    <w:rsid w:val="00262D72"/>
    <w:rsid w:val="00263069"/>
    <w:rsid w:val="002637ED"/>
    <w:rsid w:val="002638BE"/>
    <w:rsid w:val="00263CC2"/>
    <w:rsid w:val="00263EDC"/>
    <w:rsid w:val="0026420F"/>
    <w:rsid w:val="00265AB2"/>
    <w:rsid w:val="00265F6A"/>
    <w:rsid w:val="00265F9D"/>
    <w:rsid w:val="00266229"/>
    <w:rsid w:val="00266351"/>
    <w:rsid w:val="00266A1F"/>
    <w:rsid w:val="00266CEA"/>
    <w:rsid w:val="00266DAA"/>
    <w:rsid w:val="00266F16"/>
    <w:rsid w:val="00266F26"/>
    <w:rsid w:val="00267038"/>
    <w:rsid w:val="002673AE"/>
    <w:rsid w:val="00267934"/>
    <w:rsid w:val="002679E4"/>
    <w:rsid w:val="00267E47"/>
    <w:rsid w:val="00267ED5"/>
    <w:rsid w:val="002703CB"/>
    <w:rsid w:val="00270815"/>
    <w:rsid w:val="00270CBF"/>
    <w:rsid w:val="00270D3F"/>
    <w:rsid w:val="00270D63"/>
    <w:rsid w:val="00271215"/>
    <w:rsid w:val="00271A76"/>
    <w:rsid w:val="002720AB"/>
    <w:rsid w:val="002724B3"/>
    <w:rsid w:val="0027257A"/>
    <w:rsid w:val="00272B6F"/>
    <w:rsid w:val="0027314F"/>
    <w:rsid w:val="00273243"/>
    <w:rsid w:val="002734FC"/>
    <w:rsid w:val="0027372D"/>
    <w:rsid w:val="002738E4"/>
    <w:rsid w:val="0027392B"/>
    <w:rsid w:val="0027394F"/>
    <w:rsid w:val="00273D66"/>
    <w:rsid w:val="00273DA7"/>
    <w:rsid w:val="00274B1F"/>
    <w:rsid w:val="00274C21"/>
    <w:rsid w:val="00274E5C"/>
    <w:rsid w:val="002752E9"/>
    <w:rsid w:val="0027540D"/>
    <w:rsid w:val="00275580"/>
    <w:rsid w:val="002757FB"/>
    <w:rsid w:val="00275884"/>
    <w:rsid w:val="00275EA9"/>
    <w:rsid w:val="00276279"/>
    <w:rsid w:val="002763CE"/>
    <w:rsid w:val="00276554"/>
    <w:rsid w:val="0027656C"/>
    <w:rsid w:val="00276666"/>
    <w:rsid w:val="00276870"/>
    <w:rsid w:val="002768EC"/>
    <w:rsid w:val="00276973"/>
    <w:rsid w:val="00276E8C"/>
    <w:rsid w:val="00276F9D"/>
    <w:rsid w:val="002773CB"/>
    <w:rsid w:val="00277897"/>
    <w:rsid w:val="00277B41"/>
    <w:rsid w:val="00277E65"/>
    <w:rsid w:val="00277F77"/>
    <w:rsid w:val="0028023D"/>
    <w:rsid w:val="002806E0"/>
    <w:rsid w:val="0028079A"/>
    <w:rsid w:val="00280919"/>
    <w:rsid w:val="00280AC4"/>
    <w:rsid w:val="00281651"/>
    <w:rsid w:val="002817E3"/>
    <w:rsid w:val="00281C47"/>
    <w:rsid w:val="0028235C"/>
    <w:rsid w:val="00282377"/>
    <w:rsid w:val="002823A8"/>
    <w:rsid w:val="0028241A"/>
    <w:rsid w:val="00282467"/>
    <w:rsid w:val="002824C8"/>
    <w:rsid w:val="00282878"/>
    <w:rsid w:val="00282B1F"/>
    <w:rsid w:val="00282B5E"/>
    <w:rsid w:val="00282F76"/>
    <w:rsid w:val="002832B2"/>
    <w:rsid w:val="00283325"/>
    <w:rsid w:val="002837C5"/>
    <w:rsid w:val="00283AD8"/>
    <w:rsid w:val="00283B74"/>
    <w:rsid w:val="00284167"/>
    <w:rsid w:val="002844C9"/>
    <w:rsid w:val="00284DC7"/>
    <w:rsid w:val="0028510F"/>
    <w:rsid w:val="002854CE"/>
    <w:rsid w:val="002854E1"/>
    <w:rsid w:val="002855A1"/>
    <w:rsid w:val="0028582F"/>
    <w:rsid w:val="00285B0A"/>
    <w:rsid w:val="00285CB2"/>
    <w:rsid w:val="00285D84"/>
    <w:rsid w:val="00286418"/>
    <w:rsid w:val="00286BFD"/>
    <w:rsid w:val="00286DF5"/>
    <w:rsid w:val="00286E4D"/>
    <w:rsid w:val="0028721C"/>
    <w:rsid w:val="00287316"/>
    <w:rsid w:val="00287506"/>
    <w:rsid w:val="00287668"/>
    <w:rsid w:val="00287718"/>
    <w:rsid w:val="002905F4"/>
    <w:rsid w:val="0029077F"/>
    <w:rsid w:val="002907AE"/>
    <w:rsid w:val="00290968"/>
    <w:rsid w:val="00290981"/>
    <w:rsid w:val="00290A35"/>
    <w:rsid w:val="00291067"/>
    <w:rsid w:val="0029122B"/>
    <w:rsid w:val="002917E9"/>
    <w:rsid w:val="00291B79"/>
    <w:rsid w:val="00291B86"/>
    <w:rsid w:val="00291BE0"/>
    <w:rsid w:val="00291C33"/>
    <w:rsid w:val="00291D40"/>
    <w:rsid w:val="00291D9A"/>
    <w:rsid w:val="00291F50"/>
    <w:rsid w:val="002921A3"/>
    <w:rsid w:val="00292277"/>
    <w:rsid w:val="0029256C"/>
    <w:rsid w:val="0029284A"/>
    <w:rsid w:val="00292B26"/>
    <w:rsid w:val="00292E47"/>
    <w:rsid w:val="00292E4F"/>
    <w:rsid w:val="0029304F"/>
    <w:rsid w:val="0029319A"/>
    <w:rsid w:val="00293302"/>
    <w:rsid w:val="0029353E"/>
    <w:rsid w:val="00293B5E"/>
    <w:rsid w:val="00293C35"/>
    <w:rsid w:val="00293C84"/>
    <w:rsid w:val="00293F14"/>
    <w:rsid w:val="00293F32"/>
    <w:rsid w:val="00294167"/>
    <w:rsid w:val="002942DE"/>
    <w:rsid w:val="00294415"/>
    <w:rsid w:val="00294621"/>
    <w:rsid w:val="0029487D"/>
    <w:rsid w:val="00294D38"/>
    <w:rsid w:val="00294E31"/>
    <w:rsid w:val="00295134"/>
    <w:rsid w:val="002952DF"/>
    <w:rsid w:val="00295389"/>
    <w:rsid w:val="00295395"/>
    <w:rsid w:val="0029547A"/>
    <w:rsid w:val="0029583A"/>
    <w:rsid w:val="002958FE"/>
    <w:rsid w:val="00296447"/>
    <w:rsid w:val="00296760"/>
    <w:rsid w:val="002968FC"/>
    <w:rsid w:val="00296AF4"/>
    <w:rsid w:val="00296BA4"/>
    <w:rsid w:val="002970B0"/>
    <w:rsid w:val="002970C1"/>
    <w:rsid w:val="002973E8"/>
    <w:rsid w:val="002975A2"/>
    <w:rsid w:val="002976EA"/>
    <w:rsid w:val="00297B10"/>
    <w:rsid w:val="00297EFF"/>
    <w:rsid w:val="002A064D"/>
    <w:rsid w:val="002A0B62"/>
    <w:rsid w:val="002A0B82"/>
    <w:rsid w:val="002A1073"/>
    <w:rsid w:val="002A1386"/>
    <w:rsid w:val="002A15D6"/>
    <w:rsid w:val="002A18B3"/>
    <w:rsid w:val="002A1A31"/>
    <w:rsid w:val="002A1AC3"/>
    <w:rsid w:val="002A22B0"/>
    <w:rsid w:val="002A241E"/>
    <w:rsid w:val="002A28A7"/>
    <w:rsid w:val="002A2A6E"/>
    <w:rsid w:val="002A3182"/>
    <w:rsid w:val="002A39A0"/>
    <w:rsid w:val="002A3BF7"/>
    <w:rsid w:val="002A3F94"/>
    <w:rsid w:val="002A4232"/>
    <w:rsid w:val="002A4515"/>
    <w:rsid w:val="002A455C"/>
    <w:rsid w:val="002A46C7"/>
    <w:rsid w:val="002A475A"/>
    <w:rsid w:val="002A48AB"/>
    <w:rsid w:val="002A4915"/>
    <w:rsid w:val="002A4B3A"/>
    <w:rsid w:val="002A4CFB"/>
    <w:rsid w:val="002A4F11"/>
    <w:rsid w:val="002A4FE2"/>
    <w:rsid w:val="002A5228"/>
    <w:rsid w:val="002A5488"/>
    <w:rsid w:val="002A54BD"/>
    <w:rsid w:val="002A5CF8"/>
    <w:rsid w:val="002A5DAB"/>
    <w:rsid w:val="002A5E24"/>
    <w:rsid w:val="002A5E99"/>
    <w:rsid w:val="002A6051"/>
    <w:rsid w:val="002A62A0"/>
    <w:rsid w:val="002A62EE"/>
    <w:rsid w:val="002A6492"/>
    <w:rsid w:val="002A67F3"/>
    <w:rsid w:val="002A6AB8"/>
    <w:rsid w:val="002A6D66"/>
    <w:rsid w:val="002A6DE7"/>
    <w:rsid w:val="002A7240"/>
    <w:rsid w:val="002A725B"/>
    <w:rsid w:val="002A72B9"/>
    <w:rsid w:val="002A748B"/>
    <w:rsid w:val="002A752A"/>
    <w:rsid w:val="002A7770"/>
    <w:rsid w:val="002A7CEE"/>
    <w:rsid w:val="002A7D04"/>
    <w:rsid w:val="002A7E62"/>
    <w:rsid w:val="002A7FBE"/>
    <w:rsid w:val="002B001B"/>
    <w:rsid w:val="002B0217"/>
    <w:rsid w:val="002B0276"/>
    <w:rsid w:val="002B0395"/>
    <w:rsid w:val="002B04AC"/>
    <w:rsid w:val="002B0512"/>
    <w:rsid w:val="002B0854"/>
    <w:rsid w:val="002B0F53"/>
    <w:rsid w:val="002B0F9B"/>
    <w:rsid w:val="002B1189"/>
    <w:rsid w:val="002B1EEB"/>
    <w:rsid w:val="002B1F86"/>
    <w:rsid w:val="002B20D0"/>
    <w:rsid w:val="002B2347"/>
    <w:rsid w:val="002B24C6"/>
    <w:rsid w:val="002B3129"/>
    <w:rsid w:val="002B3366"/>
    <w:rsid w:val="002B3C84"/>
    <w:rsid w:val="002B3E4B"/>
    <w:rsid w:val="002B4211"/>
    <w:rsid w:val="002B4F0B"/>
    <w:rsid w:val="002B50CA"/>
    <w:rsid w:val="002B5122"/>
    <w:rsid w:val="002B516F"/>
    <w:rsid w:val="002B5280"/>
    <w:rsid w:val="002B5449"/>
    <w:rsid w:val="002B56F9"/>
    <w:rsid w:val="002B5ED2"/>
    <w:rsid w:val="002B6711"/>
    <w:rsid w:val="002B68AC"/>
    <w:rsid w:val="002B6965"/>
    <w:rsid w:val="002B699A"/>
    <w:rsid w:val="002B6D68"/>
    <w:rsid w:val="002B6E98"/>
    <w:rsid w:val="002B702B"/>
    <w:rsid w:val="002B71FB"/>
    <w:rsid w:val="002B7AB8"/>
    <w:rsid w:val="002B7C4D"/>
    <w:rsid w:val="002B7CE5"/>
    <w:rsid w:val="002B7EB3"/>
    <w:rsid w:val="002C017A"/>
    <w:rsid w:val="002C04D3"/>
    <w:rsid w:val="002C068C"/>
    <w:rsid w:val="002C079C"/>
    <w:rsid w:val="002C0892"/>
    <w:rsid w:val="002C0970"/>
    <w:rsid w:val="002C125F"/>
    <w:rsid w:val="002C139B"/>
    <w:rsid w:val="002C1642"/>
    <w:rsid w:val="002C176D"/>
    <w:rsid w:val="002C1D85"/>
    <w:rsid w:val="002C20EB"/>
    <w:rsid w:val="002C2263"/>
    <w:rsid w:val="002C267D"/>
    <w:rsid w:val="002C2BDF"/>
    <w:rsid w:val="002C2D13"/>
    <w:rsid w:val="002C3072"/>
    <w:rsid w:val="002C31A2"/>
    <w:rsid w:val="002C31EB"/>
    <w:rsid w:val="002C3553"/>
    <w:rsid w:val="002C3596"/>
    <w:rsid w:val="002C36D3"/>
    <w:rsid w:val="002C3734"/>
    <w:rsid w:val="002C3B73"/>
    <w:rsid w:val="002C3C4E"/>
    <w:rsid w:val="002C3D01"/>
    <w:rsid w:val="002C477A"/>
    <w:rsid w:val="002C4D8E"/>
    <w:rsid w:val="002C4F38"/>
    <w:rsid w:val="002C530E"/>
    <w:rsid w:val="002C5420"/>
    <w:rsid w:val="002C5C89"/>
    <w:rsid w:val="002C5F47"/>
    <w:rsid w:val="002C65A2"/>
    <w:rsid w:val="002C676B"/>
    <w:rsid w:val="002C68B5"/>
    <w:rsid w:val="002C6D0C"/>
    <w:rsid w:val="002C7375"/>
    <w:rsid w:val="002C7694"/>
    <w:rsid w:val="002C788D"/>
    <w:rsid w:val="002C79DA"/>
    <w:rsid w:val="002C7B7F"/>
    <w:rsid w:val="002C7D78"/>
    <w:rsid w:val="002D03E5"/>
    <w:rsid w:val="002D03E6"/>
    <w:rsid w:val="002D06D1"/>
    <w:rsid w:val="002D0854"/>
    <w:rsid w:val="002D08C8"/>
    <w:rsid w:val="002D0F9A"/>
    <w:rsid w:val="002D0FE4"/>
    <w:rsid w:val="002D171A"/>
    <w:rsid w:val="002D173E"/>
    <w:rsid w:val="002D1796"/>
    <w:rsid w:val="002D2359"/>
    <w:rsid w:val="002D25A9"/>
    <w:rsid w:val="002D2923"/>
    <w:rsid w:val="002D297A"/>
    <w:rsid w:val="002D2A45"/>
    <w:rsid w:val="002D2CC8"/>
    <w:rsid w:val="002D3093"/>
    <w:rsid w:val="002D3176"/>
    <w:rsid w:val="002D3673"/>
    <w:rsid w:val="002D3A33"/>
    <w:rsid w:val="002D3B5B"/>
    <w:rsid w:val="002D3FEC"/>
    <w:rsid w:val="002D4F52"/>
    <w:rsid w:val="002D4F5C"/>
    <w:rsid w:val="002D5668"/>
    <w:rsid w:val="002D5827"/>
    <w:rsid w:val="002D58C5"/>
    <w:rsid w:val="002D5ABE"/>
    <w:rsid w:val="002D6693"/>
    <w:rsid w:val="002D66EB"/>
    <w:rsid w:val="002D6D3B"/>
    <w:rsid w:val="002D6F7A"/>
    <w:rsid w:val="002D7298"/>
    <w:rsid w:val="002D736C"/>
    <w:rsid w:val="002D748D"/>
    <w:rsid w:val="002D78E0"/>
    <w:rsid w:val="002D78F0"/>
    <w:rsid w:val="002D791F"/>
    <w:rsid w:val="002D7BCA"/>
    <w:rsid w:val="002E01A4"/>
    <w:rsid w:val="002E0401"/>
    <w:rsid w:val="002E05A4"/>
    <w:rsid w:val="002E0741"/>
    <w:rsid w:val="002E0809"/>
    <w:rsid w:val="002E0899"/>
    <w:rsid w:val="002E0D03"/>
    <w:rsid w:val="002E1543"/>
    <w:rsid w:val="002E1731"/>
    <w:rsid w:val="002E1F78"/>
    <w:rsid w:val="002E2341"/>
    <w:rsid w:val="002E2705"/>
    <w:rsid w:val="002E2986"/>
    <w:rsid w:val="002E29C2"/>
    <w:rsid w:val="002E3210"/>
    <w:rsid w:val="002E3399"/>
    <w:rsid w:val="002E34AA"/>
    <w:rsid w:val="002E3FC5"/>
    <w:rsid w:val="002E4112"/>
    <w:rsid w:val="002E4667"/>
    <w:rsid w:val="002E468C"/>
    <w:rsid w:val="002E46B3"/>
    <w:rsid w:val="002E4748"/>
    <w:rsid w:val="002E48BF"/>
    <w:rsid w:val="002E4B5F"/>
    <w:rsid w:val="002E4F33"/>
    <w:rsid w:val="002E54C2"/>
    <w:rsid w:val="002E566D"/>
    <w:rsid w:val="002E595D"/>
    <w:rsid w:val="002E5A84"/>
    <w:rsid w:val="002E5B71"/>
    <w:rsid w:val="002E5C3B"/>
    <w:rsid w:val="002E5F0B"/>
    <w:rsid w:val="002E64CA"/>
    <w:rsid w:val="002E65A0"/>
    <w:rsid w:val="002E7327"/>
    <w:rsid w:val="002E77E1"/>
    <w:rsid w:val="002E7C4D"/>
    <w:rsid w:val="002F03A8"/>
    <w:rsid w:val="002F04BD"/>
    <w:rsid w:val="002F0CB2"/>
    <w:rsid w:val="002F167B"/>
    <w:rsid w:val="002F1B73"/>
    <w:rsid w:val="002F1D37"/>
    <w:rsid w:val="002F1EF1"/>
    <w:rsid w:val="002F1F7A"/>
    <w:rsid w:val="002F1F9D"/>
    <w:rsid w:val="002F2168"/>
    <w:rsid w:val="002F2261"/>
    <w:rsid w:val="002F228E"/>
    <w:rsid w:val="002F2342"/>
    <w:rsid w:val="002F2377"/>
    <w:rsid w:val="002F2E70"/>
    <w:rsid w:val="002F2EB3"/>
    <w:rsid w:val="002F3463"/>
    <w:rsid w:val="002F352C"/>
    <w:rsid w:val="002F35A7"/>
    <w:rsid w:val="002F3BDB"/>
    <w:rsid w:val="002F3C37"/>
    <w:rsid w:val="002F3C8A"/>
    <w:rsid w:val="002F48FF"/>
    <w:rsid w:val="002F4D27"/>
    <w:rsid w:val="002F4D6D"/>
    <w:rsid w:val="002F5160"/>
    <w:rsid w:val="002F52FE"/>
    <w:rsid w:val="002F5308"/>
    <w:rsid w:val="002F5BE1"/>
    <w:rsid w:val="002F5F27"/>
    <w:rsid w:val="002F6026"/>
    <w:rsid w:val="002F60AF"/>
    <w:rsid w:val="002F7397"/>
    <w:rsid w:val="002F7730"/>
    <w:rsid w:val="002F7FA5"/>
    <w:rsid w:val="002F7FE7"/>
    <w:rsid w:val="00300026"/>
    <w:rsid w:val="003002D4"/>
    <w:rsid w:val="0030049B"/>
    <w:rsid w:val="00300AAB"/>
    <w:rsid w:val="00300BF3"/>
    <w:rsid w:val="00300FC6"/>
    <w:rsid w:val="0030135E"/>
    <w:rsid w:val="0030138B"/>
    <w:rsid w:val="003013A1"/>
    <w:rsid w:val="00301754"/>
    <w:rsid w:val="00301776"/>
    <w:rsid w:val="00301A79"/>
    <w:rsid w:val="00301D3D"/>
    <w:rsid w:val="00302050"/>
    <w:rsid w:val="0030220B"/>
    <w:rsid w:val="003025F6"/>
    <w:rsid w:val="00302B04"/>
    <w:rsid w:val="00303034"/>
    <w:rsid w:val="0030315E"/>
    <w:rsid w:val="00303209"/>
    <w:rsid w:val="00303474"/>
    <w:rsid w:val="003034BD"/>
    <w:rsid w:val="0030356F"/>
    <w:rsid w:val="003035B9"/>
    <w:rsid w:val="00303C2A"/>
    <w:rsid w:val="00303EBE"/>
    <w:rsid w:val="003043F4"/>
    <w:rsid w:val="0030441B"/>
    <w:rsid w:val="00304C47"/>
    <w:rsid w:val="0030513A"/>
    <w:rsid w:val="00305677"/>
    <w:rsid w:val="003056B3"/>
    <w:rsid w:val="0030585C"/>
    <w:rsid w:val="00305A67"/>
    <w:rsid w:val="00305BAF"/>
    <w:rsid w:val="00306153"/>
    <w:rsid w:val="003061BD"/>
    <w:rsid w:val="0030654B"/>
    <w:rsid w:val="003065B9"/>
    <w:rsid w:val="003066D1"/>
    <w:rsid w:val="00306B5D"/>
    <w:rsid w:val="00306E45"/>
    <w:rsid w:val="0030730D"/>
    <w:rsid w:val="003074D8"/>
    <w:rsid w:val="00307785"/>
    <w:rsid w:val="003077FD"/>
    <w:rsid w:val="00307C74"/>
    <w:rsid w:val="00307D06"/>
    <w:rsid w:val="003100E5"/>
    <w:rsid w:val="0031020B"/>
    <w:rsid w:val="00310210"/>
    <w:rsid w:val="003105DB"/>
    <w:rsid w:val="00310E2B"/>
    <w:rsid w:val="00311744"/>
    <w:rsid w:val="0031180E"/>
    <w:rsid w:val="00311A72"/>
    <w:rsid w:val="00311BE4"/>
    <w:rsid w:val="00312381"/>
    <w:rsid w:val="003126CA"/>
    <w:rsid w:val="003127C8"/>
    <w:rsid w:val="00312A4C"/>
    <w:rsid w:val="00312EB7"/>
    <w:rsid w:val="00312F4A"/>
    <w:rsid w:val="003130D2"/>
    <w:rsid w:val="0031322C"/>
    <w:rsid w:val="003132F0"/>
    <w:rsid w:val="00313380"/>
    <w:rsid w:val="003133FB"/>
    <w:rsid w:val="003134BF"/>
    <w:rsid w:val="00313845"/>
    <w:rsid w:val="003138FB"/>
    <w:rsid w:val="003139B9"/>
    <w:rsid w:val="00313B12"/>
    <w:rsid w:val="00313BF9"/>
    <w:rsid w:val="00314458"/>
    <w:rsid w:val="003145D0"/>
    <w:rsid w:val="00314F4B"/>
    <w:rsid w:val="00314F91"/>
    <w:rsid w:val="0031517C"/>
    <w:rsid w:val="003152B9"/>
    <w:rsid w:val="0031549C"/>
    <w:rsid w:val="00315631"/>
    <w:rsid w:val="00315B57"/>
    <w:rsid w:val="00315BB3"/>
    <w:rsid w:val="00315C4A"/>
    <w:rsid w:val="00316596"/>
    <w:rsid w:val="00316768"/>
    <w:rsid w:val="00316CA4"/>
    <w:rsid w:val="003170E9"/>
    <w:rsid w:val="003170FE"/>
    <w:rsid w:val="00317498"/>
    <w:rsid w:val="00317594"/>
    <w:rsid w:val="0031793C"/>
    <w:rsid w:val="00317E1E"/>
    <w:rsid w:val="003203FF"/>
    <w:rsid w:val="00320837"/>
    <w:rsid w:val="00320BD7"/>
    <w:rsid w:val="00320C6A"/>
    <w:rsid w:val="00320D7D"/>
    <w:rsid w:val="00320DC9"/>
    <w:rsid w:val="00320DFD"/>
    <w:rsid w:val="00321101"/>
    <w:rsid w:val="00321586"/>
    <w:rsid w:val="0032189C"/>
    <w:rsid w:val="00321CC6"/>
    <w:rsid w:val="00321E9D"/>
    <w:rsid w:val="0032210E"/>
    <w:rsid w:val="003221A1"/>
    <w:rsid w:val="003221FA"/>
    <w:rsid w:val="0032234D"/>
    <w:rsid w:val="00322718"/>
    <w:rsid w:val="00322D82"/>
    <w:rsid w:val="00322EFD"/>
    <w:rsid w:val="003232C9"/>
    <w:rsid w:val="00323333"/>
    <w:rsid w:val="0032388C"/>
    <w:rsid w:val="00323A4A"/>
    <w:rsid w:val="00323D87"/>
    <w:rsid w:val="00323FC6"/>
    <w:rsid w:val="0032427D"/>
    <w:rsid w:val="00324391"/>
    <w:rsid w:val="003244E3"/>
    <w:rsid w:val="00324876"/>
    <w:rsid w:val="0032491C"/>
    <w:rsid w:val="00324991"/>
    <w:rsid w:val="0032530B"/>
    <w:rsid w:val="00325346"/>
    <w:rsid w:val="00325666"/>
    <w:rsid w:val="00325DB7"/>
    <w:rsid w:val="00325E35"/>
    <w:rsid w:val="00326202"/>
    <w:rsid w:val="00326525"/>
    <w:rsid w:val="00326693"/>
    <w:rsid w:val="0032674F"/>
    <w:rsid w:val="00326792"/>
    <w:rsid w:val="00326B46"/>
    <w:rsid w:val="00326E55"/>
    <w:rsid w:val="003275CB"/>
    <w:rsid w:val="0032775B"/>
    <w:rsid w:val="00327835"/>
    <w:rsid w:val="0032794B"/>
    <w:rsid w:val="00327C28"/>
    <w:rsid w:val="00327EEF"/>
    <w:rsid w:val="00330591"/>
    <w:rsid w:val="00330B07"/>
    <w:rsid w:val="00330BC5"/>
    <w:rsid w:val="00330D61"/>
    <w:rsid w:val="003319F1"/>
    <w:rsid w:val="00331FEC"/>
    <w:rsid w:val="0033204B"/>
    <w:rsid w:val="00332651"/>
    <w:rsid w:val="003326F3"/>
    <w:rsid w:val="00332AEA"/>
    <w:rsid w:val="00332B06"/>
    <w:rsid w:val="00332C43"/>
    <w:rsid w:val="00332DFD"/>
    <w:rsid w:val="00332E5F"/>
    <w:rsid w:val="00332F21"/>
    <w:rsid w:val="0033322E"/>
    <w:rsid w:val="00333584"/>
    <w:rsid w:val="00334192"/>
    <w:rsid w:val="003342ED"/>
    <w:rsid w:val="0033430F"/>
    <w:rsid w:val="003343CE"/>
    <w:rsid w:val="003345AB"/>
    <w:rsid w:val="00334A70"/>
    <w:rsid w:val="00334BC9"/>
    <w:rsid w:val="00334CF8"/>
    <w:rsid w:val="0033518F"/>
    <w:rsid w:val="0033544B"/>
    <w:rsid w:val="00335B42"/>
    <w:rsid w:val="00335CE0"/>
    <w:rsid w:val="003360A5"/>
    <w:rsid w:val="003363E1"/>
    <w:rsid w:val="003366B2"/>
    <w:rsid w:val="003368EC"/>
    <w:rsid w:val="00336A88"/>
    <w:rsid w:val="00336BAA"/>
    <w:rsid w:val="00336E42"/>
    <w:rsid w:val="00336FFE"/>
    <w:rsid w:val="003373E3"/>
    <w:rsid w:val="00337B42"/>
    <w:rsid w:val="00337E55"/>
    <w:rsid w:val="003402A1"/>
    <w:rsid w:val="00340658"/>
    <w:rsid w:val="00340669"/>
    <w:rsid w:val="003409D1"/>
    <w:rsid w:val="00340A04"/>
    <w:rsid w:val="00340CCB"/>
    <w:rsid w:val="00340D31"/>
    <w:rsid w:val="0034106B"/>
    <w:rsid w:val="0034116A"/>
    <w:rsid w:val="00341174"/>
    <w:rsid w:val="00341240"/>
    <w:rsid w:val="00341317"/>
    <w:rsid w:val="00341374"/>
    <w:rsid w:val="003413C9"/>
    <w:rsid w:val="00341A05"/>
    <w:rsid w:val="00341A8F"/>
    <w:rsid w:val="00341CF2"/>
    <w:rsid w:val="00341F08"/>
    <w:rsid w:val="00341F11"/>
    <w:rsid w:val="003427F9"/>
    <w:rsid w:val="0034282A"/>
    <w:rsid w:val="0034288B"/>
    <w:rsid w:val="00342C86"/>
    <w:rsid w:val="0034338B"/>
    <w:rsid w:val="003438D1"/>
    <w:rsid w:val="00343AF2"/>
    <w:rsid w:val="00343D42"/>
    <w:rsid w:val="00344042"/>
    <w:rsid w:val="0034420B"/>
    <w:rsid w:val="00344352"/>
    <w:rsid w:val="00344701"/>
    <w:rsid w:val="00344746"/>
    <w:rsid w:val="00344763"/>
    <w:rsid w:val="00344A4E"/>
    <w:rsid w:val="00344BAD"/>
    <w:rsid w:val="00344BCD"/>
    <w:rsid w:val="00344DD6"/>
    <w:rsid w:val="00345369"/>
    <w:rsid w:val="0034562F"/>
    <w:rsid w:val="00345900"/>
    <w:rsid w:val="00345BF9"/>
    <w:rsid w:val="0034627E"/>
    <w:rsid w:val="0034649D"/>
    <w:rsid w:val="003464B7"/>
    <w:rsid w:val="0034658C"/>
    <w:rsid w:val="003465ED"/>
    <w:rsid w:val="00346B1A"/>
    <w:rsid w:val="00346B6A"/>
    <w:rsid w:val="00346DA1"/>
    <w:rsid w:val="00346DFF"/>
    <w:rsid w:val="00347374"/>
    <w:rsid w:val="0034751C"/>
    <w:rsid w:val="00347A4B"/>
    <w:rsid w:val="00347C56"/>
    <w:rsid w:val="0035012C"/>
    <w:rsid w:val="00350319"/>
    <w:rsid w:val="00350609"/>
    <w:rsid w:val="00350AB8"/>
    <w:rsid w:val="00350FFB"/>
    <w:rsid w:val="00351910"/>
    <w:rsid w:val="00351FCE"/>
    <w:rsid w:val="00352453"/>
    <w:rsid w:val="003529A3"/>
    <w:rsid w:val="00352A5D"/>
    <w:rsid w:val="00353E35"/>
    <w:rsid w:val="00353ED4"/>
    <w:rsid w:val="003547D7"/>
    <w:rsid w:val="00354A2B"/>
    <w:rsid w:val="00355345"/>
    <w:rsid w:val="00355A39"/>
    <w:rsid w:val="00355C3E"/>
    <w:rsid w:val="00355EB0"/>
    <w:rsid w:val="00356702"/>
    <w:rsid w:val="00356876"/>
    <w:rsid w:val="0035693C"/>
    <w:rsid w:val="00356E48"/>
    <w:rsid w:val="00357222"/>
    <w:rsid w:val="0035732C"/>
    <w:rsid w:val="00357339"/>
    <w:rsid w:val="00357418"/>
    <w:rsid w:val="003574C5"/>
    <w:rsid w:val="003577CB"/>
    <w:rsid w:val="00357B69"/>
    <w:rsid w:val="00357E20"/>
    <w:rsid w:val="00357E34"/>
    <w:rsid w:val="0036007C"/>
    <w:rsid w:val="0036037E"/>
    <w:rsid w:val="00360488"/>
    <w:rsid w:val="003608AA"/>
    <w:rsid w:val="00360BBC"/>
    <w:rsid w:val="0036157E"/>
    <w:rsid w:val="0036162C"/>
    <w:rsid w:val="00361C7A"/>
    <w:rsid w:val="0036215F"/>
    <w:rsid w:val="00362C67"/>
    <w:rsid w:val="00363371"/>
    <w:rsid w:val="003636E3"/>
    <w:rsid w:val="00364189"/>
    <w:rsid w:val="003641E3"/>
    <w:rsid w:val="00364CA0"/>
    <w:rsid w:val="00364CC2"/>
    <w:rsid w:val="00364F1A"/>
    <w:rsid w:val="003651E8"/>
    <w:rsid w:val="003656E9"/>
    <w:rsid w:val="00365826"/>
    <w:rsid w:val="00365A38"/>
    <w:rsid w:val="00365A3C"/>
    <w:rsid w:val="00366134"/>
    <w:rsid w:val="00366AB4"/>
    <w:rsid w:val="00367201"/>
    <w:rsid w:val="0036734D"/>
    <w:rsid w:val="003700B8"/>
    <w:rsid w:val="00370193"/>
    <w:rsid w:val="00370401"/>
    <w:rsid w:val="003705C6"/>
    <w:rsid w:val="0037091E"/>
    <w:rsid w:val="00370D10"/>
    <w:rsid w:val="00370D7D"/>
    <w:rsid w:val="00370E9B"/>
    <w:rsid w:val="0037113A"/>
    <w:rsid w:val="00371178"/>
    <w:rsid w:val="00371531"/>
    <w:rsid w:val="003715F6"/>
    <w:rsid w:val="00371C6F"/>
    <w:rsid w:val="00371FAF"/>
    <w:rsid w:val="003720C2"/>
    <w:rsid w:val="003721B0"/>
    <w:rsid w:val="00373163"/>
    <w:rsid w:val="003734C3"/>
    <w:rsid w:val="00373712"/>
    <w:rsid w:val="0037373C"/>
    <w:rsid w:val="00373790"/>
    <w:rsid w:val="003738CE"/>
    <w:rsid w:val="00373F35"/>
    <w:rsid w:val="00374027"/>
    <w:rsid w:val="0037415A"/>
    <w:rsid w:val="00374567"/>
    <w:rsid w:val="00374980"/>
    <w:rsid w:val="00374F4F"/>
    <w:rsid w:val="00375581"/>
    <w:rsid w:val="003755C5"/>
    <w:rsid w:val="00375701"/>
    <w:rsid w:val="00375FEF"/>
    <w:rsid w:val="00376510"/>
    <w:rsid w:val="00376589"/>
    <w:rsid w:val="003765B4"/>
    <w:rsid w:val="003769B9"/>
    <w:rsid w:val="00376B4F"/>
    <w:rsid w:val="00377314"/>
    <w:rsid w:val="00377392"/>
    <w:rsid w:val="003773C8"/>
    <w:rsid w:val="003777E3"/>
    <w:rsid w:val="00377874"/>
    <w:rsid w:val="00377901"/>
    <w:rsid w:val="0038030D"/>
    <w:rsid w:val="00380313"/>
    <w:rsid w:val="00380396"/>
    <w:rsid w:val="00380BB1"/>
    <w:rsid w:val="00380DED"/>
    <w:rsid w:val="003810FE"/>
    <w:rsid w:val="00381250"/>
    <w:rsid w:val="00381329"/>
    <w:rsid w:val="00381A12"/>
    <w:rsid w:val="00381CB0"/>
    <w:rsid w:val="00382091"/>
    <w:rsid w:val="003822C3"/>
    <w:rsid w:val="003822EB"/>
    <w:rsid w:val="003823AD"/>
    <w:rsid w:val="003824A7"/>
    <w:rsid w:val="003825DD"/>
    <w:rsid w:val="003829AA"/>
    <w:rsid w:val="003833DF"/>
    <w:rsid w:val="00383467"/>
    <w:rsid w:val="003838CE"/>
    <w:rsid w:val="00383A4B"/>
    <w:rsid w:val="00383D40"/>
    <w:rsid w:val="00383F47"/>
    <w:rsid w:val="00384262"/>
    <w:rsid w:val="0038450C"/>
    <w:rsid w:val="00384974"/>
    <w:rsid w:val="00384B72"/>
    <w:rsid w:val="00385339"/>
    <w:rsid w:val="003853C8"/>
    <w:rsid w:val="00385B0B"/>
    <w:rsid w:val="00386A01"/>
    <w:rsid w:val="00386BD6"/>
    <w:rsid w:val="00386F4F"/>
    <w:rsid w:val="00386F9D"/>
    <w:rsid w:val="00387732"/>
    <w:rsid w:val="00387E5A"/>
    <w:rsid w:val="00387F28"/>
    <w:rsid w:val="00390872"/>
    <w:rsid w:val="0039088D"/>
    <w:rsid w:val="00390B05"/>
    <w:rsid w:val="00390B59"/>
    <w:rsid w:val="00390D2F"/>
    <w:rsid w:val="00390DCF"/>
    <w:rsid w:val="003911B8"/>
    <w:rsid w:val="00391A41"/>
    <w:rsid w:val="0039220B"/>
    <w:rsid w:val="003929B9"/>
    <w:rsid w:val="00392A57"/>
    <w:rsid w:val="0039318C"/>
    <w:rsid w:val="00393562"/>
    <w:rsid w:val="00393C3B"/>
    <w:rsid w:val="00393C69"/>
    <w:rsid w:val="00394573"/>
    <w:rsid w:val="0039474B"/>
    <w:rsid w:val="00394A9C"/>
    <w:rsid w:val="00394C95"/>
    <w:rsid w:val="00394F32"/>
    <w:rsid w:val="0039531C"/>
    <w:rsid w:val="003956EB"/>
    <w:rsid w:val="0039574C"/>
    <w:rsid w:val="003958D9"/>
    <w:rsid w:val="00395CD4"/>
    <w:rsid w:val="00395F0A"/>
    <w:rsid w:val="003968F3"/>
    <w:rsid w:val="00396EA5"/>
    <w:rsid w:val="0039716E"/>
    <w:rsid w:val="0039757B"/>
    <w:rsid w:val="00397C07"/>
    <w:rsid w:val="00397C62"/>
    <w:rsid w:val="00397D78"/>
    <w:rsid w:val="003A020A"/>
    <w:rsid w:val="003A061C"/>
    <w:rsid w:val="003A0A12"/>
    <w:rsid w:val="003A0AB7"/>
    <w:rsid w:val="003A0F22"/>
    <w:rsid w:val="003A1065"/>
    <w:rsid w:val="003A1150"/>
    <w:rsid w:val="003A13C2"/>
    <w:rsid w:val="003A1511"/>
    <w:rsid w:val="003A1730"/>
    <w:rsid w:val="003A1A5C"/>
    <w:rsid w:val="003A1A67"/>
    <w:rsid w:val="003A1C54"/>
    <w:rsid w:val="003A1EA6"/>
    <w:rsid w:val="003A20FC"/>
    <w:rsid w:val="003A214B"/>
    <w:rsid w:val="003A2336"/>
    <w:rsid w:val="003A24A6"/>
    <w:rsid w:val="003A280E"/>
    <w:rsid w:val="003A2A61"/>
    <w:rsid w:val="003A329C"/>
    <w:rsid w:val="003A3538"/>
    <w:rsid w:val="003A3749"/>
    <w:rsid w:val="003A39D7"/>
    <w:rsid w:val="003A3ACA"/>
    <w:rsid w:val="003A3B85"/>
    <w:rsid w:val="003A3F32"/>
    <w:rsid w:val="003A3FD5"/>
    <w:rsid w:val="003A4889"/>
    <w:rsid w:val="003A49A9"/>
    <w:rsid w:val="003A4B35"/>
    <w:rsid w:val="003A4CBA"/>
    <w:rsid w:val="003A4DF2"/>
    <w:rsid w:val="003A4F02"/>
    <w:rsid w:val="003A50D1"/>
    <w:rsid w:val="003A56AB"/>
    <w:rsid w:val="003A59BE"/>
    <w:rsid w:val="003A5A81"/>
    <w:rsid w:val="003A5CED"/>
    <w:rsid w:val="003A5F39"/>
    <w:rsid w:val="003A5F80"/>
    <w:rsid w:val="003A6177"/>
    <w:rsid w:val="003A6A16"/>
    <w:rsid w:val="003A6A2A"/>
    <w:rsid w:val="003A6BB5"/>
    <w:rsid w:val="003A757D"/>
    <w:rsid w:val="003A75D1"/>
    <w:rsid w:val="003A7B9C"/>
    <w:rsid w:val="003A7CDD"/>
    <w:rsid w:val="003B0270"/>
    <w:rsid w:val="003B0866"/>
    <w:rsid w:val="003B0A58"/>
    <w:rsid w:val="003B0B2E"/>
    <w:rsid w:val="003B0D7B"/>
    <w:rsid w:val="003B0DA0"/>
    <w:rsid w:val="003B0FE6"/>
    <w:rsid w:val="003B1944"/>
    <w:rsid w:val="003B19B3"/>
    <w:rsid w:val="003B1C7D"/>
    <w:rsid w:val="003B1E93"/>
    <w:rsid w:val="003B21D2"/>
    <w:rsid w:val="003B21F5"/>
    <w:rsid w:val="003B251E"/>
    <w:rsid w:val="003B2BEA"/>
    <w:rsid w:val="003B2EB2"/>
    <w:rsid w:val="003B2FCE"/>
    <w:rsid w:val="003B3265"/>
    <w:rsid w:val="003B3388"/>
    <w:rsid w:val="003B36E1"/>
    <w:rsid w:val="003B3A6F"/>
    <w:rsid w:val="003B3B51"/>
    <w:rsid w:val="003B3C4C"/>
    <w:rsid w:val="003B3F63"/>
    <w:rsid w:val="003B40C2"/>
    <w:rsid w:val="003B40D6"/>
    <w:rsid w:val="003B41B2"/>
    <w:rsid w:val="003B4255"/>
    <w:rsid w:val="003B42D1"/>
    <w:rsid w:val="003B4333"/>
    <w:rsid w:val="003B45F9"/>
    <w:rsid w:val="003B46CF"/>
    <w:rsid w:val="003B47FF"/>
    <w:rsid w:val="003B4D69"/>
    <w:rsid w:val="003B4DD0"/>
    <w:rsid w:val="003B4ECC"/>
    <w:rsid w:val="003B5087"/>
    <w:rsid w:val="003B5199"/>
    <w:rsid w:val="003B5744"/>
    <w:rsid w:val="003B588F"/>
    <w:rsid w:val="003B59A9"/>
    <w:rsid w:val="003B5EA3"/>
    <w:rsid w:val="003B5EC1"/>
    <w:rsid w:val="003B6092"/>
    <w:rsid w:val="003B639C"/>
    <w:rsid w:val="003B66DD"/>
    <w:rsid w:val="003B6727"/>
    <w:rsid w:val="003B6990"/>
    <w:rsid w:val="003B69C7"/>
    <w:rsid w:val="003B6A07"/>
    <w:rsid w:val="003B6C37"/>
    <w:rsid w:val="003B6CE1"/>
    <w:rsid w:val="003B71A6"/>
    <w:rsid w:val="003B7272"/>
    <w:rsid w:val="003B75F4"/>
    <w:rsid w:val="003B76EE"/>
    <w:rsid w:val="003B7BF7"/>
    <w:rsid w:val="003B7EBE"/>
    <w:rsid w:val="003C0666"/>
    <w:rsid w:val="003C08DD"/>
    <w:rsid w:val="003C106E"/>
    <w:rsid w:val="003C1236"/>
    <w:rsid w:val="003C16B2"/>
    <w:rsid w:val="003C1969"/>
    <w:rsid w:val="003C1A1E"/>
    <w:rsid w:val="003C1B93"/>
    <w:rsid w:val="003C1D31"/>
    <w:rsid w:val="003C1D69"/>
    <w:rsid w:val="003C20F3"/>
    <w:rsid w:val="003C2626"/>
    <w:rsid w:val="003C2853"/>
    <w:rsid w:val="003C2BCA"/>
    <w:rsid w:val="003C31C2"/>
    <w:rsid w:val="003C3212"/>
    <w:rsid w:val="003C32A8"/>
    <w:rsid w:val="003C3428"/>
    <w:rsid w:val="003C381C"/>
    <w:rsid w:val="003C3879"/>
    <w:rsid w:val="003C3898"/>
    <w:rsid w:val="003C389E"/>
    <w:rsid w:val="003C38DE"/>
    <w:rsid w:val="003C3D7A"/>
    <w:rsid w:val="003C3E2B"/>
    <w:rsid w:val="003C40AC"/>
    <w:rsid w:val="003C4285"/>
    <w:rsid w:val="003C44F4"/>
    <w:rsid w:val="003C4D5B"/>
    <w:rsid w:val="003C4F56"/>
    <w:rsid w:val="003C557B"/>
    <w:rsid w:val="003C55A5"/>
    <w:rsid w:val="003C5648"/>
    <w:rsid w:val="003C60F0"/>
    <w:rsid w:val="003C62B3"/>
    <w:rsid w:val="003C640A"/>
    <w:rsid w:val="003C6461"/>
    <w:rsid w:val="003C6841"/>
    <w:rsid w:val="003C6BB7"/>
    <w:rsid w:val="003C7145"/>
    <w:rsid w:val="003C7249"/>
    <w:rsid w:val="003C731D"/>
    <w:rsid w:val="003C73DB"/>
    <w:rsid w:val="003C7615"/>
    <w:rsid w:val="003C7916"/>
    <w:rsid w:val="003C7AEF"/>
    <w:rsid w:val="003C7BAE"/>
    <w:rsid w:val="003C7D08"/>
    <w:rsid w:val="003C7E94"/>
    <w:rsid w:val="003C7ED2"/>
    <w:rsid w:val="003D0058"/>
    <w:rsid w:val="003D00DD"/>
    <w:rsid w:val="003D021E"/>
    <w:rsid w:val="003D035B"/>
    <w:rsid w:val="003D0B6C"/>
    <w:rsid w:val="003D0CE0"/>
    <w:rsid w:val="003D0F44"/>
    <w:rsid w:val="003D1095"/>
    <w:rsid w:val="003D1099"/>
    <w:rsid w:val="003D10E6"/>
    <w:rsid w:val="003D123C"/>
    <w:rsid w:val="003D1F01"/>
    <w:rsid w:val="003D224C"/>
    <w:rsid w:val="003D29FD"/>
    <w:rsid w:val="003D2AB9"/>
    <w:rsid w:val="003D3651"/>
    <w:rsid w:val="003D3666"/>
    <w:rsid w:val="003D3F5D"/>
    <w:rsid w:val="003D437D"/>
    <w:rsid w:val="003D4849"/>
    <w:rsid w:val="003D5225"/>
    <w:rsid w:val="003D5363"/>
    <w:rsid w:val="003D5410"/>
    <w:rsid w:val="003D5466"/>
    <w:rsid w:val="003D5599"/>
    <w:rsid w:val="003D5B30"/>
    <w:rsid w:val="003D5B88"/>
    <w:rsid w:val="003D646D"/>
    <w:rsid w:val="003D6A6D"/>
    <w:rsid w:val="003D6C39"/>
    <w:rsid w:val="003D6F3B"/>
    <w:rsid w:val="003D70E4"/>
    <w:rsid w:val="003D70FB"/>
    <w:rsid w:val="003D7A5D"/>
    <w:rsid w:val="003E0459"/>
    <w:rsid w:val="003E05C2"/>
    <w:rsid w:val="003E0605"/>
    <w:rsid w:val="003E07B4"/>
    <w:rsid w:val="003E07BE"/>
    <w:rsid w:val="003E0A55"/>
    <w:rsid w:val="003E0B81"/>
    <w:rsid w:val="003E0ECB"/>
    <w:rsid w:val="003E105F"/>
    <w:rsid w:val="003E10CC"/>
    <w:rsid w:val="003E1B68"/>
    <w:rsid w:val="003E200F"/>
    <w:rsid w:val="003E2454"/>
    <w:rsid w:val="003E259A"/>
    <w:rsid w:val="003E266F"/>
    <w:rsid w:val="003E2A8C"/>
    <w:rsid w:val="003E2AB9"/>
    <w:rsid w:val="003E3171"/>
    <w:rsid w:val="003E3632"/>
    <w:rsid w:val="003E371C"/>
    <w:rsid w:val="003E3737"/>
    <w:rsid w:val="003E39D3"/>
    <w:rsid w:val="003E3AF1"/>
    <w:rsid w:val="003E423F"/>
    <w:rsid w:val="003E4340"/>
    <w:rsid w:val="003E44C5"/>
    <w:rsid w:val="003E4524"/>
    <w:rsid w:val="003E4970"/>
    <w:rsid w:val="003E4C09"/>
    <w:rsid w:val="003E4DF7"/>
    <w:rsid w:val="003E4E06"/>
    <w:rsid w:val="003E53B4"/>
    <w:rsid w:val="003E5403"/>
    <w:rsid w:val="003E54C5"/>
    <w:rsid w:val="003E618E"/>
    <w:rsid w:val="003E61D1"/>
    <w:rsid w:val="003E6201"/>
    <w:rsid w:val="003E65B4"/>
    <w:rsid w:val="003E666B"/>
    <w:rsid w:val="003E693B"/>
    <w:rsid w:val="003E6981"/>
    <w:rsid w:val="003E6F38"/>
    <w:rsid w:val="003E6FBB"/>
    <w:rsid w:val="003E7249"/>
    <w:rsid w:val="003E780E"/>
    <w:rsid w:val="003E791C"/>
    <w:rsid w:val="003E79DC"/>
    <w:rsid w:val="003E7CB1"/>
    <w:rsid w:val="003E7D37"/>
    <w:rsid w:val="003E7DEB"/>
    <w:rsid w:val="003E7E0A"/>
    <w:rsid w:val="003E7ECD"/>
    <w:rsid w:val="003F00DE"/>
    <w:rsid w:val="003F0317"/>
    <w:rsid w:val="003F03F3"/>
    <w:rsid w:val="003F0444"/>
    <w:rsid w:val="003F054A"/>
    <w:rsid w:val="003F068A"/>
    <w:rsid w:val="003F068E"/>
    <w:rsid w:val="003F06C4"/>
    <w:rsid w:val="003F0AC3"/>
    <w:rsid w:val="003F0C37"/>
    <w:rsid w:val="003F17DA"/>
    <w:rsid w:val="003F18B6"/>
    <w:rsid w:val="003F1B6B"/>
    <w:rsid w:val="003F1CC9"/>
    <w:rsid w:val="003F24AC"/>
    <w:rsid w:val="003F25B4"/>
    <w:rsid w:val="003F27BD"/>
    <w:rsid w:val="003F2889"/>
    <w:rsid w:val="003F2A7B"/>
    <w:rsid w:val="003F2D5E"/>
    <w:rsid w:val="003F3161"/>
    <w:rsid w:val="003F316D"/>
    <w:rsid w:val="003F385F"/>
    <w:rsid w:val="003F3B3B"/>
    <w:rsid w:val="003F3D48"/>
    <w:rsid w:val="003F4200"/>
    <w:rsid w:val="003F4219"/>
    <w:rsid w:val="003F4251"/>
    <w:rsid w:val="003F43B0"/>
    <w:rsid w:val="003F48AF"/>
    <w:rsid w:val="003F49B3"/>
    <w:rsid w:val="003F4BEF"/>
    <w:rsid w:val="003F57C3"/>
    <w:rsid w:val="003F5909"/>
    <w:rsid w:val="003F5913"/>
    <w:rsid w:val="003F5B17"/>
    <w:rsid w:val="003F5B4F"/>
    <w:rsid w:val="003F634B"/>
    <w:rsid w:val="003F6AEE"/>
    <w:rsid w:val="003F6E39"/>
    <w:rsid w:val="003F7197"/>
    <w:rsid w:val="003F731E"/>
    <w:rsid w:val="003F74E9"/>
    <w:rsid w:val="003F75D8"/>
    <w:rsid w:val="003F7852"/>
    <w:rsid w:val="003F7BD0"/>
    <w:rsid w:val="003F7D4E"/>
    <w:rsid w:val="003F7DB9"/>
    <w:rsid w:val="00400655"/>
    <w:rsid w:val="00400945"/>
    <w:rsid w:val="00400AA9"/>
    <w:rsid w:val="00400B94"/>
    <w:rsid w:val="00400C9A"/>
    <w:rsid w:val="004011D4"/>
    <w:rsid w:val="004019D0"/>
    <w:rsid w:val="00401B5E"/>
    <w:rsid w:val="00401CD8"/>
    <w:rsid w:val="00402012"/>
    <w:rsid w:val="0040212A"/>
    <w:rsid w:val="004021B6"/>
    <w:rsid w:val="004022EE"/>
    <w:rsid w:val="0040235F"/>
    <w:rsid w:val="00402A6A"/>
    <w:rsid w:val="00402CC1"/>
    <w:rsid w:val="0040378D"/>
    <w:rsid w:val="00403C28"/>
    <w:rsid w:val="00403C29"/>
    <w:rsid w:val="00403D92"/>
    <w:rsid w:val="00403DD5"/>
    <w:rsid w:val="0040450E"/>
    <w:rsid w:val="004046C9"/>
    <w:rsid w:val="0040470C"/>
    <w:rsid w:val="004048F7"/>
    <w:rsid w:val="00404B24"/>
    <w:rsid w:val="00404BE0"/>
    <w:rsid w:val="00404DD5"/>
    <w:rsid w:val="00404EFB"/>
    <w:rsid w:val="0040537E"/>
    <w:rsid w:val="00405465"/>
    <w:rsid w:val="00405ADB"/>
    <w:rsid w:val="00405D96"/>
    <w:rsid w:val="00405FBE"/>
    <w:rsid w:val="004061F7"/>
    <w:rsid w:val="00406B44"/>
    <w:rsid w:val="00406C95"/>
    <w:rsid w:val="00406D69"/>
    <w:rsid w:val="00406F51"/>
    <w:rsid w:val="0040716D"/>
    <w:rsid w:val="0040722E"/>
    <w:rsid w:val="004079E4"/>
    <w:rsid w:val="00407C3E"/>
    <w:rsid w:val="00407CF3"/>
    <w:rsid w:val="00407F15"/>
    <w:rsid w:val="004100D3"/>
    <w:rsid w:val="00410380"/>
    <w:rsid w:val="00410616"/>
    <w:rsid w:val="004107E7"/>
    <w:rsid w:val="00410DFA"/>
    <w:rsid w:val="00410F2B"/>
    <w:rsid w:val="00411168"/>
    <w:rsid w:val="004111AB"/>
    <w:rsid w:val="00411260"/>
    <w:rsid w:val="004115D6"/>
    <w:rsid w:val="00411710"/>
    <w:rsid w:val="00411741"/>
    <w:rsid w:val="0041185F"/>
    <w:rsid w:val="00411B46"/>
    <w:rsid w:val="00411BEA"/>
    <w:rsid w:val="00411D9B"/>
    <w:rsid w:val="00411DD0"/>
    <w:rsid w:val="004124DD"/>
    <w:rsid w:val="00412B5D"/>
    <w:rsid w:val="00412E24"/>
    <w:rsid w:val="00412ECD"/>
    <w:rsid w:val="0041334A"/>
    <w:rsid w:val="004137CB"/>
    <w:rsid w:val="00413B53"/>
    <w:rsid w:val="0041404D"/>
    <w:rsid w:val="00414163"/>
    <w:rsid w:val="00414250"/>
    <w:rsid w:val="00414486"/>
    <w:rsid w:val="00414671"/>
    <w:rsid w:val="0041489F"/>
    <w:rsid w:val="00414C86"/>
    <w:rsid w:val="00415086"/>
    <w:rsid w:val="0041553E"/>
    <w:rsid w:val="00415603"/>
    <w:rsid w:val="00415B16"/>
    <w:rsid w:val="00415C43"/>
    <w:rsid w:val="00415C4C"/>
    <w:rsid w:val="00415D13"/>
    <w:rsid w:val="00415E05"/>
    <w:rsid w:val="00416098"/>
    <w:rsid w:val="004160C4"/>
    <w:rsid w:val="004163EB"/>
    <w:rsid w:val="00416765"/>
    <w:rsid w:val="00416775"/>
    <w:rsid w:val="00416C8B"/>
    <w:rsid w:val="00416E1F"/>
    <w:rsid w:val="004172E4"/>
    <w:rsid w:val="00417991"/>
    <w:rsid w:val="00417E9C"/>
    <w:rsid w:val="00417F21"/>
    <w:rsid w:val="004202F4"/>
    <w:rsid w:val="00420412"/>
    <w:rsid w:val="00420441"/>
    <w:rsid w:val="004206AF"/>
    <w:rsid w:val="0042178C"/>
    <w:rsid w:val="00421C0E"/>
    <w:rsid w:val="004221B7"/>
    <w:rsid w:val="004223FA"/>
    <w:rsid w:val="004224DD"/>
    <w:rsid w:val="004228B3"/>
    <w:rsid w:val="00422ABB"/>
    <w:rsid w:val="00422E64"/>
    <w:rsid w:val="00422F1F"/>
    <w:rsid w:val="00423105"/>
    <w:rsid w:val="004236E3"/>
    <w:rsid w:val="00423704"/>
    <w:rsid w:val="004237CC"/>
    <w:rsid w:val="0042393F"/>
    <w:rsid w:val="004239C5"/>
    <w:rsid w:val="00423B0D"/>
    <w:rsid w:val="0042406A"/>
    <w:rsid w:val="004243B8"/>
    <w:rsid w:val="0042475F"/>
    <w:rsid w:val="004248D3"/>
    <w:rsid w:val="00424A98"/>
    <w:rsid w:val="00424E6F"/>
    <w:rsid w:val="0042519E"/>
    <w:rsid w:val="00425202"/>
    <w:rsid w:val="00425239"/>
    <w:rsid w:val="00425433"/>
    <w:rsid w:val="0042546A"/>
    <w:rsid w:val="00425871"/>
    <w:rsid w:val="004258FE"/>
    <w:rsid w:val="00426569"/>
    <w:rsid w:val="00426663"/>
    <w:rsid w:val="00426947"/>
    <w:rsid w:val="00426A88"/>
    <w:rsid w:val="00426AF0"/>
    <w:rsid w:val="00426D42"/>
    <w:rsid w:val="004270D6"/>
    <w:rsid w:val="00427287"/>
    <w:rsid w:val="00427449"/>
    <w:rsid w:val="0042776F"/>
    <w:rsid w:val="00427AD9"/>
    <w:rsid w:val="00427AE9"/>
    <w:rsid w:val="00427DF5"/>
    <w:rsid w:val="00427DF8"/>
    <w:rsid w:val="00427E51"/>
    <w:rsid w:val="0043006F"/>
    <w:rsid w:val="004302D2"/>
    <w:rsid w:val="00430660"/>
    <w:rsid w:val="00430B8A"/>
    <w:rsid w:val="00430D96"/>
    <w:rsid w:val="00430F26"/>
    <w:rsid w:val="00430FD3"/>
    <w:rsid w:val="004313EF"/>
    <w:rsid w:val="0043154D"/>
    <w:rsid w:val="004315CC"/>
    <w:rsid w:val="00431958"/>
    <w:rsid w:val="00431B6E"/>
    <w:rsid w:val="00431D20"/>
    <w:rsid w:val="00431F93"/>
    <w:rsid w:val="0043266D"/>
    <w:rsid w:val="004327CF"/>
    <w:rsid w:val="00432CF8"/>
    <w:rsid w:val="00432F7F"/>
    <w:rsid w:val="00433149"/>
    <w:rsid w:val="00433201"/>
    <w:rsid w:val="00433875"/>
    <w:rsid w:val="004346D8"/>
    <w:rsid w:val="004346FF"/>
    <w:rsid w:val="00434970"/>
    <w:rsid w:val="004350FD"/>
    <w:rsid w:val="004354E9"/>
    <w:rsid w:val="0043569A"/>
    <w:rsid w:val="00435DB1"/>
    <w:rsid w:val="00436008"/>
    <w:rsid w:val="00436558"/>
    <w:rsid w:val="004365D5"/>
    <w:rsid w:val="00436613"/>
    <w:rsid w:val="0043664A"/>
    <w:rsid w:val="004368CC"/>
    <w:rsid w:val="00436992"/>
    <w:rsid w:val="00436CE1"/>
    <w:rsid w:val="00440616"/>
    <w:rsid w:val="00440B97"/>
    <w:rsid w:val="00440C68"/>
    <w:rsid w:val="004413F3"/>
    <w:rsid w:val="00441721"/>
    <w:rsid w:val="00441726"/>
    <w:rsid w:val="004417FC"/>
    <w:rsid w:val="00441E41"/>
    <w:rsid w:val="00442253"/>
    <w:rsid w:val="004423D2"/>
    <w:rsid w:val="00442A5C"/>
    <w:rsid w:val="00442A74"/>
    <w:rsid w:val="00442AAB"/>
    <w:rsid w:val="00442AB8"/>
    <w:rsid w:val="00442E92"/>
    <w:rsid w:val="004431CE"/>
    <w:rsid w:val="00443248"/>
    <w:rsid w:val="004434DF"/>
    <w:rsid w:val="004437F9"/>
    <w:rsid w:val="00443923"/>
    <w:rsid w:val="00443942"/>
    <w:rsid w:val="00443B81"/>
    <w:rsid w:val="00443E24"/>
    <w:rsid w:val="0044439A"/>
    <w:rsid w:val="0044485E"/>
    <w:rsid w:val="00444914"/>
    <w:rsid w:val="00444A37"/>
    <w:rsid w:val="00444BED"/>
    <w:rsid w:val="00444C62"/>
    <w:rsid w:val="00444E70"/>
    <w:rsid w:val="00445071"/>
    <w:rsid w:val="004451CD"/>
    <w:rsid w:val="004453ED"/>
    <w:rsid w:val="00445747"/>
    <w:rsid w:val="004457F4"/>
    <w:rsid w:val="004459FD"/>
    <w:rsid w:val="00445A36"/>
    <w:rsid w:val="00445A3F"/>
    <w:rsid w:val="00445A5F"/>
    <w:rsid w:val="00445F43"/>
    <w:rsid w:val="00446081"/>
    <w:rsid w:val="00446210"/>
    <w:rsid w:val="004465BB"/>
    <w:rsid w:val="00446AC2"/>
    <w:rsid w:val="00446FE8"/>
    <w:rsid w:val="00447008"/>
    <w:rsid w:val="004472FE"/>
    <w:rsid w:val="00447739"/>
    <w:rsid w:val="004477B1"/>
    <w:rsid w:val="00447C37"/>
    <w:rsid w:val="00447D43"/>
    <w:rsid w:val="00447D87"/>
    <w:rsid w:val="004500EA"/>
    <w:rsid w:val="0045021A"/>
    <w:rsid w:val="00450752"/>
    <w:rsid w:val="00450AD7"/>
    <w:rsid w:val="00450B28"/>
    <w:rsid w:val="00450DD2"/>
    <w:rsid w:val="00450E02"/>
    <w:rsid w:val="00450E1D"/>
    <w:rsid w:val="004510BB"/>
    <w:rsid w:val="00451226"/>
    <w:rsid w:val="004517CF"/>
    <w:rsid w:val="00451BD0"/>
    <w:rsid w:val="0045224C"/>
    <w:rsid w:val="0045241D"/>
    <w:rsid w:val="00452AA5"/>
    <w:rsid w:val="00452B3D"/>
    <w:rsid w:val="00452CCD"/>
    <w:rsid w:val="004530FA"/>
    <w:rsid w:val="004531AD"/>
    <w:rsid w:val="004531B6"/>
    <w:rsid w:val="004531D2"/>
    <w:rsid w:val="0045329C"/>
    <w:rsid w:val="00453679"/>
    <w:rsid w:val="004536F9"/>
    <w:rsid w:val="0045398E"/>
    <w:rsid w:val="00453D40"/>
    <w:rsid w:val="00454079"/>
    <w:rsid w:val="004544B2"/>
    <w:rsid w:val="004544E4"/>
    <w:rsid w:val="00454751"/>
    <w:rsid w:val="00454ADB"/>
    <w:rsid w:val="00455127"/>
    <w:rsid w:val="00455299"/>
    <w:rsid w:val="004555AC"/>
    <w:rsid w:val="00455AAF"/>
    <w:rsid w:val="00455BB7"/>
    <w:rsid w:val="00455EA7"/>
    <w:rsid w:val="00455FBC"/>
    <w:rsid w:val="00456367"/>
    <w:rsid w:val="00456579"/>
    <w:rsid w:val="0045690B"/>
    <w:rsid w:val="00456B0F"/>
    <w:rsid w:val="00456BE0"/>
    <w:rsid w:val="00456F3C"/>
    <w:rsid w:val="00457127"/>
    <w:rsid w:val="00457371"/>
    <w:rsid w:val="004578E0"/>
    <w:rsid w:val="00457F21"/>
    <w:rsid w:val="0046024A"/>
    <w:rsid w:val="004603F6"/>
    <w:rsid w:val="004604B5"/>
    <w:rsid w:val="004606F1"/>
    <w:rsid w:val="00460AA4"/>
    <w:rsid w:val="00460FB9"/>
    <w:rsid w:val="0046109D"/>
    <w:rsid w:val="004610D6"/>
    <w:rsid w:val="004614E6"/>
    <w:rsid w:val="00461658"/>
    <w:rsid w:val="0046165A"/>
    <w:rsid w:val="00461EE7"/>
    <w:rsid w:val="00462121"/>
    <w:rsid w:val="004628A6"/>
    <w:rsid w:val="00462967"/>
    <w:rsid w:val="00462D60"/>
    <w:rsid w:val="00463280"/>
    <w:rsid w:val="0046357F"/>
    <w:rsid w:val="004635BF"/>
    <w:rsid w:val="00463AD1"/>
    <w:rsid w:val="00463B52"/>
    <w:rsid w:val="00463C5C"/>
    <w:rsid w:val="00463DFB"/>
    <w:rsid w:val="00463E8D"/>
    <w:rsid w:val="004641C7"/>
    <w:rsid w:val="00464440"/>
    <w:rsid w:val="00464624"/>
    <w:rsid w:val="0046483D"/>
    <w:rsid w:val="00464C38"/>
    <w:rsid w:val="00464EE0"/>
    <w:rsid w:val="00464F50"/>
    <w:rsid w:val="00465793"/>
    <w:rsid w:val="00465B74"/>
    <w:rsid w:val="00465ED9"/>
    <w:rsid w:val="00466212"/>
    <w:rsid w:val="00466515"/>
    <w:rsid w:val="00466538"/>
    <w:rsid w:val="004668B9"/>
    <w:rsid w:val="0046789C"/>
    <w:rsid w:val="004678A1"/>
    <w:rsid w:val="00467BCC"/>
    <w:rsid w:val="00467D1A"/>
    <w:rsid w:val="00467DA4"/>
    <w:rsid w:val="00467DC7"/>
    <w:rsid w:val="00467FFA"/>
    <w:rsid w:val="004706BF"/>
    <w:rsid w:val="00470881"/>
    <w:rsid w:val="00471076"/>
    <w:rsid w:val="004712BA"/>
    <w:rsid w:val="00471E2F"/>
    <w:rsid w:val="00472113"/>
    <w:rsid w:val="0047224E"/>
    <w:rsid w:val="004722AF"/>
    <w:rsid w:val="00472924"/>
    <w:rsid w:val="00472EA2"/>
    <w:rsid w:val="00472F60"/>
    <w:rsid w:val="00472F9D"/>
    <w:rsid w:val="0047329C"/>
    <w:rsid w:val="004736E3"/>
    <w:rsid w:val="00473BC2"/>
    <w:rsid w:val="00474317"/>
    <w:rsid w:val="004747C5"/>
    <w:rsid w:val="00474831"/>
    <w:rsid w:val="00474AD0"/>
    <w:rsid w:val="004757C1"/>
    <w:rsid w:val="00475F0D"/>
    <w:rsid w:val="0047725B"/>
    <w:rsid w:val="00477350"/>
    <w:rsid w:val="0047743D"/>
    <w:rsid w:val="00477650"/>
    <w:rsid w:val="00477874"/>
    <w:rsid w:val="00477E5B"/>
    <w:rsid w:val="00477FB5"/>
    <w:rsid w:val="004803AD"/>
    <w:rsid w:val="004805E4"/>
    <w:rsid w:val="00480952"/>
    <w:rsid w:val="00480B6C"/>
    <w:rsid w:val="004813ED"/>
    <w:rsid w:val="004813F6"/>
    <w:rsid w:val="00481A22"/>
    <w:rsid w:val="00481D8A"/>
    <w:rsid w:val="004824ED"/>
    <w:rsid w:val="0048253B"/>
    <w:rsid w:val="004829BC"/>
    <w:rsid w:val="00482BD4"/>
    <w:rsid w:val="00482BD9"/>
    <w:rsid w:val="00482EFF"/>
    <w:rsid w:val="00483241"/>
    <w:rsid w:val="004834BB"/>
    <w:rsid w:val="0048356B"/>
    <w:rsid w:val="00483965"/>
    <w:rsid w:val="00483B9C"/>
    <w:rsid w:val="00483CEA"/>
    <w:rsid w:val="004849C3"/>
    <w:rsid w:val="00484D0F"/>
    <w:rsid w:val="00484F63"/>
    <w:rsid w:val="0048534D"/>
    <w:rsid w:val="004862EE"/>
    <w:rsid w:val="00486758"/>
    <w:rsid w:val="004867C9"/>
    <w:rsid w:val="0048686C"/>
    <w:rsid w:val="00486902"/>
    <w:rsid w:val="00486B5B"/>
    <w:rsid w:val="00486C8D"/>
    <w:rsid w:val="00486CE7"/>
    <w:rsid w:val="00486DC5"/>
    <w:rsid w:val="00487582"/>
    <w:rsid w:val="00487C78"/>
    <w:rsid w:val="00487E4E"/>
    <w:rsid w:val="00487F2E"/>
    <w:rsid w:val="0049006C"/>
    <w:rsid w:val="0049009B"/>
    <w:rsid w:val="0049041B"/>
    <w:rsid w:val="0049077D"/>
    <w:rsid w:val="004909E7"/>
    <w:rsid w:val="004909F9"/>
    <w:rsid w:val="00490BF4"/>
    <w:rsid w:val="00490D23"/>
    <w:rsid w:val="00490D6B"/>
    <w:rsid w:val="004911A9"/>
    <w:rsid w:val="00491215"/>
    <w:rsid w:val="0049177F"/>
    <w:rsid w:val="004918EC"/>
    <w:rsid w:val="00491978"/>
    <w:rsid w:val="00491A88"/>
    <w:rsid w:val="00491B23"/>
    <w:rsid w:val="00491B71"/>
    <w:rsid w:val="00491C6B"/>
    <w:rsid w:val="00491E80"/>
    <w:rsid w:val="004921BF"/>
    <w:rsid w:val="00492229"/>
    <w:rsid w:val="0049253E"/>
    <w:rsid w:val="00492740"/>
    <w:rsid w:val="00492A62"/>
    <w:rsid w:val="00492C1C"/>
    <w:rsid w:val="00492C7D"/>
    <w:rsid w:val="00492E67"/>
    <w:rsid w:val="00492F34"/>
    <w:rsid w:val="004934F4"/>
    <w:rsid w:val="00493605"/>
    <w:rsid w:val="00493A64"/>
    <w:rsid w:val="00493FF6"/>
    <w:rsid w:val="0049436C"/>
    <w:rsid w:val="00494553"/>
    <w:rsid w:val="00494AA2"/>
    <w:rsid w:val="00494C16"/>
    <w:rsid w:val="00494D38"/>
    <w:rsid w:val="00494F9A"/>
    <w:rsid w:val="00495050"/>
    <w:rsid w:val="00495165"/>
    <w:rsid w:val="004955BC"/>
    <w:rsid w:val="00495604"/>
    <w:rsid w:val="004956E8"/>
    <w:rsid w:val="00495C02"/>
    <w:rsid w:val="00495E66"/>
    <w:rsid w:val="00496260"/>
    <w:rsid w:val="0049647B"/>
    <w:rsid w:val="0049660E"/>
    <w:rsid w:val="00496768"/>
    <w:rsid w:val="00496783"/>
    <w:rsid w:val="00496C50"/>
    <w:rsid w:val="004971D4"/>
    <w:rsid w:val="004971EC"/>
    <w:rsid w:val="004974B1"/>
    <w:rsid w:val="00497BDC"/>
    <w:rsid w:val="00497D77"/>
    <w:rsid w:val="00497F2D"/>
    <w:rsid w:val="004A056E"/>
    <w:rsid w:val="004A057B"/>
    <w:rsid w:val="004A05D5"/>
    <w:rsid w:val="004A06BC"/>
    <w:rsid w:val="004A07A1"/>
    <w:rsid w:val="004A07F7"/>
    <w:rsid w:val="004A0810"/>
    <w:rsid w:val="004A0B24"/>
    <w:rsid w:val="004A112F"/>
    <w:rsid w:val="004A1203"/>
    <w:rsid w:val="004A16DB"/>
    <w:rsid w:val="004A1B20"/>
    <w:rsid w:val="004A1E13"/>
    <w:rsid w:val="004A2846"/>
    <w:rsid w:val="004A28B3"/>
    <w:rsid w:val="004A339C"/>
    <w:rsid w:val="004A35F0"/>
    <w:rsid w:val="004A36B9"/>
    <w:rsid w:val="004A3753"/>
    <w:rsid w:val="004A37AE"/>
    <w:rsid w:val="004A37D6"/>
    <w:rsid w:val="004A3A06"/>
    <w:rsid w:val="004A3ED7"/>
    <w:rsid w:val="004A426B"/>
    <w:rsid w:val="004A4421"/>
    <w:rsid w:val="004A45C2"/>
    <w:rsid w:val="004A4660"/>
    <w:rsid w:val="004A4C97"/>
    <w:rsid w:val="004A4DB1"/>
    <w:rsid w:val="004A4E9F"/>
    <w:rsid w:val="004A4F29"/>
    <w:rsid w:val="004A4F4F"/>
    <w:rsid w:val="004A555E"/>
    <w:rsid w:val="004A5B3D"/>
    <w:rsid w:val="004A5D51"/>
    <w:rsid w:val="004A5EA8"/>
    <w:rsid w:val="004A5F46"/>
    <w:rsid w:val="004A5F49"/>
    <w:rsid w:val="004A619C"/>
    <w:rsid w:val="004A64B0"/>
    <w:rsid w:val="004A64DC"/>
    <w:rsid w:val="004A6ACE"/>
    <w:rsid w:val="004A6B20"/>
    <w:rsid w:val="004A6C60"/>
    <w:rsid w:val="004A7455"/>
    <w:rsid w:val="004A7517"/>
    <w:rsid w:val="004A767D"/>
    <w:rsid w:val="004A76DE"/>
    <w:rsid w:val="004A787D"/>
    <w:rsid w:val="004A7D03"/>
    <w:rsid w:val="004B02A9"/>
    <w:rsid w:val="004B0384"/>
    <w:rsid w:val="004B0439"/>
    <w:rsid w:val="004B0590"/>
    <w:rsid w:val="004B06FB"/>
    <w:rsid w:val="004B07C3"/>
    <w:rsid w:val="004B0A41"/>
    <w:rsid w:val="004B0CF1"/>
    <w:rsid w:val="004B0D3B"/>
    <w:rsid w:val="004B103C"/>
    <w:rsid w:val="004B13B6"/>
    <w:rsid w:val="004B1C50"/>
    <w:rsid w:val="004B1CC8"/>
    <w:rsid w:val="004B2066"/>
    <w:rsid w:val="004B22A0"/>
    <w:rsid w:val="004B2389"/>
    <w:rsid w:val="004B2A41"/>
    <w:rsid w:val="004B2EC6"/>
    <w:rsid w:val="004B2FC3"/>
    <w:rsid w:val="004B307E"/>
    <w:rsid w:val="004B3210"/>
    <w:rsid w:val="004B3454"/>
    <w:rsid w:val="004B3955"/>
    <w:rsid w:val="004B3DB2"/>
    <w:rsid w:val="004B3DB7"/>
    <w:rsid w:val="004B3F95"/>
    <w:rsid w:val="004B404B"/>
    <w:rsid w:val="004B4542"/>
    <w:rsid w:val="004B4761"/>
    <w:rsid w:val="004B4BAE"/>
    <w:rsid w:val="004B4FD4"/>
    <w:rsid w:val="004B5018"/>
    <w:rsid w:val="004B5068"/>
    <w:rsid w:val="004B5174"/>
    <w:rsid w:val="004B520E"/>
    <w:rsid w:val="004B55C8"/>
    <w:rsid w:val="004B55CB"/>
    <w:rsid w:val="004B55E8"/>
    <w:rsid w:val="004B5DCF"/>
    <w:rsid w:val="004B641B"/>
    <w:rsid w:val="004B65AD"/>
    <w:rsid w:val="004B663B"/>
    <w:rsid w:val="004B6A32"/>
    <w:rsid w:val="004B6AF5"/>
    <w:rsid w:val="004B6E52"/>
    <w:rsid w:val="004B6F65"/>
    <w:rsid w:val="004B71E8"/>
    <w:rsid w:val="004B722E"/>
    <w:rsid w:val="004B79E0"/>
    <w:rsid w:val="004B7B99"/>
    <w:rsid w:val="004C0359"/>
    <w:rsid w:val="004C039F"/>
    <w:rsid w:val="004C0679"/>
    <w:rsid w:val="004C110E"/>
    <w:rsid w:val="004C1616"/>
    <w:rsid w:val="004C199D"/>
    <w:rsid w:val="004C19FA"/>
    <w:rsid w:val="004C20A1"/>
    <w:rsid w:val="004C244C"/>
    <w:rsid w:val="004C256A"/>
    <w:rsid w:val="004C2CCB"/>
    <w:rsid w:val="004C314A"/>
    <w:rsid w:val="004C3355"/>
    <w:rsid w:val="004C384D"/>
    <w:rsid w:val="004C3FAD"/>
    <w:rsid w:val="004C3FE6"/>
    <w:rsid w:val="004C4302"/>
    <w:rsid w:val="004C4385"/>
    <w:rsid w:val="004C4615"/>
    <w:rsid w:val="004C488E"/>
    <w:rsid w:val="004C53EF"/>
    <w:rsid w:val="004C556B"/>
    <w:rsid w:val="004C58BD"/>
    <w:rsid w:val="004C5CC9"/>
    <w:rsid w:val="004C5ECA"/>
    <w:rsid w:val="004C68C2"/>
    <w:rsid w:val="004C6909"/>
    <w:rsid w:val="004C6A7A"/>
    <w:rsid w:val="004C6B82"/>
    <w:rsid w:val="004C6CA2"/>
    <w:rsid w:val="004C6E02"/>
    <w:rsid w:val="004C6F02"/>
    <w:rsid w:val="004C70AC"/>
    <w:rsid w:val="004C72A0"/>
    <w:rsid w:val="004C7371"/>
    <w:rsid w:val="004C76D3"/>
    <w:rsid w:val="004C7BEE"/>
    <w:rsid w:val="004D0314"/>
    <w:rsid w:val="004D0558"/>
    <w:rsid w:val="004D058B"/>
    <w:rsid w:val="004D0EBA"/>
    <w:rsid w:val="004D13B3"/>
    <w:rsid w:val="004D17E2"/>
    <w:rsid w:val="004D1967"/>
    <w:rsid w:val="004D1DCC"/>
    <w:rsid w:val="004D1F7D"/>
    <w:rsid w:val="004D1FED"/>
    <w:rsid w:val="004D24DB"/>
    <w:rsid w:val="004D26B6"/>
    <w:rsid w:val="004D26F3"/>
    <w:rsid w:val="004D29C0"/>
    <w:rsid w:val="004D2C50"/>
    <w:rsid w:val="004D3491"/>
    <w:rsid w:val="004D35C3"/>
    <w:rsid w:val="004D38C8"/>
    <w:rsid w:val="004D39FA"/>
    <w:rsid w:val="004D3F6C"/>
    <w:rsid w:val="004D4177"/>
    <w:rsid w:val="004D4C5B"/>
    <w:rsid w:val="004D54BB"/>
    <w:rsid w:val="004D56D4"/>
    <w:rsid w:val="004D56E9"/>
    <w:rsid w:val="004D5701"/>
    <w:rsid w:val="004D57E1"/>
    <w:rsid w:val="004D57F1"/>
    <w:rsid w:val="004D5826"/>
    <w:rsid w:val="004D5A54"/>
    <w:rsid w:val="004D5B0D"/>
    <w:rsid w:val="004D5B9C"/>
    <w:rsid w:val="004D5C1D"/>
    <w:rsid w:val="004D5F47"/>
    <w:rsid w:val="004D6296"/>
    <w:rsid w:val="004D63FF"/>
    <w:rsid w:val="004D650B"/>
    <w:rsid w:val="004D6773"/>
    <w:rsid w:val="004D6894"/>
    <w:rsid w:val="004D6F1F"/>
    <w:rsid w:val="004D707D"/>
    <w:rsid w:val="004D723D"/>
    <w:rsid w:val="004D73CB"/>
    <w:rsid w:val="004D7948"/>
    <w:rsid w:val="004D7B1A"/>
    <w:rsid w:val="004D7D38"/>
    <w:rsid w:val="004D7EAD"/>
    <w:rsid w:val="004D7FD1"/>
    <w:rsid w:val="004E0B00"/>
    <w:rsid w:val="004E0BAD"/>
    <w:rsid w:val="004E0D57"/>
    <w:rsid w:val="004E0E83"/>
    <w:rsid w:val="004E0EDF"/>
    <w:rsid w:val="004E1323"/>
    <w:rsid w:val="004E1520"/>
    <w:rsid w:val="004E1927"/>
    <w:rsid w:val="004E1E30"/>
    <w:rsid w:val="004E1EEC"/>
    <w:rsid w:val="004E202B"/>
    <w:rsid w:val="004E20BA"/>
    <w:rsid w:val="004E228A"/>
    <w:rsid w:val="004E26BB"/>
    <w:rsid w:val="004E2817"/>
    <w:rsid w:val="004E2828"/>
    <w:rsid w:val="004E2843"/>
    <w:rsid w:val="004E2C11"/>
    <w:rsid w:val="004E2D54"/>
    <w:rsid w:val="004E31AF"/>
    <w:rsid w:val="004E3336"/>
    <w:rsid w:val="004E3510"/>
    <w:rsid w:val="004E361D"/>
    <w:rsid w:val="004E3845"/>
    <w:rsid w:val="004E390F"/>
    <w:rsid w:val="004E3A01"/>
    <w:rsid w:val="004E3C27"/>
    <w:rsid w:val="004E3FF8"/>
    <w:rsid w:val="004E4003"/>
    <w:rsid w:val="004E40A5"/>
    <w:rsid w:val="004E40F3"/>
    <w:rsid w:val="004E4997"/>
    <w:rsid w:val="004E4C24"/>
    <w:rsid w:val="004E4E65"/>
    <w:rsid w:val="004E535F"/>
    <w:rsid w:val="004E5368"/>
    <w:rsid w:val="004E5581"/>
    <w:rsid w:val="004E59E7"/>
    <w:rsid w:val="004E5B58"/>
    <w:rsid w:val="004E5FA2"/>
    <w:rsid w:val="004E5FC3"/>
    <w:rsid w:val="004E63B3"/>
    <w:rsid w:val="004E6604"/>
    <w:rsid w:val="004E6615"/>
    <w:rsid w:val="004E679F"/>
    <w:rsid w:val="004E6ADC"/>
    <w:rsid w:val="004E6BB0"/>
    <w:rsid w:val="004E721F"/>
    <w:rsid w:val="004E726E"/>
    <w:rsid w:val="004E7306"/>
    <w:rsid w:val="004E7650"/>
    <w:rsid w:val="004E7979"/>
    <w:rsid w:val="004E7D07"/>
    <w:rsid w:val="004E7E17"/>
    <w:rsid w:val="004F017B"/>
    <w:rsid w:val="004F021C"/>
    <w:rsid w:val="004F05A8"/>
    <w:rsid w:val="004F08D2"/>
    <w:rsid w:val="004F09A2"/>
    <w:rsid w:val="004F0AB1"/>
    <w:rsid w:val="004F0F5E"/>
    <w:rsid w:val="004F1246"/>
    <w:rsid w:val="004F13C0"/>
    <w:rsid w:val="004F15CD"/>
    <w:rsid w:val="004F16B1"/>
    <w:rsid w:val="004F1AA1"/>
    <w:rsid w:val="004F1DF6"/>
    <w:rsid w:val="004F1FCA"/>
    <w:rsid w:val="004F26B4"/>
    <w:rsid w:val="004F2728"/>
    <w:rsid w:val="004F296D"/>
    <w:rsid w:val="004F2ADB"/>
    <w:rsid w:val="004F2C6C"/>
    <w:rsid w:val="004F2D10"/>
    <w:rsid w:val="004F2E65"/>
    <w:rsid w:val="004F375F"/>
    <w:rsid w:val="004F39B6"/>
    <w:rsid w:val="004F3C3B"/>
    <w:rsid w:val="004F3DEF"/>
    <w:rsid w:val="004F46EB"/>
    <w:rsid w:val="004F4A6A"/>
    <w:rsid w:val="004F4C21"/>
    <w:rsid w:val="004F5047"/>
    <w:rsid w:val="004F538F"/>
    <w:rsid w:val="004F53CB"/>
    <w:rsid w:val="004F5D51"/>
    <w:rsid w:val="004F5DA1"/>
    <w:rsid w:val="004F5DDE"/>
    <w:rsid w:val="004F63BB"/>
    <w:rsid w:val="004F6550"/>
    <w:rsid w:val="004F6603"/>
    <w:rsid w:val="004F678C"/>
    <w:rsid w:val="004F67EA"/>
    <w:rsid w:val="004F69EC"/>
    <w:rsid w:val="004F6A4B"/>
    <w:rsid w:val="004F6D86"/>
    <w:rsid w:val="004F6D89"/>
    <w:rsid w:val="004F6E77"/>
    <w:rsid w:val="004F7836"/>
    <w:rsid w:val="004F79CD"/>
    <w:rsid w:val="00500352"/>
    <w:rsid w:val="00500639"/>
    <w:rsid w:val="00500889"/>
    <w:rsid w:val="00500994"/>
    <w:rsid w:val="00500D2D"/>
    <w:rsid w:val="00500D6B"/>
    <w:rsid w:val="005016D6"/>
    <w:rsid w:val="005018F8"/>
    <w:rsid w:val="005019B2"/>
    <w:rsid w:val="005019E2"/>
    <w:rsid w:val="00501B80"/>
    <w:rsid w:val="00501BA9"/>
    <w:rsid w:val="00501C07"/>
    <w:rsid w:val="00501CB2"/>
    <w:rsid w:val="00501D70"/>
    <w:rsid w:val="00501D8F"/>
    <w:rsid w:val="005022CF"/>
    <w:rsid w:val="00502305"/>
    <w:rsid w:val="0050281F"/>
    <w:rsid w:val="00502A8B"/>
    <w:rsid w:val="005032B9"/>
    <w:rsid w:val="005032CC"/>
    <w:rsid w:val="00503DC6"/>
    <w:rsid w:val="00504121"/>
    <w:rsid w:val="0050479E"/>
    <w:rsid w:val="00504A2C"/>
    <w:rsid w:val="00504A7C"/>
    <w:rsid w:val="00504D3C"/>
    <w:rsid w:val="00504F39"/>
    <w:rsid w:val="00504F61"/>
    <w:rsid w:val="0050542C"/>
    <w:rsid w:val="00505488"/>
    <w:rsid w:val="005054C3"/>
    <w:rsid w:val="005063FD"/>
    <w:rsid w:val="00506785"/>
    <w:rsid w:val="00506787"/>
    <w:rsid w:val="00506949"/>
    <w:rsid w:val="005069C7"/>
    <w:rsid w:val="00506D6C"/>
    <w:rsid w:val="00506DC6"/>
    <w:rsid w:val="00506E4B"/>
    <w:rsid w:val="00506F60"/>
    <w:rsid w:val="00507048"/>
    <w:rsid w:val="005071A8"/>
    <w:rsid w:val="00507AE5"/>
    <w:rsid w:val="00507F98"/>
    <w:rsid w:val="00507FCA"/>
    <w:rsid w:val="005102EA"/>
    <w:rsid w:val="0051036B"/>
    <w:rsid w:val="00510976"/>
    <w:rsid w:val="00510D00"/>
    <w:rsid w:val="00510EC6"/>
    <w:rsid w:val="005113BA"/>
    <w:rsid w:val="005113EB"/>
    <w:rsid w:val="00511AEA"/>
    <w:rsid w:val="00511B41"/>
    <w:rsid w:val="0051226A"/>
    <w:rsid w:val="0051270C"/>
    <w:rsid w:val="0051295A"/>
    <w:rsid w:val="00512BC0"/>
    <w:rsid w:val="00512CBD"/>
    <w:rsid w:val="00513204"/>
    <w:rsid w:val="00513386"/>
    <w:rsid w:val="0051338E"/>
    <w:rsid w:val="00513446"/>
    <w:rsid w:val="005135C4"/>
    <w:rsid w:val="00513AAE"/>
    <w:rsid w:val="00513CE7"/>
    <w:rsid w:val="00514218"/>
    <w:rsid w:val="0051447F"/>
    <w:rsid w:val="0051452C"/>
    <w:rsid w:val="00514588"/>
    <w:rsid w:val="005148C5"/>
    <w:rsid w:val="00514A17"/>
    <w:rsid w:val="00514A3E"/>
    <w:rsid w:val="00514F13"/>
    <w:rsid w:val="0051503B"/>
    <w:rsid w:val="00515171"/>
    <w:rsid w:val="005152FF"/>
    <w:rsid w:val="00515541"/>
    <w:rsid w:val="005155DA"/>
    <w:rsid w:val="00515855"/>
    <w:rsid w:val="005158C9"/>
    <w:rsid w:val="005159D1"/>
    <w:rsid w:val="00515A07"/>
    <w:rsid w:val="00515C59"/>
    <w:rsid w:val="00515EF8"/>
    <w:rsid w:val="005164DD"/>
    <w:rsid w:val="00516595"/>
    <w:rsid w:val="00516732"/>
    <w:rsid w:val="00516E51"/>
    <w:rsid w:val="00516EA9"/>
    <w:rsid w:val="00516F1F"/>
    <w:rsid w:val="00517410"/>
    <w:rsid w:val="00517628"/>
    <w:rsid w:val="0051778F"/>
    <w:rsid w:val="00517975"/>
    <w:rsid w:val="0051797F"/>
    <w:rsid w:val="005179CF"/>
    <w:rsid w:val="0052000E"/>
    <w:rsid w:val="00520032"/>
    <w:rsid w:val="00520057"/>
    <w:rsid w:val="0052015F"/>
    <w:rsid w:val="0052037C"/>
    <w:rsid w:val="005204EA"/>
    <w:rsid w:val="005206D5"/>
    <w:rsid w:val="00520725"/>
    <w:rsid w:val="00520BCC"/>
    <w:rsid w:val="00520BD1"/>
    <w:rsid w:val="00520D09"/>
    <w:rsid w:val="00521179"/>
    <w:rsid w:val="005217EF"/>
    <w:rsid w:val="0052194A"/>
    <w:rsid w:val="00521986"/>
    <w:rsid w:val="005221B4"/>
    <w:rsid w:val="0052221F"/>
    <w:rsid w:val="005222A4"/>
    <w:rsid w:val="005223D6"/>
    <w:rsid w:val="0052250B"/>
    <w:rsid w:val="00522519"/>
    <w:rsid w:val="005228C5"/>
    <w:rsid w:val="00522911"/>
    <w:rsid w:val="00522A2E"/>
    <w:rsid w:val="00522B54"/>
    <w:rsid w:val="00523023"/>
    <w:rsid w:val="0052321C"/>
    <w:rsid w:val="00523283"/>
    <w:rsid w:val="005232B0"/>
    <w:rsid w:val="005232FF"/>
    <w:rsid w:val="005233E9"/>
    <w:rsid w:val="00523867"/>
    <w:rsid w:val="0052394A"/>
    <w:rsid w:val="00523CAB"/>
    <w:rsid w:val="00523FC5"/>
    <w:rsid w:val="005248B8"/>
    <w:rsid w:val="00524CC2"/>
    <w:rsid w:val="00524DFA"/>
    <w:rsid w:val="005250B7"/>
    <w:rsid w:val="00525504"/>
    <w:rsid w:val="00525E90"/>
    <w:rsid w:val="0052625B"/>
    <w:rsid w:val="00526291"/>
    <w:rsid w:val="0052640A"/>
    <w:rsid w:val="0052646E"/>
    <w:rsid w:val="0052674D"/>
    <w:rsid w:val="00526A22"/>
    <w:rsid w:val="00526E26"/>
    <w:rsid w:val="00527146"/>
    <w:rsid w:val="00527286"/>
    <w:rsid w:val="005274A0"/>
    <w:rsid w:val="005275F0"/>
    <w:rsid w:val="005276C6"/>
    <w:rsid w:val="005276DA"/>
    <w:rsid w:val="00527B03"/>
    <w:rsid w:val="00527BCB"/>
    <w:rsid w:val="0053014E"/>
    <w:rsid w:val="005301F9"/>
    <w:rsid w:val="00530382"/>
    <w:rsid w:val="005303B1"/>
    <w:rsid w:val="00530632"/>
    <w:rsid w:val="005307D6"/>
    <w:rsid w:val="00530DFF"/>
    <w:rsid w:val="005311E3"/>
    <w:rsid w:val="00531543"/>
    <w:rsid w:val="00531C32"/>
    <w:rsid w:val="00532519"/>
    <w:rsid w:val="00532567"/>
    <w:rsid w:val="0053267A"/>
    <w:rsid w:val="00532FAE"/>
    <w:rsid w:val="00533862"/>
    <w:rsid w:val="00533AE0"/>
    <w:rsid w:val="00534261"/>
    <w:rsid w:val="00534521"/>
    <w:rsid w:val="005347E0"/>
    <w:rsid w:val="00534BCA"/>
    <w:rsid w:val="00534D21"/>
    <w:rsid w:val="00534EF8"/>
    <w:rsid w:val="00534FBA"/>
    <w:rsid w:val="00534FE3"/>
    <w:rsid w:val="00535059"/>
    <w:rsid w:val="005351DD"/>
    <w:rsid w:val="0053521D"/>
    <w:rsid w:val="00535657"/>
    <w:rsid w:val="00535823"/>
    <w:rsid w:val="005361D7"/>
    <w:rsid w:val="005365A8"/>
    <w:rsid w:val="00536869"/>
    <w:rsid w:val="005368CB"/>
    <w:rsid w:val="005368E2"/>
    <w:rsid w:val="00536A82"/>
    <w:rsid w:val="00536DC0"/>
    <w:rsid w:val="00536E5E"/>
    <w:rsid w:val="00536F98"/>
    <w:rsid w:val="0053730F"/>
    <w:rsid w:val="0053739D"/>
    <w:rsid w:val="005376ED"/>
    <w:rsid w:val="00537721"/>
    <w:rsid w:val="005378CC"/>
    <w:rsid w:val="00537A0A"/>
    <w:rsid w:val="00537E8D"/>
    <w:rsid w:val="005401BF"/>
    <w:rsid w:val="005401CB"/>
    <w:rsid w:val="00540283"/>
    <w:rsid w:val="0054065D"/>
    <w:rsid w:val="00540A51"/>
    <w:rsid w:val="00540AD2"/>
    <w:rsid w:val="00540F9F"/>
    <w:rsid w:val="005411DA"/>
    <w:rsid w:val="00541358"/>
    <w:rsid w:val="0054150C"/>
    <w:rsid w:val="00541742"/>
    <w:rsid w:val="00541DAC"/>
    <w:rsid w:val="005422BD"/>
    <w:rsid w:val="0054248A"/>
    <w:rsid w:val="005428EC"/>
    <w:rsid w:val="00542989"/>
    <w:rsid w:val="00542AA1"/>
    <w:rsid w:val="00542D07"/>
    <w:rsid w:val="00542D63"/>
    <w:rsid w:val="00543ABF"/>
    <w:rsid w:val="00543AC9"/>
    <w:rsid w:val="00543AD2"/>
    <w:rsid w:val="00543B3C"/>
    <w:rsid w:val="00543B3E"/>
    <w:rsid w:val="00543CA8"/>
    <w:rsid w:val="00543CCF"/>
    <w:rsid w:val="00543DF8"/>
    <w:rsid w:val="00543FD4"/>
    <w:rsid w:val="00544143"/>
    <w:rsid w:val="00544499"/>
    <w:rsid w:val="0054474E"/>
    <w:rsid w:val="005449FB"/>
    <w:rsid w:val="00544AA6"/>
    <w:rsid w:val="00544E5A"/>
    <w:rsid w:val="00545000"/>
    <w:rsid w:val="00545176"/>
    <w:rsid w:val="005451F9"/>
    <w:rsid w:val="005452DD"/>
    <w:rsid w:val="005453D1"/>
    <w:rsid w:val="0054574B"/>
    <w:rsid w:val="00545F57"/>
    <w:rsid w:val="00546048"/>
    <w:rsid w:val="00546249"/>
    <w:rsid w:val="00546287"/>
    <w:rsid w:val="005467C5"/>
    <w:rsid w:val="00546853"/>
    <w:rsid w:val="00546C6C"/>
    <w:rsid w:val="00547165"/>
    <w:rsid w:val="00547593"/>
    <w:rsid w:val="005478A0"/>
    <w:rsid w:val="005500FD"/>
    <w:rsid w:val="005502F6"/>
    <w:rsid w:val="005505F3"/>
    <w:rsid w:val="0055152D"/>
    <w:rsid w:val="00551600"/>
    <w:rsid w:val="005517FE"/>
    <w:rsid w:val="00551AD3"/>
    <w:rsid w:val="005522F6"/>
    <w:rsid w:val="00552381"/>
    <w:rsid w:val="005532F7"/>
    <w:rsid w:val="00553F66"/>
    <w:rsid w:val="0055400E"/>
    <w:rsid w:val="00554034"/>
    <w:rsid w:val="005540EA"/>
    <w:rsid w:val="0055433D"/>
    <w:rsid w:val="0055442E"/>
    <w:rsid w:val="005544CF"/>
    <w:rsid w:val="0055457B"/>
    <w:rsid w:val="00554600"/>
    <w:rsid w:val="0055473C"/>
    <w:rsid w:val="00554AAD"/>
    <w:rsid w:val="00555006"/>
    <w:rsid w:val="0055528F"/>
    <w:rsid w:val="00555374"/>
    <w:rsid w:val="00555498"/>
    <w:rsid w:val="005555D8"/>
    <w:rsid w:val="00555F6A"/>
    <w:rsid w:val="005560FA"/>
    <w:rsid w:val="0055682F"/>
    <w:rsid w:val="00556ACB"/>
    <w:rsid w:val="00556F15"/>
    <w:rsid w:val="00556FA2"/>
    <w:rsid w:val="00557010"/>
    <w:rsid w:val="00557014"/>
    <w:rsid w:val="00557099"/>
    <w:rsid w:val="005571A3"/>
    <w:rsid w:val="005576CA"/>
    <w:rsid w:val="00557938"/>
    <w:rsid w:val="005600A6"/>
    <w:rsid w:val="0056040F"/>
    <w:rsid w:val="005604BC"/>
    <w:rsid w:val="0056058F"/>
    <w:rsid w:val="00560A01"/>
    <w:rsid w:val="00560B3E"/>
    <w:rsid w:val="00560CC6"/>
    <w:rsid w:val="00560CD6"/>
    <w:rsid w:val="005610F3"/>
    <w:rsid w:val="005617F4"/>
    <w:rsid w:val="0056180A"/>
    <w:rsid w:val="00561907"/>
    <w:rsid w:val="00561C8B"/>
    <w:rsid w:val="00561F7D"/>
    <w:rsid w:val="00561FCA"/>
    <w:rsid w:val="0056208F"/>
    <w:rsid w:val="00562528"/>
    <w:rsid w:val="00562B8B"/>
    <w:rsid w:val="00562CC8"/>
    <w:rsid w:val="00562F6F"/>
    <w:rsid w:val="00563152"/>
    <w:rsid w:val="0056315F"/>
    <w:rsid w:val="00563323"/>
    <w:rsid w:val="005633BE"/>
    <w:rsid w:val="00563A50"/>
    <w:rsid w:val="00563B36"/>
    <w:rsid w:val="00563D31"/>
    <w:rsid w:val="0056454D"/>
    <w:rsid w:val="00564B1F"/>
    <w:rsid w:val="00564D26"/>
    <w:rsid w:val="00564D58"/>
    <w:rsid w:val="00564FAC"/>
    <w:rsid w:val="005651F4"/>
    <w:rsid w:val="0056565C"/>
    <w:rsid w:val="00565991"/>
    <w:rsid w:val="00565E01"/>
    <w:rsid w:val="0056622A"/>
    <w:rsid w:val="0056639F"/>
    <w:rsid w:val="00566699"/>
    <w:rsid w:val="00566C94"/>
    <w:rsid w:val="00566DC6"/>
    <w:rsid w:val="00567032"/>
    <w:rsid w:val="005679CD"/>
    <w:rsid w:val="005679FC"/>
    <w:rsid w:val="00567A49"/>
    <w:rsid w:val="00570591"/>
    <w:rsid w:val="00570941"/>
    <w:rsid w:val="00570D15"/>
    <w:rsid w:val="005710A8"/>
    <w:rsid w:val="00571329"/>
    <w:rsid w:val="00571913"/>
    <w:rsid w:val="00571A4B"/>
    <w:rsid w:val="00571D9E"/>
    <w:rsid w:val="00571F93"/>
    <w:rsid w:val="00572077"/>
    <w:rsid w:val="00572810"/>
    <w:rsid w:val="005728B2"/>
    <w:rsid w:val="00572C8A"/>
    <w:rsid w:val="00572CCC"/>
    <w:rsid w:val="0057308B"/>
    <w:rsid w:val="00573114"/>
    <w:rsid w:val="005731B1"/>
    <w:rsid w:val="00573D53"/>
    <w:rsid w:val="00573F0C"/>
    <w:rsid w:val="00575092"/>
    <w:rsid w:val="005751A9"/>
    <w:rsid w:val="0057578C"/>
    <w:rsid w:val="00575959"/>
    <w:rsid w:val="00575BB6"/>
    <w:rsid w:val="00576143"/>
    <w:rsid w:val="00576221"/>
    <w:rsid w:val="005762A9"/>
    <w:rsid w:val="005763C2"/>
    <w:rsid w:val="00576461"/>
    <w:rsid w:val="00576774"/>
    <w:rsid w:val="0057688D"/>
    <w:rsid w:val="00576AFB"/>
    <w:rsid w:val="00576BDC"/>
    <w:rsid w:val="00576DE8"/>
    <w:rsid w:val="005772F4"/>
    <w:rsid w:val="00577593"/>
    <w:rsid w:val="00577915"/>
    <w:rsid w:val="00577DE8"/>
    <w:rsid w:val="005800A0"/>
    <w:rsid w:val="005802C8"/>
    <w:rsid w:val="00580326"/>
    <w:rsid w:val="005803AE"/>
    <w:rsid w:val="0058090F"/>
    <w:rsid w:val="00580D30"/>
    <w:rsid w:val="00580E47"/>
    <w:rsid w:val="00580F0C"/>
    <w:rsid w:val="00580F59"/>
    <w:rsid w:val="005817AD"/>
    <w:rsid w:val="00581952"/>
    <w:rsid w:val="00581A94"/>
    <w:rsid w:val="00581C81"/>
    <w:rsid w:val="00581CB3"/>
    <w:rsid w:val="00581CDB"/>
    <w:rsid w:val="00582670"/>
    <w:rsid w:val="0058277B"/>
    <w:rsid w:val="00582BB4"/>
    <w:rsid w:val="00582E46"/>
    <w:rsid w:val="00582F4D"/>
    <w:rsid w:val="00583045"/>
    <w:rsid w:val="005832C1"/>
    <w:rsid w:val="00583357"/>
    <w:rsid w:val="00583365"/>
    <w:rsid w:val="00583D83"/>
    <w:rsid w:val="00583DB5"/>
    <w:rsid w:val="00583E16"/>
    <w:rsid w:val="00583F4A"/>
    <w:rsid w:val="00584076"/>
    <w:rsid w:val="0058410B"/>
    <w:rsid w:val="00584246"/>
    <w:rsid w:val="00584307"/>
    <w:rsid w:val="00584338"/>
    <w:rsid w:val="005847BD"/>
    <w:rsid w:val="005847E3"/>
    <w:rsid w:val="005848F8"/>
    <w:rsid w:val="0058492C"/>
    <w:rsid w:val="00584CE3"/>
    <w:rsid w:val="00584D04"/>
    <w:rsid w:val="00585082"/>
    <w:rsid w:val="005850D5"/>
    <w:rsid w:val="00585515"/>
    <w:rsid w:val="00585774"/>
    <w:rsid w:val="005858BB"/>
    <w:rsid w:val="005858DD"/>
    <w:rsid w:val="00585B8A"/>
    <w:rsid w:val="00585EB5"/>
    <w:rsid w:val="0058610D"/>
    <w:rsid w:val="0058615D"/>
    <w:rsid w:val="005864C7"/>
    <w:rsid w:val="005867EA"/>
    <w:rsid w:val="00586A1D"/>
    <w:rsid w:val="00586CF8"/>
    <w:rsid w:val="00586E05"/>
    <w:rsid w:val="00587355"/>
    <w:rsid w:val="00587571"/>
    <w:rsid w:val="00587C1D"/>
    <w:rsid w:val="00587EE4"/>
    <w:rsid w:val="00590524"/>
    <w:rsid w:val="0059087F"/>
    <w:rsid w:val="00590914"/>
    <w:rsid w:val="00590951"/>
    <w:rsid w:val="00591020"/>
    <w:rsid w:val="005912C6"/>
    <w:rsid w:val="0059191F"/>
    <w:rsid w:val="00591E94"/>
    <w:rsid w:val="00591FFB"/>
    <w:rsid w:val="00592AF7"/>
    <w:rsid w:val="00592D79"/>
    <w:rsid w:val="00592D85"/>
    <w:rsid w:val="005930AE"/>
    <w:rsid w:val="0059322E"/>
    <w:rsid w:val="005932A7"/>
    <w:rsid w:val="005934D8"/>
    <w:rsid w:val="0059371A"/>
    <w:rsid w:val="0059394D"/>
    <w:rsid w:val="005939BA"/>
    <w:rsid w:val="0059459F"/>
    <w:rsid w:val="00594620"/>
    <w:rsid w:val="00594805"/>
    <w:rsid w:val="00594975"/>
    <w:rsid w:val="00594AD5"/>
    <w:rsid w:val="00594CB9"/>
    <w:rsid w:val="00594CFD"/>
    <w:rsid w:val="00594DB3"/>
    <w:rsid w:val="0059537D"/>
    <w:rsid w:val="00595719"/>
    <w:rsid w:val="005957D8"/>
    <w:rsid w:val="00595D22"/>
    <w:rsid w:val="00595DDE"/>
    <w:rsid w:val="00595FF2"/>
    <w:rsid w:val="005963EB"/>
    <w:rsid w:val="005965BC"/>
    <w:rsid w:val="005967CF"/>
    <w:rsid w:val="00596D06"/>
    <w:rsid w:val="00596DA8"/>
    <w:rsid w:val="00597578"/>
    <w:rsid w:val="005978F2"/>
    <w:rsid w:val="00597A93"/>
    <w:rsid w:val="00597AC9"/>
    <w:rsid w:val="005A03D4"/>
    <w:rsid w:val="005A06FA"/>
    <w:rsid w:val="005A07DA"/>
    <w:rsid w:val="005A1001"/>
    <w:rsid w:val="005A1902"/>
    <w:rsid w:val="005A1A7F"/>
    <w:rsid w:val="005A1B24"/>
    <w:rsid w:val="005A1B96"/>
    <w:rsid w:val="005A1C19"/>
    <w:rsid w:val="005A1F66"/>
    <w:rsid w:val="005A2113"/>
    <w:rsid w:val="005A219F"/>
    <w:rsid w:val="005A2338"/>
    <w:rsid w:val="005A239B"/>
    <w:rsid w:val="005A2464"/>
    <w:rsid w:val="005A2C69"/>
    <w:rsid w:val="005A2F08"/>
    <w:rsid w:val="005A2F84"/>
    <w:rsid w:val="005A33BD"/>
    <w:rsid w:val="005A348D"/>
    <w:rsid w:val="005A38B3"/>
    <w:rsid w:val="005A3BBF"/>
    <w:rsid w:val="005A4266"/>
    <w:rsid w:val="005A477B"/>
    <w:rsid w:val="005A47A3"/>
    <w:rsid w:val="005A4DFE"/>
    <w:rsid w:val="005A4F53"/>
    <w:rsid w:val="005A5732"/>
    <w:rsid w:val="005A58B0"/>
    <w:rsid w:val="005A60BB"/>
    <w:rsid w:val="005A6215"/>
    <w:rsid w:val="005A64DD"/>
    <w:rsid w:val="005A661F"/>
    <w:rsid w:val="005A6835"/>
    <w:rsid w:val="005A6A30"/>
    <w:rsid w:val="005A73D8"/>
    <w:rsid w:val="005A7648"/>
    <w:rsid w:val="005A79E8"/>
    <w:rsid w:val="005A7A21"/>
    <w:rsid w:val="005A7B4D"/>
    <w:rsid w:val="005A7B86"/>
    <w:rsid w:val="005A7E81"/>
    <w:rsid w:val="005B05A5"/>
    <w:rsid w:val="005B07CA"/>
    <w:rsid w:val="005B0956"/>
    <w:rsid w:val="005B098A"/>
    <w:rsid w:val="005B0D01"/>
    <w:rsid w:val="005B10D8"/>
    <w:rsid w:val="005B12AC"/>
    <w:rsid w:val="005B1637"/>
    <w:rsid w:val="005B1645"/>
    <w:rsid w:val="005B1748"/>
    <w:rsid w:val="005B1A1E"/>
    <w:rsid w:val="005B1BE5"/>
    <w:rsid w:val="005B2301"/>
    <w:rsid w:val="005B23CE"/>
    <w:rsid w:val="005B2497"/>
    <w:rsid w:val="005B271E"/>
    <w:rsid w:val="005B2752"/>
    <w:rsid w:val="005B330B"/>
    <w:rsid w:val="005B3339"/>
    <w:rsid w:val="005B3486"/>
    <w:rsid w:val="005B34F9"/>
    <w:rsid w:val="005B36F7"/>
    <w:rsid w:val="005B38AE"/>
    <w:rsid w:val="005B3CBA"/>
    <w:rsid w:val="005B3F04"/>
    <w:rsid w:val="005B43C9"/>
    <w:rsid w:val="005B486D"/>
    <w:rsid w:val="005B4A29"/>
    <w:rsid w:val="005B4BCF"/>
    <w:rsid w:val="005B4C46"/>
    <w:rsid w:val="005B4EA5"/>
    <w:rsid w:val="005B599E"/>
    <w:rsid w:val="005B59B8"/>
    <w:rsid w:val="005B5A04"/>
    <w:rsid w:val="005B5BD3"/>
    <w:rsid w:val="005B5E6A"/>
    <w:rsid w:val="005B600A"/>
    <w:rsid w:val="005B6885"/>
    <w:rsid w:val="005B6E72"/>
    <w:rsid w:val="005B73D8"/>
    <w:rsid w:val="005B77E0"/>
    <w:rsid w:val="005B7956"/>
    <w:rsid w:val="005B7F77"/>
    <w:rsid w:val="005C0045"/>
    <w:rsid w:val="005C01B2"/>
    <w:rsid w:val="005C0492"/>
    <w:rsid w:val="005C05E9"/>
    <w:rsid w:val="005C0673"/>
    <w:rsid w:val="005C088C"/>
    <w:rsid w:val="005C0992"/>
    <w:rsid w:val="005C0AF4"/>
    <w:rsid w:val="005C0AF9"/>
    <w:rsid w:val="005C0DEC"/>
    <w:rsid w:val="005C1058"/>
    <w:rsid w:val="005C178A"/>
    <w:rsid w:val="005C1DEA"/>
    <w:rsid w:val="005C203E"/>
    <w:rsid w:val="005C222F"/>
    <w:rsid w:val="005C23C2"/>
    <w:rsid w:val="005C268D"/>
    <w:rsid w:val="005C28EE"/>
    <w:rsid w:val="005C2ACC"/>
    <w:rsid w:val="005C2B3D"/>
    <w:rsid w:val="005C30F7"/>
    <w:rsid w:val="005C3418"/>
    <w:rsid w:val="005C363A"/>
    <w:rsid w:val="005C36BC"/>
    <w:rsid w:val="005C3EB8"/>
    <w:rsid w:val="005C3FCA"/>
    <w:rsid w:val="005C42CD"/>
    <w:rsid w:val="005C44D1"/>
    <w:rsid w:val="005C4B30"/>
    <w:rsid w:val="005C4D1C"/>
    <w:rsid w:val="005C4FF5"/>
    <w:rsid w:val="005C52AF"/>
    <w:rsid w:val="005C5446"/>
    <w:rsid w:val="005C5790"/>
    <w:rsid w:val="005C5AEC"/>
    <w:rsid w:val="005C6261"/>
    <w:rsid w:val="005C63EE"/>
    <w:rsid w:val="005C6442"/>
    <w:rsid w:val="005C644B"/>
    <w:rsid w:val="005C6539"/>
    <w:rsid w:val="005C65B0"/>
    <w:rsid w:val="005C6928"/>
    <w:rsid w:val="005C6F07"/>
    <w:rsid w:val="005C70C4"/>
    <w:rsid w:val="005C72C9"/>
    <w:rsid w:val="005C7346"/>
    <w:rsid w:val="005C757B"/>
    <w:rsid w:val="005C77D5"/>
    <w:rsid w:val="005C7B42"/>
    <w:rsid w:val="005C7D7F"/>
    <w:rsid w:val="005D02B1"/>
    <w:rsid w:val="005D07FF"/>
    <w:rsid w:val="005D08BC"/>
    <w:rsid w:val="005D0C5A"/>
    <w:rsid w:val="005D114F"/>
    <w:rsid w:val="005D1E14"/>
    <w:rsid w:val="005D1E44"/>
    <w:rsid w:val="005D1EF1"/>
    <w:rsid w:val="005D1F96"/>
    <w:rsid w:val="005D201F"/>
    <w:rsid w:val="005D22ED"/>
    <w:rsid w:val="005D2310"/>
    <w:rsid w:val="005D2482"/>
    <w:rsid w:val="005D24E5"/>
    <w:rsid w:val="005D2C46"/>
    <w:rsid w:val="005D2C52"/>
    <w:rsid w:val="005D3074"/>
    <w:rsid w:val="005D362C"/>
    <w:rsid w:val="005D3717"/>
    <w:rsid w:val="005D393D"/>
    <w:rsid w:val="005D43A9"/>
    <w:rsid w:val="005D45C8"/>
    <w:rsid w:val="005D4C02"/>
    <w:rsid w:val="005D4D55"/>
    <w:rsid w:val="005D4F1A"/>
    <w:rsid w:val="005D4F1B"/>
    <w:rsid w:val="005D5313"/>
    <w:rsid w:val="005D5366"/>
    <w:rsid w:val="005D5EBC"/>
    <w:rsid w:val="005D6294"/>
    <w:rsid w:val="005D6690"/>
    <w:rsid w:val="005D6A6C"/>
    <w:rsid w:val="005D6C01"/>
    <w:rsid w:val="005D6C0F"/>
    <w:rsid w:val="005D6F25"/>
    <w:rsid w:val="005D7191"/>
    <w:rsid w:val="005D73B0"/>
    <w:rsid w:val="005D7525"/>
    <w:rsid w:val="005D76DF"/>
    <w:rsid w:val="005D777C"/>
    <w:rsid w:val="005D7C85"/>
    <w:rsid w:val="005D7E63"/>
    <w:rsid w:val="005E062B"/>
    <w:rsid w:val="005E0A06"/>
    <w:rsid w:val="005E0BBB"/>
    <w:rsid w:val="005E0DF0"/>
    <w:rsid w:val="005E0F03"/>
    <w:rsid w:val="005E0F20"/>
    <w:rsid w:val="005E1AB5"/>
    <w:rsid w:val="005E1DBC"/>
    <w:rsid w:val="005E1F8C"/>
    <w:rsid w:val="005E2010"/>
    <w:rsid w:val="005E215C"/>
    <w:rsid w:val="005E21E3"/>
    <w:rsid w:val="005E2C2B"/>
    <w:rsid w:val="005E2CE6"/>
    <w:rsid w:val="005E2D82"/>
    <w:rsid w:val="005E3270"/>
    <w:rsid w:val="005E3448"/>
    <w:rsid w:val="005E344F"/>
    <w:rsid w:val="005E3773"/>
    <w:rsid w:val="005E3859"/>
    <w:rsid w:val="005E3D74"/>
    <w:rsid w:val="005E3DEF"/>
    <w:rsid w:val="005E3E21"/>
    <w:rsid w:val="005E3FAD"/>
    <w:rsid w:val="005E42AE"/>
    <w:rsid w:val="005E4A65"/>
    <w:rsid w:val="005E4B23"/>
    <w:rsid w:val="005E4DC6"/>
    <w:rsid w:val="005E4FD3"/>
    <w:rsid w:val="005E511B"/>
    <w:rsid w:val="005E52C7"/>
    <w:rsid w:val="005E561E"/>
    <w:rsid w:val="005E56B4"/>
    <w:rsid w:val="005E5D1D"/>
    <w:rsid w:val="005E5D49"/>
    <w:rsid w:val="005E641D"/>
    <w:rsid w:val="005E643F"/>
    <w:rsid w:val="005E698E"/>
    <w:rsid w:val="005E6DB1"/>
    <w:rsid w:val="005E6E56"/>
    <w:rsid w:val="005E7274"/>
    <w:rsid w:val="005E7603"/>
    <w:rsid w:val="005E7680"/>
    <w:rsid w:val="005E7B50"/>
    <w:rsid w:val="005E7BB1"/>
    <w:rsid w:val="005E7BF0"/>
    <w:rsid w:val="005F02E1"/>
    <w:rsid w:val="005F0540"/>
    <w:rsid w:val="005F0594"/>
    <w:rsid w:val="005F06A4"/>
    <w:rsid w:val="005F0CCB"/>
    <w:rsid w:val="005F122B"/>
    <w:rsid w:val="005F154D"/>
    <w:rsid w:val="005F1803"/>
    <w:rsid w:val="005F1BA0"/>
    <w:rsid w:val="005F1CA6"/>
    <w:rsid w:val="005F1ED0"/>
    <w:rsid w:val="005F22F1"/>
    <w:rsid w:val="005F234B"/>
    <w:rsid w:val="005F262C"/>
    <w:rsid w:val="005F2C7B"/>
    <w:rsid w:val="005F2EB4"/>
    <w:rsid w:val="005F2F68"/>
    <w:rsid w:val="005F2F6E"/>
    <w:rsid w:val="005F3056"/>
    <w:rsid w:val="005F3265"/>
    <w:rsid w:val="005F35BD"/>
    <w:rsid w:val="005F374D"/>
    <w:rsid w:val="005F386F"/>
    <w:rsid w:val="005F38A6"/>
    <w:rsid w:val="005F390F"/>
    <w:rsid w:val="005F3CC8"/>
    <w:rsid w:val="005F427D"/>
    <w:rsid w:val="005F4697"/>
    <w:rsid w:val="005F49DA"/>
    <w:rsid w:val="005F4EBB"/>
    <w:rsid w:val="005F5591"/>
    <w:rsid w:val="005F55B6"/>
    <w:rsid w:val="005F564F"/>
    <w:rsid w:val="005F5730"/>
    <w:rsid w:val="005F58EE"/>
    <w:rsid w:val="005F5921"/>
    <w:rsid w:val="005F5BD3"/>
    <w:rsid w:val="005F5CE2"/>
    <w:rsid w:val="005F5F75"/>
    <w:rsid w:val="005F5F9E"/>
    <w:rsid w:val="005F62CA"/>
    <w:rsid w:val="005F6444"/>
    <w:rsid w:val="005F686F"/>
    <w:rsid w:val="005F6B98"/>
    <w:rsid w:val="005F6E09"/>
    <w:rsid w:val="005F6F51"/>
    <w:rsid w:val="005F72ED"/>
    <w:rsid w:val="005F7405"/>
    <w:rsid w:val="005F7580"/>
    <w:rsid w:val="005F7F63"/>
    <w:rsid w:val="00600638"/>
    <w:rsid w:val="006006B6"/>
    <w:rsid w:val="00601234"/>
    <w:rsid w:val="006016E7"/>
    <w:rsid w:val="00601D92"/>
    <w:rsid w:val="0060221A"/>
    <w:rsid w:val="006022C7"/>
    <w:rsid w:val="0060265F"/>
    <w:rsid w:val="006029C3"/>
    <w:rsid w:val="00602C14"/>
    <w:rsid w:val="00602CD1"/>
    <w:rsid w:val="00602DF9"/>
    <w:rsid w:val="00603253"/>
    <w:rsid w:val="0060342B"/>
    <w:rsid w:val="006035D6"/>
    <w:rsid w:val="00603625"/>
    <w:rsid w:val="006036CD"/>
    <w:rsid w:val="0060393F"/>
    <w:rsid w:val="00603AC4"/>
    <w:rsid w:val="00603B25"/>
    <w:rsid w:val="00603BEC"/>
    <w:rsid w:val="00603C76"/>
    <w:rsid w:val="00604279"/>
    <w:rsid w:val="006042D3"/>
    <w:rsid w:val="006045B9"/>
    <w:rsid w:val="00604885"/>
    <w:rsid w:val="00604C90"/>
    <w:rsid w:val="006054F9"/>
    <w:rsid w:val="00605C21"/>
    <w:rsid w:val="00606020"/>
    <w:rsid w:val="00606076"/>
    <w:rsid w:val="00606332"/>
    <w:rsid w:val="006064E8"/>
    <w:rsid w:val="00606F89"/>
    <w:rsid w:val="00607288"/>
    <w:rsid w:val="00607536"/>
    <w:rsid w:val="006077D3"/>
    <w:rsid w:val="006079D4"/>
    <w:rsid w:val="00607A3C"/>
    <w:rsid w:val="00610023"/>
    <w:rsid w:val="006104AE"/>
    <w:rsid w:val="00610E06"/>
    <w:rsid w:val="00610F3B"/>
    <w:rsid w:val="0061117F"/>
    <w:rsid w:val="00611612"/>
    <w:rsid w:val="006116A4"/>
    <w:rsid w:val="006117E9"/>
    <w:rsid w:val="00611953"/>
    <w:rsid w:val="00611A18"/>
    <w:rsid w:val="00611AA9"/>
    <w:rsid w:val="00611BE7"/>
    <w:rsid w:val="00611D32"/>
    <w:rsid w:val="00611E38"/>
    <w:rsid w:val="006123FB"/>
    <w:rsid w:val="0061263B"/>
    <w:rsid w:val="0061386F"/>
    <w:rsid w:val="00613AB2"/>
    <w:rsid w:val="00613B3A"/>
    <w:rsid w:val="00613CB5"/>
    <w:rsid w:val="00613FAD"/>
    <w:rsid w:val="0061407A"/>
    <w:rsid w:val="006143ED"/>
    <w:rsid w:val="006146EC"/>
    <w:rsid w:val="00614D7A"/>
    <w:rsid w:val="00614E8C"/>
    <w:rsid w:val="00614EC6"/>
    <w:rsid w:val="00614F27"/>
    <w:rsid w:val="00614FA1"/>
    <w:rsid w:val="006154FB"/>
    <w:rsid w:val="00615A3B"/>
    <w:rsid w:val="00615AEE"/>
    <w:rsid w:val="00615B92"/>
    <w:rsid w:val="00615BB9"/>
    <w:rsid w:val="00615DD9"/>
    <w:rsid w:val="00615F89"/>
    <w:rsid w:val="00616092"/>
    <w:rsid w:val="00616661"/>
    <w:rsid w:val="0061672D"/>
    <w:rsid w:val="00616A8E"/>
    <w:rsid w:val="00616CDB"/>
    <w:rsid w:val="00616D78"/>
    <w:rsid w:val="00616F54"/>
    <w:rsid w:val="00616F9B"/>
    <w:rsid w:val="006176C5"/>
    <w:rsid w:val="00617CCB"/>
    <w:rsid w:val="00617FE4"/>
    <w:rsid w:val="00620076"/>
    <w:rsid w:val="00620AFE"/>
    <w:rsid w:val="0062118F"/>
    <w:rsid w:val="00621281"/>
    <w:rsid w:val="0062129B"/>
    <w:rsid w:val="006213E7"/>
    <w:rsid w:val="00621474"/>
    <w:rsid w:val="006214B0"/>
    <w:rsid w:val="00621AB9"/>
    <w:rsid w:val="00621C90"/>
    <w:rsid w:val="00621CB1"/>
    <w:rsid w:val="00621DAF"/>
    <w:rsid w:val="006222BF"/>
    <w:rsid w:val="00622967"/>
    <w:rsid w:val="00622C71"/>
    <w:rsid w:val="00622F01"/>
    <w:rsid w:val="00623109"/>
    <w:rsid w:val="00623F55"/>
    <w:rsid w:val="006243F8"/>
    <w:rsid w:val="0062456C"/>
    <w:rsid w:val="00624BF5"/>
    <w:rsid w:val="00624C57"/>
    <w:rsid w:val="00624E4D"/>
    <w:rsid w:val="00625004"/>
    <w:rsid w:val="00625775"/>
    <w:rsid w:val="00625E7F"/>
    <w:rsid w:val="006265E0"/>
    <w:rsid w:val="00626C26"/>
    <w:rsid w:val="00626D9D"/>
    <w:rsid w:val="006270B5"/>
    <w:rsid w:val="006274BE"/>
    <w:rsid w:val="006276B6"/>
    <w:rsid w:val="006276DF"/>
    <w:rsid w:val="00627781"/>
    <w:rsid w:val="00627A41"/>
    <w:rsid w:val="00627D60"/>
    <w:rsid w:val="00627F3C"/>
    <w:rsid w:val="00630153"/>
    <w:rsid w:val="006309D9"/>
    <w:rsid w:val="00631001"/>
    <w:rsid w:val="006313C4"/>
    <w:rsid w:val="006318C3"/>
    <w:rsid w:val="00632667"/>
    <w:rsid w:val="00632EFE"/>
    <w:rsid w:val="006330B9"/>
    <w:rsid w:val="006330E7"/>
    <w:rsid w:val="00633353"/>
    <w:rsid w:val="006333CE"/>
    <w:rsid w:val="006333ED"/>
    <w:rsid w:val="00633447"/>
    <w:rsid w:val="006334B1"/>
    <w:rsid w:val="006334E3"/>
    <w:rsid w:val="0063352B"/>
    <w:rsid w:val="006335C2"/>
    <w:rsid w:val="00633731"/>
    <w:rsid w:val="00633810"/>
    <w:rsid w:val="00633C35"/>
    <w:rsid w:val="00633D1B"/>
    <w:rsid w:val="00633D6C"/>
    <w:rsid w:val="00633EC3"/>
    <w:rsid w:val="00634624"/>
    <w:rsid w:val="0063487B"/>
    <w:rsid w:val="00634AE2"/>
    <w:rsid w:val="00634DF6"/>
    <w:rsid w:val="00634F56"/>
    <w:rsid w:val="006352F8"/>
    <w:rsid w:val="006353D4"/>
    <w:rsid w:val="006356E8"/>
    <w:rsid w:val="00635CB9"/>
    <w:rsid w:val="00636024"/>
    <w:rsid w:val="006363B4"/>
    <w:rsid w:val="006367D4"/>
    <w:rsid w:val="00636B03"/>
    <w:rsid w:val="00636B31"/>
    <w:rsid w:val="00636DE9"/>
    <w:rsid w:val="00636F14"/>
    <w:rsid w:val="006370DE"/>
    <w:rsid w:val="0063724A"/>
    <w:rsid w:val="00637277"/>
    <w:rsid w:val="006374C9"/>
    <w:rsid w:val="00637D39"/>
    <w:rsid w:val="00640253"/>
    <w:rsid w:val="00640326"/>
    <w:rsid w:val="00640433"/>
    <w:rsid w:val="0064082D"/>
    <w:rsid w:val="00640834"/>
    <w:rsid w:val="006409BD"/>
    <w:rsid w:val="006409BE"/>
    <w:rsid w:val="00640EB8"/>
    <w:rsid w:val="00640FC2"/>
    <w:rsid w:val="00641203"/>
    <w:rsid w:val="00641542"/>
    <w:rsid w:val="006415D7"/>
    <w:rsid w:val="0064200E"/>
    <w:rsid w:val="00642619"/>
    <w:rsid w:val="00642BAD"/>
    <w:rsid w:val="00642CB6"/>
    <w:rsid w:val="0064350D"/>
    <w:rsid w:val="00643561"/>
    <w:rsid w:val="00643C05"/>
    <w:rsid w:val="00643D43"/>
    <w:rsid w:val="00643E01"/>
    <w:rsid w:val="00644267"/>
    <w:rsid w:val="00644DC3"/>
    <w:rsid w:val="00644FC8"/>
    <w:rsid w:val="0064525D"/>
    <w:rsid w:val="006455E0"/>
    <w:rsid w:val="0064566B"/>
    <w:rsid w:val="00645A1B"/>
    <w:rsid w:val="00645AA5"/>
    <w:rsid w:val="00645AD4"/>
    <w:rsid w:val="0064649C"/>
    <w:rsid w:val="00646BCF"/>
    <w:rsid w:val="00646CCE"/>
    <w:rsid w:val="00646DDC"/>
    <w:rsid w:val="006472F3"/>
    <w:rsid w:val="006472F6"/>
    <w:rsid w:val="00647401"/>
    <w:rsid w:val="0064766B"/>
    <w:rsid w:val="00647850"/>
    <w:rsid w:val="006479BE"/>
    <w:rsid w:val="00650089"/>
    <w:rsid w:val="0065084D"/>
    <w:rsid w:val="006508B9"/>
    <w:rsid w:val="00650925"/>
    <w:rsid w:val="006509BF"/>
    <w:rsid w:val="00650A98"/>
    <w:rsid w:val="00650BA9"/>
    <w:rsid w:val="00650C52"/>
    <w:rsid w:val="00651048"/>
    <w:rsid w:val="006513EE"/>
    <w:rsid w:val="00651883"/>
    <w:rsid w:val="00651A1D"/>
    <w:rsid w:val="00651C79"/>
    <w:rsid w:val="00651CE4"/>
    <w:rsid w:val="00651E88"/>
    <w:rsid w:val="00652077"/>
    <w:rsid w:val="00652313"/>
    <w:rsid w:val="00652554"/>
    <w:rsid w:val="006526B9"/>
    <w:rsid w:val="006528F2"/>
    <w:rsid w:val="00652EC2"/>
    <w:rsid w:val="00653110"/>
    <w:rsid w:val="00653962"/>
    <w:rsid w:val="00654392"/>
    <w:rsid w:val="00654BEA"/>
    <w:rsid w:val="00655025"/>
    <w:rsid w:val="006550AF"/>
    <w:rsid w:val="00655A74"/>
    <w:rsid w:val="00655AA1"/>
    <w:rsid w:val="00655CBA"/>
    <w:rsid w:val="00655E7C"/>
    <w:rsid w:val="00656476"/>
    <w:rsid w:val="006565D6"/>
    <w:rsid w:val="006573DD"/>
    <w:rsid w:val="00657912"/>
    <w:rsid w:val="00657AA5"/>
    <w:rsid w:val="00657DE4"/>
    <w:rsid w:val="00657E2E"/>
    <w:rsid w:val="00657E99"/>
    <w:rsid w:val="006601CE"/>
    <w:rsid w:val="0066096C"/>
    <w:rsid w:val="00660C0E"/>
    <w:rsid w:val="00660C1E"/>
    <w:rsid w:val="00660D97"/>
    <w:rsid w:val="00660FDE"/>
    <w:rsid w:val="00661736"/>
    <w:rsid w:val="00661B73"/>
    <w:rsid w:val="00661BFD"/>
    <w:rsid w:val="0066201A"/>
    <w:rsid w:val="00662281"/>
    <w:rsid w:val="00662454"/>
    <w:rsid w:val="00662652"/>
    <w:rsid w:val="0066276C"/>
    <w:rsid w:val="00662876"/>
    <w:rsid w:val="00662FBC"/>
    <w:rsid w:val="00662FD2"/>
    <w:rsid w:val="00662FFF"/>
    <w:rsid w:val="00663019"/>
    <w:rsid w:val="006630F8"/>
    <w:rsid w:val="006634CE"/>
    <w:rsid w:val="006637BF"/>
    <w:rsid w:val="0066386A"/>
    <w:rsid w:val="006638FD"/>
    <w:rsid w:val="00663A1F"/>
    <w:rsid w:val="00663FB4"/>
    <w:rsid w:val="006642A7"/>
    <w:rsid w:val="006644F7"/>
    <w:rsid w:val="00664B5E"/>
    <w:rsid w:val="00664DAB"/>
    <w:rsid w:val="00664F01"/>
    <w:rsid w:val="00665278"/>
    <w:rsid w:val="006652B5"/>
    <w:rsid w:val="00665539"/>
    <w:rsid w:val="00665A81"/>
    <w:rsid w:val="00665FE6"/>
    <w:rsid w:val="00666806"/>
    <w:rsid w:val="0066690B"/>
    <w:rsid w:val="0066740D"/>
    <w:rsid w:val="00667787"/>
    <w:rsid w:val="00667C54"/>
    <w:rsid w:val="006703E9"/>
    <w:rsid w:val="00670448"/>
    <w:rsid w:val="006704EF"/>
    <w:rsid w:val="006704F0"/>
    <w:rsid w:val="00670593"/>
    <w:rsid w:val="00670801"/>
    <w:rsid w:val="00670B7F"/>
    <w:rsid w:val="00670F6F"/>
    <w:rsid w:val="00671027"/>
    <w:rsid w:val="00671192"/>
    <w:rsid w:val="0067134F"/>
    <w:rsid w:val="00671388"/>
    <w:rsid w:val="006713D0"/>
    <w:rsid w:val="00671812"/>
    <w:rsid w:val="00671BD6"/>
    <w:rsid w:val="00671D9A"/>
    <w:rsid w:val="00671ED5"/>
    <w:rsid w:val="00672279"/>
    <w:rsid w:val="00672C35"/>
    <w:rsid w:val="00672D47"/>
    <w:rsid w:val="00672E76"/>
    <w:rsid w:val="006739CC"/>
    <w:rsid w:val="006739E7"/>
    <w:rsid w:val="00673C0F"/>
    <w:rsid w:val="0067434B"/>
    <w:rsid w:val="00674724"/>
    <w:rsid w:val="00674747"/>
    <w:rsid w:val="006751C2"/>
    <w:rsid w:val="00675337"/>
    <w:rsid w:val="006756AF"/>
    <w:rsid w:val="00675817"/>
    <w:rsid w:val="006758B1"/>
    <w:rsid w:val="006759FD"/>
    <w:rsid w:val="00675DB8"/>
    <w:rsid w:val="00675EB0"/>
    <w:rsid w:val="00676371"/>
    <w:rsid w:val="006765BF"/>
    <w:rsid w:val="0067660C"/>
    <w:rsid w:val="00676968"/>
    <w:rsid w:val="006774B7"/>
    <w:rsid w:val="006779C9"/>
    <w:rsid w:val="00677E0E"/>
    <w:rsid w:val="006803D4"/>
    <w:rsid w:val="00680706"/>
    <w:rsid w:val="00680973"/>
    <w:rsid w:val="00680CED"/>
    <w:rsid w:val="00680EE4"/>
    <w:rsid w:val="00680F17"/>
    <w:rsid w:val="0068195F"/>
    <w:rsid w:val="00681B59"/>
    <w:rsid w:val="00681B8B"/>
    <w:rsid w:val="00681BD0"/>
    <w:rsid w:val="0068241B"/>
    <w:rsid w:val="00682D23"/>
    <w:rsid w:val="006835D8"/>
    <w:rsid w:val="00683638"/>
    <w:rsid w:val="0068376D"/>
    <w:rsid w:val="00683D8A"/>
    <w:rsid w:val="00683EBE"/>
    <w:rsid w:val="006840B0"/>
    <w:rsid w:val="006843C0"/>
    <w:rsid w:val="0068458A"/>
    <w:rsid w:val="0068461B"/>
    <w:rsid w:val="006849F8"/>
    <w:rsid w:val="00684A1A"/>
    <w:rsid w:val="00684D4C"/>
    <w:rsid w:val="00684D9C"/>
    <w:rsid w:val="006850C7"/>
    <w:rsid w:val="006850F1"/>
    <w:rsid w:val="006852D3"/>
    <w:rsid w:val="00685468"/>
    <w:rsid w:val="006856F1"/>
    <w:rsid w:val="00685788"/>
    <w:rsid w:val="006859E9"/>
    <w:rsid w:val="00685DBB"/>
    <w:rsid w:val="006861E6"/>
    <w:rsid w:val="0068627C"/>
    <w:rsid w:val="00686914"/>
    <w:rsid w:val="00686B11"/>
    <w:rsid w:val="00686E82"/>
    <w:rsid w:val="00686E88"/>
    <w:rsid w:val="006870D5"/>
    <w:rsid w:val="0068734A"/>
    <w:rsid w:val="006874D0"/>
    <w:rsid w:val="0068770C"/>
    <w:rsid w:val="006879C3"/>
    <w:rsid w:val="00687CCD"/>
    <w:rsid w:val="00687D3F"/>
    <w:rsid w:val="00687E32"/>
    <w:rsid w:val="00687FAC"/>
    <w:rsid w:val="00687FD5"/>
    <w:rsid w:val="0069003A"/>
    <w:rsid w:val="00690210"/>
    <w:rsid w:val="006908B1"/>
    <w:rsid w:val="00690930"/>
    <w:rsid w:val="006909CA"/>
    <w:rsid w:val="00690ACD"/>
    <w:rsid w:val="00690B14"/>
    <w:rsid w:val="00690C8D"/>
    <w:rsid w:val="0069172C"/>
    <w:rsid w:val="0069193D"/>
    <w:rsid w:val="00692325"/>
    <w:rsid w:val="00692950"/>
    <w:rsid w:val="00692B1E"/>
    <w:rsid w:val="006932A0"/>
    <w:rsid w:val="0069332E"/>
    <w:rsid w:val="00693499"/>
    <w:rsid w:val="00693659"/>
    <w:rsid w:val="0069395D"/>
    <w:rsid w:val="00694C3B"/>
    <w:rsid w:val="00694E24"/>
    <w:rsid w:val="00695172"/>
    <w:rsid w:val="00695277"/>
    <w:rsid w:val="006955FB"/>
    <w:rsid w:val="00695805"/>
    <w:rsid w:val="00695859"/>
    <w:rsid w:val="006958DD"/>
    <w:rsid w:val="00695A41"/>
    <w:rsid w:val="00695B42"/>
    <w:rsid w:val="00695B81"/>
    <w:rsid w:val="00696585"/>
    <w:rsid w:val="006969AF"/>
    <w:rsid w:val="00696C2F"/>
    <w:rsid w:val="00696E93"/>
    <w:rsid w:val="00697295"/>
    <w:rsid w:val="006975B8"/>
    <w:rsid w:val="00697F11"/>
    <w:rsid w:val="006A00C3"/>
    <w:rsid w:val="006A074B"/>
    <w:rsid w:val="006A077E"/>
    <w:rsid w:val="006A0789"/>
    <w:rsid w:val="006A0896"/>
    <w:rsid w:val="006A10C3"/>
    <w:rsid w:val="006A11A1"/>
    <w:rsid w:val="006A123C"/>
    <w:rsid w:val="006A1299"/>
    <w:rsid w:val="006A12B3"/>
    <w:rsid w:val="006A13D1"/>
    <w:rsid w:val="006A14C2"/>
    <w:rsid w:val="006A1692"/>
    <w:rsid w:val="006A1EB8"/>
    <w:rsid w:val="006A22EE"/>
    <w:rsid w:val="006A268D"/>
    <w:rsid w:val="006A2B94"/>
    <w:rsid w:val="006A31EE"/>
    <w:rsid w:val="006A3254"/>
    <w:rsid w:val="006A367B"/>
    <w:rsid w:val="006A377A"/>
    <w:rsid w:val="006A3834"/>
    <w:rsid w:val="006A3E69"/>
    <w:rsid w:val="006A4291"/>
    <w:rsid w:val="006A4386"/>
    <w:rsid w:val="006A43E1"/>
    <w:rsid w:val="006A45B2"/>
    <w:rsid w:val="006A4752"/>
    <w:rsid w:val="006A4A81"/>
    <w:rsid w:val="006A4DDA"/>
    <w:rsid w:val="006A563A"/>
    <w:rsid w:val="006A605F"/>
    <w:rsid w:val="006A66E3"/>
    <w:rsid w:val="006A67B5"/>
    <w:rsid w:val="006A6D19"/>
    <w:rsid w:val="006A7096"/>
    <w:rsid w:val="006A74B2"/>
    <w:rsid w:val="006A75B8"/>
    <w:rsid w:val="006A767A"/>
    <w:rsid w:val="006A78AD"/>
    <w:rsid w:val="006A79AA"/>
    <w:rsid w:val="006A7A4C"/>
    <w:rsid w:val="006B0022"/>
    <w:rsid w:val="006B0351"/>
    <w:rsid w:val="006B0468"/>
    <w:rsid w:val="006B0A01"/>
    <w:rsid w:val="006B0BF1"/>
    <w:rsid w:val="006B0EF1"/>
    <w:rsid w:val="006B103E"/>
    <w:rsid w:val="006B13DB"/>
    <w:rsid w:val="006B1450"/>
    <w:rsid w:val="006B1947"/>
    <w:rsid w:val="006B1A2C"/>
    <w:rsid w:val="006B1AF8"/>
    <w:rsid w:val="006B1C69"/>
    <w:rsid w:val="006B2076"/>
    <w:rsid w:val="006B23F5"/>
    <w:rsid w:val="006B29DF"/>
    <w:rsid w:val="006B2B9A"/>
    <w:rsid w:val="006B2BB7"/>
    <w:rsid w:val="006B2F11"/>
    <w:rsid w:val="006B3FCD"/>
    <w:rsid w:val="006B408E"/>
    <w:rsid w:val="006B425F"/>
    <w:rsid w:val="006B437C"/>
    <w:rsid w:val="006B4542"/>
    <w:rsid w:val="006B47D3"/>
    <w:rsid w:val="006B482B"/>
    <w:rsid w:val="006B4B73"/>
    <w:rsid w:val="006B4D16"/>
    <w:rsid w:val="006B4F2F"/>
    <w:rsid w:val="006B53EB"/>
    <w:rsid w:val="006B5486"/>
    <w:rsid w:val="006B563D"/>
    <w:rsid w:val="006B5690"/>
    <w:rsid w:val="006B5881"/>
    <w:rsid w:val="006B59C7"/>
    <w:rsid w:val="006B5A0A"/>
    <w:rsid w:val="006B5A7D"/>
    <w:rsid w:val="006B5D6B"/>
    <w:rsid w:val="006B5EBE"/>
    <w:rsid w:val="006B62CA"/>
    <w:rsid w:val="006B643E"/>
    <w:rsid w:val="006B6757"/>
    <w:rsid w:val="006B67FF"/>
    <w:rsid w:val="006B6C68"/>
    <w:rsid w:val="006B6D82"/>
    <w:rsid w:val="006B6F5C"/>
    <w:rsid w:val="006B71FA"/>
    <w:rsid w:val="006B751F"/>
    <w:rsid w:val="006B7A67"/>
    <w:rsid w:val="006B7E06"/>
    <w:rsid w:val="006B7E6F"/>
    <w:rsid w:val="006B7E9F"/>
    <w:rsid w:val="006B7F2A"/>
    <w:rsid w:val="006C0063"/>
    <w:rsid w:val="006C0153"/>
    <w:rsid w:val="006C0355"/>
    <w:rsid w:val="006C073C"/>
    <w:rsid w:val="006C0782"/>
    <w:rsid w:val="006C0CA8"/>
    <w:rsid w:val="006C0CAC"/>
    <w:rsid w:val="006C0CDF"/>
    <w:rsid w:val="006C0E65"/>
    <w:rsid w:val="006C0F21"/>
    <w:rsid w:val="006C126D"/>
    <w:rsid w:val="006C12CE"/>
    <w:rsid w:val="006C1511"/>
    <w:rsid w:val="006C169B"/>
    <w:rsid w:val="006C1812"/>
    <w:rsid w:val="006C1930"/>
    <w:rsid w:val="006C19E7"/>
    <w:rsid w:val="006C1D6A"/>
    <w:rsid w:val="006C1DAF"/>
    <w:rsid w:val="006C1F59"/>
    <w:rsid w:val="006C21D4"/>
    <w:rsid w:val="006C21DA"/>
    <w:rsid w:val="006C220C"/>
    <w:rsid w:val="006C2457"/>
    <w:rsid w:val="006C24CB"/>
    <w:rsid w:val="006C2641"/>
    <w:rsid w:val="006C265E"/>
    <w:rsid w:val="006C272F"/>
    <w:rsid w:val="006C27FE"/>
    <w:rsid w:val="006C2B66"/>
    <w:rsid w:val="006C2B83"/>
    <w:rsid w:val="006C2C57"/>
    <w:rsid w:val="006C3017"/>
    <w:rsid w:val="006C314B"/>
    <w:rsid w:val="006C3356"/>
    <w:rsid w:val="006C36F2"/>
    <w:rsid w:val="006C380F"/>
    <w:rsid w:val="006C3933"/>
    <w:rsid w:val="006C3B8D"/>
    <w:rsid w:val="006C3C15"/>
    <w:rsid w:val="006C3DAC"/>
    <w:rsid w:val="006C422F"/>
    <w:rsid w:val="006C4278"/>
    <w:rsid w:val="006C4317"/>
    <w:rsid w:val="006C462D"/>
    <w:rsid w:val="006C4992"/>
    <w:rsid w:val="006C4BB2"/>
    <w:rsid w:val="006C598A"/>
    <w:rsid w:val="006C5ABD"/>
    <w:rsid w:val="006C5D6F"/>
    <w:rsid w:val="006C5F5C"/>
    <w:rsid w:val="006C5FD3"/>
    <w:rsid w:val="006C5FD7"/>
    <w:rsid w:val="006C69DB"/>
    <w:rsid w:val="006C6BC7"/>
    <w:rsid w:val="006C6CFB"/>
    <w:rsid w:val="006C6E0A"/>
    <w:rsid w:val="006C6FCF"/>
    <w:rsid w:val="006C705D"/>
    <w:rsid w:val="006C7707"/>
    <w:rsid w:val="006C7926"/>
    <w:rsid w:val="006C7CAB"/>
    <w:rsid w:val="006C7E3E"/>
    <w:rsid w:val="006D00BC"/>
    <w:rsid w:val="006D0842"/>
    <w:rsid w:val="006D0B76"/>
    <w:rsid w:val="006D0BDA"/>
    <w:rsid w:val="006D0D86"/>
    <w:rsid w:val="006D0F3C"/>
    <w:rsid w:val="006D1B12"/>
    <w:rsid w:val="006D1CA7"/>
    <w:rsid w:val="006D1F72"/>
    <w:rsid w:val="006D2126"/>
    <w:rsid w:val="006D224B"/>
    <w:rsid w:val="006D256D"/>
    <w:rsid w:val="006D2C47"/>
    <w:rsid w:val="006D2DF2"/>
    <w:rsid w:val="006D2F7A"/>
    <w:rsid w:val="006D3395"/>
    <w:rsid w:val="006D3760"/>
    <w:rsid w:val="006D380B"/>
    <w:rsid w:val="006D3D28"/>
    <w:rsid w:val="006D4001"/>
    <w:rsid w:val="006D44A0"/>
    <w:rsid w:val="006D4D1B"/>
    <w:rsid w:val="006D4D80"/>
    <w:rsid w:val="006D4FD8"/>
    <w:rsid w:val="006D4FF2"/>
    <w:rsid w:val="006D5317"/>
    <w:rsid w:val="006D5611"/>
    <w:rsid w:val="006D56F9"/>
    <w:rsid w:val="006D5809"/>
    <w:rsid w:val="006D5C7A"/>
    <w:rsid w:val="006D620F"/>
    <w:rsid w:val="006D63F6"/>
    <w:rsid w:val="006D6AA7"/>
    <w:rsid w:val="006D6F6F"/>
    <w:rsid w:val="006D7043"/>
    <w:rsid w:val="006D757C"/>
    <w:rsid w:val="006D7978"/>
    <w:rsid w:val="006D7ACE"/>
    <w:rsid w:val="006D7B28"/>
    <w:rsid w:val="006D7BD6"/>
    <w:rsid w:val="006D7C43"/>
    <w:rsid w:val="006D7CCE"/>
    <w:rsid w:val="006D7E66"/>
    <w:rsid w:val="006D7FD4"/>
    <w:rsid w:val="006E00A8"/>
    <w:rsid w:val="006E05C2"/>
    <w:rsid w:val="006E0A7E"/>
    <w:rsid w:val="006E0D03"/>
    <w:rsid w:val="006E0E06"/>
    <w:rsid w:val="006E0F24"/>
    <w:rsid w:val="006E197E"/>
    <w:rsid w:val="006E1F1E"/>
    <w:rsid w:val="006E2120"/>
    <w:rsid w:val="006E2398"/>
    <w:rsid w:val="006E2885"/>
    <w:rsid w:val="006E2BF2"/>
    <w:rsid w:val="006E2C7B"/>
    <w:rsid w:val="006E30D7"/>
    <w:rsid w:val="006E30DB"/>
    <w:rsid w:val="006E31B0"/>
    <w:rsid w:val="006E33F1"/>
    <w:rsid w:val="006E34E7"/>
    <w:rsid w:val="006E3885"/>
    <w:rsid w:val="006E392F"/>
    <w:rsid w:val="006E3F1E"/>
    <w:rsid w:val="006E4206"/>
    <w:rsid w:val="006E4590"/>
    <w:rsid w:val="006E4739"/>
    <w:rsid w:val="006E47EB"/>
    <w:rsid w:val="006E4BEF"/>
    <w:rsid w:val="006E4CDD"/>
    <w:rsid w:val="006E4F0E"/>
    <w:rsid w:val="006E5392"/>
    <w:rsid w:val="006E5B17"/>
    <w:rsid w:val="006E5BC9"/>
    <w:rsid w:val="006E5C0B"/>
    <w:rsid w:val="006E5D69"/>
    <w:rsid w:val="006E5E3C"/>
    <w:rsid w:val="006E6009"/>
    <w:rsid w:val="006E607D"/>
    <w:rsid w:val="006E6888"/>
    <w:rsid w:val="006E6A16"/>
    <w:rsid w:val="006E6FA8"/>
    <w:rsid w:val="006E6FAA"/>
    <w:rsid w:val="006E769A"/>
    <w:rsid w:val="006E7819"/>
    <w:rsid w:val="006E78F3"/>
    <w:rsid w:val="006E7E0A"/>
    <w:rsid w:val="006E7E5A"/>
    <w:rsid w:val="006F0085"/>
    <w:rsid w:val="006F0215"/>
    <w:rsid w:val="006F0412"/>
    <w:rsid w:val="006F0816"/>
    <w:rsid w:val="006F08AA"/>
    <w:rsid w:val="006F0A4D"/>
    <w:rsid w:val="006F0B7B"/>
    <w:rsid w:val="006F1581"/>
    <w:rsid w:val="006F1933"/>
    <w:rsid w:val="006F1A09"/>
    <w:rsid w:val="006F1A3B"/>
    <w:rsid w:val="006F1BC2"/>
    <w:rsid w:val="006F1D79"/>
    <w:rsid w:val="006F2116"/>
    <w:rsid w:val="006F216F"/>
    <w:rsid w:val="006F275C"/>
    <w:rsid w:val="006F341A"/>
    <w:rsid w:val="006F34E3"/>
    <w:rsid w:val="006F353D"/>
    <w:rsid w:val="006F35FF"/>
    <w:rsid w:val="006F369F"/>
    <w:rsid w:val="006F36D2"/>
    <w:rsid w:val="006F39F7"/>
    <w:rsid w:val="006F3C7F"/>
    <w:rsid w:val="006F3E6E"/>
    <w:rsid w:val="006F404F"/>
    <w:rsid w:val="006F406A"/>
    <w:rsid w:val="006F44D0"/>
    <w:rsid w:val="006F46AC"/>
    <w:rsid w:val="006F49E9"/>
    <w:rsid w:val="006F4D04"/>
    <w:rsid w:val="006F4D3D"/>
    <w:rsid w:val="006F4D78"/>
    <w:rsid w:val="006F4F06"/>
    <w:rsid w:val="006F4F9E"/>
    <w:rsid w:val="006F547C"/>
    <w:rsid w:val="006F5998"/>
    <w:rsid w:val="006F5C47"/>
    <w:rsid w:val="006F643A"/>
    <w:rsid w:val="006F646F"/>
    <w:rsid w:val="006F6557"/>
    <w:rsid w:val="006F657D"/>
    <w:rsid w:val="006F65A5"/>
    <w:rsid w:val="006F6775"/>
    <w:rsid w:val="006F67B8"/>
    <w:rsid w:val="006F69FA"/>
    <w:rsid w:val="006F70FC"/>
    <w:rsid w:val="006F731E"/>
    <w:rsid w:val="006F76A3"/>
    <w:rsid w:val="006F78E6"/>
    <w:rsid w:val="007001B0"/>
    <w:rsid w:val="007001D7"/>
    <w:rsid w:val="0070038D"/>
    <w:rsid w:val="00700447"/>
    <w:rsid w:val="00700532"/>
    <w:rsid w:val="007005A4"/>
    <w:rsid w:val="00700782"/>
    <w:rsid w:val="0070101F"/>
    <w:rsid w:val="007011B0"/>
    <w:rsid w:val="007016EA"/>
    <w:rsid w:val="007016FD"/>
    <w:rsid w:val="00701934"/>
    <w:rsid w:val="007019A3"/>
    <w:rsid w:val="00701BA0"/>
    <w:rsid w:val="00701C29"/>
    <w:rsid w:val="00701C4F"/>
    <w:rsid w:val="00702272"/>
    <w:rsid w:val="00702536"/>
    <w:rsid w:val="00702583"/>
    <w:rsid w:val="007026F8"/>
    <w:rsid w:val="00702778"/>
    <w:rsid w:val="00702BC5"/>
    <w:rsid w:val="00703323"/>
    <w:rsid w:val="00703DFD"/>
    <w:rsid w:val="00704020"/>
    <w:rsid w:val="007042A6"/>
    <w:rsid w:val="007048CF"/>
    <w:rsid w:val="00704E41"/>
    <w:rsid w:val="007050D8"/>
    <w:rsid w:val="00705113"/>
    <w:rsid w:val="007051C6"/>
    <w:rsid w:val="00705348"/>
    <w:rsid w:val="00705963"/>
    <w:rsid w:val="00705A17"/>
    <w:rsid w:val="00705B59"/>
    <w:rsid w:val="00705B5E"/>
    <w:rsid w:val="00705CCE"/>
    <w:rsid w:val="00706163"/>
    <w:rsid w:val="007063C2"/>
    <w:rsid w:val="00706E12"/>
    <w:rsid w:val="007073B2"/>
    <w:rsid w:val="007075E7"/>
    <w:rsid w:val="007078C9"/>
    <w:rsid w:val="00707A6B"/>
    <w:rsid w:val="00707D1F"/>
    <w:rsid w:val="00710007"/>
    <w:rsid w:val="00710285"/>
    <w:rsid w:val="0071049B"/>
    <w:rsid w:val="00710885"/>
    <w:rsid w:val="007108E8"/>
    <w:rsid w:val="00710A77"/>
    <w:rsid w:val="00710B77"/>
    <w:rsid w:val="00710CBA"/>
    <w:rsid w:val="00710D81"/>
    <w:rsid w:val="00710E5F"/>
    <w:rsid w:val="00711152"/>
    <w:rsid w:val="00711225"/>
    <w:rsid w:val="0071125A"/>
    <w:rsid w:val="00711387"/>
    <w:rsid w:val="00711391"/>
    <w:rsid w:val="007113B0"/>
    <w:rsid w:val="0071191D"/>
    <w:rsid w:val="00711DAF"/>
    <w:rsid w:val="00711E01"/>
    <w:rsid w:val="00712354"/>
    <w:rsid w:val="0071299C"/>
    <w:rsid w:val="00712FF7"/>
    <w:rsid w:val="00713B1A"/>
    <w:rsid w:val="0071463C"/>
    <w:rsid w:val="00714767"/>
    <w:rsid w:val="007147D0"/>
    <w:rsid w:val="00714873"/>
    <w:rsid w:val="00714CB6"/>
    <w:rsid w:val="007152B3"/>
    <w:rsid w:val="007155C6"/>
    <w:rsid w:val="00715760"/>
    <w:rsid w:val="0071589A"/>
    <w:rsid w:val="00715E3E"/>
    <w:rsid w:val="0071634B"/>
    <w:rsid w:val="0071634E"/>
    <w:rsid w:val="0071635D"/>
    <w:rsid w:val="00716368"/>
    <w:rsid w:val="00716578"/>
    <w:rsid w:val="00716A66"/>
    <w:rsid w:val="00716C6E"/>
    <w:rsid w:val="00716F8B"/>
    <w:rsid w:val="00717011"/>
    <w:rsid w:val="0071747C"/>
    <w:rsid w:val="0072002C"/>
    <w:rsid w:val="007202C5"/>
    <w:rsid w:val="00720366"/>
    <w:rsid w:val="00720429"/>
    <w:rsid w:val="00720524"/>
    <w:rsid w:val="007207B8"/>
    <w:rsid w:val="00720D39"/>
    <w:rsid w:val="00720FEF"/>
    <w:rsid w:val="00721074"/>
    <w:rsid w:val="00721149"/>
    <w:rsid w:val="007217C8"/>
    <w:rsid w:val="0072196B"/>
    <w:rsid w:val="00721C8B"/>
    <w:rsid w:val="00721D03"/>
    <w:rsid w:val="00721D5F"/>
    <w:rsid w:val="00721DFB"/>
    <w:rsid w:val="00721E43"/>
    <w:rsid w:val="00721F59"/>
    <w:rsid w:val="00722217"/>
    <w:rsid w:val="00722359"/>
    <w:rsid w:val="007223CA"/>
    <w:rsid w:val="0072323A"/>
    <w:rsid w:val="00723278"/>
    <w:rsid w:val="007232AF"/>
    <w:rsid w:val="007237CA"/>
    <w:rsid w:val="00723A59"/>
    <w:rsid w:val="00723F52"/>
    <w:rsid w:val="00723F59"/>
    <w:rsid w:val="00724304"/>
    <w:rsid w:val="00724615"/>
    <w:rsid w:val="007246CF"/>
    <w:rsid w:val="007247CF"/>
    <w:rsid w:val="00724C18"/>
    <w:rsid w:val="00724C6A"/>
    <w:rsid w:val="00724DDB"/>
    <w:rsid w:val="00724F48"/>
    <w:rsid w:val="00724FA0"/>
    <w:rsid w:val="00725939"/>
    <w:rsid w:val="00725BC0"/>
    <w:rsid w:val="007261B0"/>
    <w:rsid w:val="0072627A"/>
    <w:rsid w:val="007262FF"/>
    <w:rsid w:val="007263AC"/>
    <w:rsid w:val="007264A8"/>
    <w:rsid w:val="007268BE"/>
    <w:rsid w:val="0072694A"/>
    <w:rsid w:val="007269B3"/>
    <w:rsid w:val="00726CED"/>
    <w:rsid w:val="00726F28"/>
    <w:rsid w:val="00726F46"/>
    <w:rsid w:val="0072744D"/>
    <w:rsid w:val="00727823"/>
    <w:rsid w:val="007279C3"/>
    <w:rsid w:val="00727A89"/>
    <w:rsid w:val="00727ECF"/>
    <w:rsid w:val="0073053D"/>
    <w:rsid w:val="0073054B"/>
    <w:rsid w:val="007308F0"/>
    <w:rsid w:val="00730C3B"/>
    <w:rsid w:val="00730C55"/>
    <w:rsid w:val="007312F8"/>
    <w:rsid w:val="007317CD"/>
    <w:rsid w:val="00731ACF"/>
    <w:rsid w:val="00731F47"/>
    <w:rsid w:val="00731F81"/>
    <w:rsid w:val="0073240B"/>
    <w:rsid w:val="007324CA"/>
    <w:rsid w:val="00732565"/>
    <w:rsid w:val="00732DE5"/>
    <w:rsid w:val="007331F1"/>
    <w:rsid w:val="007337CE"/>
    <w:rsid w:val="00733A33"/>
    <w:rsid w:val="00733B93"/>
    <w:rsid w:val="00733C20"/>
    <w:rsid w:val="00733CBE"/>
    <w:rsid w:val="00733CD1"/>
    <w:rsid w:val="00734293"/>
    <w:rsid w:val="007344C1"/>
    <w:rsid w:val="007346F2"/>
    <w:rsid w:val="00734C1B"/>
    <w:rsid w:val="00734E33"/>
    <w:rsid w:val="00735561"/>
    <w:rsid w:val="00735DE9"/>
    <w:rsid w:val="007360A1"/>
    <w:rsid w:val="0073625F"/>
    <w:rsid w:val="00736360"/>
    <w:rsid w:val="00736474"/>
    <w:rsid w:val="00736D02"/>
    <w:rsid w:val="00736EAD"/>
    <w:rsid w:val="007377EC"/>
    <w:rsid w:val="00737853"/>
    <w:rsid w:val="00737961"/>
    <w:rsid w:val="00737E61"/>
    <w:rsid w:val="00737EF4"/>
    <w:rsid w:val="00740084"/>
    <w:rsid w:val="0074046B"/>
    <w:rsid w:val="007404DC"/>
    <w:rsid w:val="007407FB"/>
    <w:rsid w:val="00740A3C"/>
    <w:rsid w:val="00740F3B"/>
    <w:rsid w:val="00741644"/>
    <w:rsid w:val="00741B49"/>
    <w:rsid w:val="00741B72"/>
    <w:rsid w:val="00741B99"/>
    <w:rsid w:val="007420F1"/>
    <w:rsid w:val="007421A0"/>
    <w:rsid w:val="00742469"/>
    <w:rsid w:val="00742549"/>
    <w:rsid w:val="00742887"/>
    <w:rsid w:val="00742FA0"/>
    <w:rsid w:val="0074315E"/>
    <w:rsid w:val="0074326A"/>
    <w:rsid w:val="0074331D"/>
    <w:rsid w:val="00743406"/>
    <w:rsid w:val="00743474"/>
    <w:rsid w:val="0074373B"/>
    <w:rsid w:val="00743C0F"/>
    <w:rsid w:val="007442D4"/>
    <w:rsid w:val="00744442"/>
    <w:rsid w:val="0074475D"/>
    <w:rsid w:val="00744C9A"/>
    <w:rsid w:val="00745174"/>
    <w:rsid w:val="0074523C"/>
    <w:rsid w:val="00745473"/>
    <w:rsid w:val="0074565C"/>
    <w:rsid w:val="00745AC9"/>
    <w:rsid w:val="007461F0"/>
    <w:rsid w:val="00746912"/>
    <w:rsid w:val="00746920"/>
    <w:rsid w:val="0074694A"/>
    <w:rsid w:val="007469D3"/>
    <w:rsid w:val="00746B31"/>
    <w:rsid w:val="00746D56"/>
    <w:rsid w:val="00746DB6"/>
    <w:rsid w:val="00747011"/>
    <w:rsid w:val="007470D9"/>
    <w:rsid w:val="007474CA"/>
    <w:rsid w:val="00747CE5"/>
    <w:rsid w:val="0075003A"/>
    <w:rsid w:val="00750492"/>
    <w:rsid w:val="007506F0"/>
    <w:rsid w:val="007509EB"/>
    <w:rsid w:val="00750C5E"/>
    <w:rsid w:val="00750D46"/>
    <w:rsid w:val="00750E69"/>
    <w:rsid w:val="00750F71"/>
    <w:rsid w:val="00751234"/>
    <w:rsid w:val="0075194A"/>
    <w:rsid w:val="00751990"/>
    <w:rsid w:val="00751CBB"/>
    <w:rsid w:val="00751DF3"/>
    <w:rsid w:val="007520FD"/>
    <w:rsid w:val="00752679"/>
    <w:rsid w:val="0075277F"/>
    <w:rsid w:val="00752BD0"/>
    <w:rsid w:val="00752E5F"/>
    <w:rsid w:val="007531BC"/>
    <w:rsid w:val="007532BE"/>
    <w:rsid w:val="00753642"/>
    <w:rsid w:val="00753707"/>
    <w:rsid w:val="007537F3"/>
    <w:rsid w:val="0075430D"/>
    <w:rsid w:val="007545BE"/>
    <w:rsid w:val="0075496D"/>
    <w:rsid w:val="00754A70"/>
    <w:rsid w:val="00754BE7"/>
    <w:rsid w:val="0075532B"/>
    <w:rsid w:val="0075538C"/>
    <w:rsid w:val="007557A4"/>
    <w:rsid w:val="00755B06"/>
    <w:rsid w:val="00755B20"/>
    <w:rsid w:val="00755DAA"/>
    <w:rsid w:val="00755DC1"/>
    <w:rsid w:val="007560EA"/>
    <w:rsid w:val="007562A0"/>
    <w:rsid w:val="007566BF"/>
    <w:rsid w:val="0075685D"/>
    <w:rsid w:val="00756CF4"/>
    <w:rsid w:val="007574A2"/>
    <w:rsid w:val="007576A0"/>
    <w:rsid w:val="00757B16"/>
    <w:rsid w:val="00757D7E"/>
    <w:rsid w:val="00757E60"/>
    <w:rsid w:val="00757F1D"/>
    <w:rsid w:val="00760411"/>
    <w:rsid w:val="0076078D"/>
    <w:rsid w:val="00760C2D"/>
    <w:rsid w:val="00761483"/>
    <w:rsid w:val="0076163F"/>
    <w:rsid w:val="00761690"/>
    <w:rsid w:val="00761A6B"/>
    <w:rsid w:val="00761EB0"/>
    <w:rsid w:val="00761F6C"/>
    <w:rsid w:val="007624CF"/>
    <w:rsid w:val="00762668"/>
    <w:rsid w:val="00762795"/>
    <w:rsid w:val="007628B0"/>
    <w:rsid w:val="00762909"/>
    <w:rsid w:val="00762A0E"/>
    <w:rsid w:val="00762A80"/>
    <w:rsid w:val="00762C15"/>
    <w:rsid w:val="0076317E"/>
    <w:rsid w:val="007632A7"/>
    <w:rsid w:val="00763363"/>
    <w:rsid w:val="007637B6"/>
    <w:rsid w:val="00763D8D"/>
    <w:rsid w:val="00763E9C"/>
    <w:rsid w:val="00764197"/>
    <w:rsid w:val="0076429A"/>
    <w:rsid w:val="00764314"/>
    <w:rsid w:val="00764656"/>
    <w:rsid w:val="0076498F"/>
    <w:rsid w:val="00764CE8"/>
    <w:rsid w:val="00764D9B"/>
    <w:rsid w:val="007652A4"/>
    <w:rsid w:val="007656E4"/>
    <w:rsid w:val="00765A1B"/>
    <w:rsid w:val="00765A5A"/>
    <w:rsid w:val="00765C09"/>
    <w:rsid w:val="00765DBE"/>
    <w:rsid w:val="0076602E"/>
    <w:rsid w:val="007662CB"/>
    <w:rsid w:val="00766446"/>
    <w:rsid w:val="007665BD"/>
    <w:rsid w:val="007666B1"/>
    <w:rsid w:val="0076692B"/>
    <w:rsid w:val="00766EBA"/>
    <w:rsid w:val="00767265"/>
    <w:rsid w:val="007678EA"/>
    <w:rsid w:val="00767A61"/>
    <w:rsid w:val="00767B10"/>
    <w:rsid w:val="00767CBC"/>
    <w:rsid w:val="00767E40"/>
    <w:rsid w:val="00767FAA"/>
    <w:rsid w:val="0077026C"/>
    <w:rsid w:val="0077074E"/>
    <w:rsid w:val="00770A8C"/>
    <w:rsid w:val="00770EB9"/>
    <w:rsid w:val="0077138B"/>
    <w:rsid w:val="007713AE"/>
    <w:rsid w:val="00771457"/>
    <w:rsid w:val="007714EF"/>
    <w:rsid w:val="00771685"/>
    <w:rsid w:val="00771E6B"/>
    <w:rsid w:val="00772068"/>
    <w:rsid w:val="0077221D"/>
    <w:rsid w:val="0077239D"/>
    <w:rsid w:val="007727E0"/>
    <w:rsid w:val="00772CCE"/>
    <w:rsid w:val="00772EE9"/>
    <w:rsid w:val="0077311F"/>
    <w:rsid w:val="00773272"/>
    <w:rsid w:val="00773962"/>
    <w:rsid w:val="00773AE7"/>
    <w:rsid w:val="0077456A"/>
    <w:rsid w:val="007748AF"/>
    <w:rsid w:val="007751D3"/>
    <w:rsid w:val="00775493"/>
    <w:rsid w:val="00775545"/>
    <w:rsid w:val="0077595D"/>
    <w:rsid w:val="00775CC9"/>
    <w:rsid w:val="00775D18"/>
    <w:rsid w:val="00775E0A"/>
    <w:rsid w:val="00775F3D"/>
    <w:rsid w:val="00776067"/>
    <w:rsid w:val="007762F4"/>
    <w:rsid w:val="007766FA"/>
    <w:rsid w:val="00776705"/>
    <w:rsid w:val="00776A6E"/>
    <w:rsid w:val="00777000"/>
    <w:rsid w:val="007770C0"/>
    <w:rsid w:val="007770D2"/>
    <w:rsid w:val="007771DA"/>
    <w:rsid w:val="007772C9"/>
    <w:rsid w:val="00777914"/>
    <w:rsid w:val="00777AA0"/>
    <w:rsid w:val="00777D5D"/>
    <w:rsid w:val="00777D6F"/>
    <w:rsid w:val="00777E29"/>
    <w:rsid w:val="0078013D"/>
    <w:rsid w:val="007802B6"/>
    <w:rsid w:val="0078110F"/>
    <w:rsid w:val="007814AA"/>
    <w:rsid w:val="00781887"/>
    <w:rsid w:val="0078196D"/>
    <w:rsid w:val="00781B6B"/>
    <w:rsid w:val="00781E1A"/>
    <w:rsid w:val="00781E61"/>
    <w:rsid w:val="0078230D"/>
    <w:rsid w:val="00782724"/>
    <w:rsid w:val="00782D59"/>
    <w:rsid w:val="00783461"/>
    <w:rsid w:val="007837CD"/>
    <w:rsid w:val="0078389D"/>
    <w:rsid w:val="00783B71"/>
    <w:rsid w:val="00783BBB"/>
    <w:rsid w:val="00783CA2"/>
    <w:rsid w:val="00783EFB"/>
    <w:rsid w:val="00784180"/>
    <w:rsid w:val="00784505"/>
    <w:rsid w:val="00784571"/>
    <w:rsid w:val="007845B6"/>
    <w:rsid w:val="00784826"/>
    <w:rsid w:val="007849E7"/>
    <w:rsid w:val="00784B10"/>
    <w:rsid w:val="00784B5E"/>
    <w:rsid w:val="00784CEB"/>
    <w:rsid w:val="00784CFD"/>
    <w:rsid w:val="00785098"/>
    <w:rsid w:val="007852E2"/>
    <w:rsid w:val="00785351"/>
    <w:rsid w:val="00785633"/>
    <w:rsid w:val="00785BC9"/>
    <w:rsid w:val="00785D18"/>
    <w:rsid w:val="0078621A"/>
    <w:rsid w:val="00786ED5"/>
    <w:rsid w:val="00787113"/>
    <w:rsid w:val="00787332"/>
    <w:rsid w:val="0078734E"/>
    <w:rsid w:val="0078750F"/>
    <w:rsid w:val="00787FFB"/>
    <w:rsid w:val="007900C0"/>
    <w:rsid w:val="0079031F"/>
    <w:rsid w:val="007903D2"/>
    <w:rsid w:val="007904E1"/>
    <w:rsid w:val="00790AF7"/>
    <w:rsid w:val="00790F81"/>
    <w:rsid w:val="0079100A"/>
    <w:rsid w:val="00791045"/>
    <w:rsid w:val="00791150"/>
    <w:rsid w:val="0079116E"/>
    <w:rsid w:val="00791884"/>
    <w:rsid w:val="00791A05"/>
    <w:rsid w:val="00791BD3"/>
    <w:rsid w:val="00791D02"/>
    <w:rsid w:val="00791D24"/>
    <w:rsid w:val="00791D89"/>
    <w:rsid w:val="00791F81"/>
    <w:rsid w:val="007921D9"/>
    <w:rsid w:val="007922CE"/>
    <w:rsid w:val="0079276E"/>
    <w:rsid w:val="00792845"/>
    <w:rsid w:val="00792E5A"/>
    <w:rsid w:val="007931DC"/>
    <w:rsid w:val="00793313"/>
    <w:rsid w:val="007936D8"/>
    <w:rsid w:val="00793D45"/>
    <w:rsid w:val="0079408C"/>
    <w:rsid w:val="00794448"/>
    <w:rsid w:val="00794724"/>
    <w:rsid w:val="007948A0"/>
    <w:rsid w:val="00794D38"/>
    <w:rsid w:val="00794D5E"/>
    <w:rsid w:val="00794E1E"/>
    <w:rsid w:val="00794F2F"/>
    <w:rsid w:val="00794F6E"/>
    <w:rsid w:val="0079544C"/>
    <w:rsid w:val="00795EB6"/>
    <w:rsid w:val="00796256"/>
    <w:rsid w:val="007962C6"/>
    <w:rsid w:val="0079637B"/>
    <w:rsid w:val="0079651C"/>
    <w:rsid w:val="00796627"/>
    <w:rsid w:val="00796D0F"/>
    <w:rsid w:val="00796D14"/>
    <w:rsid w:val="00796D1A"/>
    <w:rsid w:val="00796E8F"/>
    <w:rsid w:val="007976CA"/>
    <w:rsid w:val="00797872"/>
    <w:rsid w:val="007A0018"/>
    <w:rsid w:val="007A01F6"/>
    <w:rsid w:val="007A03D8"/>
    <w:rsid w:val="007A03F0"/>
    <w:rsid w:val="007A09A7"/>
    <w:rsid w:val="007A0A00"/>
    <w:rsid w:val="007A0C33"/>
    <w:rsid w:val="007A0E2C"/>
    <w:rsid w:val="007A1200"/>
    <w:rsid w:val="007A12F1"/>
    <w:rsid w:val="007A21DE"/>
    <w:rsid w:val="007A2682"/>
    <w:rsid w:val="007A26FC"/>
    <w:rsid w:val="007A29EE"/>
    <w:rsid w:val="007A2ADA"/>
    <w:rsid w:val="007A2D5A"/>
    <w:rsid w:val="007A3671"/>
    <w:rsid w:val="007A3E10"/>
    <w:rsid w:val="007A431F"/>
    <w:rsid w:val="007A4354"/>
    <w:rsid w:val="007A4409"/>
    <w:rsid w:val="007A48DC"/>
    <w:rsid w:val="007A4BF7"/>
    <w:rsid w:val="007A4DA3"/>
    <w:rsid w:val="007A4F87"/>
    <w:rsid w:val="007A502B"/>
    <w:rsid w:val="007A50D9"/>
    <w:rsid w:val="007A53F8"/>
    <w:rsid w:val="007A57C5"/>
    <w:rsid w:val="007A57E9"/>
    <w:rsid w:val="007A5CF6"/>
    <w:rsid w:val="007A5E24"/>
    <w:rsid w:val="007A686B"/>
    <w:rsid w:val="007A6E5A"/>
    <w:rsid w:val="007A726D"/>
    <w:rsid w:val="007A72B7"/>
    <w:rsid w:val="007A734A"/>
    <w:rsid w:val="007A7411"/>
    <w:rsid w:val="007A7635"/>
    <w:rsid w:val="007A779F"/>
    <w:rsid w:val="007A77EF"/>
    <w:rsid w:val="007A79FB"/>
    <w:rsid w:val="007A7ACA"/>
    <w:rsid w:val="007A7EBF"/>
    <w:rsid w:val="007A7F68"/>
    <w:rsid w:val="007B0332"/>
    <w:rsid w:val="007B086D"/>
    <w:rsid w:val="007B158B"/>
    <w:rsid w:val="007B1DE4"/>
    <w:rsid w:val="007B2013"/>
    <w:rsid w:val="007B2098"/>
    <w:rsid w:val="007B2F03"/>
    <w:rsid w:val="007B2F58"/>
    <w:rsid w:val="007B306D"/>
    <w:rsid w:val="007B3211"/>
    <w:rsid w:val="007B3356"/>
    <w:rsid w:val="007B3608"/>
    <w:rsid w:val="007B3852"/>
    <w:rsid w:val="007B39DB"/>
    <w:rsid w:val="007B3F25"/>
    <w:rsid w:val="007B3FC4"/>
    <w:rsid w:val="007B403F"/>
    <w:rsid w:val="007B4233"/>
    <w:rsid w:val="007B4332"/>
    <w:rsid w:val="007B44B3"/>
    <w:rsid w:val="007B4681"/>
    <w:rsid w:val="007B46A8"/>
    <w:rsid w:val="007B4794"/>
    <w:rsid w:val="007B4AF7"/>
    <w:rsid w:val="007B4C87"/>
    <w:rsid w:val="007B5135"/>
    <w:rsid w:val="007B517A"/>
    <w:rsid w:val="007B51BA"/>
    <w:rsid w:val="007B5261"/>
    <w:rsid w:val="007B5371"/>
    <w:rsid w:val="007B5956"/>
    <w:rsid w:val="007B5E49"/>
    <w:rsid w:val="007B5F8C"/>
    <w:rsid w:val="007B6131"/>
    <w:rsid w:val="007B63C1"/>
    <w:rsid w:val="007B6A84"/>
    <w:rsid w:val="007B6E9A"/>
    <w:rsid w:val="007B6F1B"/>
    <w:rsid w:val="007B6FB4"/>
    <w:rsid w:val="007B705E"/>
    <w:rsid w:val="007B7442"/>
    <w:rsid w:val="007B758E"/>
    <w:rsid w:val="007B7881"/>
    <w:rsid w:val="007B7A50"/>
    <w:rsid w:val="007B7AE6"/>
    <w:rsid w:val="007B7CE2"/>
    <w:rsid w:val="007B7EC6"/>
    <w:rsid w:val="007B7F2D"/>
    <w:rsid w:val="007C0066"/>
    <w:rsid w:val="007C02E8"/>
    <w:rsid w:val="007C0883"/>
    <w:rsid w:val="007C09EF"/>
    <w:rsid w:val="007C0E70"/>
    <w:rsid w:val="007C122D"/>
    <w:rsid w:val="007C128F"/>
    <w:rsid w:val="007C154B"/>
    <w:rsid w:val="007C1E00"/>
    <w:rsid w:val="007C1F19"/>
    <w:rsid w:val="007C25BB"/>
    <w:rsid w:val="007C2A2C"/>
    <w:rsid w:val="007C2AF9"/>
    <w:rsid w:val="007C36C2"/>
    <w:rsid w:val="007C38F4"/>
    <w:rsid w:val="007C3ED0"/>
    <w:rsid w:val="007C4525"/>
    <w:rsid w:val="007C45CE"/>
    <w:rsid w:val="007C4895"/>
    <w:rsid w:val="007C49FD"/>
    <w:rsid w:val="007C4A10"/>
    <w:rsid w:val="007C57D1"/>
    <w:rsid w:val="007C5D35"/>
    <w:rsid w:val="007C5D51"/>
    <w:rsid w:val="007C692C"/>
    <w:rsid w:val="007C6EA4"/>
    <w:rsid w:val="007C6EA9"/>
    <w:rsid w:val="007C7361"/>
    <w:rsid w:val="007C745D"/>
    <w:rsid w:val="007C752D"/>
    <w:rsid w:val="007C79DF"/>
    <w:rsid w:val="007C7AB7"/>
    <w:rsid w:val="007C7BE7"/>
    <w:rsid w:val="007D016E"/>
    <w:rsid w:val="007D01D8"/>
    <w:rsid w:val="007D0302"/>
    <w:rsid w:val="007D0536"/>
    <w:rsid w:val="007D0858"/>
    <w:rsid w:val="007D0D57"/>
    <w:rsid w:val="007D0EE0"/>
    <w:rsid w:val="007D0F40"/>
    <w:rsid w:val="007D11F1"/>
    <w:rsid w:val="007D1279"/>
    <w:rsid w:val="007D14A7"/>
    <w:rsid w:val="007D1C5E"/>
    <w:rsid w:val="007D1D4D"/>
    <w:rsid w:val="007D20D1"/>
    <w:rsid w:val="007D21CF"/>
    <w:rsid w:val="007D2482"/>
    <w:rsid w:val="007D2572"/>
    <w:rsid w:val="007D27C6"/>
    <w:rsid w:val="007D29B8"/>
    <w:rsid w:val="007D2F33"/>
    <w:rsid w:val="007D2FA7"/>
    <w:rsid w:val="007D30E2"/>
    <w:rsid w:val="007D347A"/>
    <w:rsid w:val="007D3766"/>
    <w:rsid w:val="007D3B2A"/>
    <w:rsid w:val="007D3D0A"/>
    <w:rsid w:val="007D3E81"/>
    <w:rsid w:val="007D3F09"/>
    <w:rsid w:val="007D4068"/>
    <w:rsid w:val="007D41ED"/>
    <w:rsid w:val="007D4338"/>
    <w:rsid w:val="007D441C"/>
    <w:rsid w:val="007D4E8B"/>
    <w:rsid w:val="007D4FE1"/>
    <w:rsid w:val="007D5139"/>
    <w:rsid w:val="007D51FB"/>
    <w:rsid w:val="007D5756"/>
    <w:rsid w:val="007D58BE"/>
    <w:rsid w:val="007D5917"/>
    <w:rsid w:val="007D5FC1"/>
    <w:rsid w:val="007D67D0"/>
    <w:rsid w:val="007D7992"/>
    <w:rsid w:val="007D7C4D"/>
    <w:rsid w:val="007E04A7"/>
    <w:rsid w:val="007E0A77"/>
    <w:rsid w:val="007E0B9E"/>
    <w:rsid w:val="007E0C02"/>
    <w:rsid w:val="007E1488"/>
    <w:rsid w:val="007E1555"/>
    <w:rsid w:val="007E17EE"/>
    <w:rsid w:val="007E2A93"/>
    <w:rsid w:val="007E2C0D"/>
    <w:rsid w:val="007E3288"/>
    <w:rsid w:val="007E35BA"/>
    <w:rsid w:val="007E37CE"/>
    <w:rsid w:val="007E3FD4"/>
    <w:rsid w:val="007E41F3"/>
    <w:rsid w:val="007E43F8"/>
    <w:rsid w:val="007E4820"/>
    <w:rsid w:val="007E486A"/>
    <w:rsid w:val="007E4BC8"/>
    <w:rsid w:val="007E4CA7"/>
    <w:rsid w:val="007E4D16"/>
    <w:rsid w:val="007E51B8"/>
    <w:rsid w:val="007E51D1"/>
    <w:rsid w:val="007E5568"/>
    <w:rsid w:val="007E55DA"/>
    <w:rsid w:val="007E5881"/>
    <w:rsid w:val="007E5FDE"/>
    <w:rsid w:val="007E6080"/>
    <w:rsid w:val="007E6235"/>
    <w:rsid w:val="007E649F"/>
    <w:rsid w:val="007E678A"/>
    <w:rsid w:val="007E6A73"/>
    <w:rsid w:val="007E716E"/>
    <w:rsid w:val="007E72A0"/>
    <w:rsid w:val="007E736C"/>
    <w:rsid w:val="007E76D7"/>
    <w:rsid w:val="007E79B0"/>
    <w:rsid w:val="007E7A5C"/>
    <w:rsid w:val="007F00A4"/>
    <w:rsid w:val="007F053A"/>
    <w:rsid w:val="007F05C5"/>
    <w:rsid w:val="007F0689"/>
    <w:rsid w:val="007F07F4"/>
    <w:rsid w:val="007F0801"/>
    <w:rsid w:val="007F0894"/>
    <w:rsid w:val="007F0B39"/>
    <w:rsid w:val="007F0DF5"/>
    <w:rsid w:val="007F15F5"/>
    <w:rsid w:val="007F184D"/>
    <w:rsid w:val="007F1AEB"/>
    <w:rsid w:val="007F220D"/>
    <w:rsid w:val="007F22FA"/>
    <w:rsid w:val="007F23BB"/>
    <w:rsid w:val="007F25D9"/>
    <w:rsid w:val="007F2889"/>
    <w:rsid w:val="007F2BCE"/>
    <w:rsid w:val="007F2F94"/>
    <w:rsid w:val="007F3265"/>
    <w:rsid w:val="007F3754"/>
    <w:rsid w:val="007F3AC9"/>
    <w:rsid w:val="007F4099"/>
    <w:rsid w:val="007F45F0"/>
    <w:rsid w:val="007F4BC3"/>
    <w:rsid w:val="007F4BF8"/>
    <w:rsid w:val="007F4D77"/>
    <w:rsid w:val="007F56FC"/>
    <w:rsid w:val="007F5C1B"/>
    <w:rsid w:val="007F5ECE"/>
    <w:rsid w:val="007F5EF8"/>
    <w:rsid w:val="007F6285"/>
    <w:rsid w:val="007F67A2"/>
    <w:rsid w:val="007F683B"/>
    <w:rsid w:val="007F6E4B"/>
    <w:rsid w:val="007F6F42"/>
    <w:rsid w:val="007F7175"/>
    <w:rsid w:val="007F739A"/>
    <w:rsid w:val="007F73FD"/>
    <w:rsid w:val="007F7A82"/>
    <w:rsid w:val="007F7DD7"/>
    <w:rsid w:val="007F7FA0"/>
    <w:rsid w:val="00800101"/>
    <w:rsid w:val="0080092B"/>
    <w:rsid w:val="00800946"/>
    <w:rsid w:val="00800ADE"/>
    <w:rsid w:val="00800B72"/>
    <w:rsid w:val="00800E34"/>
    <w:rsid w:val="00801329"/>
    <w:rsid w:val="008018E0"/>
    <w:rsid w:val="00801A70"/>
    <w:rsid w:val="00801C0C"/>
    <w:rsid w:val="00801C97"/>
    <w:rsid w:val="00801D93"/>
    <w:rsid w:val="00801E0A"/>
    <w:rsid w:val="00801E73"/>
    <w:rsid w:val="008020BA"/>
    <w:rsid w:val="00802B6A"/>
    <w:rsid w:val="00802B74"/>
    <w:rsid w:val="00802BBD"/>
    <w:rsid w:val="008034CC"/>
    <w:rsid w:val="008035D4"/>
    <w:rsid w:val="00803618"/>
    <w:rsid w:val="00803831"/>
    <w:rsid w:val="00803CF0"/>
    <w:rsid w:val="00804291"/>
    <w:rsid w:val="008053C3"/>
    <w:rsid w:val="008059BE"/>
    <w:rsid w:val="00805C30"/>
    <w:rsid w:val="0080602D"/>
    <w:rsid w:val="008061EA"/>
    <w:rsid w:val="008062FA"/>
    <w:rsid w:val="008065F6"/>
    <w:rsid w:val="00806BB7"/>
    <w:rsid w:val="00806BBF"/>
    <w:rsid w:val="00806C8F"/>
    <w:rsid w:val="00806DCE"/>
    <w:rsid w:val="00806FB8"/>
    <w:rsid w:val="008075C0"/>
    <w:rsid w:val="008077FC"/>
    <w:rsid w:val="00807C7A"/>
    <w:rsid w:val="00807CC6"/>
    <w:rsid w:val="00807F27"/>
    <w:rsid w:val="008100C8"/>
    <w:rsid w:val="0081033F"/>
    <w:rsid w:val="00810359"/>
    <w:rsid w:val="00810439"/>
    <w:rsid w:val="00810B43"/>
    <w:rsid w:val="008111B4"/>
    <w:rsid w:val="00811790"/>
    <w:rsid w:val="00811F20"/>
    <w:rsid w:val="00812591"/>
    <w:rsid w:val="00812A82"/>
    <w:rsid w:val="00812E22"/>
    <w:rsid w:val="008133BF"/>
    <w:rsid w:val="0081390F"/>
    <w:rsid w:val="0081396C"/>
    <w:rsid w:val="00814586"/>
    <w:rsid w:val="00814EE5"/>
    <w:rsid w:val="00814F5A"/>
    <w:rsid w:val="00815009"/>
    <w:rsid w:val="008156ED"/>
    <w:rsid w:val="00815794"/>
    <w:rsid w:val="008159E9"/>
    <w:rsid w:val="00815AC5"/>
    <w:rsid w:val="00815E43"/>
    <w:rsid w:val="00816286"/>
    <w:rsid w:val="008162D5"/>
    <w:rsid w:val="00816C28"/>
    <w:rsid w:val="00816C38"/>
    <w:rsid w:val="00816CB3"/>
    <w:rsid w:val="00817045"/>
    <w:rsid w:val="00817141"/>
    <w:rsid w:val="0081759E"/>
    <w:rsid w:val="008177B8"/>
    <w:rsid w:val="00817837"/>
    <w:rsid w:val="00817C19"/>
    <w:rsid w:val="00817C5A"/>
    <w:rsid w:val="00820045"/>
    <w:rsid w:val="00820EB2"/>
    <w:rsid w:val="0082170A"/>
    <w:rsid w:val="00821B40"/>
    <w:rsid w:val="00821BEC"/>
    <w:rsid w:val="00821D26"/>
    <w:rsid w:val="00821FD6"/>
    <w:rsid w:val="00822097"/>
    <w:rsid w:val="00822AD5"/>
    <w:rsid w:val="00822C64"/>
    <w:rsid w:val="00822EB9"/>
    <w:rsid w:val="0082356C"/>
    <w:rsid w:val="00823872"/>
    <w:rsid w:val="00823B5E"/>
    <w:rsid w:val="00823DAA"/>
    <w:rsid w:val="00823DE5"/>
    <w:rsid w:val="00823EC4"/>
    <w:rsid w:val="00823F21"/>
    <w:rsid w:val="008241D3"/>
    <w:rsid w:val="0082438A"/>
    <w:rsid w:val="008243E6"/>
    <w:rsid w:val="0082498E"/>
    <w:rsid w:val="00824BA1"/>
    <w:rsid w:val="00824EFF"/>
    <w:rsid w:val="0082536F"/>
    <w:rsid w:val="008258BB"/>
    <w:rsid w:val="00825CEB"/>
    <w:rsid w:val="00825D5F"/>
    <w:rsid w:val="00825E00"/>
    <w:rsid w:val="00825FCA"/>
    <w:rsid w:val="0082612B"/>
    <w:rsid w:val="0082647B"/>
    <w:rsid w:val="008266C9"/>
    <w:rsid w:val="008267F7"/>
    <w:rsid w:val="00826999"/>
    <w:rsid w:val="00826ADB"/>
    <w:rsid w:val="00826BE4"/>
    <w:rsid w:val="00826C8B"/>
    <w:rsid w:val="00826D92"/>
    <w:rsid w:val="00827098"/>
    <w:rsid w:val="008271B0"/>
    <w:rsid w:val="00827C62"/>
    <w:rsid w:val="00827E0D"/>
    <w:rsid w:val="0083067F"/>
    <w:rsid w:val="008306DE"/>
    <w:rsid w:val="008309B7"/>
    <w:rsid w:val="00830CDC"/>
    <w:rsid w:val="00830D1B"/>
    <w:rsid w:val="008310EC"/>
    <w:rsid w:val="0083148E"/>
    <w:rsid w:val="008316B0"/>
    <w:rsid w:val="00831ACE"/>
    <w:rsid w:val="00831C7A"/>
    <w:rsid w:val="00831D7E"/>
    <w:rsid w:val="00831F07"/>
    <w:rsid w:val="00831FD8"/>
    <w:rsid w:val="00832054"/>
    <w:rsid w:val="008322FC"/>
    <w:rsid w:val="00832432"/>
    <w:rsid w:val="00832610"/>
    <w:rsid w:val="008326C8"/>
    <w:rsid w:val="00832ADD"/>
    <w:rsid w:val="00832AF6"/>
    <w:rsid w:val="00832B98"/>
    <w:rsid w:val="00832EB7"/>
    <w:rsid w:val="00832F57"/>
    <w:rsid w:val="008334A4"/>
    <w:rsid w:val="00833799"/>
    <w:rsid w:val="00833861"/>
    <w:rsid w:val="00833A0B"/>
    <w:rsid w:val="00833B4B"/>
    <w:rsid w:val="00833FB3"/>
    <w:rsid w:val="00833FFD"/>
    <w:rsid w:val="008341FC"/>
    <w:rsid w:val="008345A7"/>
    <w:rsid w:val="00834803"/>
    <w:rsid w:val="00834BEF"/>
    <w:rsid w:val="00835786"/>
    <w:rsid w:val="0083590A"/>
    <w:rsid w:val="00835B95"/>
    <w:rsid w:val="00835C7E"/>
    <w:rsid w:val="00835DCF"/>
    <w:rsid w:val="00835EED"/>
    <w:rsid w:val="00836172"/>
    <w:rsid w:val="008362DD"/>
    <w:rsid w:val="00836BB9"/>
    <w:rsid w:val="00836E59"/>
    <w:rsid w:val="008371B7"/>
    <w:rsid w:val="00837566"/>
    <w:rsid w:val="008378C7"/>
    <w:rsid w:val="00837A68"/>
    <w:rsid w:val="00837ED9"/>
    <w:rsid w:val="00837F93"/>
    <w:rsid w:val="0084011E"/>
    <w:rsid w:val="00840291"/>
    <w:rsid w:val="00840736"/>
    <w:rsid w:val="0084081F"/>
    <w:rsid w:val="00840998"/>
    <w:rsid w:val="008409CB"/>
    <w:rsid w:val="00840D35"/>
    <w:rsid w:val="00840F40"/>
    <w:rsid w:val="008410FA"/>
    <w:rsid w:val="00841713"/>
    <w:rsid w:val="008417CD"/>
    <w:rsid w:val="00841AAD"/>
    <w:rsid w:val="00841B15"/>
    <w:rsid w:val="00841BDC"/>
    <w:rsid w:val="008420AF"/>
    <w:rsid w:val="008420F4"/>
    <w:rsid w:val="0084217A"/>
    <w:rsid w:val="0084222B"/>
    <w:rsid w:val="008424EC"/>
    <w:rsid w:val="00842763"/>
    <w:rsid w:val="00842A18"/>
    <w:rsid w:val="00842C16"/>
    <w:rsid w:val="00842E5C"/>
    <w:rsid w:val="00842F22"/>
    <w:rsid w:val="008430A4"/>
    <w:rsid w:val="0084343B"/>
    <w:rsid w:val="008434A0"/>
    <w:rsid w:val="008435C2"/>
    <w:rsid w:val="008438DB"/>
    <w:rsid w:val="00843D8A"/>
    <w:rsid w:val="00843EB5"/>
    <w:rsid w:val="00843F4E"/>
    <w:rsid w:val="00843FB8"/>
    <w:rsid w:val="00844222"/>
    <w:rsid w:val="00844248"/>
    <w:rsid w:val="008444AF"/>
    <w:rsid w:val="008449EA"/>
    <w:rsid w:val="00844AF5"/>
    <w:rsid w:val="00844B59"/>
    <w:rsid w:val="00844C26"/>
    <w:rsid w:val="00844CCB"/>
    <w:rsid w:val="00844F9E"/>
    <w:rsid w:val="008456DB"/>
    <w:rsid w:val="00845B42"/>
    <w:rsid w:val="00845B7F"/>
    <w:rsid w:val="00845DD6"/>
    <w:rsid w:val="008461AE"/>
    <w:rsid w:val="00846484"/>
    <w:rsid w:val="00846906"/>
    <w:rsid w:val="00846DFB"/>
    <w:rsid w:val="008474AB"/>
    <w:rsid w:val="008477F4"/>
    <w:rsid w:val="00847936"/>
    <w:rsid w:val="008479AF"/>
    <w:rsid w:val="0085018F"/>
    <w:rsid w:val="00850213"/>
    <w:rsid w:val="008502B0"/>
    <w:rsid w:val="00850673"/>
    <w:rsid w:val="00850BAE"/>
    <w:rsid w:val="00850BBD"/>
    <w:rsid w:val="008513C4"/>
    <w:rsid w:val="008514EE"/>
    <w:rsid w:val="0085161E"/>
    <w:rsid w:val="00852231"/>
    <w:rsid w:val="008531F5"/>
    <w:rsid w:val="008535CD"/>
    <w:rsid w:val="008538BE"/>
    <w:rsid w:val="00853AB8"/>
    <w:rsid w:val="00853CC1"/>
    <w:rsid w:val="00854926"/>
    <w:rsid w:val="00854A44"/>
    <w:rsid w:val="008551E8"/>
    <w:rsid w:val="00855424"/>
    <w:rsid w:val="00855CCD"/>
    <w:rsid w:val="0085618D"/>
    <w:rsid w:val="0085636B"/>
    <w:rsid w:val="008568F0"/>
    <w:rsid w:val="00856A00"/>
    <w:rsid w:val="00856A5E"/>
    <w:rsid w:val="00856C96"/>
    <w:rsid w:val="00856E0E"/>
    <w:rsid w:val="00856EB4"/>
    <w:rsid w:val="00856FED"/>
    <w:rsid w:val="008571AE"/>
    <w:rsid w:val="008571F9"/>
    <w:rsid w:val="008572D9"/>
    <w:rsid w:val="00857670"/>
    <w:rsid w:val="0085783D"/>
    <w:rsid w:val="00857A11"/>
    <w:rsid w:val="00857C9C"/>
    <w:rsid w:val="00860118"/>
    <w:rsid w:val="008603AC"/>
    <w:rsid w:val="008606DA"/>
    <w:rsid w:val="00860B2A"/>
    <w:rsid w:val="0086141D"/>
    <w:rsid w:val="00861424"/>
    <w:rsid w:val="008614DB"/>
    <w:rsid w:val="008615C5"/>
    <w:rsid w:val="0086166D"/>
    <w:rsid w:val="00861B72"/>
    <w:rsid w:val="00861B9D"/>
    <w:rsid w:val="00861CBD"/>
    <w:rsid w:val="00862547"/>
    <w:rsid w:val="00862661"/>
    <w:rsid w:val="00862699"/>
    <w:rsid w:val="0086287F"/>
    <w:rsid w:val="008630A7"/>
    <w:rsid w:val="008631D5"/>
    <w:rsid w:val="008634ED"/>
    <w:rsid w:val="00863881"/>
    <w:rsid w:val="0086396B"/>
    <w:rsid w:val="00863A85"/>
    <w:rsid w:val="00863D73"/>
    <w:rsid w:val="00863E6D"/>
    <w:rsid w:val="00864146"/>
    <w:rsid w:val="0086449B"/>
    <w:rsid w:val="00864771"/>
    <w:rsid w:val="00864B42"/>
    <w:rsid w:val="00864C36"/>
    <w:rsid w:val="00864D9D"/>
    <w:rsid w:val="00864FAA"/>
    <w:rsid w:val="008650EC"/>
    <w:rsid w:val="00865461"/>
    <w:rsid w:val="00865685"/>
    <w:rsid w:val="0086591E"/>
    <w:rsid w:val="008660E3"/>
    <w:rsid w:val="008661D7"/>
    <w:rsid w:val="008661F2"/>
    <w:rsid w:val="008661F4"/>
    <w:rsid w:val="00866481"/>
    <w:rsid w:val="00866761"/>
    <w:rsid w:val="00866818"/>
    <w:rsid w:val="00866C20"/>
    <w:rsid w:val="00866F4B"/>
    <w:rsid w:val="00867637"/>
    <w:rsid w:val="00867C4D"/>
    <w:rsid w:val="00867DD2"/>
    <w:rsid w:val="00870048"/>
    <w:rsid w:val="0087086F"/>
    <w:rsid w:val="00870930"/>
    <w:rsid w:val="00870F30"/>
    <w:rsid w:val="00871263"/>
    <w:rsid w:val="0087157D"/>
    <w:rsid w:val="008715C6"/>
    <w:rsid w:val="008718B4"/>
    <w:rsid w:val="00871D1C"/>
    <w:rsid w:val="0087275A"/>
    <w:rsid w:val="00872DCC"/>
    <w:rsid w:val="00872F6D"/>
    <w:rsid w:val="008732D4"/>
    <w:rsid w:val="00873768"/>
    <w:rsid w:val="00873D4B"/>
    <w:rsid w:val="00873E58"/>
    <w:rsid w:val="00873EFD"/>
    <w:rsid w:val="00873FE2"/>
    <w:rsid w:val="00874166"/>
    <w:rsid w:val="008741BD"/>
    <w:rsid w:val="00874BD6"/>
    <w:rsid w:val="00874D70"/>
    <w:rsid w:val="00874FFD"/>
    <w:rsid w:val="0087516C"/>
    <w:rsid w:val="00875533"/>
    <w:rsid w:val="008759EE"/>
    <w:rsid w:val="00875AFF"/>
    <w:rsid w:val="00875CD6"/>
    <w:rsid w:val="00875F28"/>
    <w:rsid w:val="008762D1"/>
    <w:rsid w:val="00876305"/>
    <w:rsid w:val="008763EB"/>
    <w:rsid w:val="0087657D"/>
    <w:rsid w:val="00876A70"/>
    <w:rsid w:val="00876B1A"/>
    <w:rsid w:val="00876E6D"/>
    <w:rsid w:val="00877530"/>
    <w:rsid w:val="00877856"/>
    <w:rsid w:val="00877A90"/>
    <w:rsid w:val="00877BCA"/>
    <w:rsid w:val="008802E8"/>
    <w:rsid w:val="0088048B"/>
    <w:rsid w:val="008805FD"/>
    <w:rsid w:val="008807AA"/>
    <w:rsid w:val="008807F0"/>
    <w:rsid w:val="008810E9"/>
    <w:rsid w:val="00881230"/>
    <w:rsid w:val="00881266"/>
    <w:rsid w:val="0088155E"/>
    <w:rsid w:val="00881629"/>
    <w:rsid w:val="00881A17"/>
    <w:rsid w:val="00881C37"/>
    <w:rsid w:val="00881C43"/>
    <w:rsid w:val="008821FC"/>
    <w:rsid w:val="0088230E"/>
    <w:rsid w:val="00882373"/>
    <w:rsid w:val="008823CA"/>
    <w:rsid w:val="00882B41"/>
    <w:rsid w:val="00882BDC"/>
    <w:rsid w:val="00882BE3"/>
    <w:rsid w:val="00882C3D"/>
    <w:rsid w:val="00882EE1"/>
    <w:rsid w:val="008830E1"/>
    <w:rsid w:val="0088376F"/>
    <w:rsid w:val="0088380C"/>
    <w:rsid w:val="00883A53"/>
    <w:rsid w:val="00883A64"/>
    <w:rsid w:val="00883C1F"/>
    <w:rsid w:val="00883C9E"/>
    <w:rsid w:val="00883EAB"/>
    <w:rsid w:val="00883FF2"/>
    <w:rsid w:val="008841C5"/>
    <w:rsid w:val="00884B91"/>
    <w:rsid w:val="00884C38"/>
    <w:rsid w:val="00884DC1"/>
    <w:rsid w:val="0088506C"/>
    <w:rsid w:val="00885E45"/>
    <w:rsid w:val="00885FF6"/>
    <w:rsid w:val="00886004"/>
    <w:rsid w:val="0088600E"/>
    <w:rsid w:val="0088684B"/>
    <w:rsid w:val="00886F0C"/>
    <w:rsid w:val="00887044"/>
    <w:rsid w:val="0088731F"/>
    <w:rsid w:val="008873C4"/>
    <w:rsid w:val="008875CF"/>
    <w:rsid w:val="008878E5"/>
    <w:rsid w:val="008900B0"/>
    <w:rsid w:val="008904F1"/>
    <w:rsid w:val="0089066E"/>
    <w:rsid w:val="00890808"/>
    <w:rsid w:val="00890998"/>
    <w:rsid w:val="00890A45"/>
    <w:rsid w:val="00890DBE"/>
    <w:rsid w:val="00890EED"/>
    <w:rsid w:val="0089171A"/>
    <w:rsid w:val="008922A0"/>
    <w:rsid w:val="008922D4"/>
    <w:rsid w:val="00892540"/>
    <w:rsid w:val="00892858"/>
    <w:rsid w:val="00892BC2"/>
    <w:rsid w:val="00892BFC"/>
    <w:rsid w:val="00893377"/>
    <w:rsid w:val="00893612"/>
    <w:rsid w:val="008939FD"/>
    <w:rsid w:val="00893A3B"/>
    <w:rsid w:val="00893C9E"/>
    <w:rsid w:val="00893D74"/>
    <w:rsid w:val="00893DF5"/>
    <w:rsid w:val="00894762"/>
    <w:rsid w:val="00894B7F"/>
    <w:rsid w:val="00894D66"/>
    <w:rsid w:val="00895673"/>
    <w:rsid w:val="00895CBF"/>
    <w:rsid w:val="00895D5A"/>
    <w:rsid w:val="00896004"/>
    <w:rsid w:val="00896A69"/>
    <w:rsid w:val="00896B83"/>
    <w:rsid w:val="00896D8D"/>
    <w:rsid w:val="008972CC"/>
    <w:rsid w:val="008973DC"/>
    <w:rsid w:val="008974D2"/>
    <w:rsid w:val="008975DB"/>
    <w:rsid w:val="00897B46"/>
    <w:rsid w:val="00897BF2"/>
    <w:rsid w:val="00897D37"/>
    <w:rsid w:val="00897EAE"/>
    <w:rsid w:val="008A010F"/>
    <w:rsid w:val="008A0317"/>
    <w:rsid w:val="008A058C"/>
    <w:rsid w:val="008A05D1"/>
    <w:rsid w:val="008A10F5"/>
    <w:rsid w:val="008A11EB"/>
    <w:rsid w:val="008A17F3"/>
    <w:rsid w:val="008A1A47"/>
    <w:rsid w:val="008A1B68"/>
    <w:rsid w:val="008A1C4C"/>
    <w:rsid w:val="008A1C7B"/>
    <w:rsid w:val="008A1CE3"/>
    <w:rsid w:val="008A1D15"/>
    <w:rsid w:val="008A1F48"/>
    <w:rsid w:val="008A2672"/>
    <w:rsid w:val="008A2B4C"/>
    <w:rsid w:val="008A2BC7"/>
    <w:rsid w:val="008A3366"/>
    <w:rsid w:val="008A34E0"/>
    <w:rsid w:val="008A377D"/>
    <w:rsid w:val="008A3868"/>
    <w:rsid w:val="008A395B"/>
    <w:rsid w:val="008A39E8"/>
    <w:rsid w:val="008A3A2C"/>
    <w:rsid w:val="008A3A34"/>
    <w:rsid w:val="008A3C1F"/>
    <w:rsid w:val="008A3FB2"/>
    <w:rsid w:val="008A40FB"/>
    <w:rsid w:val="008A41F0"/>
    <w:rsid w:val="008A45A0"/>
    <w:rsid w:val="008A46EA"/>
    <w:rsid w:val="008A46FC"/>
    <w:rsid w:val="008A4729"/>
    <w:rsid w:val="008A472B"/>
    <w:rsid w:val="008A4795"/>
    <w:rsid w:val="008A4B68"/>
    <w:rsid w:val="008A4B79"/>
    <w:rsid w:val="008A4C02"/>
    <w:rsid w:val="008A4C4E"/>
    <w:rsid w:val="008A4CFE"/>
    <w:rsid w:val="008A4D99"/>
    <w:rsid w:val="008A513D"/>
    <w:rsid w:val="008A52FE"/>
    <w:rsid w:val="008A53FC"/>
    <w:rsid w:val="008A54B6"/>
    <w:rsid w:val="008A5506"/>
    <w:rsid w:val="008A5784"/>
    <w:rsid w:val="008A5BDD"/>
    <w:rsid w:val="008A6462"/>
    <w:rsid w:val="008A663A"/>
    <w:rsid w:val="008A67D2"/>
    <w:rsid w:val="008A6832"/>
    <w:rsid w:val="008A68E3"/>
    <w:rsid w:val="008A6983"/>
    <w:rsid w:val="008A6B0E"/>
    <w:rsid w:val="008A6D14"/>
    <w:rsid w:val="008A6E47"/>
    <w:rsid w:val="008A7447"/>
    <w:rsid w:val="008A747A"/>
    <w:rsid w:val="008A79CD"/>
    <w:rsid w:val="008A7A45"/>
    <w:rsid w:val="008A7C4E"/>
    <w:rsid w:val="008A7D33"/>
    <w:rsid w:val="008A7D93"/>
    <w:rsid w:val="008A7E9B"/>
    <w:rsid w:val="008A7F3D"/>
    <w:rsid w:val="008B02DB"/>
    <w:rsid w:val="008B0318"/>
    <w:rsid w:val="008B06E8"/>
    <w:rsid w:val="008B0789"/>
    <w:rsid w:val="008B0B9C"/>
    <w:rsid w:val="008B1076"/>
    <w:rsid w:val="008B13A2"/>
    <w:rsid w:val="008B1520"/>
    <w:rsid w:val="008B177C"/>
    <w:rsid w:val="008B1960"/>
    <w:rsid w:val="008B19CB"/>
    <w:rsid w:val="008B1B09"/>
    <w:rsid w:val="008B1DBE"/>
    <w:rsid w:val="008B1EA0"/>
    <w:rsid w:val="008B1FA7"/>
    <w:rsid w:val="008B1FCB"/>
    <w:rsid w:val="008B21DC"/>
    <w:rsid w:val="008B22A0"/>
    <w:rsid w:val="008B251E"/>
    <w:rsid w:val="008B29EF"/>
    <w:rsid w:val="008B2F4B"/>
    <w:rsid w:val="008B333C"/>
    <w:rsid w:val="008B35F2"/>
    <w:rsid w:val="008B3712"/>
    <w:rsid w:val="008B3981"/>
    <w:rsid w:val="008B3A68"/>
    <w:rsid w:val="008B3CAE"/>
    <w:rsid w:val="008B3DA6"/>
    <w:rsid w:val="008B4004"/>
    <w:rsid w:val="008B4042"/>
    <w:rsid w:val="008B451C"/>
    <w:rsid w:val="008B4991"/>
    <w:rsid w:val="008B4B16"/>
    <w:rsid w:val="008B4C24"/>
    <w:rsid w:val="008B4D01"/>
    <w:rsid w:val="008B4D82"/>
    <w:rsid w:val="008B50B8"/>
    <w:rsid w:val="008B534A"/>
    <w:rsid w:val="008B55A6"/>
    <w:rsid w:val="008B569C"/>
    <w:rsid w:val="008B56C1"/>
    <w:rsid w:val="008B56CA"/>
    <w:rsid w:val="008B5C43"/>
    <w:rsid w:val="008B6117"/>
    <w:rsid w:val="008B6405"/>
    <w:rsid w:val="008B65A1"/>
    <w:rsid w:val="008B6684"/>
    <w:rsid w:val="008B69E8"/>
    <w:rsid w:val="008B6E2F"/>
    <w:rsid w:val="008B6FDB"/>
    <w:rsid w:val="008B70DD"/>
    <w:rsid w:val="008B71CC"/>
    <w:rsid w:val="008C0114"/>
    <w:rsid w:val="008C02D8"/>
    <w:rsid w:val="008C058B"/>
    <w:rsid w:val="008C08F6"/>
    <w:rsid w:val="008C0991"/>
    <w:rsid w:val="008C0EC1"/>
    <w:rsid w:val="008C119D"/>
    <w:rsid w:val="008C12D9"/>
    <w:rsid w:val="008C15B9"/>
    <w:rsid w:val="008C18FB"/>
    <w:rsid w:val="008C1D8F"/>
    <w:rsid w:val="008C1FF1"/>
    <w:rsid w:val="008C2119"/>
    <w:rsid w:val="008C221B"/>
    <w:rsid w:val="008C24EB"/>
    <w:rsid w:val="008C25C3"/>
    <w:rsid w:val="008C2A7C"/>
    <w:rsid w:val="008C2D7D"/>
    <w:rsid w:val="008C31A4"/>
    <w:rsid w:val="008C3318"/>
    <w:rsid w:val="008C33FC"/>
    <w:rsid w:val="008C34D7"/>
    <w:rsid w:val="008C3780"/>
    <w:rsid w:val="008C381D"/>
    <w:rsid w:val="008C4871"/>
    <w:rsid w:val="008C4912"/>
    <w:rsid w:val="008C4966"/>
    <w:rsid w:val="008C4AFC"/>
    <w:rsid w:val="008C4CF8"/>
    <w:rsid w:val="008C4FDA"/>
    <w:rsid w:val="008C5066"/>
    <w:rsid w:val="008C55D6"/>
    <w:rsid w:val="008C5610"/>
    <w:rsid w:val="008C56E3"/>
    <w:rsid w:val="008C5838"/>
    <w:rsid w:val="008C5A3A"/>
    <w:rsid w:val="008C5B20"/>
    <w:rsid w:val="008C5DF8"/>
    <w:rsid w:val="008C6164"/>
    <w:rsid w:val="008C6473"/>
    <w:rsid w:val="008C6614"/>
    <w:rsid w:val="008C6665"/>
    <w:rsid w:val="008C67E9"/>
    <w:rsid w:val="008C68CB"/>
    <w:rsid w:val="008C6991"/>
    <w:rsid w:val="008C6FFF"/>
    <w:rsid w:val="008C752C"/>
    <w:rsid w:val="008C77A1"/>
    <w:rsid w:val="008C7D7C"/>
    <w:rsid w:val="008C7E02"/>
    <w:rsid w:val="008D0134"/>
    <w:rsid w:val="008D032F"/>
    <w:rsid w:val="008D0BCD"/>
    <w:rsid w:val="008D0CB6"/>
    <w:rsid w:val="008D15FA"/>
    <w:rsid w:val="008D1B15"/>
    <w:rsid w:val="008D1BE2"/>
    <w:rsid w:val="008D2033"/>
    <w:rsid w:val="008D2115"/>
    <w:rsid w:val="008D229C"/>
    <w:rsid w:val="008D265A"/>
    <w:rsid w:val="008D27FA"/>
    <w:rsid w:val="008D2A5B"/>
    <w:rsid w:val="008D2CC9"/>
    <w:rsid w:val="008D2E2C"/>
    <w:rsid w:val="008D3122"/>
    <w:rsid w:val="008D3593"/>
    <w:rsid w:val="008D387D"/>
    <w:rsid w:val="008D3B73"/>
    <w:rsid w:val="008D3BF5"/>
    <w:rsid w:val="008D4107"/>
    <w:rsid w:val="008D4182"/>
    <w:rsid w:val="008D49CE"/>
    <w:rsid w:val="008D5094"/>
    <w:rsid w:val="008D509D"/>
    <w:rsid w:val="008D5283"/>
    <w:rsid w:val="008D5396"/>
    <w:rsid w:val="008D5899"/>
    <w:rsid w:val="008D5C06"/>
    <w:rsid w:val="008D5F81"/>
    <w:rsid w:val="008D64D6"/>
    <w:rsid w:val="008D655C"/>
    <w:rsid w:val="008D67B6"/>
    <w:rsid w:val="008D69E7"/>
    <w:rsid w:val="008D6C20"/>
    <w:rsid w:val="008D700C"/>
    <w:rsid w:val="008D706A"/>
    <w:rsid w:val="008D70A7"/>
    <w:rsid w:val="008D7143"/>
    <w:rsid w:val="008D7172"/>
    <w:rsid w:val="008D7697"/>
    <w:rsid w:val="008D7939"/>
    <w:rsid w:val="008D7FA4"/>
    <w:rsid w:val="008E04FA"/>
    <w:rsid w:val="008E0EE7"/>
    <w:rsid w:val="008E0F10"/>
    <w:rsid w:val="008E11D1"/>
    <w:rsid w:val="008E12B8"/>
    <w:rsid w:val="008E1418"/>
    <w:rsid w:val="008E1B35"/>
    <w:rsid w:val="008E1CBF"/>
    <w:rsid w:val="008E1D52"/>
    <w:rsid w:val="008E2017"/>
    <w:rsid w:val="008E2343"/>
    <w:rsid w:val="008E24AD"/>
    <w:rsid w:val="008E29CB"/>
    <w:rsid w:val="008E2B98"/>
    <w:rsid w:val="008E2E36"/>
    <w:rsid w:val="008E2EE7"/>
    <w:rsid w:val="008E2F6A"/>
    <w:rsid w:val="008E2F83"/>
    <w:rsid w:val="008E32DE"/>
    <w:rsid w:val="008E38E2"/>
    <w:rsid w:val="008E394E"/>
    <w:rsid w:val="008E3BEB"/>
    <w:rsid w:val="008E3EF8"/>
    <w:rsid w:val="008E3F6B"/>
    <w:rsid w:val="008E41FE"/>
    <w:rsid w:val="008E4347"/>
    <w:rsid w:val="008E43AD"/>
    <w:rsid w:val="008E47BE"/>
    <w:rsid w:val="008E4B0D"/>
    <w:rsid w:val="008E51B5"/>
    <w:rsid w:val="008E53F9"/>
    <w:rsid w:val="008E54BF"/>
    <w:rsid w:val="008E54DE"/>
    <w:rsid w:val="008E558C"/>
    <w:rsid w:val="008E58A7"/>
    <w:rsid w:val="008E5BC2"/>
    <w:rsid w:val="008E5E92"/>
    <w:rsid w:val="008E6245"/>
    <w:rsid w:val="008E62C6"/>
    <w:rsid w:val="008E64DD"/>
    <w:rsid w:val="008E66F4"/>
    <w:rsid w:val="008E6874"/>
    <w:rsid w:val="008E7435"/>
    <w:rsid w:val="008E7902"/>
    <w:rsid w:val="008E7F1C"/>
    <w:rsid w:val="008F04BF"/>
    <w:rsid w:val="008F0886"/>
    <w:rsid w:val="008F0CC9"/>
    <w:rsid w:val="008F0D9A"/>
    <w:rsid w:val="008F0E85"/>
    <w:rsid w:val="008F1581"/>
    <w:rsid w:val="008F165F"/>
    <w:rsid w:val="008F16B7"/>
    <w:rsid w:val="008F1976"/>
    <w:rsid w:val="008F1C44"/>
    <w:rsid w:val="008F1E5E"/>
    <w:rsid w:val="008F2011"/>
    <w:rsid w:val="008F2138"/>
    <w:rsid w:val="008F21C2"/>
    <w:rsid w:val="008F2338"/>
    <w:rsid w:val="008F235E"/>
    <w:rsid w:val="008F2B72"/>
    <w:rsid w:val="008F2C6B"/>
    <w:rsid w:val="008F3131"/>
    <w:rsid w:val="008F354D"/>
    <w:rsid w:val="008F375D"/>
    <w:rsid w:val="008F3800"/>
    <w:rsid w:val="008F399E"/>
    <w:rsid w:val="008F406D"/>
    <w:rsid w:val="008F4768"/>
    <w:rsid w:val="008F4846"/>
    <w:rsid w:val="008F4CF6"/>
    <w:rsid w:val="008F4CF9"/>
    <w:rsid w:val="008F5060"/>
    <w:rsid w:val="008F561F"/>
    <w:rsid w:val="008F56EB"/>
    <w:rsid w:val="008F5A6E"/>
    <w:rsid w:val="008F5B11"/>
    <w:rsid w:val="008F5E21"/>
    <w:rsid w:val="008F5F4B"/>
    <w:rsid w:val="008F60DB"/>
    <w:rsid w:val="008F62F7"/>
    <w:rsid w:val="008F6344"/>
    <w:rsid w:val="008F6439"/>
    <w:rsid w:val="008F686D"/>
    <w:rsid w:val="008F68CF"/>
    <w:rsid w:val="008F6EDB"/>
    <w:rsid w:val="008F722C"/>
    <w:rsid w:val="008F7338"/>
    <w:rsid w:val="008F746C"/>
    <w:rsid w:val="008F7C4A"/>
    <w:rsid w:val="008F7D01"/>
    <w:rsid w:val="0090005F"/>
    <w:rsid w:val="009004BA"/>
    <w:rsid w:val="009004EE"/>
    <w:rsid w:val="009008E0"/>
    <w:rsid w:val="00900B54"/>
    <w:rsid w:val="00901137"/>
    <w:rsid w:val="009015A4"/>
    <w:rsid w:val="009015B9"/>
    <w:rsid w:val="00901683"/>
    <w:rsid w:val="0090185F"/>
    <w:rsid w:val="009018F3"/>
    <w:rsid w:val="00901A8C"/>
    <w:rsid w:val="00901BD9"/>
    <w:rsid w:val="00901F41"/>
    <w:rsid w:val="0090230A"/>
    <w:rsid w:val="009026FB"/>
    <w:rsid w:val="00902A70"/>
    <w:rsid w:val="00902E09"/>
    <w:rsid w:val="00902E2E"/>
    <w:rsid w:val="0090348E"/>
    <w:rsid w:val="009034DD"/>
    <w:rsid w:val="00903A27"/>
    <w:rsid w:val="00903CFB"/>
    <w:rsid w:val="00904226"/>
    <w:rsid w:val="00904661"/>
    <w:rsid w:val="00904E5E"/>
    <w:rsid w:val="009052AC"/>
    <w:rsid w:val="00905421"/>
    <w:rsid w:val="00905442"/>
    <w:rsid w:val="00905A32"/>
    <w:rsid w:val="00905B01"/>
    <w:rsid w:val="00906081"/>
    <w:rsid w:val="009062AD"/>
    <w:rsid w:val="0090633E"/>
    <w:rsid w:val="0090661F"/>
    <w:rsid w:val="0090684F"/>
    <w:rsid w:val="009068FE"/>
    <w:rsid w:val="0090693B"/>
    <w:rsid w:val="00906CA1"/>
    <w:rsid w:val="00906F9A"/>
    <w:rsid w:val="0090712F"/>
    <w:rsid w:val="0090759B"/>
    <w:rsid w:val="009076B9"/>
    <w:rsid w:val="009076D9"/>
    <w:rsid w:val="00907FB9"/>
    <w:rsid w:val="00910349"/>
    <w:rsid w:val="00910729"/>
    <w:rsid w:val="00910B3A"/>
    <w:rsid w:val="00910BF8"/>
    <w:rsid w:val="00910CCD"/>
    <w:rsid w:val="00910D4A"/>
    <w:rsid w:val="00910DCC"/>
    <w:rsid w:val="00911000"/>
    <w:rsid w:val="0091169E"/>
    <w:rsid w:val="00911DE2"/>
    <w:rsid w:val="00911E25"/>
    <w:rsid w:val="00912444"/>
    <w:rsid w:val="0091257F"/>
    <w:rsid w:val="0091297E"/>
    <w:rsid w:val="00912A77"/>
    <w:rsid w:val="00912B74"/>
    <w:rsid w:val="00912D02"/>
    <w:rsid w:val="00912FC2"/>
    <w:rsid w:val="009134D1"/>
    <w:rsid w:val="00913A7B"/>
    <w:rsid w:val="00913D26"/>
    <w:rsid w:val="00913DA6"/>
    <w:rsid w:val="00914619"/>
    <w:rsid w:val="00914760"/>
    <w:rsid w:val="0091555A"/>
    <w:rsid w:val="009158AE"/>
    <w:rsid w:val="00915C21"/>
    <w:rsid w:val="009160CC"/>
    <w:rsid w:val="00916239"/>
    <w:rsid w:val="009163EB"/>
    <w:rsid w:val="009168DD"/>
    <w:rsid w:val="00916B6A"/>
    <w:rsid w:val="00916BEC"/>
    <w:rsid w:val="00916CD5"/>
    <w:rsid w:val="00916F0C"/>
    <w:rsid w:val="0091749B"/>
    <w:rsid w:val="009179DF"/>
    <w:rsid w:val="00917F21"/>
    <w:rsid w:val="00920132"/>
    <w:rsid w:val="009205E4"/>
    <w:rsid w:val="00920A00"/>
    <w:rsid w:val="00920CFE"/>
    <w:rsid w:val="00920E3E"/>
    <w:rsid w:val="009215C8"/>
    <w:rsid w:val="0092172A"/>
    <w:rsid w:val="0092180E"/>
    <w:rsid w:val="009218E8"/>
    <w:rsid w:val="00921D14"/>
    <w:rsid w:val="00921D38"/>
    <w:rsid w:val="0092201F"/>
    <w:rsid w:val="009221C6"/>
    <w:rsid w:val="009224D9"/>
    <w:rsid w:val="00922D0C"/>
    <w:rsid w:val="00922D65"/>
    <w:rsid w:val="00922F3F"/>
    <w:rsid w:val="0092311D"/>
    <w:rsid w:val="00924CAB"/>
    <w:rsid w:val="00924D96"/>
    <w:rsid w:val="00924E0B"/>
    <w:rsid w:val="00924F28"/>
    <w:rsid w:val="009252AA"/>
    <w:rsid w:val="009255A8"/>
    <w:rsid w:val="00925CBE"/>
    <w:rsid w:val="009262CC"/>
    <w:rsid w:val="0092667A"/>
    <w:rsid w:val="0092681E"/>
    <w:rsid w:val="00927460"/>
    <w:rsid w:val="009275A1"/>
    <w:rsid w:val="00927712"/>
    <w:rsid w:val="009301C8"/>
    <w:rsid w:val="009302DC"/>
    <w:rsid w:val="009303F6"/>
    <w:rsid w:val="0093041E"/>
    <w:rsid w:val="009306C3"/>
    <w:rsid w:val="009309FC"/>
    <w:rsid w:val="00930F4A"/>
    <w:rsid w:val="00930FC8"/>
    <w:rsid w:val="009311FC"/>
    <w:rsid w:val="00931362"/>
    <w:rsid w:val="0093141D"/>
    <w:rsid w:val="00931420"/>
    <w:rsid w:val="00931943"/>
    <w:rsid w:val="0093199B"/>
    <w:rsid w:val="00931BE5"/>
    <w:rsid w:val="00931EAA"/>
    <w:rsid w:val="009320E1"/>
    <w:rsid w:val="00932121"/>
    <w:rsid w:val="0093226E"/>
    <w:rsid w:val="009322D3"/>
    <w:rsid w:val="009324B4"/>
    <w:rsid w:val="009324F5"/>
    <w:rsid w:val="009326FD"/>
    <w:rsid w:val="00932732"/>
    <w:rsid w:val="00932BFF"/>
    <w:rsid w:val="00932DAD"/>
    <w:rsid w:val="00932F0A"/>
    <w:rsid w:val="00933293"/>
    <w:rsid w:val="009332FA"/>
    <w:rsid w:val="00933886"/>
    <w:rsid w:val="00933A8C"/>
    <w:rsid w:val="00933F24"/>
    <w:rsid w:val="00934343"/>
    <w:rsid w:val="009344CA"/>
    <w:rsid w:val="00934506"/>
    <w:rsid w:val="00934FEE"/>
    <w:rsid w:val="00934FFC"/>
    <w:rsid w:val="0093530F"/>
    <w:rsid w:val="009353FD"/>
    <w:rsid w:val="00935452"/>
    <w:rsid w:val="009354A8"/>
    <w:rsid w:val="009354C4"/>
    <w:rsid w:val="00935525"/>
    <w:rsid w:val="00935608"/>
    <w:rsid w:val="00935923"/>
    <w:rsid w:val="009361B4"/>
    <w:rsid w:val="00936211"/>
    <w:rsid w:val="00936402"/>
    <w:rsid w:val="00936894"/>
    <w:rsid w:val="00936A09"/>
    <w:rsid w:val="00936AA5"/>
    <w:rsid w:val="00936BBF"/>
    <w:rsid w:val="00937485"/>
    <w:rsid w:val="009403BD"/>
    <w:rsid w:val="00940455"/>
    <w:rsid w:val="00940612"/>
    <w:rsid w:val="009406B1"/>
    <w:rsid w:val="00940BF3"/>
    <w:rsid w:val="009410B2"/>
    <w:rsid w:val="00941186"/>
    <w:rsid w:val="009414CC"/>
    <w:rsid w:val="0094157E"/>
    <w:rsid w:val="00941AEA"/>
    <w:rsid w:val="00941E32"/>
    <w:rsid w:val="0094243F"/>
    <w:rsid w:val="00942852"/>
    <w:rsid w:val="009430E7"/>
    <w:rsid w:val="009430EF"/>
    <w:rsid w:val="00943207"/>
    <w:rsid w:val="0094346B"/>
    <w:rsid w:val="009438BE"/>
    <w:rsid w:val="00943B11"/>
    <w:rsid w:val="00943D8C"/>
    <w:rsid w:val="00943DE5"/>
    <w:rsid w:val="00943E25"/>
    <w:rsid w:val="0094449F"/>
    <w:rsid w:val="00944523"/>
    <w:rsid w:val="0094459F"/>
    <w:rsid w:val="009445B1"/>
    <w:rsid w:val="00944809"/>
    <w:rsid w:val="00944A61"/>
    <w:rsid w:val="00944C95"/>
    <w:rsid w:val="00944D70"/>
    <w:rsid w:val="00945678"/>
    <w:rsid w:val="00945992"/>
    <w:rsid w:val="00946151"/>
    <w:rsid w:val="00946453"/>
    <w:rsid w:val="00946A1D"/>
    <w:rsid w:val="009479AC"/>
    <w:rsid w:val="00950282"/>
    <w:rsid w:val="009502C0"/>
    <w:rsid w:val="0095060F"/>
    <w:rsid w:val="0095071E"/>
    <w:rsid w:val="009508E0"/>
    <w:rsid w:val="00950B04"/>
    <w:rsid w:val="0095166A"/>
    <w:rsid w:val="00951A87"/>
    <w:rsid w:val="00952366"/>
    <w:rsid w:val="00952673"/>
    <w:rsid w:val="009528F4"/>
    <w:rsid w:val="0095296E"/>
    <w:rsid w:val="00952A92"/>
    <w:rsid w:val="00952A95"/>
    <w:rsid w:val="00952C2C"/>
    <w:rsid w:val="00952C42"/>
    <w:rsid w:val="00952E4B"/>
    <w:rsid w:val="00952E76"/>
    <w:rsid w:val="00953112"/>
    <w:rsid w:val="0095319E"/>
    <w:rsid w:val="0095324F"/>
    <w:rsid w:val="0095348B"/>
    <w:rsid w:val="00953512"/>
    <w:rsid w:val="0095364B"/>
    <w:rsid w:val="00953696"/>
    <w:rsid w:val="00953D64"/>
    <w:rsid w:val="00953F0F"/>
    <w:rsid w:val="00954110"/>
    <w:rsid w:val="009546F9"/>
    <w:rsid w:val="00954787"/>
    <w:rsid w:val="009547F3"/>
    <w:rsid w:val="00954C07"/>
    <w:rsid w:val="00954D2C"/>
    <w:rsid w:val="00954DA4"/>
    <w:rsid w:val="009554A3"/>
    <w:rsid w:val="00955568"/>
    <w:rsid w:val="009558DB"/>
    <w:rsid w:val="0095594C"/>
    <w:rsid w:val="009559F6"/>
    <w:rsid w:val="00955A78"/>
    <w:rsid w:val="00955CE2"/>
    <w:rsid w:val="009564FB"/>
    <w:rsid w:val="00956562"/>
    <w:rsid w:val="0095669F"/>
    <w:rsid w:val="009567C1"/>
    <w:rsid w:val="0095687F"/>
    <w:rsid w:val="00956A11"/>
    <w:rsid w:val="00956BD0"/>
    <w:rsid w:val="009570AC"/>
    <w:rsid w:val="009570C0"/>
    <w:rsid w:val="00957893"/>
    <w:rsid w:val="00957BF7"/>
    <w:rsid w:val="00957D14"/>
    <w:rsid w:val="00957D58"/>
    <w:rsid w:val="00957DF8"/>
    <w:rsid w:val="00957E6D"/>
    <w:rsid w:val="0096054A"/>
    <w:rsid w:val="0096074E"/>
    <w:rsid w:val="009607C0"/>
    <w:rsid w:val="0096081E"/>
    <w:rsid w:val="00960A48"/>
    <w:rsid w:val="0096113E"/>
    <w:rsid w:val="00961321"/>
    <w:rsid w:val="0096134A"/>
    <w:rsid w:val="009613C2"/>
    <w:rsid w:val="00961595"/>
    <w:rsid w:val="00961929"/>
    <w:rsid w:val="0096195D"/>
    <w:rsid w:val="0096198E"/>
    <w:rsid w:val="00961BEB"/>
    <w:rsid w:val="00962103"/>
    <w:rsid w:val="00962402"/>
    <w:rsid w:val="009627A8"/>
    <w:rsid w:val="00962BE8"/>
    <w:rsid w:val="00962DEB"/>
    <w:rsid w:val="00962E13"/>
    <w:rsid w:val="00962EAF"/>
    <w:rsid w:val="009632F3"/>
    <w:rsid w:val="0096373B"/>
    <w:rsid w:val="00963F81"/>
    <w:rsid w:val="00964052"/>
    <w:rsid w:val="00964B23"/>
    <w:rsid w:val="00964C1B"/>
    <w:rsid w:val="00965612"/>
    <w:rsid w:val="009657D6"/>
    <w:rsid w:val="00965A1E"/>
    <w:rsid w:val="009663A1"/>
    <w:rsid w:val="009666EB"/>
    <w:rsid w:val="009667D4"/>
    <w:rsid w:val="009668B7"/>
    <w:rsid w:val="00966C0C"/>
    <w:rsid w:val="00966CB0"/>
    <w:rsid w:val="00966DA6"/>
    <w:rsid w:val="00966F6B"/>
    <w:rsid w:val="00967079"/>
    <w:rsid w:val="00967095"/>
    <w:rsid w:val="009673CF"/>
    <w:rsid w:val="0096778E"/>
    <w:rsid w:val="0096795E"/>
    <w:rsid w:val="0096799E"/>
    <w:rsid w:val="00967A4C"/>
    <w:rsid w:val="00967B45"/>
    <w:rsid w:val="00970B44"/>
    <w:rsid w:val="00970BCF"/>
    <w:rsid w:val="00970BEA"/>
    <w:rsid w:val="00970CBE"/>
    <w:rsid w:val="00970DD3"/>
    <w:rsid w:val="009715B1"/>
    <w:rsid w:val="009717B9"/>
    <w:rsid w:val="009717DA"/>
    <w:rsid w:val="00971A98"/>
    <w:rsid w:val="00971B53"/>
    <w:rsid w:val="00971B5A"/>
    <w:rsid w:val="00971C25"/>
    <w:rsid w:val="00971CCF"/>
    <w:rsid w:val="00971D69"/>
    <w:rsid w:val="00971D9A"/>
    <w:rsid w:val="00971E30"/>
    <w:rsid w:val="00971E77"/>
    <w:rsid w:val="0097206D"/>
    <w:rsid w:val="00972471"/>
    <w:rsid w:val="0097284C"/>
    <w:rsid w:val="009735A9"/>
    <w:rsid w:val="00973830"/>
    <w:rsid w:val="00973B1E"/>
    <w:rsid w:val="00973CAD"/>
    <w:rsid w:val="00973D4C"/>
    <w:rsid w:val="00973FC1"/>
    <w:rsid w:val="00974076"/>
    <w:rsid w:val="009742CD"/>
    <w:rsid w:val="00974472"/>
    <w:rsid w:val="0097477E"/>
    <w:rsid w:val="00974D23"/>
    <w:rsid w:val="00974D77"/>
    <w:rsid w:val="00974F98"/>
    <w:rsid w:val="00975108"/>
    <w:rsid w:val="00975249"/>
    <w:rsid w:val="009754D4"/>
    <w:rsid w:val="00975C51"/>
    <w:rsid w:val="009765BE"/>
    <w:rsid w:val="00976722"/>
    <w:rsid w:val="009768EB"/>
    <w:rsid w:val="0097693B"/>
    <w:rsid w:val="00976B6E"/>
    <w:rsid w:val="00976E26"/>
    <w:rsid w:val="00976E46"/>
    <w:rsid w:val="009772F3"/>
    <w:rsid w:val="00977503"/>
    <w:rsid w:val="00977649"/>
    <w:rsid w:val="009776E8"/>
    <w:rsid w:val="009779B2"/>
    <w:rsid w:val="00977B3A"/>
    <w:rsid w:val="00977B8D"/>
    <w:rsid w:val="009805CE"/>
    <w:rsid w:val="0098091E"/>
    <w:rsid w:val="009809AA"/>
    <w:rsid w:val="00980F36"/>
    <w:rsid w:val="00981189"/>
    <w:rsid w:val="009811A8"/>
    <w:rsid w:val="009815E0"/>
    <w:rsid w:val="0098174C"/>
    <w:rsid w:val="0098175A"/>
    <w:rsid w:val="009817D2"/>
    <w:rsid w:val="00981B20"/>
    <w:rsid w:val="00981BC2"/>
    <w:rsid w:val="00981F52"/>
    <w:rsid w:val="009821ED"/>
    <w:rsid w:val="00982205"/>
    <w:rsid w:val="0098240D"/>
    <w:rsid w:val="009825C3"/>
    <w:rsid w:val="00982DC2"/>
    <w:rsid w:val="00982E73"/>
    <w:rsid w:val="0098342A"/>
    <w:rsid w:val="009836F8"/>
    <w:rsid w:val="00983F43"/>
    <w:rsid w:val="00983F52"/>
    <w:rsid w:val="00983FDC"/>
    <w:rsid w:val="00984928"/>
    <w:rsid w:val="00984E2B"/>
    <w:rsid w:val="00985132"/>
    <w:rsid w:val="00985514"/>
    <w:rsid w:val="00985703"/>
    <w:rsid w:val="009857CE"/>
    <w:rsid w:val="0098588F"/>
    <w:rsid w:val="00985B3F"/>
    <w:rsid w:val="00985D2D"/>
    <w:rsid w:val="00985DD7"/>
    <w:rsid w:val="00985E11"/>
    <w:rsid w:val="00986073"/>
    <w:rsid w:val="00986314"/>
    <w:rsid w:val="00987173"/>
    <w:rsid w:val="00987E00"/>
    <w:rsid w:val="00987E45"/>
    <w:rsid w:val="0099007F"/>
    <w:rsid w:val="009902DE"/>
    <w:rsid w:val="009903B4"/>
    <w:rsid w:val="009906A1"/>
    <w:rsid w:val="009906C6"/>
    <w:rsid w:val="0099088F"/>
    <w:rsid w:val="009908A1"/>
    <w:rsid w:val="00990A5B"/>
    <w:rsid w:val="0099117B"/>
    <w:rsid w:val="00991370"/>
    <w:rsid w:val="009915EC"/>
    <w:rsid w:val="009916A8"/>
    <w:rsid w:val="00991D6C"/>
    <w:rsid w:val="00991EA3"/>
    <w:rsid w:val="00991FEC"/>
    <w:rsid w:val="009923D5"/>
    <w:rsid w:val="009925F1"/>
    <w:rsid w:val="009927E4"/>
    <w:rsid w:val="00992973"/>
    <w:rsid w:val="00992B52"/>
    <w:rsid w:val="009931A5"/>
    <w:rsid w:val="009934B9"/>
    <w:rsid w:val="00993592"/>
    <w:rsid w:val="00994088"/>
    <w:rsid w:val="009945B6"/>
    <w:rsid w:val="009949BC"/>
    <w:rsid w:val="00994B17"/>
    <w:rsid w:val="00994DB9"/>
    <w:rsid w:val="0099504A"/>
    <w:rsid w:val="00995DF1"/>
    <w:rsid w:val="00995E91"/>
    <w:rsid w:val="00995EC1"/>
    <w:rsid w:val="009965B1"/>
    <w:rsid w:val="0099665B"/>
    <w:rsid w:val="009968E9"/>
    <w:rsid w:val="009971E2"/>
    <w:rsid w:val="009974A6"/>
    <w:rsid w:val="009974DA"/>
    <w:rsid w:val="009975F2"/>
    <w:rsid w:val="009977B5"/>
    <w:rsid w:val="00997DF9"/>
    <w:rsid w:val="009A0066"/>
    <w:rsid w:val="009A0087"/>
    <w:rsid w:val="009A046B"/>
    <w:rsid w:val="009A0807"/>
    <w:rsid w:val="009A0DDE"/>
    <w:rsid w:val="009A1976"/>
    <w:rsid w:val="009A199A"/>
    <w:rsid w:val="009A1B54"/>
    <w:rsid w:val="009A2132"/>
    <w:rsid w:val="009A25A1"/>
    <w:rsid w:val="009A26EE"/>
    <w:rsid w:val="009A2903"/>
    <w:rsid w:val="009A34A2"/>
    <w:rsid w:val="009A3725"/>
    <w:rsid w:val="009A397E"/>
    <w:rsid w:val="009A39DF"/>
    <w:rsid w:val="009A3B46"/>
    <w:rsid w:val="009A3D71"/>
    <w:rsid w:val="009A3E8E"/>
    <w:rsid w:val="009A42D7"/>
    <w:rsid w:val="009A444F"/>
    <w:rsid w:val="009A4938"/>
    <w:rsid w:val="009A4A29"/>
    <w:rsid w:val="009A521E"/>
    <w:rsid w:val="009A5252"/>
    <w:rsid w:val="009A5772"/>
    <w:rsid w:val="009A5799"/>
    <w:rsid w:val="009A5FF7"/>
    <w:rsid w:val="009A66A0"/>
    <w:rsid w:val="009A66F9"/>
    <w:rsid w:val="009A6759"/>
    <w:rsid w:val="009A6790"/>
    <w:rsid w:val="009A6A8B"/>
    <w:rsid w:val="009A6FAF"/>
    <w:rsid w:val="009A7026"/>
    <w:rsid w:val="009A75DF"/>
    <w:rsid w:val="009A787E"/>
    <w:rsid w:val="009A7AAF"/>
    <w:rsid w:val="009A7D8C"/>
    <w:rsid w:val="009A7E98"/>
    <w:rsid w:val="009A7EFB"/>
    <w:rsid w:val="009B025C"/>
    <w:rsid w:val="009B025E"/>
    <w:rsid w:val="009B052D"/>
    <w:rsid w:val="009B0852"/>
    <w:rsid w:val="009B0885"/>
    <w:rsid w:val="009B08B4"/>
    <w:rsid w:val="009B13F6"/>
    <w:rsid w:val="009B14BE"/>
    <w:rsid w:val="009B14E6"/>
    <w:rsid w:val="009B17B0"/>
    <w:rsid w:val="009B17C1"/>
    <w:rsid w:val="009B1E8D"/>
    <w:rsid w:val="009B1EF5"/>
    <w:rsid w:val="009B20E5"/>
    <w:rsid w:val="009B235F"/>
    <w:rsid w:val="009B24BA"/>
    <w:rsid w:val="009B2837"/>
    <w:rsid w:val="009B2AE3"/>
    <w:rsid w:val="009B312D"/>
    <w:rsid w:val="009B3331"/>
    <w:rsid w:val="009B3353"/>
    <w:rsid w:val="009B3430"/>
    <w:rsid w:val="009B3824"/>
    <w:rsid w:val="009B3E21"/>
    <w:rsid w:val="009B3EC3"/>
    <w:rsid w:val="009B4385"/>
    <w:rsid w:val="009B450C"/>
    <w:rsid w:val="009B4BDD"/>
    <w:rsid w:val="009B4D51"/>
    <w:rsid w:val="009B5334"/>
    <w:rsid w:val="009B54A5"/>
    <w:rsid w:val="009B5F2C"/>
    <w:rsid w:val="009B6356"/>
    <w:rsid w:val="009B63B1"/>
    <w:rsid w:val="009B64FA"/>
    <w:rsid w:val="009B6979"/>
    <w:rsid w:val="009B6C09"/>
    <w:rsid w:val="009B6E9C"/>
    <w:rsid w:val="009B7289"/>
    <w:rsid w:val="009B7631"/>
    <w:rsid w:val="009B7686"/>
    <w:rsid w:val="009B789F"/>
    <w:rsid w:val="009B7B8E"/>
    <w:rsid w:val="009B7FFC"/>
    <w:rsid w:val="009C0217"/>
    <w:rsid w:val="009C03EE"/>
    <w:rsid w:val="009C0683"/>
    <w:rsid w:val="009C0845"/>
    <w:rsid w:val="009C0897"/>
    <w:rsid w:val="009C0B14"/>
    <w:rsid w:val="009C1156"/>
    <w:rsid w:val="009C13F1"/>
    <w:rsid w:val="009C1832"/>
    <w:rsid w:val="009C1859"/>
    <w:rsid w:val="009C186D"/>
    <w:rsid w:val="009C1B25"/>
    <w:rsid w:val="009C1C41"/>
    <w:rsid w:val="009C1CF1"/>
    <w:rsid w:val="009C1E70"/>
    <w:rsid w:val="009C1F00"/>
    <w:rsid w:val="009C21AF"/>
    <w:rsid w:val="009C24BE"/>
    <w:rsid w:val="009C2849"/>
    <w:rsid w:val="009C28B6"/>
    <w:rsid w:val="009C28F7"/>
    <w:rsid w:val="009C2A06"/>
    <w:rsid w:val="009C2CC6"/>
    <w:rsid w:val="009C2D85"/>
    <w:rsid w:val="009C2F18"/>
    <w:rsid w:val="009C355D"/>
    <w:rsid w:val="009C3596"/>
    <w:rsid w:val="009C37C9"/>
    <w:rsid w:val="009C38CE"/>
    <w:rsid w:val="009C3967"/>
    <w:rsid w:val="009C3A70"/>
    <w:rsid w:val="009C3B55"/>
    <w:rsid w:val="009C4284"/>
    <w:rsid w:val="009C4538"/>
    <w:rsid w:val="009C46A8"/>
    <w:rsid w:val="009C47A1"/>
    <w:rsid w:val="009C5199"/>
    <w:rsid w:val="009C5B3D"/>
    <w:rsid w:val="009C63D8"/>
    <w:rsid w:val="009C650B"/>
    <w:rsid w:val="009C69E7"/>
    <w:rsid w:val="009C6A20"/>
    <w:rsid w:val="009C6FF4"/>
    <w:rsid w:val="009C7143"/>
    <w:rsid w:val="009C7595"/>
    <w:rsid w:val="009C7ED4"/>
    <w:rsid w:val="009D01A9"/>
    <w:rsid w:val="009D0442"/>
    <w:rsid w:val="009D0569"/>
    <w:rsid w:val="009D096A"/>
    <w:rsid w:val="009D09FC"/>
    <w:rsid w:val="009D0BB1"/>
    <w:rsid w:val="009D0C99"/>
    <w:rsid w:val="009D100F"/>
    <w:rsid w:val="009D12B5"/>
    <w:rsid w:val="009D1596"/>
    <w:rsid w:val="009D175D"/>
    <w:rsid w:val="009D18A1"/>
    <w:rsid w:val="009D1951"/>
    <w:rsid w:val="009D19C9"/>
    <w:rsid w:val="009D19EF"/>
    <w:rsid w:val="009D1A44"/>
    <w:rsid w:val="009D1A59"/>
    <w:rsid w:val="009D284A"/>
    <w:rsid w:val="009D28E6"/>
    <w:rsid w:val="009D2B12"/>
    <w:rsid w:val="009D2BB3"/>
    <w:rsid w:val="009D2C98"/>
    <w:rsid w:val="009D2D2B"/>
    <w:rsid w:val="009D2D60"/>
    <w:rsid w:val="009D3088"/>
    <w:rsid w:val="009D3933"/>
    <w:rsid w:val="009D3B0B"/>
    <w:rsid w:val="009D3B30"/>
    <w:rsid w:val="009D3BC6"/>
    <w:rsid w:val="009D3E6A"/>
    <w:rsid w:val="009D3F6C"/>
    <w:rsid w:val="009D4142"/>
    <w:rsid w:val="009D4DB4"/>
    <w:rsid w:val="009D5074"/>
    <w:rsid w:val="009D50F7"/>
    <w:rsid w:val="009D5176"/>
    <w:rsid w:val="009D520C"/>
    <w:rsid w:val="009D556B"/>
    <w:rsid w:val="009D5854"/>
    <w:rsid w:val="009D5859"/>
    <w:rsid w:val="009D59AE"/>
    <w:rsid w:val="009D63C6"/>
    <w:rsid w:val="009D65D3"/>
    <w:rsid w:val="009D6675"/>
    <w:rsid w:val="009D669A"/>
    <w:rsid w:val="009D6B76"/>
    <w:rsid w:val="009D6C3F"/>
    <w:rsid w:val="009D6E40"/>
    <w:rsid w:val="009D6E91"/>
    <w:rsid w:val="009D6F1D"/>
    <w:rsid w:val="009D7138"/>
    <w:rsid w:val="009D7522"/>
    <w:rsid w:val="009D771E"/>
    <w:rsid w:val="009E0139"/>
    <w:rsid w:val="009E0784"/>
    <w:rsid w:val="009E0D50"/>
    <w:rsid w:val="009E11BC"/>
    <w:rsid w:val="009E128C"/>
    <w:rsid w:val="009E1703"/>
    <w:rsid w:val="009E1737"/>
    <w:rsid w:val="009E1CDE"/>
    <w:rsid w:val="009E1DCA"/>
    <w:rsid w:val="009E1E69"/>
    <w:rsid w:val="009E2B0F"/>
    <w:rsid w:val="009E314B"/>
    <w:rsid w:val="009E327B"/>
    <w:rsid w:val="009E33C2"/>
    <w:rsid w:val="009E340E"/>
    <w:rsid w:val="009E349F"/>
    <w:rsid w:val="009E3712"/>
    <w:rsid w:val="009E3B9F"/>
    <w:rsid w:val="009E3BCA"/>
    <w:rsid w:val="009E3D12"/>
    <w:rsid w:val="009E3EC7"/>
    <w:rsid w:val="009E42C1"/>
    <w:rsid w:val="009E433C"/>
    <w:rsid w:val="009E458F"/>
    <w:rsid w:val="009E4720"/>
    <w:rsid w:val="009E47DA"/>
    <w:rsid w:val="009E5055"/>
    <w:rsid w:val="009E51BE"/>
    <w:rsid w:val="009E52D1"/>
    <w:rsid w:val="009E5306"/>
    <w:rsid w:val="009E5DEE"/>
    <w:rsid w:val="009E60E1"/>
    <w:rsid w:val="009E6431"/>
    <w:rsid w:val="009E66CE"/>
    <w:rsid w:val="009E6BB3"/>
    <w:rsid w:val="009E6CC9"/>
    <w:rsid w:val="009E7103"/>
    <w:rsid w:val="009E71BA"/>
    <w:rsid w:val="009E758E"/>
    <w:rsid w:val="009E7B6A"/>
    <w:rsid w:val="009F0160"/>
    <w:rsid w:val="009F0769"/>
    <w:rsid w:val="009F0D3A"/>
    <w:rsid w:val="009F10B1"/>
    <w:rsid w:val="009F13A6"/>
    <w:rsid w:val="009F1622"/>
    <w:rsid w:val="009F1691"/>
    <w:rsid w:val="009F1D1E"/>
    <w:rsid w:val="009F2983"/>
    <w:rsid w:val="009F2C6D"/>
    <w:rsid w:val="009F2F0D"/>
    <w:rsid w:val="009F3029"/>
    <w:rsid w:val="009F31BE"/>
    <w:rsid w:val="009F3313"/>
    <w:rsid w:val="009F3402"/>
    <w:rsid w:val="009F3581"/>
    <w:rsid w:val="009F3755"/>
    <w:rsid w:val="009F389C"/>
    <w:rsid w:val="009F3B3E"/>
    <w:rsid w:val="009F3F33"/>
    <w:rsid w:val="009F3F74"/>
    <w:rsid w:val="009F3FAB"/>
    <w:rsid w:val="009F403A"/>
    <w:rsid w:val="009F4071"/>
    <w:rsid w:val="009F4220"/>
    <w:rsid w:val="009F4784"/>
    <w:rsid w:val="009F4787"/>
    <w:rsid w:val="009F4A7D"/>
    <w:rsid w:val="009F4DF1"/>
    <w:rsid w:val="009F575B"/>
    <w:rsid w:val="009F584E"/>
    <w:rsid w:val="009F59BD"/>
    <w:rsid w:val="009F5B96"/>
    <w:rsid w:val="009F5D9E"/>
    <w:rsid w:val="009F6157"/>
    <w:rsid w:val="009F624D"/>
    <w:rsid w:val="009F6A37"/>
    <w:rsid w:val="009F6A56"/>
    <w:rsid w:val="009F6D2E"/>
    <w:rsid w:val="009F6F65"/>
    <w:rsid w:val="009F6FD4"/>
    <w:rsid w:val="009F7624"/>
    <w:rsid w:val="009F7D06"/>
    <w:rsid w:val="00A00C76"/>
    <w:rsid w:val="00A00E31"/>
    <w:rsid w:val="00A00E78"/>
    <w:rsid w:val="00A00ECB"/>
    <w:rsid w:val="00A01226"/>
    <w:rsid w:val="00A013FE"/>
    <w:rsid w:val="00A01493"/>
    <w:rsid w:val="00A0174E"/>
    <w:rsid w:val="00A01B17"/>
    <w:rsid w:val="00A01C69"/>
    <w:rsid w:val="00A01FCE"/>
    <w:rsid w:val="00A0226C"/>
    <w:rsid w:val="00A024A1"/>
    <w:rsid w:val="00A02735"/>
    <w:rsid w:val="00A0288C"/>
    <w:rsid w:val="00A02A7B"/>
    <w:rsid w:val="00A02B8B"/>
    <w:rsid w:val="00A02C29"/>
    <w:rsid w:val="00A02E1A"/>
    <w:rsid w:val="00A02F50"/>
    <w:rsid w:val="00A03226"/>
    <w:rsid w:val="00A033FC"/>
    <w:rsid w:val="00A03647"/>
    <w:rsid w:val="00A03797"/>
    <w:rsid w:val="00A03AB5"/>
    <w:rsid w:val="00A03D24"/>
    <w:rsid w:val="00A03D52"/>
    <w:rsid w:val="00A03DE7"/>
    <w:rsid w:val="00A04533"/>
    <w:rsid w:val="00A04C90"/>
    <w:rsid w:val="00A04D0E"/>
    <w:rsid w:val="00A04E5A"/>
    <w:rsid w:val="00A0502C"/>
    <w:rsid w:val="00A0510C"/>
    <w:rsid w:val="00A05170"/>
    <w:rsid w:val="00A05329"/>
    <w:rsid w:val="00A05612"/>
    <w:rsid w:val="00A05650"/>
    <w:rsid w:val="00A056FE"/>
    <w:rsid w:val="00A057D3"/>
    <w:rsid w:val="00A06200"/>
    <w:rsid w:val="00A06372"/>
    <w:rsid w:val="00A06962"/>
    <w:rsid w:val="00A06C92"/>
    <w:rsid w:val="00A06CD1"/>
    <w:rsid w:val="00A06E75"/>
    <w:rsid w:val="00A07467"/>
    <w:rsid w:val="00A0750C"/>
    <w:rsid w:val="00A075C8"/>
    <w:rsid w:val="00A07879"/>
    <w:rsid w:val="00A07A39"/>
    <w:rsid w:val="00A07AAB"/>
    <w:rsid w:val="00A100AC"/>
    <w:rsid w:val="00A10510"/>
    <w:rsid w:val="00A10541"/>
    <w:rsid w:val="00A106DD"/>
    <w:rsid w:val="00A107C8"/>
    <w:rsid w:val="00A10834"/>
    <w:rsid w:val="00A108A6"/>
    <w:rsid w:val="00A1091A"/>
    <w:rsid w:val="00A10F0F"/>
    <w:rsid w:val="00A11079"/>
    <w:rsid w:val="00A11496"/>
    <w:rsid w:val="00A11AFC"/>
    <w:rsid w:val="00A12007"/>
    <w:rsid w:val="00A120D6"/>
    <w:rsid w:val="00A122AD"/>
    <w:rsid w:val="00A1245D"/>
    <w:rsid w:val="00A128D4"/>
    <w:rsid w:val="00A12DB3"/>
    <w:rsid w:val="00A12E4D"/>
    <w:rsid w:val="00A12F2E"/>
    <w:rsid w:val="00A12FFD"/>
    <w:rsid w:val="00A130FB"/>
    <w:rsid w:val="00A13807"/>
    <w:rsid w:val="00A13833"/>
    <w:rsid w:val="00A138EA"/>
    <w:rsid w:val="00A1396B"/>
    <w:rsid w:val="00A13B82"/>
    <w:rsid w:val="00A13F78"/>
    <w:rsid w:val="00A13FF2"/>
    <w:rsid w:val="00A140D8"/>
    <w:rsid w:val="00A1427B"/>
    <w:rsid w:val="00A14917"/>
    <w:rsid w:val="00A14A25"/>
    <w:rsid w:val="00A14A84"/>
    <w:rsid w:val="00A14C88"/>
    <w:rsid w:val="00A14E4A"/>
    <w:rsid w:val="00A15200"/>
    <w:rsid w:val="00A155E3"/>
    <w:rsid w:val="00A15A81"/>
    <w:rsid w:val="00A15B62"/>
    <w:rsid w:val="00A15C3F"/>
    <w:rsid w:val="00A16A21"/>
    <w:rsid w:val="00A16BCC"/>
    <w:rsid w:val="00A16D17"/>
    <w:rsid w:val="00A17349"/>
    <w:rsid w:val="00A179A6"/>
    <w:rsid w:val="00A2062F"/>
    <w:rsid w:val="00A20672"/>
    <w:rsid w:val="00A20E68"/>
    <w:rsid w:val="00A20EFF"/>
    <w:rsid w:val="00A2110D"/>
    <w:rsid w:val="00A21128"/>
    <w:rsid w:val="00A214E3"/>
    <w:rsid w:val="00A21C33"/>
    <w:rsid w:val="00A21D48"/>
    <w:rsid w:val="00A220B0"/>
    <w:rsid w:val="00A225EB"/>
    <w:rsid w:val="00A227D4"/>
    <w:rsid w:val="00A22AE3"/>
    <w:rsid w:val="00A22EB0"/>
    <w:rsid w:val="00A22F16"/>
    <w:rsid w:val="00A233A9"/>
    <w:rsid w:val="00A233B1"/>
    <w:rsid w:val="00A238D9"/>
    <w:rsid w:val="00A23F12"/>
    <w:rsid w:val="00A23F22"/>
    <w:rsid w:val="00A2438D"/>
    <w:rsid w:val="00A2476E"/>
    <w:rsid w:val="00A24A57"/>
    <w:rsid w:val="00A24D43"/>
    <w:rsid w:val="00A24FA3"/>
    <w:rsid w:val="00A251DF"/>
    <w:rsid w:val="00A253E9"/>
    <w:rsid w:val="00A254A0"/>
    <w:rsid w:val="00A25859"/>
    <w:rsid w:val="00A25F3D"/>
    <w:rsid w:val="00A25F71"/>
    <w:rsid w:val="00A264B7"/>
    <w:rsid w:val="00A26786"/>
    <w:rsid w:val="00A2681D"/>
    <w:rsid w:val="00A26865"/>
    <w:rsid w:val="00A26967"/>
    <w:rsid w:val="00A26CE6"/>
    <w:rsid w:val="00A2746E"/>
    <w:rsid w:val="00A27846"/>
    <w:rsid w:val="00A27BA1"/>
    <w:rsid w:val="00A30124"/>
    <w:rsid w:val="00A304B8"/>
    <w:rsid w:val="00A306B7"/>
    <w:rsid w:val="00A30C09"/>
    <w:rsid w:val="00A30D5D"/>
    <w:rsid w:val="00A30EDA"/>
    <w:rsid w:val="00A30F51"/>
    <w:rsid w:val="00A310A2"/>
    <w:rsid w:val="00A31117"/>
    <w:rsid w:val="00A31184"/>
    <w:rsid w:val="00A3128A"/>
    <w:rsid w:val="00A3178C"/>
    <w:rsid w:val="00A317FD"/>
    <w:rsid w:val="00A318F8"/>
    <w:rsid w:val="00A3195D"/>
    <w:rsid w:val="00A31CD4"/>
    <w:rsid w:val="00A31DB7"/>
    <w:rsid w:val="00A31EA5"/>
    <w:rsid w:val="00A31FDB"/>
    <w:rsid w:val="00A320F8"/>
    <w:rsid w:val="00A32407"/>
    <w:rsid w:val="00A325D7"/>
    <w:rsid w:val="00A32766"/>
    <w:rsid w:val="00A32CF4"/>
    <w:rsid w:val="00A32E08"/>
    <w:rsid w:val="00A332A2"/>
    <w:rsid w:val="00A33F81"/>
    <w:rsid w:val="00A3444C"/>
    <w:rsid w:val="00A347F2"/>
    <w:rsid w:val="00A3483C"/>
    <w:rsid w:val="00A3487A"/>
    <w:rsid w:val="00A34C12"/>
    <w:rsid w:val="00A34E61"/>
    <w:rsid w:val="00A34FF3"/>
    <w:rsid w:val="00A35189"/>
    <w:rsid w:val="00A352B0"/>
    <w:rsid w:val="00A3540D"/>
    <w:rsid w:val="00A35758"/>
    <w:rsid w:val="00A35B5F"/>
    <w:rsid w:val="00A35BA6"/>
    <w:rsid w:val="00A35C84"/>
    <w:rsid w:val="00A35C87"/>
    <w:rsid w:val="00A361C1"/>
    <w:rsid w:val="00A3630E"/>
    <w:rsid w:val="00A36594"/>
    <w:rsid w:val="00A3659E"/>
    <w:rsid w:val="00A36BF8"/>
    <w:rsid w:val="00A372BC"/>
    <w:rsid w:val="00A372E8"/>
    <w:rsid w:val="00A37495"/>
    <w:rsid w:val="00A401BE"/>
    <w:rsid w:val="00A40307"/>
    <w:rsid w:val="00A40323"/>
    <w:rsid w:val="00A40461"/>
    <w:rsid w:val="00A406BD"/>
    <w:rsid w:val="00A40D9D"/>
    <w:rsid w:val="00A40ECC"/>
    <w:rsid w:val="00A41634"/>
    <w:rsid w:val="00A41750"/>
    <w:rsid w:val="00A41A0B"/>
    <w:rsid w:val="00A41D1B"/>
    <w:rsid w:val="00A41D5A"/>
    <w:rsid w:val="00A41F56"/>
    <w:rsid w:val="00A42048"/>
    <w:rsid w:val="00A4244B"/>
    <w:rsid w:val="00A4246D"/>
    <w:rsid w:val="00A42846"/>
    <w:rsid w:val="00A42988"/>
    <w:rsid w:val="00A42F53"/>
    <w:rsid w:val="00A43589"/>
    <w:rsid w:val="00A43685"/>
    <w:rsid w:val="00A43693"/>
    <w:rsid w:val="00A436AB"/>
    <w:rsid w:val="00A43767"/>
    <w:rsid w:val="00A4377F"/>
    <w:rsid w:val="00A437F6"/>
    <w:rsid w:val="00A43BFF"/>
    <w:rsid w:val="00A43F9D"/>
    <w:rsid w:val="00A443BA"/>
    <w:rsid w:val="00A44AC2"/>
    <w:rsid w:val="00A44B6B"/>
    <w:rsid w:val="00A44C72"/>
    <w:rsid w:val="00A44FC9"/>
    <w:rsid w:val="00A4526D"/>
    <w:rsid w:val="00A452DB"/>
    <w:rsid w:val="00A45581"/>
    <w:rsid w:val="00A45694"/>
    <w:rsid w:val="00A45858"/>
    <w:rsid w:val="00A458CD"/>
    <w:rsid w:val="00A45ED7"/>
    <w:rsid w:val="00A45FE9"/>
    <w:rsid w:val="00A46129"/>
    <w:rsid w:val="00A4616C"/>
    <w:rsid w:val="00A465AB"/>
    <w:rsid w:val="00A46AF7"/>
    <w:rsid w:val="00A46EE1"/>
    <w:rsid w:val="00A47046"/>
    <w:rsid w:val="00A47490"/>
    <w:rsid w:val="00A47654"/>
    <w:rsid w:val="00A477EF"/>
    <w:rsid w:val="00A478AD"/>
    <w:rsid w:val="00A479AC"/>
    <w:rsid w:val="00A47F73"/>
    <w:rsid w:val="00A47F9D"/>
    <w:rsid w:val="00A50476"/>
    <w:rsid w:val="00A5055C"/>
    <w:rsid w:val="00A505EB"/>
    <w:rsid w:val="00A50621"/>
    <w:rsid w:val="00A5094F"/>
    <w:rsid w:val="00A509D7"/>
    <w:rsid w:val="00A50B62"/>
    <w:rsid w:val="00A50F3C"/>
    <w:rsid w:val="00A50F3D"/>
    <w:rsid w:val="00A51030"/>
    <w:rsid w:val="00A5152B"/>
    <w:rsid w:val="00A51736"/>
    <w:rsid w:val="00A51DC5"/>
    <w:rsid w:val="00A51E67"/>
    <w:rsid w:val="00A51EDB"/>
    <w:rsid w:val="00A520BF"/>
    <w:rsid w:val="00A5216F"/>
    <w:rsid w:val="00A5257E"/>
    <w:rsid w:val="00A52862"/>
    <w:rsid w:val="00A529D4"/>
    <w:rsid w:val="00A52A36"/>
    <w:rsid w:val="00A532C4"/>
    <w:rsid w:val="00A5352E"/>
    <w:rsid w:val="00A538AD"/>
    <w:rsid w:val="00A53C25"/>
    <w:rsid w:val="00A54031"/>
    <w:rsid w:val="00A5434D"/>
    <w:rsid w:val="00A54386"/>
    <w:rsid w:val="00A54506"/>
    <w:rsid w:val="00A54625"/>
    <w:rsid w:val="00A54960"/>
    <w:rsid w:val="00A54B24"/>
    <w:rsid w:val="00A54EC4"/>
    <w:rsid w:val="00A55242"/>
    <w:rsid w:val="00A553BF"/>
    <w:rsid w:val="00A55A5F"/>
    <w:rsid w:val="00A55C9C"/>
    <w:rsid w:val="00A55DEA"/>
    <w:rsid w:val="00A560EE"/>
    <w:rsid w:val="00A57015"/>
    <w:rsid w:val="00A5729F"/>
    <w:rsid w:val="00A5795D"/>
    <w:rsid w:val="00A579EC"/>
    <w:rsid w:val="00A57A07"/>
    <w:rsid w:val="00A57BAB"/>
    <w:rsid w:val="00A57C7B"/>
    <w:rsid w:val="00A600D5"/>
    <w:rsid w:val="00A60675"/>
    <w:rsid w:val="00A606A9"/>
    <w:rsid w:val="00A60736"/>
    <w:rsid w:val="00A60A73"/>
    <w:rsid w:val="00A61190"/>
    <w:rsid w:val="00A612DF"/>
    <w:rsid w:val="00A614D4"/>
    <w:rsid w:val="00A6168C"/>
    <w:rsid w:val="00A61809"/>
    <w:rsid w:val="00A61E14"/>
    <w:rsid w:val="00A6247A"/>
    <w:rsid w:val="00A62518"/>
    <w:rsid w:val="00A62A48"/>
    <w:rsid w:val="00A62C81"/>
    <w:rsid w:val="00A62FF0"/>
    <w:rsid w:val="00A633C5"/>
    <w:rsid w:val="00A6385D"/>
    <w:rsid w:val="00A638BB"/>
    <w:rsid w:val="00A6414B"/>
    <w:rsid w:val="00A642EB"/>
    <w:rsid w:val="00A64C12"/>
    <w:rsid w:val="00A64CFD"/>
    <w:rsid w:val="00A64E28"/>
    <w:rsid w:val="00A65205"/>
    <w:rsid w:val="00A6542A"/>
    <w:rsid w:val="00A658AC"/>
    <w:rsid w:val="00A65A13"/>
    <w:rsid w:val="00A65E3A"/>
    <w:rsid w:val="00A65F24"/>
    <w:rsid w:val="00A65F4B"/>
    <w:rsid w:val="00A661F6"/>
    <w:rsid w:val="00A665A9"/>
    <w:rsid w:val="00A667BD"/>
    <w:rsid w:val="00A66F2F"/>
    <w:rsid w:val="00A67072"/>
    <w:rsid w:val="00A67410"/>
    <w:rsid w:val="00A6753B"/>
    <w:rsid w:val="00A676BB"/>
    <w:rsid w:val="00A67708"/>
    <w:rsid w:val="00A70115"/>
    <w:rsid w:val="00A7019B"/>
    <w:rsid w:val="00A701F6"/>
    <w:rsid w:val="00A7092B"/>
    <w:rsid w:val="00A70B9A"/>
    <w:rsid w:val="00A70F73"/>
    <w:rsid w:val="00A71100"/>
    <w:rsid w:val="00A7119B"/>
    <w:rsid w:val="00A7125E"/>
    <w:rsid w:val="00A71645"/>
    <w:rsid w:val="00A71E34"/>
    <w:rsid w:val="00A71F57"/>
    <w:rsid w:val="00A7215E"/>
    <w:rsid w:val="00A7250A"/>
    <w:rsid w:val="00A72661"/>
    <w:rsid w:val="00A7275B"/>
    <w:rsid w:val="00A72B4F"/>
    <w:rsid w:val="00A72C0B"/>
    <w:rsid w:val="00A72D5A"/>
    <w:rsid w:val="00A72DC1"/>
    <w:rsid w:val="00A72E82"/>
    <w:rsid w:val="00A734D1"/>
    <w:rsid w:val="00A73DD7"/>
    <w:rsid w:val="00A742BD"/>
    <w:rsid w:val="00A74843"/>
    <w:rsid w:val="00A74D49"/>
    <w:rsid w:val="00A754F7"/>
    <w:rsid w:val="00A7552D"/>
    <w:rsid w:val="00A75747"/>
    <w:rsid w:val="00A75765"/>
    <w:rsid w:val="00A757B3"/>
    <w:rsid w:val="00A7596F"/>
    <w:rsid w:val="00A75A2E"/>
    <w:rsid w:val="00A75C98"/>
    <w:rsid w:val="00A75E13"/>
    <w:rsid w:val="00A76451"/>
    <w:rsid w:val="00A76492"/>
    <w:rsid w:val="00A766FE"/>
    <w:rsid w:val="00A76B38"/>
    <w:rsid w:val="00A76B58"/>
    <w:rsid w:val="00A76C85"/>
    <w:rsid w:val="00A76D3C"/>
    <w:rsid w:val="00A77150"/>
    <w:rsid w:val="00A77157"/>
    <w:rsid w:val="00A774FC"/>
    <w:rsid w:val="00A77683"/>
    <w:rsid w:val="00A8066D"/>
    <w:rsid w:val="00A807EF"/>
    <w:rsid w:val="00A8178D"/>
    <w:rsid w:val="00A818CF"/>
    <w:rsid w:val="00A81935"/>
    <w:rsid w:val="00A81B21"/>
    <w:rsid w:val="00A81D56"/>
    <w:rsid w:val="00A81D86"/>
    <w:rsid w:val="00A81E76"/>
    <w:rsid w:val="00A8208A"/>
    <w:rsid w:val="00A82C29"/>
    <w:rsid w:val="00A82EAD"/>
    <w:rsid w:val="00A832FF"/>
    <w:rsid w:val="00A83A9F"/>
    <w:rsid w:val="00A841D3"/>
    <w:rsid w:val="00A8469F"/>
    <w:rsid w:val="00A850DB"/>
    <w:rsid w:val="00A85169"/>
    <w:rsid w:val="00A856B5"/>
    <w:rsid w:val="00A858F7"/>
    <w:rsid w:val="00A85932"/>
    <w:rsid w:val="00A85A27"/>
    <w:rsid w:val="00A85BD4"/>
    <w:rsid w:val="00A85CF5"/>
    <w:rsid w:val="00A85D93"/>
    <w:rsid w:val="00A85DA6"/>
    <w:rsid w:val="00A861E0"/>
    <w:rsid w:val="00A863F9"/>
    <w:rsid w:val="00A864F3"/>
    <w:rsid w:val="00A866CB"/>
    <w:rsid w:val="00A86AC1"/>
    <w:rsid w:val="00A86C91"/>
    <w:rsid w:val="00A86D02"/>
    <w:rsid w:val="00A8715D"/>
    <w:rsid w:val="00A871CA"/>
    <w:rsid w:val="00A87549"/>
    <w:rsid w:val="00A87574"/>
    <w:rsid w:val="00A87671"/>
    <w:rsid w:val="00A87720"/>
    <w:rsid w:val="00A8784F"/>
    <w:rsid w:val="00A87A1F"/>
    <w:rsid w:val="00A87D19"/>
    <w:rsid w:val="00A87D54"/>
    <w:rsid w:val="00A87D6A"/>
    <w:rsid w:val="00A90100"/>
    <w:rsid w:val="00A90241"/>
    <w:rsid w:val="00A90305"/>
    <w:rsid w:val="00A90309"/>
    <w:rsid w:val="00A90310"/>
    <w:rsid w:val="00A90419"/>
    <w:rsid w:val="00A90421"/>
    <w:rsid w:val="00A90556"/>
    <w:rsid w:val="00A90765"/>
    <w:rsid w:val="00A90AB9"/>
    <w:rsid w:val="00A90F37"/>
    <w:rsid w:val="00A911F6"/>
    <w:rsid w:val="00A9141F"/>
    <w:rsid w:val="00A91763"/>
    <w:rsid w:val="00A91B0E"/>
    <w:rsid w:val="00A91BD4"/>
    <w:rsid w:val="00A9241A"/>
    <w:rsid w:val="00A92B2B"/>
    <w:rsid w:val="00A92F7E"/>
    <w:rsid w:val="00A930D9"/>
    <w:rsid w:val="00A93277"/>
    <w:rsid w:val="00A9362A"/>
    <w:rsid w:val="00A937C1"/>
    <w:rsid w:val="00A93C39"/>
    <w:rsid w:val="00A9428C"/>
    <w:rsid w:val="00A944EF"/>
    <w:rsid w:val="00A95084"/>
    <w:rsid w:val="00A95826"/>
    <w:rsid w:val="00A95983"/>
    <w:rsid w:val="00A95C11"/>
    <w:rsid w:val="00A95C21"/>
    <w:rsid w:val="00A95E90"/>
    <w:rsid w:val="00A961B8"/>
    <w:rsid w:val="00A96452"/>
    <w:rsid w:val="00A9671A"/>
    <w:rsid w:val="00A967B1"/>
    <w:rsid w:val="00A96E60"/>
    <w:rsid w:val="00A96ED6"/>
    <w:rsid w:val="00A9714E"/>
    <w:rsid w:val="00A9721A"/>
    <w:rsid w:val="00A97486"/>
    <w:rsid w:val="00A9759E"/>
    <w:rsid w:val="00A97781"/>
    <w:rsid w:val="00A979D3"/>
    <w:rsid w:val="00A97BFA"/>
    <w:rsid w:val="00AA02EA"/>
    <w:rsid w:val="00AA071F"/>
    <w:rsid w:val="00AA0B48"/>
    <w:rsid w:val="00AA0C38"/>
    <w:rsid w:val="00AA0C95"/>
    <w:rsid w:val="00AA1024"/>
    <w:rsid w:val="00AA1148"/>
    <w:rsid w:val="00AA11B8"/>
    <w:rsid w:val="00AA12BE"/>
    <w:rsid w:val="00AA18E6"/>
    <w:rsid w:val="00AA199B"/>
    <w:rsid w:val="00AA1AA9"/>
    <w:rsid w:val="00AA1C7E"/>
    <w:rsid w:val="00AA1FA6"/>
    <w:rsid w:val="00AA23C7"/>
    <w:rsid w:val="00AA2587"/>
    <w:rsid w:val="00AA26D5"/>
    <w:rsid w:val="00AA370E"/>
    <w:rsid w:val="00AA38DE"/>
    <w:rsid w:val="00AA394B"/>
    <w:rsid w:val="00AA3BB4"/>
    <w:rsid w:val="00AA3BD1"/>
    <w:rsid w:val="00AA3D34"/>
    <w:rsid w:val="00AA3E2F"/>
    <w:rsid w:val="00AA41E3"/>
    <w:rsid w:val="00AA4B88"/>
    <w:rsid w:val="00AA4C7B"/>
    <w:rsid w:val="00AA4E00"/>
    <w:rsid w:val="00AA5299"/>
    <w:rsid w:val="00AA5312"/>
    <w:rsid w:val="00AA537C"/>
    <w:rsid w:val="00AA5407"/>
    <w:rsid w:val="00AA56E7"/>
    <w:rsid w:val="00AA58C4"/>
    <w:rsid w:val="00AA59D7"/>
    <w:rsid w:val="00AA5BD9"/>
    <w:rsid w:val="00AA5DB4"/>
    <w:rsid w:val="00AA5E36"/>
    <w:rsid w:val="00AA619F"/>
    <w:rsid w:val="00AA6940"/>
    <w:rsid w:val="00AA6F3D"/>
    <w:rsid w:val="00AA70D8"/>
    <w:rsid w:val="00AA71CB"/>
    <w:rsid w:val="00AA754B"/>
    <w:rsid w:val="00AA75D8"/>
    <w:rsid w:val="00AA789D"/>
    <w:rsid w:val="00AA7D51"/>
    <w:rsid w:val="00AB0444"/>
    <w:rsid w:val="00AB04D4"/>
    <w:rsid w:val="00AB058A"/>
    <w:rsid w:val="00AB086A"/>
    <w:rsid w:val="00AB0A17"/>
    <w:rsid w:val="00AB0B8B"/>
    <w:rsid w:val="00AB0BCA"/>
    <w:rsid w:val="00AB0C77"/>
    <w:rsid w:val="00AB10E2"/>
    <w:rsid w:val="00AB13B9"/>
    <w:rsid w:val="00AB1700"/>
    <w:rsid w:val="00AB1A27"/>
    <w:rsid w:val="00AB1A54"/>
    <w:rsid w:val="00AB1AAA"/>
    <w:rsid w:val="00AB2173"/>
    <w:rsid w:val="00AB23E0"/>
    <w:rsid w:val="00AB2A92"/>
    <w:rsid w:val="00AB33EF"/>
    <w:rsid w:val="00AB36EA"/>
    <w:rsid w:val="00AB398C"/>
    <w:rsid w:val="00AB4278"/>
    <w:rsid w:val="00AB4721"/>
    <w:rsid w:val="00AB47E1"/>
    <w:rsid w:val="00AB4C3D"/>
    <w:rsid w:val="00AB4F3A"/>
    <w:rsid w:val="00AB4F7F"/>
    <w:rsid w:val="00AB4FA0"/>
    <w:rsid w:val="00AB5120"/>
    <w:rsid w:val="00AB5868"/>
    <w:rsid w:val="00AB5B2D"/>
    <w:rsid w:val="00AB5F0B"/>
    <w:rsid w:val="00AB5FAF"/>
    <w:rsid w:val="00AB6304"/>
    <w:rsid w:val="00AB6392"/>
    <w:rsid w:val="00AB6867"/>
    <w:rsid w:val="00AB6982"/>
    <w:rsid w:val="00AB6BA8"/>
    <w:rsid w:val="00AB6BDF"/>
    <w:rsid w:val="00AB6CFB"/>
    <w:rsid w:val="00AB6EF3"/>
    <w:rsid w:val="00AB6FBC"/>
    <w:rsid w:val="00AB7195"/>
    <w:rsid w:val="00AB71B7"/>
    <w:rsid w:val="00AB733A"/>
    <w:rsid w:val="00AB7346"/>
    <w:rsid w:val="00AB7538"/>
    <w:rsid w:val="00AB7631"/>
    <w:rsid w:val="00AB7A0C"/>
    <w:rsid w:val="00AB7C95"/>
    <w:rsid w:val="00AC0073"/>
    <w:rsid w:val="00AC0450"/>
    <w:rsid w:val="00AC05EC"/>
    <w:rsid w:val="00AC063A"/>
    <w:rsid w:val="00AC07F8"/>
    <w:rsid w:val="00AC0A25"/>
    <w:rsid w:val="00AC0C8E"/>
    <w:rsid w:val="00AC1243"/>
    <w:rsid w:val="00AC1276"/>
    <w:rsid w:val="00AC1DE9"/>
    <w:rsid w:val="00AC22D5"/>
    <w:rsid w:val="00AC23F7"/>
    <w:rsid w:val="00AC253E"/>
    <w:rsid w:val="00AC261E"/>
    <w:rsid w:val="00AC26B5"/>
    <w:rsid w:val="00AC29B7"/>
    <w:rsid w:val="00AC2DF0"/>
    <w:rsid w:val="00AC2E21"/>
    <w:rsid w:val="00AC2EA7"/>
    <w:rsid w:val="00AC32BC"/>
    <w:rsid w:val="00AC3677"/>
    <w:rsid w:val="00AC3729"/>
    <w:rsid w:val="00AC3814"/>
    <w:rsid w:val="00AC3B81"/>
    <w:rsid w:val="00AC3DE7"/>
    <w:rsid w:val="00AC3E23"/>
    <w:rsid w:val="00AC3FF5"/>
    <w:rsid w:val="00AC4244"/>
    <w:rsid w:val="00AC471A"/>
    <w:rsid w:val="00AC5470"/>
    <w:rsid w:val="00AC5847"/>
    <w:rsid w:val="00AC5CCC"/>
    <w:rsid w:val="00AC6567"/>
    <w:rsid w:val="00AC65B6"/>
    <w:rsid w:val="00AC685D"/>
    <w:rsid w:val="00AC68FA"/>
    <w:rsid w:val="00AC7011"/>
    <w:rsid w:val="00AC725F"/>
    <w:rsid w:val="00AC741A"/>
    <w:rsid w:val="00AC75C7"/>
    <w:rsid w:val="00AC75F4"/>
    <w:rsid w:val="00AC765E"/>
    <w:rsid w:val="00AC773A"/>
    <w:rsid w:val="00AC78D5"/>
    <w:rsid w:val="00AC793D"/>
    <w:rsid w:val="00AC7A50"/>
    <w:rsid w:val="00AD0122"/>
    <w:rsid w:val="00AD07A0"/>
    <w:rsid w:val="00AD0A1A"/>
    <w:rsid w:val="00AD0ACF"/>
    <w:rsid w:val="00AD0C52"/>
    <w:rsid w:val="00AD0CD7"/>
    <w:rsid w:val="00AD0E43"/>
    <w:rsid w:val="00AD0E76"/>
    <w:rsid w:val="00AD13FF"/>
    <w:rsid w:val="00AD15D5"/>
    <w:rsid w:val="00AD16C5"/>
    <w:rsid w:val="00AD19BA"/>
    <w:rsid w:val="00AD1AB2"/>
    <w:rsid w:val="00AD1B5A"/>
    <w:rsid w:val="00AD1C08"/>
    <w:rsid w:val="00AD1D97"/>
    <w:rsid w:val="00AD22FF"/>
    <w:rsid w:val="00AD23CA"/>
    <w:rsid w:val="00AD2EDA"/>
    <w:rsid w:val="00AD2FE2"/>
    <w:rsid w:val="00AD2FF5"/>
    <w:rsid w:val="00AD3424"/>
    <w:rsid w:val="00AD3F8E"/>
    <w:rsid w:val="00AD4040"/>
    <w:rsid w:val="00AD42CC"/>
    <w:rsid w:val="00AD4313"/>
    <w:rsid w:val="00AD4597"/>
    <w:rsid w:val="00AD507A"/>
    <w:rsid w:val="00AD55C6"/>
    <w:rsid w:val="00AD59E4"/>
    <w:rsid w:val="00AD5B64"/>
    <w:rsid w:val="00AD5BC8"/>
    <w:rsid w:val="00AD5C4C"/>
    <w:rsid w:val="00AD6244"/>
    <w:rsid w:val="00AD62AD"/>
    <w:rsid w:val="00AD630E"/>
    <w:rsid w:val="00AD660B"/>
    <w:rsid w:val="00AD6739"/>
    <w:rsid w:val="00AD69AF"/>
    <w:rsid w:val="00AD6CD2"/>
    <w:rsid w:val="00AD723E"/>
    <w:rsid w:val="00AD7451"/>
    <w:rsid w:val="00AD7611"/>
    <w:rsid w:val="00AD7E8E"/>
    <w:rsid w:val="00AE000C"/>
    <w:rsid w:val="00AE0029"/>
    <w:rsid w:val="00AE014E"/>
    <w:rsid w:val="00AE01B3"/>
    <w:rsid w:val="00AE01F0"/>
    <w:rsid w:val="00AE05B1"/>
    <w:rsid w:val="00AE0AEB"/>
    <w:rsid w:val="00AE0F17"/>
    <w:rsid w:val="00AE13C2"/>
    <w:rsid w:val="00AE1713"/>
    <w:rsid w:val="00AE171A"/>
    <w:rsid w:val="00AE1767"/>
    <w:rsid w:val="00AE18A1"/>
    <w:rsid w:val="00AE1956"/>
    <w:rsid w:val="00AE1C3F"/>
    <w:rsid w:val="00AE1CD7"/>
    <w:rsid w:val="00AE1EE9"/>
    <w:rsid w:val="00AE20E7"/>
    <w:rsid w:val="00AE222E"/>
    <w:rsid w:val="00AE2386"/>
    <w:rsid w:val="00AE26D2"/>
    <w:rsid w:val="00AE29AB"/>
    <w:rsid w:val="00AE35ED"/>
    <w:rsid w:val="00AE3639"/>
    <w:rsid w:val="00AE38E8"/>
    <w:rsid w:val="00AE3D34"/>
    <w:rsid w:val="00AE3DC4"/>
    <w:rsid w:val="00AE3FB0"/>
    <w:rsid w:val="00AE44D0"/>
    <w:rsid w:val="00AE4AF6"/>
    <w:rsid w:val="00AE4B46"/>
    <w:rsid w:val="00AE4E48"/>
    <w:rsid w:val="00AE4F4A"/>
    <w:rsid w:val="00AE5620"/>
    <w:rsid w:val="00AE584C"/>
    <w:rsid w:val="00AE5B98"/>
    <w:rsid w:val="00AE5BBE"/>
    <w:rsid w:val="00AE6546"/>
    <w:rsid w:val="00AE659F"/>
    <w:rsid w:val="00AE67D3"/>
    <w:rsid w:val="00AE69ED"/>
    <w:rsid w:val="00AE6B3F"/>
    <w:rsid w:val="00AE741E"/>
    <w:rsid w:val="00AE7594"/>
    <w:rsid w:val="00AE785D"/>
    <w:rsid w:val="00AE7965"/>
    <w:rsid w:val="00AE7A5A"/>
    <w:rsid w:val="00AE7C6B"/>
    <w:rsid w:val="00AE7EC0"/>
    <w:rsid w:val="00AE7F6E"/>
    <w:rsid w:val="00AF0107"/>
    <w:rsid w:val="00AF02F7"/>
    <w:rsid w:val="00AF041F"/>
    <w:rsid w:val="00AF0684"/>
    <w:rsid w:val="00AF0753"/>
    <w:rsid w:val="00AF07F9"/>
    <w:rsid w:val="00AF0A7D"/>
    <w:rsid w:val="00AF0C5B"/>
    <w:rsid w:val="00AF0EC4"/>
    <w:rsid w:val="00AF1D76"/>
    <w:rsid w:val="00AF1E56"/>
    <w:rsid w:val="00AF1E92"/>
    <w:rsid w:val="00AF1FDF"/>
    <w:rsid w:val="00AF26E0"/>
    <w:rsid w:val="00AF2B8C"/>
    <w:rsid w:val="00AF2BB8"/>
    <w:rsid w:val="00AF2D57"/>
    <w:rsid w:val="00AF3305"/>
    <w:rsid w:val="00AF34B6"/>
    <w:rsid w:val="00AF353A"/>
    <w:rsid w:val="00AF365C"/>
    <w:rsid w:val="00AF37B4"/>
    <w:rsid w:val="00AF37C0"/>
    <w:rsid w:val="00AF3A43"/>
    <w:rsid w:val="00AF3B75"/>
    <w:rsid w:val="00AF3CF6"/>
    <w:rsid w:val="00AF3DF4"/>
    <w:rsid w:val="00AF4876"/>
    <w:rsid w:val="00AF4924"/>
    <w:rsid w:val="00AF4A12"/>
    <w:rsid w:val="00AF4A72"/>
    <w:rsid w:val="00AF4E5C"/>
    <w:rsid w:val="00AF54E3"/>
    <w:rsid w:val="00AF5534"/>
    <w:rsid w:val="00AF5611"/>
    <w:rsid w:val="00AF6277"/>
    <w:rsid w:val="00AF65A1"/>
    <w:rsid w:val="00AF6731"/>
    <w:rsid w:val="00AF69E9"/>
    <w:rsid w:val="00AF6AF2"/>
    <w:rsid w:val="00AF72DD"/>
    <w:rsid w:val="00AF733C"/>
    <w:rsid w:val="00AF7B91"/>
    <w:rsid w:val="00AF7CCC"/>
    <w:rsid w:val="00AF7CE6"/>
    <w:rsid w:val="00B00110"/>
    <w:rsid w:val="00B00EA5"/>
    <w:rsid w:val="00B01340"/>
    <w:rsid w:val="00B01700"/>
    <w:rsid w:val="00B0196D"/>
    <w:rsid w:val="00B0290B"/>
    <w:rsid w:val="00B02E5D"/>
    <w:rsid w:val="00B02E71"/>
    <w:rsid w:val="00B036DA"/>
    <w:rsid w:val="00B03925"/>
    <w:rsid w:val="00B039E7"/>
    <w:rsid w:val="00B03FC9"/>
    <w:rsid w:val="00B04201"/>
    <w:rsid w:val="00B0420D"/>
    <w:rsid w:val="00B04412"/>
    <w:rsid w:val="00B0464B"/>
    <w:rsid w:val="00B0476F"/>
    <w:rsid w:val="00B048D4"/>
    <w:rsid w:val="00B04AE3"/>
    <w:rsid w:val="00B05DAE"/>
    <w:rsid w:val="00B06160"/>
    <w:rsid w:val="00B06167"/>
    <w:rsid w:val="00B0616B"/>
    <w:rsid w:val="00B064F6"/>
    <w:rsid w:val="00B066CD"/>
    <w:rsid w:val="00B06771"/>
    <w:rsid w:val="00B06875"/>
    <w:rsid w:val="00B068B0"/>
    <w:rsid w:val="00B06FA0"/>
    <w:rsid w:val="00B07320"/>
    <w:rsid w:val="00B07635"/>
    <w:rsid w:val="00B07687"/>
    <w:rsid w:val="00B076CA"/>
    <w:rsid w:val="00B07770"/>
    <w:rsid w:val="00B07C35"/>
    <w:rsid w:val="00B10017"/>
    <w:rsid w:val="00B10DB5"/>
    <w:rsid w:val="00B10E64"/>
    <w:rsid w:val="00B10EC2"/>
    <w:rsid w:val="00B10FB4"/>
    <w:rsid w:val="00B113B1"/>
    <w:rsid w:val="00B117D7"/>
    <w:rsid w:val="00B1191E"/>
    <w:rsid w:val="00B11A16"/>
    <w:rsid w:val="00B11F93"/>
    <w:rsid w:val="00B11FD2"/>
    <w:rsid w:val="00B12032"/>
    <w:rsid w:val="00B1210F"/>
    <w:rsid w:val="00B1212C"/>
    <w:rsid w:val="00B1242C"/>
    <w:rsid w:val="00B12513"/>
    <w:rsid w:val="00B125C0"/>
    <w:rsid w:val="00B1294C"/>
    <w:rsid w:val="00B12C70"/>
    <w:rsid w:val="00B12C7B"/>
    <w:rsid w:val="00B12EE5"/>
    <w:rsid w:val="00B1335C"/>
    <w:rsid w:val="00B13704"/>
    <w:rsid w:val="00B139E5"/>
    <w:rsid w:val="00B13C4C"/>
    <w:rsid w:val="00B13C94"/>
    <w:rsid w:val="00B13DF9"/>
    <w:rsid w:val="00B13F65"/>
    <w:rsid w:val="00B13F7E"/>
    <w:rsid w:val="00B14A30"/>
    <w:rsid w:val="00B14DF2"/>
    <w:rsid w:val="00B14FD1"/>
    <w:rsid w:val="00B15244"/>
    <w:rsid w:val="00B15AD9"/>
    <w:rsid w:val="00B15E27"/>
    <w:rsid w:val="00B15ECE"/>
    <w:rsid w:val="00B1608D"/>
    <w:rsid w:val="00B1624B"/>
    <w:rsid w:val="00B16265"/>
    <w:rsid w:val="00B168AB"/>
    <w:rsid w:val="00B169D8"/>
    <w:rsid w:val="00B16A04"/>
    <w:rsid w:val="00B16B05"/>
    <w:rsid w:val="00B17012"/>
    <w:rsid w:val="00B17112"/>
    <w:rsid w:val="00B17340"/>
    <w:rsid w:val="00B17678"/>
    <w:rsid w:val="00B17AC1"/>
    <w:rsid w:val="00B17DAD"/>
    <w:rsid w:val="00B17FFB"/>
    <w:rsid w:val="00B2023F"/>
    <w:rsid w:val="00B20496"/>
    <w:rsid w:val="00B2049B"/>
    <w:rsid w:val="00B2049E"/>
    <w:rsid w:val="00B20704"/>
    <w:rsid w:val="00B207B2"/>
    <w:rsid w:val="00B208FA"/>
    <w:rsid w:val="00B20E6B"/>
    <w:rsid w:val="00B211B7"/>
    <w:rsid w:val="00B214F6"/>
    <w:rsid w:val="00B21A01"/>
    <w:rsid w:val="00B21D00"/>
    <w:rsid w:val="00B224AE"/>
    <w:rsid w:val="00B22AA3"/>
    <w:rsid w:val="00B22C7A"/>
    <w:rsid w:val="00B23107"/>
    <w:rsid w:val="00B232B5"/>
    <w:rsid w:val="00B23605"/>
    <w:rsid w:val="00B237CB"/>
    <w:rsid w:val="00B23ABA"/>
    <w:rsid w:val="00B23CB4"/>
    <w:rsid w:val="00B23F3E"/>
    <w:rsid w:val="00B23FEF"/>
    <w:rsid w:val="00B2469B"/>
    <w:rsid w:val="00B257D2"/>
    <w:rsid w:val="00B25965"/>
    <w:rsid w:val="00B25B32"/>
    <w:rsid w:val="00B26649"/>
    <w:rsid w:val="00B26B6F"/>
    <w:rsid w:val="00B26D07"/>
    <w:rsid w:val="00B27265"/>
    <w:rsid w:val="00B276AF"/>
    <w:rsid w:val="00B2771E"/>
    <w:rsid w:val="00B277F0"/>
    <w:rsid w:val="00B27CB2"/>
    <w:rsid w:val="00B27DA4"/>
    <w:rsid w:val="00B27DB6"/>
    <w:rsid w:val="00B27E8D"/>
    <w:rsid w:val="00B27FE5"/>
    <w:rsid w:val="00B30059"/>
    <w:rsid w:val="00B300E4"/>
    <w:rsid w:val="00B300EA"/>
    <w:rsid w:val="00B304D4"/>
    <w:rsid w:val="00B304EB"/>
    <w:rsid w:val="00B3060A"/>
    <w:rsid w:val="00B30661"/>
    <w:rsid w:val="00B30DFF"/>
    <w:rsid w:val="00B31109"/>
    <w:rsid w:val="00B31828"/>
    <w:rsid w:val="00B31852"/>
    <w:rsid w:val="00B31CF5"/>
    <w:rsid w:val="00B31DCA"/>
    <w:rsid w:val="00B31EF7"/>
    <w:rsid w:val="00B32168"/>
    <w:rsid w:val="00B32465"/>
    <w:rsid w:val="00B3295D"/>
    <w:rsid w:val="00B32B96"/>
    <w:rsid w:val="00B32D2C"/>
    <w:rsid w:val="00B32FCF"/>
    <w:rsid w:val="00B33328"/>
    <w:rsid w:val="00B333B4"/>
    <w:rsid w:val="00B33540"/>
    <w:rsid w:val="00B335BE"/>
    <w:rsid w:val="00B335D6"/>
    <w:rsid w:val="00B33702"/>
    <w:rsid w:val="00B338AA"/>
    <w:rsid w:val="00B33AA0"/>
    <w:rsid w:val="00B33CE8"/>
    <w:rsid w:val="00B340B1"/>
    <w:rsid w:val="00B34518"/>
    <w:rsid w:val="00B3464C"/>
    <w:rsid w:val="00B348D7"/>
    <w:rsid w:val="00B34D4C"/>
    <w:rsid w:val="00B34F1A"/>
    <w:rsid w:val="00B355E9"/>
    <w:rsid w:val="00B358A3"/>
    <w:rsid w:val="00B35B6E"/>
    <w:rsid w:val="00B35C65"/>
    <w:rsid w:val="00B35E77"/>
    <w:rsid w:val="00B364EA"/>
    <w:rsid w:val="00B36558"/>
    <w:rsid w:val="00B366A2"/>
    <w:rsid w:val="00B367B8"/>
    <w:rsid w:val="00B37092"/>
    <w:rsid w:val="00B370AA"/>
    <w:rsid w:val="00B37D45"/>
    <w:rsid w:val="00B37D4E"/>
    <w:rsid w:val="00B37E28"/>
    <w:rsid w:val="00B400EE"/>
    <w:rsid w:val="00B40205"/>
    <w:rsid w:val="00B40461"/>
    <w:rsid w:val="00B40870"/>
    <w:rsid w:val="00B40977"/>
    <w:rsid w:val="00B40CDC"/>
    <w:rsid w:val="00B40F81"/>
    <w:rsid w:val="00B41093"/>
    <w:rsid w:val="00B41143"/>
    <w:rsid w:val="00B41318"/>
    <w:rsid w:val="00B41398"/>
    <w:rsid w:val="00B41587"/>
    <w:rsid w:val="00B416BB"/>
    <w:rsid w:val="00B41C02"/>
    <w:rsid w:val="00B41C5F"/>
    <w:rsid w:val="00B41C84"/>
    <w:rsid w:val="00B41E13"/>
    <w:rsid w:val="00B4216D"/>
    <w:rsid w:val="00B4217F"/>
    <w:rsid w:val="00B424CE"/>
    <w:rsid w:val="00B42676"/>
    <w:rsid w:val="00B426A8"/>
    <w:rsid w:val="00B43174"/>
    <w:rsid w:val="00B43276"/>
    <w:rsid w:val="00B4335B"/>
    <w:rsid w:val="00B43674"/>
    <w:rsid w:val="00B441FC"/>
    <w:rsid w:val="00B445A3"/>
    <w:rsid w:val="00B4497A"/>
    <w:rsid w:val="00B44FBF"/>
    <w:rsid w:val="00B4506D"/>
    <w:rsid w:val="00B4548A"/>
    <w:rsid w:val="00B455BB"/>
    <w:rsid w:val="00B458AB"/>
    <w:rsid w:val="00B45E25"/>
    <w:rsid w:val="00B45E75"/>
    <w:rsid w:val="00B46AA9"/>
    <w:rsid w:val="00B46AE6"/>
    <w:rsid w:val="00B46F21"/>
    <w:rsid w:val="00B4710F"/>
    <w:rsid w:val="00B472BC"/>
    <w:rsid w:val="00B47447"/>
    <w:rsid w:val="00B501A9"/>
    <w:rsid w:val="00B50504"/>
    <w:rsid w:val="00B506BE"/>
    <w:rsid w:val="00B50C65"/>
    <w:rsid w:val="00B51231"/>
    <w:rsid w:val="00B514B8"/>
    <w:rsid w:val="00B51C8B"/>
    <w:rsid w:val="00B5215A"/>
    <w:rsid w:val="00B5215F"/>
    <w:rsid w:val="00B52975"/>
    <w:rsid w:val="00B5299F"/>
    <w:rsid w:val="00B52A1D"/>
    <w:rsid w:val="00B52B8A"/>
    <w:rsid w:val="00B52BF9"/>
    <w:rsid w:val="00B52E31"/>
    <w:rsid w:val="00B52F10"/>
    <w:rsid w:val="00B53536"/>
    <w:rsid w:val="00B53A0F"/>
    <w:rsid w:val="00B53DC4"/>
    <w:rsid w:val="00B53E37"/>
    <w:rsid w:val="00B53E6A"/>
    <w:rsid w:val="00B53FDF"/>
    <w:rsid w:val="00B543D1"/>
    <w:rsid w:val="00B548E9"/>
    <w:rsid w:val="00B54AAD"/>
    <w:rsid w:val="00B54B3B"/>
    <w:rsid w:val="00B54C8F"/>
    <w:rsid w:val="00B54D2E"/>
    <w:rsid w:val="00B54ECE"/>
    <w:rsid w:val="00B5541D"/>
    <w:rsid w:val="00B55431"/>
    <w:rsid w:val="00B55480"/>
    <w:rsid w:val="00B554EF"/>
    <w:rsid w:val="00B55827"/>
    <w:rsid w:val="00B55A1D"/>
    <w:rsid w:val="00B55B75"/>
    <w:rsid w:val="00B55FC6"/>
    <w:rsid w:val="00B56169"/>
    <w:rsid w:val="00B56211"/>
    <w:rsid w:val="00B5635D"/>
    <w:rsid w:val="00B568F4"/>
    <w:rsid w:val="00B5699C"/>
    <w:rsid w:val="00B56D1C"/>
    <w:rsid w:val="00B56D96"/>
    <w:rsid w:val="00B57000"/>
    <w:rsid w:val="00B57057"/>
    <w:rsid w:val="00B57261"/>
    <w:rsid w:val="00B57958"/>
    <w:rsid w:val="00B57992"/>
    <w:rsid w:val="00B57E7E"/>
    <w:rsid w:val="00B60264"/>
    <w:rsid w:val="00B603B5"/>
    <w:rsid w:val="00B6041A"/>
    <w:rsid w:val="00B6067F"/>
    <w:rsid w:val="00B60E52"/>
    <w:rsid w:val="00B610C4"/>
    <w:rsid w:val="00B61436"/>
    <w:rsid w:val="00B616D1"/>
    <w:rsid w:val="00B61B4B"/>
    <w:rsid w:val="00B621B6"/>
    <w:rsid w:val="00B6293B"/>
    <w:rsid w:val="00B62B0B"/>
    <w:rsid w:val="00B62E80"/>
    <w:rsid w:val="00B635A7"/>
    <w:rsid w:val="00B63BA2"/>
    <w:rsid w:val="00B63F09"/>
    <w:rsid w:val="00B63F32"/>
    <w:rsid w:val="00B64AE4"/>
    <w:rsid w:val="00B64DC9"/>
    <w:rsid w:val="00B65046"/>
    <w:rsid w:val="00B65330"/>
    <w:rsid w:val="00B65A6B"/>
    <w:rsid w:val="00B65D42"/>
    <w:rsid w:val="00B666F2"/>
    <w:rsid w:val="00B66817"/>
    <w:rsid w:val="00B66A20"/>
    <w:rsid w:val="00B66DEB"/>
    <w:rsid w:val="00B66FA5"/>
    <w:rsid w:val="00B67322"/>
    <w:rsid w:val="00B6759A"/>
    <w:rsid w:val="00B67AEF"/>
    <w:rsid w:val="00B67B6A"/>
    <w:rsid w:val="00B67CE8"/>
    <w:rsid w:val="00B67CF9"/>
    <w:rsid w:val="00B67FBB"/>
    <w:rsid w:val="00B704E8"/>
    <w:rsid w:val="00B70839"/>
    <w:rsid w:val="00B70860"/>
    <w:rsid w:val="00B711E6"/>
    <w:rsid w:val="00B71316"/>
    <w:rsid w:val="00B715E3"/>
    <w:rsid w:val="00B7162F"/>
    <w:rsid w:val="00B71F60"/>
    <w:rsid w:val="00B71FCA"/>
    <w:rsid w:val="00B72458"/>
    <w:rsid w:val="00B72A2E"/>
    <w:rsid w:val="00B72BC8"/>
    <w:rsid w:val="00B72D60"/>
    <w:rsid w:val="00B7350F"/>
    <w:rsid w:val="00B73680"/>
    <w:rsid w:val="00B736FB"/>
    <w:rsid w:val="00B74079"/>
    <w:rsid w:val="00B740A5"/>
    <w:rsid w:val="00B74180"/>
    <w:rsid w:val="00B7429E"/>
    <w:rsid w:val="00B7432D"/>
    <w:rsid w:val="00B7456B"/>
    <w:rsid w:val="00B7466C"/>
    <w:rsid w:val="00B746BA"/>
    <w:rsid w:val="00B7474B"/>
    <w:rsid w:val="00B74A0B"/>
    <w:rsid w:val="00B750CB"/>
    <w:rsid w:val="00B752F4"/>
    <w:rsid w:val="00B75348"/>
    <w:rsid w:val="00B75655"/>
    <w:rsid w:val="00B75672"/>
    <w:rsid w:val="00B757C8"/>
    <w:rsid w:val="00B759AA"/>
    <w:rsid w:val="00B75A36"/>
    <w:rsid w:val="00B765FB"/>
    <w:rsid w:val="00B766E8"/>
    <w:rsid w:val="00B76751"/>
    <w:rsid w:val="00B76B7A"/>
    <w:rsid w:val="00B77105"/>
    <w:rsid w:val="00B77198"/>
    <w:rsid w:val="00B771D9"/>
    <w:rsid w:val="00B77381"/>
    <w:rsid w:val="00B776B1"/>
    <w:rsid w:val="00B77D15"/>
    <w:rsid w:val="00B8023C"/>
    <w:rsid w:val="00B802E4"/>
    <w:rsid w:val="00B80FE3"/>
    <w:rsid w:val="00B81103"/>
    <w:rsid w:val="00B812F3"/>
    <w:rsid w:val="00B8183F"/>
    <w:rsid w:val="00B81A4C"/>
    <w:rsid w:val="00B81A7D"/>
    <w:rsid w:val="00B822BE"/>
    <w:rsid w:val="00B82671"/>
    <w:rsid w:val="00B8297A"/>
    <w:rsid w:val="00B82C15"/>
    <w:rsid w:val="00B82C2E"/>
    <w:rsid w:val="00B82C54"/>
    <w:rsid w:val="00B82D3F"/>
    <w:rsid w:val="00B82E01"/>
    <w:rsid w:val="00B82E29"/>
    <w:rsid w:val="00B8303A"/>
    <w:rsid w:val="00B8320A"/>
    <w:rsid w:val="00B832B9"/>
    <w:rsid w:val="00B83436"/>
    <w:rsid w:val="00B837E7"/>
    <w:rsid w:val="00B83F29"/>
    <w:rsid w:val="00B84292"/>
    <w:rsid w:val="00B8433E"/>
    <w:rsid w:val="00B84584"/>
    <w:rsid w:val="00B8468F"/>
    <w:rsid w:val="00B84743"/>
    <w:rsid w:val="00B84DBD"/>
    <w:rsid w:val="00B85239"/>
    <w:rsid w:val="00B85368"/>
    <w:rsid w:val="00B853C6"/>
    <w:rsid w:val="00B85646"/>
    <w:rsid w:val="00B85DC2"/>
    <w:rsid w:val="00B85F9E"/>
    <w:rsid w:val="00B86414"/>
    <w:rsid w:val="00B86546"/>
    <w:rsid w:val="00B86B7B"/>
    <w:rsid w:val="00B86F75"/>
    <w:rsid w:val="00B86FD9"/>
    <w:rsid w:val="00B8708B"/>
    <w:rsid w:val="00B87363"/>
    <w:rsid w:val="00B87599"/>
    <w:rsid w:val="00B876A6"/>
    <w:rsid w:val="00B87C1B"/>
    <w:rsid w:val="00B87D2B"/>
    <w:rsid w:val="00B87F9F"/>
    <w:rsid w:val="00B90296"/>
    <w:rsid w:val="00B9040E"/>
    <w:rsid w:val="00B90679"/>
    <w:rsid w:val="00B906AB"/>
    <w:rsid w:val="00B908B2"/>
    <w:rsid w:val="00B9090E"/>
    <w:rsid w:val="00B90DA7"/>
    <w:rsid w:val="00B914FA"/>
    <w:rsid w:val="00B9167D"/>
    <w:rsid w:val="00B916D7"/>
    <w:rsid w:val="00B91864"/>
    <w:rsid w:val="00B91BA2"/>
    <w:rsid w:val="00B92404"/>
    <w:rsid w:val="00B924F0"/>
    <w:rsid w:val="00B92683"/>
    <w:rsid w:val="00B926C9"/>
    <w:rsid w:val="00B926F6"/>
    <w:rsid w:val="00B927BB"/>
    <w:rsid w:val="00B93074"/>
    <w:rsid w:val="00B9327A"/>
    <w:rsid w:val="00B9347C"/>
    <w:rsid w:val="00B936D3"/>
    <w:rsid w:val="00B93893"/>
    <w:rsid w:val="00B940D2"/>
    <w:rsid w:val="00B94188"/>
    <w:rsid w:val="00B94459"/>
    <w:rsid w:val="00B948D5"/>
    <w:rsid w:val="00B9496A"/>
    <w:rsid w:val="00B94B69"/>
    <w:rsid w:val="00B94C35"/>
    <w:rsid w:val="00B94C86"/>
    <w:rsid w:val="00B94E76"/>
    <w:rsid w:val="00B955F8"/>
    <w:rsid w:val="00B95673"/>
    <w:rsid w:val="00B95830"/>
    <w:rsid w:val="00B959C7"/>
    <w:rsid w:val="00B959DD"/>
    <w:rsid w:val="00B95A48"/>
    <w:rsid w:val="00B95D03"/>
    <w:rsid w:val="00B95ED2"/>
    <w:rsid w:val="00B964A6"/>
    <w:rsid w:val="00B9679E"/>
    <w:rsid w:val="00B96A8A"/>
    <w:rsid w:val="00B96BEE"/>
    <w:rsid w:val="00B96DB8"/>
    <w:rsid w:val="00B97148"/>
    <w:rsid w:val="00B972AF"/>
    <w:rsid w:val="00B973F9"/>
    <w:rsid w:val="00B9760E"/>
    <w:rsid w:val="00B97AB2"/>
    <w:rsid w:val="00B97AFD"/>
    <w:rsid w:val="00B97EED"/>
    <w:rsid w:val="00BA0148"/>
    <w:rsid w:val="00BA042C"/>
    <w:rsid w:val="00BA0556"/>
    <w:rsid w:val="00BA06CB"/>
    <w:rsid w:val="00BA09B0"/>
    <w:rsid w:val="00BA1010"/>
    <w:rsid w:val="00BA1090"/>
    <w:rsid w:val="00BA1F03"/>
    <w:rsid w:val="00BA1F5E"/>
    <w:rsid w:val="00BA223C"/>
    <w:rsid w:val="00BA23CA"/>
    <w:rsid w:val="00BA2540"/>
    <w:rsid w:val="00BA25A0"/>
    <w:rsid w:val="00BA27D4"/>
    <w:rsid w:val="00BA2DB8"/>
    <w:rsid w:val="00BA333D"/>
    <w:rsid w:val="00BA3575"/>
    <w:rsid w:val="00BA38DD"/>
    <w:rsid w:val="00BA3B64"/>
    <w:rsid w:val="00BA3B80"/>
    <w:rsid w:val="00BA3C6E"/>
    <w:rsid w:val="00BA3E19"/>
    <w:rsid w:val="00BA414F"/>
    <w:rsid w:val="00BA487B"/>
    <w:rsid w:val="00BA4895"/>
    <w:rsid w:val="00BA4966"/>
    <w:rsid w:val="00BA4A47"/>
    <w:rsid w:val="00BA4A8E"/>
    <w:rsid w:val="00BA4AF9"/>
    <w:rsid w:val="00BA524C"/>
    <w:rsid w:val="00BA537A"/>
    <w:rsid w:val="00BA5427"/>
    <w:rsid w:val="00BA5560"/>
    <w:rsid w:val="00BA57DB"/>
    <w:rsid w:val="00BA5DC7"/>
    <w:rsid w:val="00BA627F"/>
    <w:rsid w:val="00BA6624"/>
    <w:rsid w:val="00BA68D2"/>
    <w:rsid w:val="00BA6A04"/>
    <w:rsid w:val="00BA6D1B"/>
    <w:rsid w:val="00BA6E69"/>
    <w:rsid w:val="00BA70A6"/>
    <w:rsid w:val="00BA70F1"/>
    <w:rsid w:val="00BA7260"/>
    <w:rsid w:val="00BA729A"/>
    <w:rsid w:val="00BA73E3"/>
    <w:rsid w:val="00BA7478"/>
    <w:rsid w:val="00BA7560"/>
    <w:rsid w:val="00BA7995"/>
    <w:rsid w:val="00BA79DD"/>
    <w:rsid w:val="00BA7CA0"/>
    <w:rsid w:val="00BA7DDF"/>
    <w:rsid w:val="00BB01E0"/>
    <w:rsid w:val="00BB01E3"/>
    <w:rsid w:val="00BB0218"/>
    <w:rsid w:val="00BB0642"/>
    <w:rsid w:val="00BB082C"/>
    <w:rsid w:val="00BB097F"/>
    <w:rsid w:val="00BB1157"/>
    <w:rsid w:val="00BB1F69"/>
    <w:rsid w:val="00BB20D5"/>
    <w:rsid w:val="00BB2243"/>
    <w:rsid w:val="00BB26F1"/>
    <w:rsid w:val="00BB272C"/>
    <w:rsid w:val="00BB2B96"/>
    <w:rsid w:val="00BB2D9D"/>
    <w:rsid w:val="00BB2DB6"/>
    <w:rsid w:val="00BB3C9D"/>
    <w:rsid w:val="00BB3CEE"/>
    <w:rsid w:val="00BB3DAF"/>
    <w:rsid w:val="00BB4114"/>
    <w:rsid w:val="00BB4344"/>
    <w:rsid w:val="00BB464F"/>
    <w:rsid w:val="00BB4BD9"/>
    <w:rsid w:val="00BB4F37"/>
    <w:rsid w:val="00BB52D9"/>
    <w:rsid w:val="00BB54C7"/>
    <w:rsid w:val="00BB55BB"/>
    <w:rsid w:val="00BB5619"/>
    <w:rsid w:val="00BB58B8"/>
    <w:rsid w:val="00BB590F"/>
    <w:rsid w:val="00BB5B2D"/>
    <w:rsid w:val="00BB5B79"/>
    <w:rsid w:val="00BB5CF6"/>
    <w:rsid w:val="00BB5D5D"/>
    <w:rsid w:val="00BB5EA4"/>
    <w:rsid w:val="00BB6872"/>
    <w:rsid w:val="00BB6D07"/>
    <w:rsid w:val="00BB6E10"/>
    <w:rsid w:val="00BB6EEB"/>
    <w:rsid w:val="00BB7541"/>
    <w:rsid w:val="00BB792F"/>
    <w:rsid w:val="00BB79D1"/>
    <w:rsid w:val="00BB7BCA"/>
    <w:rsid w:val="00BB7FE6"/>
    <w:rsid w:val="00BC0462"/>
    <w:rsid w:val="00BC05C2"/>
    <w:rsid w:val="00BC05FE"/>
    <w:rsid w:val="00BC0C9F"/>
    <w:rsid w:val="00BC1016"/>
    <w:rsid w:val="00BC103B"/>
    <w:rsid w:val="00BC1106"/>
    <w:rsid w:val="00BC1274"/>
    <w:rsid w:val="00BC16BE"/>
    <w:rsid w:val="00BC18B1"/>
    <w:rsid w:val="00BC1C23"/>
    <w:rsid w:val="00BC201A"/>
    <w:rsid w:val="00BC2602"/>
    <w:rsid w:val="00BC3095"/>
    <w:rsid w:val="00BC3110"/>
    <w:rsid w:val="00BC39E1"/>
    <w:rsid w:val="00BC3A01"/>
    <w:rsid w:val="00BC3A40"/>
    <w:rsid w:val="00BC3C65"/>
    <w:rsid w:val="00BC3DE9"/>
    <w:rsid w:val="00BC4031"/>
    <w:rsid w:val="00BC4033"/>
    <w:rsid w:val="00BC4064"/>
    <w:rsid w:val="00BC48F2"/>
    <w:rsid w:val="00BC4FBC"/>
    <w:rsid w:val="00BC50F1"/>
    <w:rsid w:val="00BC5428"/>
    <w:rsid w:val="00BC57F4"/>
    <w:rsid w:val="00BC589B"/>
    <w:rsid w:val="00BC5AF6"/>
    <w:rsid w:val="00BC5C68"/>
    <w:rsid w:val="00BC5C8D"/>
    <w:rsid w:val="00BC5D05"/>
    <w:rsid w:val="00BC5FE2"/>
    <w:rsid w:val="00BC62B0"/>
    <w:rsid w:val="00BC655C"/>
    <w:rsid w:val="00BC68AF"/>
    <w:rsid w:val="00BC6976"/>
    <w:rsid w:val="00BC6CD5"/>
    <w:rsid w:val="00BC6D1D"/>
    <w:rsid w:val="00BC6D47"/>
    <w:rsid w:val="00BC725E"/>
    <w:rsid w:val="00BC73B9"/>
    <w:rsid w:val="00BC77D3"/>
    <w:rsid w:val="00BC79EE"/>
    <w:rsid w:val="00BC7A09"/>
    <w:rsid w:val="00BD055D"/>
    <w:rsid w:val="00BD0563"/>
    <w:rsid w:val="00BD0B84"/>
    <w:rsid w:val="00BD0E06"/>
    <w:rsid w:val="00BD0EAB"/>
    <w:rsid w:val="00BD1325"/>
    <w:rsid w:val="00BD171E"/>
    <w:rsid w:val="00BD1AC5"/>
    <w:rsid w:val="00BD1F32"/>
    <w:rsid w:val="00BD1F9A"/>
    <w:rsid w:val="00BD21A6"/>
    <w:rsid w:val="00BD2333"/>
    <w:rsid w:val="00BD27CE"/>
    <w:rsid w:val="00BD2946"/>
    <w:rsid w:val="00BD32EF"/>
    <w:rsid w:val="00BD33DE"/>
    <w:rsid w:val="00BD3A28"/>
    <w:rsid w:val="00BD3C10"/>
    <w:rsid w:val="00BD45A7"/>
    <w:rsid w:val="00BD45E4"/>
    <w:rsid w:val="00BD49A7"/>
    <w:rsid w:val="00BD4A00"/>
    <w:rsid w:val="00BD4AD6"/>
    <w:rsid w:val="00BD4EE2"/>
    <w:rsid w:val="00BD52FA"/>
    <w:rsid w:val="00BD54D4"/>
    <w:rsid w:val="00BD55EF"/>
    <w:rsid w:val="00BD579F"/>
    <w:rsid w:val="00BD58D7"/>
    <w:rsid w:val="00BD59AA"/>
    <w:rsid w:val="00BD5B87"/>
    <w:rsid w:val="00BD5CD7"/>
    <w:rsid w:val="00BD5CD8"/>
    <w:rsid w:val="00BD5E45"/>
    <w:rsid w:val="00BD5EF4"/>
    <w:rsid w:val="00BD60A4"/>
    <w:rsid w:val="00BD6427"/>
    <w:rsid w:val="00BD68E2"/>
    <w:rsid w:val="00BD6A26"/>
    <w:rsid w:val="00BD6A2D"/>
    <w:rsid w:val="00BD6DA7"/>
    <w:rsid w:val="00BD7215"/>
    <w:rsid w:val="00BD7323"/>
    <w:rsid w:val="00BD7341"/>
    <w:rsid w:val="00BD7679"/>
    <w:rsid w:val="00BD77B3"/>
    <w:rsid w:val="00BD788C"/>
    <w:rsid w:val="00BD7F22"/>
    <w:rsid w:val="00BE00DA"/>
    <w:rsid w:val="00BE059D"/>
    <w:rsid w:val="00BE095C"/>
    <w:rsid w:val="00BE095D"/>
    <w:rsid w:val="00BE0D75"/>
    <w:rsid w:val="00BE0F4E"/>
    <w:rsid w:val="00BE132B"/>
    <w:rsid w:val="00BE134B"/>
    <w:rsid w:val="00BE1727"/>
    <w:rsid w:val="00BE1ACD"/>
    <w:rsid w:val="00BE1F67"/>
    <w:rsid w:val="00BE21A6"/>
    <w:rsid w:val="00BE2718"/>
    <w:rsid w:val="00BE2A05"/>
    <w:rsid w:val="00BE2C08"/>
    <w:rsid w:val="00BE313F"/>
    <w:rsid w:val="00BE34A0"/>
    <w:rsid w:val="00BE34C5"/>
    <w:rsid w:val="00BE359D"/>
    <w:rsid w:val="00BE38A7"/>
    <w:rsid w:val="00BE3BF3"/>
    <w:rsid w:val="00BE3D8C"/>
    <w:rsid w:val="00BE3DA2"/>
    <w:rsid w:val="00BE4098"/>
    <w:rsid w:val="00BE4295"/>
    <w:rsid w:val="00BE4562"/>
    <w:rsid w:val="00BE475B"/>
    <w:rsid w:val="00BE488D"/>
    <w:rsid w:val="00BE4961"/>
    <w:rsid w:val="00BE4FF4"/>
    <w:rsid w:val="00BE5239"/>
    <w:rsid w:val="00BE570F"/>
    <w:rsid w:val="00BE578D"/>
    <w:rsid w:val="00BE5915"/>
    <w:rsid w:val="00BE5C39"/>
    <w:rsid w:val="00BE5F7D"/>
    <w:rsid w:val="00BE608B"/>
    <w:rsid w:val="00BE6131"/>
    <w:rsid w:val="00BE6160"/>
    <w:rsid w:val="00BE6744"/>
    <w:rsid w:val="00BE6AA5"/>
    <w:rsid w:val="00BE6BEC"/>
    <w:rsid w:val="00BE6D16"/>
    <w:rsid w:val="00BE6F32"/>
    <w:rsid w:val="00BE74AB"/>
    <w:rsid w:val="00BE7B37"/>
    <w:rsid w:val="00BE7C26"/>
    <w:rsid w:val="00BE7E05"/>
    <w:rsid w:val="00BE7EE3"/>
    <w:rsid w:val="00BF03FC"/>
    <w:rsid w:val="00BF042D"/>
    <w:rsid w:val="00BF062B"/>
    <w:rsid w:val="00BF0704"/>
    <w:rsid w:val="00BF07A3"/>
    <w:rsid w:val="00BF0C23"/>
    <w:rsid w:val="00BF0E90"/>
    <w:rsid w:val="00BF0F7E"/>
    <w:rsid w:val="00BF0FB8"/>
    <w:rsid w:val="00BF109D"/>
    <w:rsid w:val="00BF158B"/>
    <w:rsid w:val="00BF1843"/>
    <w:rsid w:val="00BF1B0B"/>
    <w:rsid w:val="00BF1BCA"/>
    <w:rsid w:val="00BF1CD4"/>
    <w:rsid w:val="00BF1FE6"/>
    <w:rsid w:val="00BF2145"/>
    <w:rsid w:val="00BF257B"/>
    <w:rsid w:val="00BF293F"/>
    <w:rsid w:val="00BF2A07"/>
    <w:rsid w:val="00BF2CAE"/>
    <w:rsid w:val="00BF2D71"/>
    <w:rsid w:val="00BF2ED4"/>
    <w:rsid w:val="00BF2ED8"/>
    <w:rsid w:val="00BF2F9A"/>
    <w:rsid w:val="00BF3107"/>
    <w:rsid w:val="00BF332E"/>
    <w:rsid w:val="00BF34A7"/>
    <w:rsid w:val="00BF3624"/>
    <w:rsid w:val="00BF383F"/>
    <w:rsid w:val="00BF3B74"/>
    <w:rsid w:val="00BF3EC0"/>
    <w:rsid w:val="00BF409B"/>
    <w:rsid w:val="00BF4142"/>
    <w:rsid w:val="00BF4669"/>
    <w:rsid w:val="00BF4685"/>
    <w:rsid w:val="00BF4739"/>
    <w:rsid w:val="00BF4FF9"/>
    <w:rsid w:val="00BF52D3"/>
    <w:rsid w:val="00BF5677"/>
    <w:rsid w:val="00BF5A29"/>
    <w:rsid w:val="00BF5F29"/>
    <w:rsid w:val="00BF5FF1"/>
    <w:rsid w:val="00BF6033"/>
    <w:rsid w:val="00BF639C"/>
    <w:rsid w:val="00BF68C4"/>
    <w:rsid w:val="00BF6914"/>
    <w:rsid w:val="00BF6A1C"/>
    <w:rsid w:val="00BF6C07"/>
    <w:rsid w:val="00BF7180"/>
    <w:rsid w:val="00BF7455"/>
    <w:rsid w:val="00BF74C6"/>
    <w:rsid w:val="00BF758E"/>
    <w:rsid w:val="00BF760B"/>
    <w:rsid w:val="00BF76DF"/>
    <w:rsid w:val="00BF7717"/>
    <w:rsid w:val="00BF7804"/>
    <w:rsid w:val="00BF7933"/>
    <w:rsid w:val="00BF7A9B"/>
    <w:rsid w:val="00BF7E74"/>
    <w:rsid w:val="00C0006D"/>
    <w:rsid w:val="00C00128"/>
    <w:rsid w:val="00C001A4"/>
    <w:rsid w:val="00C00481"/>
    <w:rsid w:val="00C0075E"/>
    <w:rsid w:val="00C007C7"/>
    <w:rsid w:val="00C00827"/>
    <w:rsid w:val="00C009E4"/>
    <w:rsid w:val="00C00D78"/>
    <w:rsid w:val="00C00E6A"/>
    <w:rsid w:val="00C01394"/>
    <w:rsid w:val="00C018E2"/>
    <w:rsid w:val="00C01FFE"/>
    <w:rsid w:val="00C0201F"/>
    <w:rsid w:val="00C020E0"/>
    <w:rsid w:val="00C02575"/>
    <w:rsid w:val="00C025E3"/>
    <w:rsid w:val="00C0296D"/>
    <w:rsid w:val="00C02F0E"/>
    <w:rsid w:val="00C03050"/>
    <w:rsid w:val="00C030C6"/>
    <w:rsid w:val="00C03462"/>
    <w:rsid w:val="00C036F6"/>
    <w:rsid w:val="00C0372D"/>
    <w:rsid w:val="00C039BF"/>
    <w:rsid w:val="00C03C7B"/>
    <w:rsid w:val="00C03EC9"/>
    <w:rsid w:val="00C03F53"/>
    <w:rsid w:val="00C04220"/>
    <w:rsid w:val="00C0430D"/>
    <w:rsid w:val="00C04369"/>
    <w:rsid w:val="00C04537"/>
    <w:rsid w:val="00C04D42"/>
    <w:rsid w:val="00C04E94"/>
    <w:rsid w:val="00C04FFE"/>
    <w:rsid w:val="00C05122"/>
    <w:rsid w:val="00C05137"/>
    <w:rsid w:val="00C05220"/>
    <w:rsid w:val="00C0529C"/>
    <w:rsid w:val="00C0540B"/>
    <w:rsid w:val="00C058E0"/>
    <w:rsid w:val="00C05F1E"/>
    <w:rsid w:val="00C05F97"/>
    <w:rsid w:val="00C06185"/>
    <w:rsid w:val="00C065B1"/>
    <w:rsid w:val="00C06795"/>
    <w:rsid w:val="00C06BE8"/>
    <w:rsid w:val="00C0736C"/>
    <w:rsid w:val="00C07900"/>
    <w:rsid w:val="00C07A43"/>
    <w:rsid w:val="00C07BA8"/>
    <w:rsid w:val="00C07C6C"/>
    <w:rsid w:val="00C07ECD"/>
    <w:rsid w:val="00C07F72"/>
    <w:rsid w:val="00C1010F"/>
    <w:rsid w:val="00C10674"/>
    <w:rsid w:val="00C106F1"/>
    <w:rsid w:val="00C10E14"/>
    <w:rsid w:val="00C118DA"/>
    <w:rsid w:val="00C118FD"/>
    <w:rsid w:val="00C11A98"/>
    <w:rsid w:val="00C11AA4"/>
    <w:rsid w:val="00C11EF6"/>
    <w:rsid w:val="00C11F39"/>
    <w:rsid w:val="00C11F75"/>
    <w:rsid w:val="00C12B13"/>
    <w:rsid w:val="00C1337D"/>
    <w:rsid w:val="00C134BC"/>
    <w:rsid w:val="00C137C8"/>
    <w:rsid w:val="00C139D1"/>
    <w:rsid w:val="00C13A59"/>
    <w:rsid w:val="00C13B13"/>
    <w:rsid w:val="00C142FB"/>
    <w:rsid w:val="00C14BC0"/>
    <w:rsid w:val="00C14BE7"/>
    <w:rsid w:val="00C150E6"/>
    <w:rsid w:val="00C151A9"/>
    <w:rsid w:val="00C15301"/>
    <w:rsid w:val="00C156F4"/>
    <w:rsid w:val="00C15B3A"/>
    <w:rsid w:val="00C16201"/>
    <w:rsid w:val="00C16321"/>
    <w:rsid w:val="00C16A04"/>
    <w:rsid w:val="00C1779A"/>
    <w:rsid w:val="00C17811"/>
    <w:rsid w:val="00C1789E"/>
    <w:rsid w:val="00C1791D"/>
    <w:rsid w:val="00C17C3E"/>
    <w:rsid w:val="00C17D5F"/>
    <w:rsid w:val="00C202E5"/>
    <w:rsid w:val="00C20678"/>
    <w:rsid w:val="00C20775"/>
    <w:rsid w:val="00C20B7B"/>
    <w:rsid w:val="00C212F2"/>
    <w:rsid w:val="00C21506"/>
    <w:rsid w:val="00C2191D"/>
    <w:rsid w:val="00C21EF2"/>
    <w:rsid w:val="00C220AD"/>
    <w:rsid w:val="00C220B8"/>
    <w:rsid w:val="00C220F0"/>
    <w:rsid w:val="00C22189"/>
    <w:rsid w:val="00C222F6"/>
    <w:rsid w:val="00C2287F"/>
    <w:rsid w:val="00C229E6"/>
    <w:rsid w:val="00C22D04"/>
    <w:rsid w:val="00C22DBF"/>
    <w:rsid w:val="00C23012"/>
    <w:rsid w:val="00C23286"/>
    <w:rsid w:val="00C23366"/>
    <w:rsid w:val="00C23573"/>
    <w:rsid w:val="00C2395A"/>
    <w:rsid w:val="00C23ABF"/>
    <w:rsid w:val="00C23C07"/>
    <w:rsid w:val="00C24256"/>
    <w:rsid w:val="00C24342"/>
    <w:rsid w:val="00C248A6"/>
    <w:rsid w:val="00C24991"/>
    <w:rsid w:val="00C25394"/>
    <w:rsid w:val="00C25C9A"/>
    <w:rsid w:val="00C261C9"/>
    <w:rsid w:val="00C2678D"/>
    <w:rsid w:val="00C27123"/>
    <w:rsid w:val="00C27481"/>
    <w:rsid w:val="00C27734"/>
    <w:rsid w:val="00C27C23"/>
    <w:rsid w:val="00C27E3A"/>
    <w:rsid w:val="00C27E81"/>
    <w:rsid w:val="00C3015A"/>
    <w:rsid w:val="00C302DC"/>
    <w:rsid w:val="00C30652"/>
    <w:rsid w:val="00C30711"/>
    <w:rsid w:val="00C309D8"/>
    <w:rsid w:val="00C30CAE"/>
    <w:rsid w:val="00C312ED"/>
    <w:rsid w:val="00C312FD"/>
    <w:rsid w:val="00C31554"/>
    <w:rsid w:val="00C31704"/>
    <w:rsid w:val="00C31860"/>
    <w:rsid w:val="00C31F0F"/>
    <w:rsid w:val="00C322E0"/>
    <w:rsid w:val="00C324E2"/>
    <w:rsid w:val="00C32531"/>
    <w:rsid w:val="00C3254A"/>
    <w:rsid w:val="00C327EF"/>
    <w:rsid w:val="00C32996"/>
    <w:rsid w:val="00C32CA6"/>
    <w:rsid w:val="00C336C9"/>
    <w:rsid w:val="00C336DB"/>
    <w:rsid w:val="00C338EC"/>
    <w:rsid w:val="00C33904"/>
    <w:rsid w:val="00C34022"/>
    <w:rsid w:val="00C34132"/>
    <w:rsid w:val="00C3434B"/>
    <w:rsid w:val="00C34D35"/>
    <w:rsid w:val="00C34FC2"/>
    <w:rsid w:val="00C350BD"/>
    <w:rsid w:val="00C3518F"/>
    <w:rsid w:val="00C35571"/>
    <w:rsid w:val="00C355E2"/>
    <w:rsid w:val="00C35C78"/>
    <w:rsid w:val="00C35E75"/>
    <w:rsid w:val="00C3693B"/>
    <w:rsid w:val="00C36FD9"/>
    <w:rsid w:val="00C37142"/>
    <w:rsid w:val="00C37376"/>
    <w:rsid w:val="00C37493"/>
    <w:rsid w:val="00C3782A"/>
    <w:rsid w:val="00C378A4"/>
    <w:rsid w:val="00C37EDA"/>
    <w:rsid w:val="00C40324"/>
    <w:rsid w:val="00C40508"/>
    <w:rsid w:val="00C406AF"/>
    <w:rsid w:val="00C407A1"/>
    <w:rsid w:val="00C40B2F"/>
    <w:rsid w:val="00C40BB3"/>
    <w:rsid w:val="00C40BCE"/>
    <w:rsid w:val="00C4103C"/>
    <w:rsid w:val="00C4114D"/>
    <w:rsid w:val="00C4158B"/>
    <w:rsid w:val="00C4164F"/>
    <w:rsid w:val="00C4181B"/>
    <w:rsid w:val="00C41935"/>
    <w:rsid w:val="00C4203D"/>
    <w:rsid w:val="00C4210C"/>
    <w:rsid w:val="00C424B3"/>
    <w:rsid w:val="00C42E78"/>
    <w:rsid w:val="00C42F41"/>
    <w:rsid w:val="00C42F64"/>
    <w:rsid w:val="00C42F6B"/>
    <w:rsid w:val="00C42FC1"/>
    <w:rsid w:val="00C431D3"/>
    <w:rsid w:val="00C431E6"/>
    <w:rsid w:val="00C432E4"/>
    <w:rsid w:val="00C433A8"/>
    <w:rsid w:val="00C4387E"/>
    <w:rsid w:val="00C4391A"/>
    <w:rsid w:val="00C43997"/>
    <w:rsid w:val="00C43C54"/>
    <w:rsid w:val="00C43CB0"/>
    <w:rsid w:val="00C43E5E"/>
    <w:rsid w:val="00C44266"/>
    <w:rsid w:val="00C44309"/>
    <w:rsid w:val="00C44648"/>
    <w:rsid w:val="00C446C4"/>
    <w:rsid w:val="00C448C0"/>
    <w:rsid w:val="00C4498F"/>
    <w:rsid w:val="00C45118"/>
    <w:rsid w:val="00C4580D"/>
    <w:rsid w:val="00C45818"/>
    <w:rsid w:val="00C45874"/>
    <w:rsid w:val="00C45CC8"/>
    <w:rsid w:val="00C45DA1"/>
    <w:rsid w:val="00C46157"/>
    <w:rsid w:val="00C4661D"/>
    <w:rsid w:val="00C46788"/>
    <w:rsid w:val="00C46AD3"/>
    <w:rsid w:val="00C46C85"/>
    <w:rsid w:val="00C470E6"/>
    <w:rsid w:val="00C476FE"/>
    <w:rsid w:val="00C47924"/>
    <w:rsid w:val="00C4796E"/>
    <w:rsid w:val="00C502D2"/>
    <w:rsid w:val="00C5072A"/>
    <w:rsid w:val="00C50A2D"/>
    <w:rsid w:val="00C50E73"/>
    <w:rsid w:val="00C50F75"/>
    <w:rsid w:val="00C510D4"/>
    <w:rsid w:val="00C51262"/>
    <w:rsid w:val="00C513FB"/>
    <w:rsid w:val="00C51702"/>
    <w:rsid w:val="00C519F2"/>
    <w:rsid w:val="00C51BEA"/>
    <w:rsid w:val="00C51E4F"/>
    <w:rsid w:val="00C522B2"/>
    <w:rsid w:val="00C52930"/>
    <w:rsid w:val="00C529C3"/>
    <w:rsid w:val="00C52CE2"/>
    <w:rsid w:val="00C52D0D"/>
    <w:rsid w:val="00C53179"/>
    <w:rsid w:val="00C5329B"/>
    <w:rsid w:val="00C532C0"/>
    <w:rsid w:val="00C53B6F"/>
    <w:rsid w:val="00C53B9D"/>
    <w:rsid w:val="00C53F8E"/>
    <w:rsid w:val="00C54303"/>
    <w:rsid w:val="00C54352"/>
    <w:rsid w:val="00C54410"/>
    <w:rsid w:val="00C54585"/>
    <w:rsid w:val="00C54917"/>
    <w:rsid w:val="00C54C97"/>
    <w:rsid w:val="00C54CA4"/>
    <w:rsid w:val="00C55529"/>
    <w:rsid w:val="00C555A1"/>
    <w:rsid w:val="00C5610B"/>
    <w:rsid w:val="00C56452"/>
    <w:rsid w:val="00C569DE"/>
    <w:rsid w:val="00C56B0B"/>
    <w:rsid w:val="00C56DD6"/>
    <w:rsid w:val="00C570E9"/>
    <w:rsid w:val="00C572D4"/>
    <w:rsid w:val="00C5745C"/>
    <w:rsid w:val="00C574C7"/>
    <w:rsid w:val="00C5771F"/>
    <w:rsid w:val="00C57BC6"/>
    <w:rsid w:val="00C57DE2"/>
    <w:rsid w:val="00C603BB"/>
    <w:rsid w:val="00C60610"/>
    <w:rsid w:val="00C60644"/>
    <w:rsid w:val="00C60652"/>
    <w:rsid w:val="00C60872"/>
    <w:rsid w:val="00C60E34"/>
    <w:rsid w:val="00C6173D"/>
    <w:rsid w:val="00C618B4"/>
    <w:rsid w:val="00C61F8C"/>
    <w:rsid w:val="00C622B4"/>
    <w:rsid w:val="00C6243B"/>
    <w:rsid w:val="00C626D7"/>
    <w:rsid w:val="00C628EA"/>
    <w:rsid w:val="00C6299F"/>
    <w:rsid w:val="00C62C13"/>
    <w:rsid w:val="00C62C85"/>
    <w:rsid w:val="00C62CB3"/>
    <w:rsid w:val="00C62D4D"/>
    <w:rsid w:val="00C6371A"/>
    <w:rsid w:val="00C63763"/>
    <w:rsid w:val="00C640B8"/>
    <w:rsid w:val="00C644E9"/>
    <w:rsid w:val="00C6490C"/>
    <w:rsid w:val="00C64D1F"/>
    <w:rsid w:val="00C6510D"/>
    <w:rsid w:val="00C65149"/>
    <w:rsid w:val="00C654AC"/>
    <w:rsid w:val="00C655E1"/>
    <w:rsid w:val="00C6589A"/>
    <w:rsid w:val="00C658D6"/>
    <w:rsid w:val="00C659F4"/>
    <w:rsid w:val="00C662EE"/>
    <w:rsid w:val="00C665CA"/>
    <w:rsid w:val="00C66B1D"/>
    <w:rsid w:val="00C66B85"/>
    <w:rsid w:val="00C66E59"/>
    <w:rsid w:val="00C67908"/>
    <w:rsid w:val="00C700EA"/>
    <w:rsid w:val="00C70418"/>
    <w:rsid w:val="00C705EB"/>
    <w:rsid w:val="00C70818"/>
    <w:rsid w:val="00C70ABE"/>
    <w:rsid w:val="00C70C2C"/>
    <w:rsid w:val="00C70C8F"/>
    <w:rsid w:val="00C70DEA"/>
    <w:rsid w:val="00C71073"/>
    <w:rsid w:val="00C7204E"/>
    <w:rsid w:val="00C72501"/>
    <w:rsid w:val="00C7270F"/>
    <w:rsid w:val="00C72960"/>
    <w:rsid w:val="00C72EC9"/>
    <w:rsid w:val="00C73294"/>
    <w:rsid w:val="00C733C5"/>
    <w:rsid w:val="00C733EF"/>
    <w:rsid w:val="00C737AF"/>
    <w:rsid w:val="00C73C3A"/>
    <w:rsid w:val="00C7414D"/>
    <w:rsid w:val="00C74707"/>
    <w:rsid w:val="00C74730"/>
    <w:rsid w:val="00C74AE0"/>
    <w:rsid w:val="00C74ED0"/>
    <w:rsid w:val="00C7507D"/>
    <w:rsid w:val="00C7521F"/>
    <w:rsid w:val="00C75439"/>
    <w:rsid w:val="00C754DE"/>
    <w:rsid w:val="00C75715"/>
    <w:rsid w:val="00C757DB"/>
    <w:rsid w:val="00C7592D"/>
    <w:rsid w:val="00C75EC8"/>
    <w:rsid w:val="00C7630B"/>
    <w:rsid w:val="00C766F2"/>
    <w:rsid w:val="00C76815"/>
    <w:rsid w:val="00C76C44"/>
    <w:rsid w:val="00C76D03"/>
    <w:rsid w:val="00C76EDB"/>
    <w:rsid w:val="00C7761A"/>
    <w:rsid w:val="00C7767D"/>
    <w:rsid w:val="00C777D8"/>
    <w:rsid w:val="00C77AB2"/>
    <w:rsid w:val="00C802CA"/>
    <w:rsid w:val="00C80377"/>
    <w:rsid w:val="00C80954"/>
    <w:rsid w:val="00C8096A"/>
    <w:rsid w:val="00C80B91"/>
    <w:rsid w:val="00C80BE8"/>
    <w:rsid w:val="00C80DCE"/>
    <w:rsid w:val="00C80E26"/>
    <w:rsid w:val="00C811BB"/>
    <w:rsid w:val="00C81234"/>
    <w:rsid w:val="00C8134A"/>
    <w:rsid w:val="00C817E8"/>
    <w:rsid w:val="00C819C2"/>
    <w:rsid w:val="00C819E6"/>
    <w:rsid w:val="00C8210E"/>
    <w:rsid w:val="00C8247F"/>
    <w:rsid w:val="00C824A7"/>
    <w:rsid w:val="00C82AAF"/>
    <w:rsid w:val="00C82D62"/>
    <w:rsid w:val="00C82EDA"/>
    <w:rsid w:val="00C83132"/>
    <w:rsid w:val="00C83388"/>
    <w:rsid w:val="00C83390"/>
    <w:rsid w:val="00C835B5"/>
    <w:rsid w:val="00C83CA6"/>
    <w:rsid w:val="00C841D1"/>
    <w:rsid w:val="00C8466B"/>
    <w:rsid w:val="00C84AF1"/>
    <w:rsid w:val="00C85149"/>
    <w:rsid w:val="00C85681"/>
    <w:rsid w:val="00C856E8"/>
    <w:rsid w:val="00C856ED"/>
    <w:rsid w:val="00C8579B"/>
    <w:rsid w:val="00C85D9C"/>
    <w:rsid w:val="00C85DA6"/>
    <w:rsid w:val="00C85EFB"/>
    <w:rsid w:val="00C86768"/>
    <w:rsid w:val="00C86FAB"/>
    <w:rsid w:val="00C870F8"/>
    <w:rsid w:val="00C871A3"/>
    <w:rsid w:val="00C87952"/>
    <w:rsid w:val="00C87EED"/>
    <w:rsid w:val="00C87F6C"/>
    <w:rsid w:val="00C87F7E"/>
    <w:rsid w:val="00C87FE9"/>
    <w:rsid w:val="00C90308"/>
    <w:rsid w:val="00C90D69"/>
    <w:rsid w:val="00C90F7F"/>
    <w:rsid w:val="00C912A5"/>
    <w:rsid w:val="00C9161B"/>
    <w:rsid w:val="00C91A0A"/>
    <w:rsid w:val="00C91C2C"/>
    <w:rsid w:val="00C91D98"/>
    <w:rsid w:val="00C91DD6"/>
    <w:rsid w:val="00C91E71"/>
    <w:rsid w:val="00C91E84"/>
    <w:rsid w:val="00C91EBC"/>
    <w:rsid w:val="00C91F94"/>
    <w:rsid w:val="00C92186"/>
    <w:rsid w:val="00C922C5"/>
    <w:rsid w:val="00C9238F"/>
    <w:rsid w:val="00C92508"/>
    <w:rsid w:val="00C9255E"/>
    <w:rsid w:val="00C92890"/>
    <w:rsid w:val="00C92D4D"/>
    <w:rsid w:val="00C92DC2"/>
    <w:rsid w:val="00C934C7"/>
    <w:rsid w:val="00C93505"/>
    <w:rsid w:val="00C93A07"/>
    <w:rsid w:val="00C93B1B"/>
    <w:rsid w:val="00C93F43"/>
    <w:rsid w:val="00C9454B"/>
    <w:rsid w:val="00C94AE7"/>
    <w:rsid w:val="00C94E93"/>
    <w:rsid w:val="00C94EFE"/>
    <w:rsid w:val="00C95065"/>
    <w:rsid w:val="00C9523F"/>
    <w:rsid w:val="00C95261"/>
    <w:rsid w:val="00C95280"/>
    <w:rsid w:val="00C95297"/>
    <w:rsid w:val="00C952DE"/>
    <w:rsid w:val="00C9543B"/>
    <w:rsid w:val="00C955B9"/>
    <w:rsid w:val="00C955E6"/>
    <w:rsid w:val="00C956CD"/>
    <w:rsid w:val="00C956EA"/>
    <w:rsid w:val="00C95A3E"/>
    <w:rsid w:val="00C95ABE"/>
    <w:rsid w:val="00C95C45"/>
    <w:rsid w:val="00C95D87"/>
    <w:rsid w:val="00C95ED5"/>
    <w:rsid w:val="00C965B1"/>
    <w:rsid w:val="00C965D8"/>
    <w:rsid w:val="00C96E69"/>
    <w:rsid w:val="00C971C3"/>
    <w:rsid w:val="00C97346"/>
    <w:rsid w:val="00C9774D"/>
    <w:rsid w:val="00C97983"/>
    <w:rsid w:val="00CA00D2"/>
    <w:rsid w:val="00CA03DF"/>
    <w:rsid w:val="00CA15AB"/>
    <w:rsid w:val="00CA15CB"/>
    <w:rsid w:val="00CA1B7E"/>
    <w:rsid w:val="00CA1E02"/>
    <w:rsid w:val="00CA228A"/>
    <w:rsid w:val="00CA23F7"/>
    <w:rsid w:val="00CA2929"/>
    <w:rsid w:val="00CA293E"/>
    <w:rsid w:val="00CA299B"/>
    <w:rsid w:val="00CA2B40"/>
    <w:rsid w:val="00CA2C96"/>
    <w:rsid w:val="00CA3039"/>
    <w:rsid w:val="00CA3056"/>
    <w:rsid w:val="00CA3189"/>
    <w:rsid w:val="00CA3245"/>
    <w:rsid w:val="00CA3412"/>
    <w:rsid w:val="00CA3713"/>
    <w:rsid w:val="00CA4343"/>
    <w:rsid w:val="00CA4938"/>
    <w:rsid w:val="00CA4E1A"/>
    <w:rsid w:val="00CA50F0"/>
    <w:rsid w:val="00CA564D"/>
    <w:rsid w:val="00CA56AB"/>
    <w:rsid w:val="00CA5874"/>
    <w:rsid w:val="00CA5BBC"/>
    <w:rsid w:val="00CA5E8C"/>
    <w:rsid w:val="00CA611C"/>
    <w:rsid w:val="00CA6645"/>
    <w:rsid w:val="00CA6A95"/>
    <w:rsid w:val="00CA6FD6"/>
    <w:rsid w:val="00CA7CDD"/>
    <w:rsid w:val="00CA7EC1"/>
    <w:rsid w:val="00CB019F"/>
    <w:rsid w:val="00CB0D64"/>
    <w:rsid w:val="00CB0F02"/>
    <w:rsid w:val="00CB105A"/>
    <w:rsid w:val="00CB16B6"/>
    <w:rsid w:val="00CB1865"/>
    <w:rsid w:val="00CB19B4"/>
    <w:rsid w:val="00CB1D06"/>
    <w:rsid w:val="00CB2094"/>
    <w:rsid w:val="00CB2175"/>
    <w:rsid w:val="00CB2A16"/>
    <w:rsid w:val="00CB2B5E"/>
    <w:rsid w:val="00CB2DB9"/>
    <w:rsid w:val="00CB3086"/>
    <w:rsid w:val="00CB3413"/>
    <w:rsid w:val="00CB34A6"/>
    <w:rsid w:val="00CB368A"/>
    <w:rsid w:val="00CB3AA7"/>
    <w:rsid w:val="00CB3C46"/>
    <w:rsid w:val="00CB3D48"/>
    <w:rsid w:val="00CB3DAE"/>
    <w:rsid w:val="00CB3DC6"/>
    <w:rsid w:val="00CB3F9D"/>
    <w:rsid w:val="00CB48E3"/>
    <w:rsid w:val="00CB4E6D"/>
    <w:rsid w:val="00CB4EFD"/>
    <w:rsid w:val="00CB5074"/>
    <w:rsid w:val="00CB5181"/>
    <w:rsid w:val="00CB52D2"/>
    <w:rsid w:val="00CB548A"/>
    <w:rsid w:val="00CB55F9"/>
    <w:rsid w:val="00CB57B0"/>
    <w:rsid w:val="00CB5A4A"/>
    <w:rsid w:val="00CB5A81"/>
    <w:rsid w:val="00CB5B93"/>
    <w:rsid w:val="00CB5C35"/>
    <w:rsid w:val="00CB5CB0"/>
    <w:rsid w:val="00CB5E21"/>
    <w:rsid w:val="00CB6D5D"/>
    <w:rsid w:val="00CB79BF"/>
    <w:rsid w:val="00CB7A5E"/>
    <w:rsid w:val="00CB7A94"/>
    <w:rsid w:val="00CC04B8"/>
    <w:rsid w:val="00CC0502"/>
    <w:rsid w:val="00CC0945"/>
    <w:rsid w:val="00CC10E7"/>
    <w:rsid w:val="00CC10F5"/>
    <w:rsid w:val="00CC189C"/>
    <w:rsid w:val="00CC1C3D"/>
    <w:rsid w:val="00CC1FCD"/>
    <w:rsid w:val="00CC22CD"/>
    <w:rsid w:val="00CC23F4"/>
    <w:rsid w:val="00CC25BD"/>
    <w:rsid w:val="00CC2948"/>
    <w:rsid w:val="00CC2B45"/>
    <w:rsid w:val="00CC2B69"/>
    <w:rsid w:val="00CC2ECF"/>
    <w:rsid w:val="00CC333C"/>
    <w:rsid w:val="00CC355A"/>
    <w:rsid w:val="00CC3F0D"/>
    <w:rsid w:val="00CC43EC"/>
    <w:rsid w:val="00CC4481"/>
    <w:rsid w:val="00CC4560"/>
    <w:rsid w:val="00CC45AD"/>
    <w:rsid w:val="00CC46C8"/>
    <w:rsid w:val="00CC475A"/>
    <w:rsid w:val="00CC47BD"/>
    <w:rsid w:val="00CC4BED"/>
    <w:rsid w:val="00CC4D24"/>
    <w:rsid w:val="00CC4D35"/>
    <w:rsid w:val="00CC4EB2"/>
    <w:rsid w:val="00CC4EB6"/>
    <w:rsid w:val="00CC4FE4"/>
    <w:rsid w:val="00CC50BD"/>
    <w:rsid w:val="00CC571B"/>
    <w:rsid w:val="00CC5751"/>
    <w:rsid w:val="00CC5785"/>
    <w:rsid w:val="00CC57A0"/>
    <w:rsid w:val="00CC5CE5"/>
    <w:rsid w:val="00CC5EB9"/>
    <w:rsid w:val="00CC6084"/>
    <w:rsid w:val="00CC6767"/>
    <w:rsid w:val="00CC687A"/>
    <w:rsid w:val="00CC6938"/>
    <w:rsid w:val="00CC6C5C"/>
    <w:rsid w:val="00CC73BE"/>
    <w:rsid w:val="00CC741A"/>
    <w:rsid w:val="00CC7B73"/>
    <w:rsid w:val="00CC7E24"/>
    <w:rsid w:val="00CC7E62"/>
    <w:rsid w:val="00CD06A3"/>
    <w:rsid w:val="00CD070D"/>
    <w:rsid w:val="00CD07E2"/>
    <w:rsid w:val="00CD0ACE"/>
    <w:rsid w:val="00CD0DA7"/>
    <w:rsid w:val="00CD0DC8"/>
    <w:rsid w:val="00CD0EB5"/>
    <w:rsid w:val="00CD0F93"/>
    <w:rsid w:val="00CD12C2"/>
    <w:rsid w:val="00CD1416"/>
    <w:rsid w:val="00CD1471"/>
    <w:rsid w:val="00CD163A"/>
    <w:rsid w:val="00CD187E"/>
    <w:rsid w:val="00CD1A3C"/>
    <w:rsid w:val="00CD1D97"/>
    <w:rsid w:val="00CD1ED9"/>
    <w:rsid w:val="00CD1F59"/>
    <w:rsid w:val="00CD21B5"/>
    <w:rsid w:val="00CD2638"/>
    <w:rsid w:val="00CD2770"/>
    <w:rsid w:val="00CD2875"/>
    <w:rsid w:val="00CD29AA"/>
    <w:rsid w:val="00CD3117"/>
    <w:rsid w:val="00CD34BA"/>
    <w:rsid w:val="00CD3535"/>
    <w:rsid w:val="00CD3755"/>
    <w:rsid w:val="00CD3B72"/>
    <w:rsid w:val="00CD3D55"/>
    <w:rsid w:val="00CD401B"/>
    <w:rsid w:val="00CD424F"/>
    <w:rsid w:val="00CD4829"/>
    <w:rsid w:val="00CD48CA"/>
    <w:rsid w:val="00CD4B55"/>
    <w:rsid w:val="00CD4C45"/>
    <w:rsid w:val="00CD4C53"/>
    <w:rsid w:val="00CD4D23"/>
    <w:rsid w:val="00CD552C"/>
    <w:rsid w:val="00CD55A6"/>
    <w:rsid w:val="00CD5874"/>
    <w:rsid w:val="00CD5A0D"/>
    <w:rsid w:val="00CD5B13"/>
    <w:rsid w:val="00CD5CB4"/>
    <w:rsid w:val="00CD5D0D"/>
    <w:rsid w:val="00CD5D3D"/>
    <w:rsid w:val="00CD5E48"/>
    <w:rsid w:val="00CD62A1"/>
    <w:rsid w:val="00CD63AA"/>
    <w:rsid w:val="00CD68A1"/>
    <w:rsid w:val="00CD6A64"/>
    <w:rsid w:val="00CD6B9C"/>
    <w:rsid w:val="00CD707A"/>
    <w:rsid w:val="00CD72B7"/>
    <w:rsid w:val="00CD7897"/>
    <w:rsid w:val="00CD7C7E"/>
    <w:rsid w:val="00CD7C8F"/>
    <w:rsid w:val="00CD7D38"/>
    <w:rsid w:val="00CE00B0"/>
    <w:rsid w:val="00CE0466"/>
    <w:rsid w:val="00CE04D2"/>
    <w:rsid w:val="00CE0810"/>
    <w:rsid w:val="00CE0AB9"/>
    <w:rsid w:val="00CE0C3C"/>
    <w:rsid w:val="00CE0CAB"/>
    <w:rsid w:val="00CE125E"/>
    <w:rsid w:val="00CE1556"/>
    <w:rsid w:val="00CE1BD1"/>
    <w:rsid w:val="00CE1C20"/>
    <w:rsid w:val="00CE1CF2"/>
    <w:rsid w:val="00CE1ED4"/>
    <w:rsid w:val="00CE1FC3"/>
    <w:rsid w:val="00CE230E"/>
    <w:rsid w:val="00CE2400"/>
    <w:rsid w:val="00CE26D9"/>
    <w:rsid w:val="00CE2722"/>
    <w:rsid w:val="00CE277B"/>
    <w:rsid w:val="00CE2B18"/>
    <w:rsid w:val="00CE2E6C"/>
    <w:rsid w:val="00CE2F0B"/>
    <w:rsid w:val="00CE3017"/>
    <w:rsid w:val="00CE3025"/>
    <w:rsid w:val="00CE3601"/>
    <w:rsid w:val="00CE3677"/>
    <w:rsid w:val="00CE3787"/>
    <w:rsid w:val="00CE3AC5"/>
    <w:rsid w:val="00CE3C3D"/>
    <w:rsid w:val="00CE3D05"/>
    <w:rsid w:val="00CE3DCE"/>
    <w:rsid w:val="00CE48DE"/>
    <w:rsid w:val="00CE4AD3"/>
    <w:rsid w:val="00CE4B54"/>
    <w:rsid w:val="00CE4C2D"/>
    <w:rsid w:val="00CE4F33"/>
    <w:rsid w:val="00CE5808"/>
    <w:rsid w:val="00CE589E"/>
    <w:rsid w:val="00CE5923"/>
    <w:rsid w:val="00CE5961"/>
    <w:rsid w:val="00CE5A00"/>
    <w:rsid w:val="00CE5B74"/>
    <w:rsid w:val="00CE5C38"/>
    <w:rsid w:val="00CE5F0E"/>
    <w:rsid w:val="00CE600B"/>
    <w:rsid w:val="00CE605F"/>
    <w:rsid w:val="00CE61F1"/>
    <w:rsid w:val="00CE64D5"/>
    <w:rsid w:val="00CE65CD"/>
    <w:rsid w:val="00CE6606"/>
    <w:rsid w:val="00CE6691"/>
    <w:rsid w:val="00CE6884"/>
    <w:rsid w:val="00CE6923"/>
    <w:rsid w:val="00CE69BA"/>
    <w:rsid w:val="00CE6BA6"/>
    <w:rsid w:val="00CE72EB"/>
    <w:rsid w:val="00CE769E"/>
    <w:rsid w:val="00CE773A"/>
    <w:rsid w:val="00CE7743"/>
    <w:rsid w:val="00CE77AA"/>
    <w:rsid w:val="00CE77AF"/>
    <w:rsid w:val="00CE77F7"/>
    <w:rsid w:val="00CF051B"/>
    <w:rsid w:val="00CF0823"/>
    <w:rsid w:val="00CF0C10"/>
    <w:rsid w:val="00CF0E41"/>
    <w:rsid w:val="00CF128D"/>
    <w:rsid w:val="00CF12A0"/>
    <w:rsid w:val="00CF12FA"/>
    <w:rsid w:val="00CF169B"/>
    <w:rsid w:val="00CF18A3"/>
    <w:rsid w:val="00CF2068"/>
    <w:rsid w:val="00CF2C1E"/>
    <w:rsid w:val="00CF2C9B"/>
    <w:rsid w:val="00CF2F43"/>
    <w:rsid w:val="00CF388A"/>
    <w:rsid w:val="00CF3D0E"/>
    <w:rsid w:val="00CF4014"/>
    <w:rsid w:val="00CF4270"/>
    <w:rsid w:val="00CF4563"/>
    <w:rsid w:val="00CF46D1"/>
    <w:rsid w:val="00CF49CD"/>
    <w:rsid w:val="00CF4B68"/>
    <w:rsid w:val="00CF4D5E"/>
    <w:rsid w:val="00CF4F68"/>
    <w:rsid w:val="00CF524B"/>
    <w:rsid w:val="00CF52D4"/>
    <w:rsid w:val="00CF5BE1"/>
    <w:rsid w:val="00CF5DCE"/>
    <w:rsid w:val="00CF5E33"/>
    <w:rsid w:val="00CF602B"/>
    <w:rsid w:val="00CF6192"/>
    <w:rsid w:val="00CF6744"/>
    <w:rsid w:val="00CF7199"/>
    <w:rsid w:val="00CF7543"/>
    <w:rsid w:val="00CF76AB"/>
    <w:rsid w:val="00CF7C6F"/>
    <w:rsid w:val="00CF7F39"/>
    <w:rsid w:val="00D0018E"/>
    <w:rsid w:val="00D0033B"/>
    <w:rsid w:val="00D003BE"/>
    <w:rsid w:val="00D003D7"/>
    <w:rsid w:val="00D00405"/>
    <w:rsid w:val="00D00449"/>
    <w:rsid w:val="00D00513"/>
    <w:rsid w:val="00D00631"/>
    <w:rsid w:val="00D0072A"/>
    <w:rsid w:val="00D00986"/>
    <w:rsid w:val="00D009C7"/>
    <w:rsid w:val="00D00A06"/>
    <w:rsid w:val="00D00CCB"/>
    <w:rsid w:val="00D00D4A"/>
    <w:rsid w:val="00D00E07"/>
    <w:rsid w:val="00D00F21"/>
    <w:rsid w:val="00D00F3D"/>
    <w:rsid w:val="00D00F86"/>
    <w:rsid w:val="00D0153D"/>
    <w:rsid w:val="00D016EE"/>
    <w:rsid w:val="00D0183A"/>
    <w:rsid w:val="00D01B74"/>
    <w:rsid w:val="00D0210B"/>
    <w:rsid w:val="00D02419"/>
    <w:rsid w:val="00D02441"/>
    <w:rsid w:val="00D029C6"/>
    <w:rsid w:val="00D02ABD"/>
    <w:rsid w:val="00D02C97"/>
    <w:rsid w:val="00D03075"/>
    <w:rsid w:val="00D032D9"/>
    <w:rsid w:val="00D038CB"/>
    <w:rsid w:val="00D03906"/>
    <w:rsid w:val="00D03AD2"/>
    <w:rsid w:val="00D03BB1"/>
    <w:rsid w:val="00D03C8B"/>
    <w:rsid w:val="00D04003"/>
    <w:rsid w:val="00D043D1"/>
    <w:rsid w:val="00D04B05"/>
    <w:rsid w:val="00D04CA3"/>
    <w:rsid w:val="00D04E5B"/>
    <w:rsid w:val="00D0505D"/>
    <w:rsid w:val="00D051C2"/>
    <w:rsid w:val="00D0554E"/>
    <w:rsid w:val="00D05677"/>
    <w:rsid w:val="00D05B82"/>
    <w:rsid w:val="00D05DF4"/>
    <w:rsid w:val="00D05E39"/>
    <w:rsid w:val="00D05F1E"/>
    <w:rsid w:val="00D060D7"/>
    <w:rsid w:val="00D060F8"/>
    <w:rsid w:val="00D0697A"/>
    <w:rsid w:val="00D06C0D"/>
    <w:rsid w:val="00D072DF"/>
    <w:rsid w:val="00D07564"/>
    <w:rsid w:val="00D0761C"/>
    <w:rsid w:val="00D07710"/>
    <w:rsid w:val="00D077B7"/>
    <w:rsid w:val="00D07D91"/>
    <w:rsid w:val="00D10416"/>
    <w:rsid w:val="00D104EE"/>
    <w:rsid w:val="00D10894"/>
    <w:rsid w:val="00D108B4"/>
    <w:rsid w:val="00D10AB2"/>
    <w:rsid w:val="00D10DBF"/>
    <w:rsid w:val="00D10FA6"/>
    <w:rsid w:val="00D111BC"/>
    <w:rsid w:val="00D113FF"/>
    <w:rsid w:val="00D117DF"/>
    <w:rsid w:val="00D1196C"/>
    <w:rsid w:val="00D11B7D"/>
    <w:rsid w:val="00D11F22"/>
    <w:rsid w:val="00D12740"/>
    <w:rsid w:val="00D128EA"/>
    <w:rsid w:val="00D129AB"/>
    <w:rsid w:val="00D12C8F"/>
    <w:rsid w:val="00D13063"/>
    <w:rsid w:val="00D1319B"/>
    <w:rsid w:val="00D13792"/>
    <w:rsid w:val="00D137E3"/>
    <w:rsid w:val="00D13C9A"/>
    <w:rsid w:val="00D13EA8"/>
    <w:rsid w:val="00D140F5"/>
    <w:rsid w:val="00D141F9"/>
    <w:rsid w:val="00D14295"/>
    <w:rsid w:val="00D146FD"/>
    <w:rsid w:val="00D14AEB"/>
    <w:rsid w:val="00D14CC9"/>
    <w:rsid w:val="00D14F11"/>
    <w:rsid w:val="00D15C7D"/>
    <w:rsid w:val="00D15E78"/>
    <w:rsid w:val="00D16361"/>
    <w:rsid w:val="00D1677A"/>
    <w:rsid w:val="00D16DFD"/>
    <w:rsid w:val="00D171D2"/>
    <w:rsid w:val="00D174E9"/>
    <w:rsid w:val="00D175F8"/>
    <w:rsid w:val="00D177C2"/>
    <w:rsid w:val="00D177F4"/>
    <w:rsid w:val="00D17CB3"/>
    <w:rsid w:val="00D20092"/>
    <w:rsid w:val="00D20B21"/>
    <w:rsid w:val="00D20C72"/>
    <w:rsid w:val="00D211E7"/>
    <w:rsid w:val="00D212E1"/>
    <w:rsid w:val="00D2137B"/>
    <w:rsid w:val="00D217A9"/>
    <w:rsid w:val="00D218B3"/>
    <w:rsid w:val="00D21B59"/>
    <w:rsid w:val="00D22A3F"/>
    <w:rsid w:val="00D2302D"/>
    <w:rsid w:val="00D2313D"/>
    <w:rsid w:val="00D23853"/>
    <w:rsid w:val="00D23BD3"/>
    <w:rsid w:val="00D23C97"/>
    <w:rsid w:val="00D23DCC"/>
    <w:rsid w:val="00D24423"/>
    <w:rsid w:val="00D24B78"/>
    <w:rsid w:val="00D24C6C"/>
    <w:rsid w:val="00D251D2"/>
    <w:rsid w:val="00D25315"/>
    <w:rsid w:val="00D2560F"/>
    <w:rsid w:val="00D25CB5"/>
    <w:rsid w:val="00D25EDD"/>
    <w:rsid w:val="00D26085"/>
    <w:rsid w:val="00D267F2"/>
    <w:rsid w:val="00D26800"/>
    <w:rsid w:val="00D2688C"/>
    <w:rsid w:val="00D26BED"/>
    <w:rsid w:val="00D26EC4"/>
    <w:rsid w:val="00D2765B"/>
    <w:rsid w:val="00D3075F"/>
    <w:rsid w:val="00D308A6"/>
    <w:rsid w:val="00D3090C"/>
    <w:rsid w:val="00D30C8F"/>
    <w:rsid w:val="00D30E17"/>
    <w:rsid w:val="00D31221"/>
    <w:rsid w:val="00D3148D"/>
    <w:rsid w:val="00D31615"/>
    <w:rsid w:val="00D31ACB"/>
    <w:rsid w:val="00D31ACE"/>
    <w:rsid w:val="00D31B01"/>
    <w:rsid w:val="00D31B71"/>
    <w:rsid w:val="00D31D91"/>
    <w:rsid w:val="00D31F39"/>
    <w:rsid w:val="00D3263E"/>
    <w:rsid w:val="00D326C4"/>
    <w:rsid w:val="00D328CF"/>
    <w:rsid w:val="00D32C82"/>
    <w:rsid w:val="00D32EBC"/>
    <w:rsid w:val="00D33113"/>
    <w:rsid w:val="00D333BA"/>
    <w:rsid w:val="00D335BF"/>
    <w:rsid w:val="00D33A13"/>
    <w:rsid w:val="00D33A6B"/>
    <w:rsid w:val="00D33D0D"/>
    <w:rsid w:val="00D33E92"/>
    <w:rsid w:val="00D3406B"/>
    <w:rsid w:val="00D34629"/>
    <w:rsid w:val="00D34D19"/>
    <w:rsid w:val="00D3583A"/>
    <w:rsid w:val="00D3598C"/>
    <w:rsid w:val="00D35A7C"/>
    <w:rsid w:val="00D35C49"/>
    <w:rsid w:val="00D3614A"/>
    <w:rsid w:val="00D36341"/>
    <w:rsid w:val="00D36565"/>
    <w:rsid w:val="00D3676B"/>
    <w:rsid w:val="00D36813"/>
    <w:rsid w:val="00D370E3"/>
    <w:rsid w:val="00D375A0"/>
    <w:rsid w:val="00D3767F"/>
    <w:rsid w:val="00D37895"/>
    <w:rsid w:val="00D378C1"/>
    <w:rsid w:val="00D37A86"/>
    <w:rsid w:val="00D404CE"/>
    <w:rsid w:val="00D40931"/>
    <w:rsid w:val="00D40B43"/>
    <w:rsid w:val="00D40EDC"/>
    <w:rsid w:val="00D40F91"/>
    <w:rsid w:val="00D411E9"/>
    <w:rsid w:val="00D4123E"/>
    <w:rsid w:val="00D4173B"/>
    <w:rsid w:val="00D41B46"/>
    <w:rsid w:val="00D41C56"/>
    <w:rsid w:val="00D4236B"/>
    <w:rsid w:val="00D427DC"/>
    <w:rsid w:val="00D42DBA"/>
    <w:rsid w:val="00D436ED"/>
    <w:rsid w:val="00D43783"/>
    <w:rsid w:val="00D438E2"/>
    <w:rsid w:val="00D43AC3"/>
    <w:rsid w:val="00D43BDC"/>
    <w:rsid w:val="00D43D1B"/>
    <w:rsid w:val="00D43F78"/>
    <w:rsid w:val="00D43FA1"/>
    <w:rsid w:val="00D43FFB"/>
    <w:rsid w:val="00D44306"/>
    <w:rsid w:val="00D44426"/>
    <w:rsid w:val="00D446F8"/>
    <w:rsid w:val="00D44862"/>
    <w:rsid w:val="00D44BDC"/>
    <w:rsid w:val="00D4501B"/>
    <w:rsid w:val="00D45075"/>
    <w:rsid w:val="00D458A7"/>
    <w:rsid w:val="00D4594A"/>
    <w:rsid w:val="00D45D20"/>
    <w:rsid w:val="00D45FA8"/>
    <w:rsid w:val="00D46215"/>
    <w:rsid w:val="00D467BD"/>
    <w:rsid w:val="00D4689F"/>
    <w:rsid w:val="00D469F0"/>
    <w:rsid w:val="00D46A62"/>
    <w:rsid w:val="00D46D6F"/>
    <w:rsid w:val="00D46E8C"/>
    <w:rsid w:val="00D471CC"/>
    <w:rsid w:val="00D4786B"/>
    <w:rsid w:val="00D4788A"/>
    <w:rsid w:val="00D47A65"/>
    <w:rsid w:val="00D47A6E"/>
    <w:rsid w:val="00D47AB3"/>
    <w:rsid w:val="00D47B02"/>
    <w:rsid w:val="00D47BDA"/>
    <w:rsid w:val="00D47CA2"/>
    <w:rsid w:val="00D47DF1"/>
    <w:rsid w:val="00D504FF"/>
    <w:rsid w:val="00D505BD"/>
    <w:rsid w:val="00D50B90"/>
    <w:rsid w:val="00D518C7"/>
    <w:rsid w:val="00D5199E"/>
    <w:rsid w:val="00D51A11"/>
    <w:rsid w:val="00D51E30"/>
    <w:rsid w:val="00D51E35"/>
    <w:rsid w:val="00D51F88"/>
    <w:rsid w:val="00D5222B"/>
    <w:rsid w:val="00D52246"/>
    <w:rsid w:val="00D52320"/>
    <w:rsid w:val="00D523ED"/>
    <w:rsid w:val="00D52701"/>
    <w:rsid w:val="00D52913"/>
    <w:rsid w:val="00D52B43"/>
    <w:rsid w:val="00D52E80"/>
    <w:rsid w:val="00D52FDF"/>
    <w:rsid w:val="00D53046"/>
    <w:rsid w:val="00D534F5"/>
    <w:rsid w:val="00D53923"/>
    <w:rsid w:val="00D53A1A"/>
    <w:rsid w:val="00D53BA9"/>
    <w:rsid w:val="00D53D44"/>
    <w:rsid w:val="00D53DCE"/>
    <w:rsid w:val="00D53DF1"/>
    <w:rsid w:val="00D5407C"/>
    <w:rsid w:val="00D54123"/>
    <w:rsid w:val="00D54199"/>
    <w:rsid w:val="00D5427B"/>
    <w:rsid w:val="00D543BF"/>
    <w:rsid w:val="00D543E9"/>
    <w:rsid w:val="00D54501"/>
    <w:rsid w:val="00D545E9"/>
    <w:rsid w:val="00D5491E"/>
    <w:rsid w:val="00D54F9E"/>
    <w:rsid w:val="00D5568A"/>
    <w:rsid w:val="00D55A0A"/>
    <w:rsid w:val="00D55C8D"/>
    <w:rsid w:val="00D562F4"/>
    <w:rsid w:val="00D56316"/>
    <w:rsid w:val="00D567F7"/>
    <w:rsid w:val="00D56B15"/>
    <w:rsid w:val="00D56E58"/>
    <w:rsid w:val="00D56F2E"/>
    <w:rsid w:val="00D57779"/>
    <w:rsid w:val="00D5782B"/>
    <w:rsid w:val="00D57883"/>
    <w:rsid w:val="00D57887"/>
    <w:rsid w:val="00D578EE"/>
    <w:rsid w:val="00D57A0C"/>
    <w:rsid w:val="00D57A39"/>
    <w:rsid w:val="00D57BAB"/>
    <w:rsid w:val="00D57E50"/>
    <w:rsid w:val="00D601CF"/>
    <w:rsid w:val="00D6040C"/>
    <w:rsid w:val="00D604FB"/>
    <w:rsid w:val="00D60B00"/>
    <w:rsid w:val="00D61477"/>
    <w:rsid w:val="00D6189E"/>
    <w:rsid w:val="00D618FF"/>
    <w:rsid w:val="00D61904"/>
    <w:rsid w:val="00D61C0F"/>
    <w:rsid w:val="00D61DE0"/>
    <w:rsid w:val="00D61FBB"/>
    <w:rsid w:val="00D61FFF"/>
    <w:rsid w:val="00D621CD"/>
    <w:rsid w:val="00D626F1"/>
    <w:rsid w:val="00D629D8"/>
    <w:rsid w:val="00D62E63"/>
    <w:rsid w:val="00D632B5"/>
    <w:rsid w:val="00D63820"/>
    <w:rsid w:val="00D63C68"/>
    <w:rsid w:val="00D63CEF"/>
    <w:rsid w:val="00D63DBE"/>
    <w:rsid w:val="00D63E56"/>
    <w:rsid w:val="00D64225"/>
    <w:rsid w:val="00D642E1"/>
    <w:rsid w:val="00D64423"/>
    <w:rsid w:val="00D647AC"/>
    <w:rsid w:val="00D647E6"/>
    <w:rsid w:val="00D649E8"/>
    <w:rsid w:val="00D64E3B"/>
    <w:rsid w:val="00D64EA1"/>
    <w:rsid w:val="00D65016"/>
    <w:rsid w:val="00D6513D"/>
    <w:rsid w:val="00D651D1"/>
    <w:rsid w:val="00D65877"/>
    <w:rsid w:val="00D65E4F"/>
    <w:rsid w:val="00D65F16"/>
    <w:rsid w:val="00D65F7B"/>
    <w:rsid w:val="00D66784"/>
    <w:rsid w:val="00D667BC"/>
    <w:rsid w:val="00D66D31"/>
    <w:rsid w:val="00D6754E"/>
    <w:rsid w:val="00D67F2F"/>
    <w:rsid w:val="00D700EE"/>
    <w:rsid w:val="00D70107"/>
    <w:rsid w:val="00D70699"/>
    <w:rsid w:val="00D70765"/>
    <w:rsid w:val="00D7105C"/>
    <w:rsid w:val="00D710C1"/>
    <w:rsid w:val="00D7152E"/>
    <w:rsid w:val="00D7180F"/>
    <w:rsid w:val="00D718C3"/>
    <w:rsid w:val="00D71926"/>
    <w:rsid w:val="00D71AB3"/>
    <w:rsid w:val="00D71B8E"/>
    <w:rsid w:val="00D722F5"/>
    <w:rsid w:val="00D7236C"/>
    <w:rsid w:val="00D72DAA"/>
    <w:rsid w:val="00D7306B"/>
    <w:rsid w:val="00D73343"/>
    <w:rsid w:val="00D733F1"/>
    <w:rsid w:val="00D7393B"/>
    <w:rsid w:val="00D73C8A"/>
    <w:rsid w:val="00D73D7B"/>
    <w:rsid w:val="00D74BE2"/>
    <w:rsid w:val="00D75662"/>
    <w:rsid w:val="00D7587E"/>
    <w:rsid w:val="00D766C7"/>
    <w:rsid w:val="00D77542"/>
    <w:rsid w:val="00D77562"/>
    <w:rsid w:val="00D777D5"/>
    <w:rsid w:val="00D77F39"/>
    <w:rsid w:val="00D801C5"/>
    <w:rsid w:val="00D804BC"/>
    <w:rsid w:val="00D806F2"/>
    <w:rsid w:val="00D8074F"/>
    <w:rsid w:val="00D80916"/>
    <w:rsid w:val="00D80FA4"/>
    <w:rsid w:val="00D811A6"/>
    <w:rsid w:val="00D81878"/>
    <w:rsid w:val="00D81995"/>
    <w:rsid w:val="00D81A2D"/>
    <w:rsid w:val="00D81C74"/>
    <w:rsid w:val="00D81E06"/>
    <w:rsid w:val="00D82017"/>
    <w:rsid w:val="00D82A7C"/>
    <w:rsid w:val="00D82CA6"/>
    <w:rsid w:val="00D82E92"/>
    <w:rsid w:val="00D831EE"/>
    <w:rsid w:val="00D8326A"/>
    <w:rsid w:val="00D83945"/>
    <w:rsid w:val="00D83F03"/>
    <w:rsid w:val="00D83F8C"/>
    <w:rsid w:val="00D841E4"/>
    <w:rsid w:val="00D84581"/>
    <w:rsid w:val="00D84618"/>
    <w:rsid w:val="00D848B7"/>
    <w:rsid w:val="00D84BAD"/>
    <w:rsid w:val="00D84E2A"/>
    <w:rsid w:val="00D85227"/>
    <w:rsid w:val="00D85240"/>
    <w:rsid w:val="00D85495"/>
    <w:rsid w:val="00D856E9"/>
    <w:rsid w:val="00D8594A"/>
    <w:rsid w:val="00D85A24"/>
    <w:rsid w:val="00D85BF2"/>
    <w:rsid w:val="00D85C8D"/>
    <w:rsid w:val="00D8605E"/>
    <w:rsid w:val="00D86523"/>
    <w:rsid w:val="00D86B5D"/>
    <w:rsid w:val="00D86CFF"/>
    <w:rsid w:val="00D870D5"/>
    <w:rsid w:val="00D8720D"/>
    <w:rsid w:val="00D87410"/>
    <w:rsid w:val="00D877C4"/>
    <w:rsid w:val="00D87875"/>
    <w:rsid w:val="00D8798A"/>
    <w:rsid w:val="00D90106"/>
    <w:rsid w:val="00D90429"/>
    <w:rsid w:val="00D90CEB"/>
    <w:rsid w:val="00D912CA"/>
    <w:rsid w:val="00D91665"/>
    <w:rsid w:val="00D916B4"/>
    <w:rsid w:val="00D919A4"/>
    <w:rsid w:val="00D91A53"/>
    <w:rsid w:val="00D92390"/>
    <w:rsid w:val="00D928C4"/>
    <w:rsid w:val="00D92B8D"/>
    <w:rsid w:val="00D92BD0"/>
    <w:rsid w:val="00D92CE0"/>
    <w:rsid w:val="00D92D65"/>
    <w:rsid w:val="00D92DD6"/>
    <w:rsid w:val="00D9377C"/>
    <w:rsid w:val="00D9395E"/>
    <w:rsid w:val="00D93994"/>
    <w:rsid w:val="00D93AAB"/>
    <w:rsid w:val="00D93E1A"/>
    <w:rsid w:val="00D94215"/>
    <w:rsid w:val="00D94AAA"/>
    <w:rsid w:val="00D94BAD"/>
    <w:rsid w:val="00D94D1F"/>
    <w:rsid w:val="00D94E3B"/>
    <w:rsid w:val="00D94FF2"/>
    <w:rsid w:val="00D95586"/>
    <w:rsid w:val="00D955EA"/>
    <w:rsid w:val="00D959BF"/>
    <w:rsid w:val="00D95A53"/>
    <w:rsid w:val="00D96261"/>
    <w:rsid w:val="00D9637E"/>
    <w:rsid w:val="00D965C8"/>
    <w:rsid w:val="00D966D2"/>
    <w:rsid w:val="00D968AB"/>
    <w:rsid w:val="00D96A9E"/>
    <w:rsid w:val="00D9711C"/>
    <w:rsid w:val="00D974DC"/>
    <w:rsid w:val="00D974F1"/>
    <w:rsid w:val="00D977BD"/>
    <w:rsid w:val="00D97834"/>
    <w:rsid w:val="00DA00AE"/>
    <w:rsid w:val="00DA01CA"/>
    <w:rsid w:val="00DA025B"/>
    <w:rsid w:val="00DA05F6"/>
    <w:rsid w:val="00DA062A"/>
    <w:rsid w:val="00DA086C"/>
    <w:rsid w:val="00DA0A96"/>
    <w:rsid w:val="00DA0B41"/>
    <w:rsid w:val="00DA0F0A"/>
    <w:rsid w:val="00DA0F52"/>
    <w:rsid w:val="00DA142B"/>
    <w:rsid w:val="00DA1481"/>
    <w:rsid w:val="00DA17AD"/>
    <w:rsid w:val="00DA1A3A"/>
    <w:rsid w:val="00DA2011"/>
    <w:rsid w:val="00DA2A5E"/>
    <w:rsid w:val="00DA2D69"/>
    <w:rsid w:val="00DA35C2"/>
    <w:rsid w:val="00DA3610"/>
    <w:rsid w:val="00DA36C1"/>
    <w:rsid w:val="00DA38D1"/>
    <w:rsid w:val="00DA3AFC"/>
    <w:rsid w:val="00DA3E50"/>
    <w:rsid w:val="00DA3FA3"/>
    <w:rsid w:val="00DA46F7"/>
    <w:rsid w:val="00DA4779"/>
    <w:rsid w:val="00DA47A5"/>
    <w:rsid w:val="00DA4815"/>
    <w:rsid w:val="00DA4978"/>
    <w:rsid w:val="00DA4DC1"/>
    <w:rsid w:val="00DA529A"/>
    <w:rsid w:val="00DA5307"/>
    <w:rsid w:val="00DA5402"/>
    <w:rsid w:val="00DA56C0"/>
    <w:rsid w:val="00DA5BDF"/>
    <w:rsid w:val="00DA60DA"/>
    <w:rsid w:val="00DA62C4"/>
    <w:rsid w:val="00DA64FA"/>
    <w:rsid w:val="00DA679C"/>
    <w:rsid w:val="00DA6C05"/>
    <w:rsid w:val="00DA6C36"/>
    <w:rsid w:val="00DA704E"/>
    <w:rsid w:val="00DA70FE"/>
    <w:rsid w:val="00DA7393"/>
    <w:rsid w:val="00DA7A82"/>
    <w:rsid w:val="00DA7AE6"/>
    <w:rsid w:val="00DA7ED9"/>
    <w:rsid w:val="00DB02DA"/>
    <w:rsid w:val="00DB0791"/>
    <w:rsid w:val="00DB1053"/>
    <w:rsid w:val="00DB10EC"/>
    <w:rsid w:val="00DB130E"/>
    <w:rsid w:val="00DB15CF"/>
    <w:rsid w:val="00DB1856"/>
    <w:rsid w:val="00DB1888"/>
    <w:rsid w:val="00DB1A63"/>
    <w:rsid w:val="00DB1C06"/>
    <w:rsid w:val="00DB1E64"/>
    <w:rsid w:val="00DB2020"/>
    <w:rsid w:val="00DB2061"/>
    <w:rsid w:val="00DB207B"/>
    <w:rsid w:val="00DB237C"/>
    <w:rsid w:val="00DB318C"/>
    <w:rsid w:val="00DB3267"/>
    <w:rsid w:val="00DB3865"/>
    <w:rsid w:val="00DB39E4"/>
    <w:rsid w:val="00DB3F67"/>
    <w:rsid w:val="00DB407D"/>
    <w:rsid w:val="00DB415F"/>
    <w:rsid w:val="00DB42CB"/>
    <w:rsid w:val="00DB431E"/>
    <w:rsid w:val="00DB4355"/>
    <w:rsid w:val="00DB43A6"/>
    <w:rsid w:val="00DB45C4"/>
    <w:rsid w:val="00DB45E1"/>
    <w:rsid w:val="00DB5195"/>
    <w:rsid w:val="00DB569D"/>
    <w:rsid w:val="00DB56CA"/>
    <w:rsid w:val="00DB61FE"/>
    <w:rsid w:val="00DB6446"/>
    <w:rsid w:val="00DB6460"/>
    <w:rsid w:val="00DB649F"/>
    <w:rsid w:val="00DB672A"/>
    <w:rsid w:val="00DB6AB9"/>
    <w:rsid w:val="00DB6B7D"/>
    <w:rsid w:val="00DB6F8D"/>
    <w:rsid w:val="00DB749C"/>
    <w:rsid w:val="00DB77E2"/>
    <w:rsid w:val="00DB77E4"/>
    <w:rsid w:val="00DB7AD6"/>
    <w:rsid w:val="00DB7AE8"/>
    <w:rsid w:val="00DC07D1"/>
    <w:rsid w:val="00DC0A6A"/>
    <w:rsid w:val="00DC0D35"/>
    <w:rsid w:val="00DC0E17"/>
    <w:rsid w:val="00DC0FDD"/>
    <w:rsid w:val="00DC12D6"/>
    <w:rsid w:val="00DC1548"/>
    <w:rsid w:val="00DC1646"/>
    <w:rsid w:val="00DC16B3"/>
    <w:rsid w:val="00DC18AE"/>
    <w:rsid w:val="00DC21DF"/>
    <w:rsid w:val="00DC2276"/>
    <w:rsid w:val="00DC2746"/>
    <w:rsid w:val="00DC2A17"/>
    <w:rsid w:val="00DC2B5D"/>
    <w:rsid w:val="00DC2C19"/>
    <w:rsid w:val="00DC2CAA"/>
    <w:rsid w:val="00DC2D9F"/>
    <w:rsid w:val="00DC33C6"/>
    <w:rsid w:val="00DC3A96"/>
    <w:rsid w:val="00DC3AC3"/>
    <w:rsid w:val="00DC3C47"/>
    <w:rsid w:val="00DC4117"/>
    <w:rsid w:val="00DC41E0"/>
    <w:rsid w:val="00DC4258"/>
    <w:rsid w:val="00DC42FF"/>
    <w:rsid w:val="00DC43F8"/>
    <w:rsid w:val="00DC4ACD"/>
    <w:rsid w:val="00DC4C4E"/>
    <w:rsid w:val="00DC4CF3"/>
    <w:rsid w:val="00DC4D0B"/>
    <w:rsid w:val="00DC4F30"/>
    <w:rsid w:val="00DC55C3"/>
    <w:rsid w:val="00DC571A"/>
    <w:rsid w:val="00DC578A"/>
    <w:rsid w:val="00DC5C25"/>
    <w:rsid w:val="00DC669B"/>
    <w:rsid w:val="00DC69E2"/>
    <w:rsid w:val="00DC73AF"/>
    <w:rsid w:val="00DC762A"/>
    <w:rsid w:val="00DC7D57"/>
    <w:rsid w:val="00DC7FF6"/>
    <w:rsid w:val="00DC7FF7"/>
    <w:rsid w:val="00DD0077"/>
    <w:rsid w:val="00DD03D9"/>
    <w:rsid w:val="00DD044A"/>
    <w:rsid w:val="00DD07EE"/>
    <w:rsid w:val="00DD0937"/>
    <w:rsid w:val="00DD0CC4"/>
    <w:rsid w:val="00DD0D29"/>
    <w:rsid w:val="00DD14DA"/>
    <w:rsid w:val="00DD176B"/>
    <w:rsid w:val="00DD1A39"/>
    <w:rsid w:val="00DD1F3F"/>
    <w:rsid w:val="00DD20A7"/>
    <w:rsid w:val="00DD256C"/>
    <w:rsid w:val="00DD2A0D"/>
    <w:rsid w:val="00DD30D7"/>
    <w:rsid w:val="00DD339E"/>
    <w:rsid w:val="00DD33E4"/>
    <w:rsid w:val="00DD37FA"/>
    <w:rsid w:val="00DD4698"/>
    <w:rsid w:val="00DD49EE"/>
    <w:rsid w:val="00DD4AE4"/>
    <w:rsid w:val="00DD4B5A"/>
    <w:rsid w:val="00DD4C4A"/>
    <w:rsid w:val="00DD4DF7"/>
    <w:rsid w:val="00DD4EFD"/>
    <w:rsid w:val="00DD4FD8"/>
    <w:rsid w:val="00DD51DD"/>
    <w:rsid w:val="00DD54C3"/>
    <w:rsid w:val="00DD56CE"/>
    <w:rsid w:val="00DD59B4"/>
    <w:rsid w:val="00DD5AFF"/>
    <w:rsid w:val="00DD5CD5"/>
    <w:rsid w:val="00DD5E3B"/>
    <w:rsid w:val="00DD640E"/>
    <w:rsid w:val="00DD644A"/>
    <w:rsid w:val="00DD6E95"/>
    <w:rsid w:val="00DD7595"/>
    <w:rsid w:val="00DD789C"/>
    <w:rsid w:val="00DD78E1"/>
    <w:rsid w:val="00DD7B8E"/>
    <w:rsid w:val="00DD7E74"/>
    <w:rsid w:val="00DE00F2"/>
    <w:rsid w:val="00DE060F"/>
    <w:rsid w:val="00DE0613"/>
    <w:rsid w:val="00DE0626"/>
    <w:rsid w:val="00DE069C"/>
    <w:rsid w:val="00DE09E4"/>
    <w:rsid w:val="00DE0DCF"/>
    <w:rsid w:val="00DE0E5B"/>
    <w:rsid w:val="00DE133E"/>
    <w:rsid w:val="00DE15D9"/>
    <w:rsid w:val="00DE1685"/>
    <w:rsid w:val="00DE175C"/>
    <w:rsid w:val="00DE182A"/>
    <w:rsid w:val="00DE1B92"/>
    <w:rsid w:val="00DE1BF8"/>
    <w:rsid w:val="00DE1C58"/>
    <w:rsid w:val="00DE2160"/>
    <w:rsid w:val="00DE255B"/>
    <w:rsid w:val="00DE2883"/>
    <w:rsid w:val="00DE2C37"/>
    <w:rsid w:val="00DE30C1"/>
    <w:rsid w:val="00DE32EF"/>
    <w:rsid w:val="00DE338E"/>
    <w:rsid w:val="00DE33DF"/>
    <w:rsid w:val="00DE34EE"/>
    <w:rsid w:val="00DE368E"/>
    <w:rsid w:val="00DE37BD"/>
    <w:rsid w:val="00DE38BA"/>
    <w:rsid w:val="00DE3DC5"/>
    <w:rsid w:val="00DE3F6B"/>
    <w:rsid w:val="00DE44BA"/>
    <w:rsid w:val="00DE45F9"/>
    <w:rsid w:val="00DE46B4"/>
    <w:rsid w:val="00DE46CA"/>
    <w:rsid w:val="00DE47B6"/>
    <w:rsid w:val="00DE4B7B"/>
    <w:rsid w:val="00DE4BA8"/>
    <w:rsid w:val="00DE4C4C"/>
    <w:rsid w:val="00DE4C65"/>
    <w:rsid w:val="00DE4CA2"/>
    <w:rsid w:val="00DE4F43"/>
    <w:rsid w:val="00DE54CB"/>
    <w:rsid w:val="00DE58A0"/>
    <w:rsid w:val="00DE5EDC"/>
    <w:rsid w:val="00DE6042"/>
    <w:rsid w:val="00DE605C"/>
    <w:rsid w:val="00DE66DC"/>
    <w:rsid w:val="00DE66E3"/>
    <w:rsid w:val="00DE6A51"/>
    <w:rsid w:val="00DE6A65"/>
    <w:rsid w:val="00DE6B37"/>
    <w:rsid w:val="00DE6DDF"/>
    <w:rsid w:val="00DE700E"/>
    <w:rsid w:val="00DE7167"/>
    <w:rsid w:val="00DE72F2"/>
    <w:rsid w:val="00DE7478"/>
    <w:rsid w:val="00DE78D0"/>
    <w:rsid w:val="00DE78FE"/>
    <w:rsid w:val="00DE7DB2"/>
    <w:rsid w:val="00DF068A"/>
    <w:rsid w:val="00DF0A5F"/>
    <w:rsid w:val="00DF0C80"/>
    <w:rsid w:val="00DF0FCC"/>
    <w:rsid w:val="00DF0FEE"/>
    <w:rsid w:val="00DF1394"/>
    <w:rsid w:val="00DF1753"/>
    <w:rsid w:val="00DF1AA3"/>
    <w:rsid w:val="00DF1BFA"/>
    <w:rsid w:val="00DF1C6D"/>
    <w:rsid w:val="00DF1EE7"/>
    <w:rsid w:val="00DF206E"/>
    <w:rsid w:val="00DF23E1"/>
    <w:rsid w:val="00DF2753"/>
    <w:rsid w:val="00DF2902"/>
    <w:rsid w:val="00DF2AD1"/>
    <w:rsid w:val="00DF2EB7"/>
    <w:rsid w:val="00DF2EBB"/>
    <w:rsid w:val="00DF375A"/>
    <w:rsid w:val="00DF38BD"/>
    <w:rsid w:val="00DF3E2B"/>
    <w:rsid w:val="00DF4066"/>
    <w:rsid w:val="00DF426B"/>
    <w:rsid w:val="00DF4499"/>
    <w:rsid w:val="00DF44BA"/>
    <w:rsid w:val="00DF460E"/>
    <w:rsid w:val="00DF46A5"/>
    <w:rsid w:val="00DF4936"/>
    <w:rsid w:val="00DF4E91"/>
    <w:rsid w:val="00DF562E"/>
    <w:rsid w:val="00DF625F"/>
    <w:rsid w:val="00DF62AF"/>
    <w:rsid w:val="00DF6503"/>
    <w:rsid w:val="00DF666F"/>
    <w:rsid w:val="00DF66A4"/>
    <w:rsid w:val="00DF6A72"/>
    <w:rsid w:val="00DF6B18"/>
    <w:rsid w:val="00DF6D6B"/>
    <w:rsid w:val="00DF6E7A"/>
    <w:rsid w:val="00DF711C"/>
    <w:rsid w:val="00DF767B"/>
    <w:rsid w:val="00DF76BA"/>
    <w:rsid w:val="00DF78A6"/>
    <w:rsid w:val="00DF7BB7"/>
    <w:rsid w:val="00E005E2"/>
    <w:rsid w:val="00E009C2"/>
    <w:rsid w:val="00E00A0B"/>
    <w:rsid w:val="00E00AC7"/>
    <w:rsid w:val="00E012AF"/>
    <w:rsid w:val="00E0142C"/>
    <w:rsid w:val="00E01792"/>
    <w:rsid w:val="00E018BF"/>
    <w:rsid w:val="00E01A85"/>
    <w:rsid w:val="00E01B10"/>
    <w:rsid w:val="00E01CBA"/>
    <w:rsid w:val="00E02619"/>
    <w:rsid w:val="00E03270"/>
    <w:rsid w:val="00E034E7"/>
    <w:rsid w:val="00E035E1"/>
    <w:rsid w:val="00E03CFE"/>
    <w:rsid w:val="00E03EDF"/>
    <w:rsid w:val="00E0446A"/>
    <w:rsid w:val="00E04864"/>
    <w:rsid w:val="00E04C32"/>
    <w:rsid w:val="00E04E32"/>
    <w:rsid w:val="00E05277"/>
    <w:rsid w:val="00E05B5B"/>
    <w:rsid w:val="00E05C32"/>
    <w:rsid w:val="00E0612D"/>
    <w:rsid w:val="00E06380"/>
    <w:rsid w:val="00E06696"/>
    <w:rsid w:val="00E06808"/>
    <w:rsid w:val="00E06BC8"/>
    <w:rsid w:val="00E06D6D"/>
    <w:rsid w:val="00E06DE3"/>
    <w:rsid w:val="00E06F6C"/>
    <w:rsid w:val="00E07158"/>
    <w:rsid w:val="00E100CA"/>
    <w:rsid w:val="00E10170"/>
    <w:rsid w:val="00E10565"/>
    <w:rsid w:val="00E10C27"/>
    <w:rsid w:val="00E10D5D"/>
    <w:rsid w:val="00E10F6C"/>
    <w:rsid w:val="00E10F71"/>
    <w:rsid w:val="00E1140E"/>
    <w:rsid w:val="00E115CF"/>
    <w:rsid w:val="00E11715"/>
    <w:rsid w:val="00E1198A"/>
    <w:rsid w:val="00E11A73"/>
    <w:rsid w:val="00E11BEC"/>
    <w:rsid w:val="00E1218C"/>
    <w:rsid w:val="00E1241A"/>
    <w:rsid w:val="00E12458"/>
    <w:rsid w:val="00E12613"/>
    <w:rsid w:val="00E12725"/>
    <w:rsid w:val="00E12743"/>
    <w:rsid w:val="00E13853"/>
    <w:rsid w:val="00E139A4"/>
    <w:rsid w:val="00E13E98"/>
    <w:rsid w:val="00E1404E"/>
    <w:rsid w:val="00E1425E"/>
    <w:rsid w:val="00E145BA"/>
    <w:rsid w:val="00E1575F"/>
    <w:rsid w:val="00E15823"/>
    <w:rsid w:val="00E15BE1"/>
    <w:rsid w:val="00E161BF"/>
    <w:rsid w:val="00E163F8"/>
    <w:rsid w:val="00E16A9A"/>
    <w:rsid w:val="00E171D6"/>
    <w:rsid w:val="00E17330"/>
    <w:rsid w:val="00E17457"/>
    <w:rsid w:val="00E17849"/>
    <w:rsid w:val="00E17C3C"/>
    <w:rsid w:val="00E17CA2"/>
    <w:rsid w:val="00E208B8"/>
    <w:rsid w:val="00E20A2C"/>
    <w:rsid w:val="00E20A8C"/>
    <w:rsid w:val="00E20C8E"/>
    <w:rsid w:val="00E20D10"/>
    <w:rsid w:val="00E20FEE"/>
    <w:rsid w:val="00E2129C"/>
    <w:rsid w:val="00E21420"/>
    <w:rsid w:val="00E2143A"/>
    <w:rsid w:val="00E214FA"/>
    <w:rsid w:val="00E215C7"/>
    <w:rsid w:val="00E21724"/>
    <w:rsid w:val="00E21819"/>
    <w:rsid w:val="00E2199A"/>
    <w:rsid w:val="00E21CC5"/>
    <w:rsid w:val="00E21CD3"/>
    <w:rsid w:val="00E22173"/>
    <w:rsid w:val="00E2258D"/>
    <w:rsid w:val="00E226FC"/>
    <w:rsid w:val="00E227D8"/>
    <w:rsid w:val="00E22984"/>
    <w:rsid w:val="00E22BDF"/>
    <w:rsid w:val="00E22D08"/>
    <w:rsid w:val="00E23139"/>
    <w:rsid w:val="00E234BB"/>
    <w:rsid w:val="00E2354C"/>
    <w:rsid w:val="00E23746"/>
    <w:rsid w:val="00E238EC"/>
    <w:rsid w:val="00E239F4"/>
    <w:rsid w:val="00E239F8"/>
    <w:rsid w:val="00E23D12"/>
    <w:rsid w:val="00E24014"/>
    <w:rsid w:val="00E24099"/>
    <w:rsid w:val="00E24373"/>
    <w:rsid w:val="00E24B2C"/>
    <w:rsid w:val="00E24DC6"/>
    <w:rsid w:val="00E25085"/>
    <w:rsid w:val="00E2524D"/>
    <w:rsid w:val="00E25687"/>
    <w:rsid w:val="00E25CA8"/>
    <w:rsid w:val="00E26144"/>
    <w:rsid w:val="00E2645F"/>
    <w:rsid w:val="00E26641"/>
    <w:rsid w:val="00E268B6"/>
    <w:rsid w:val="00E2692F"/>
    <w:rsid w:val="00E27283"/>
    <w:rsid w:val="00E27427"/>
    <w:rsid w:val="00E27932"/>
    <w:rsid w:val="00E27AF5"/>
    <w:rsid w:val="00E27B0B"/>
    <w:rsid w:val="00E27D5B"/>
    <w:rsid w:val="00E305C0"/>
    <w:rsid w:val="00E307DD"/>
    <w:rsid w:val="00E30825"/>
    <w:rsid w:val="00E308EB"/>
    <w:rsid w:val="00E30DC0"/>
    <w:rsid w:val="00E30F9A"/>
    <w:rsid w:val="00E31184"/>
    <w:rsid w:val="00E31491"/>
    <w:rsid w:val="00E31576"/>
    <w:rsid w:val="00E31673"/>
    <w:rsid w:val="00E316C5"/>
    <w:rsid w:val="00E31AEC"/>
    <w:rsid w:val="00E31E91"/>
    <w:rsid w:val="00E3222B"/>
    <w:rsid w:val="00E325A3"/>
    <w:rsid w:val="00E32794"/>
    <w:rsid w:val="00E32D88"/>
    <w:rsid w:val="00E32E0F"/>
    <w:rsid w:val="00E3307C"/>
    <w:rsid w:val="00E33153"/>
    <w:rsid w:val="00E331C0"/>
    <w:rsid w:val="00E332CA"/>
    <w:rsid w:val="00E33881"/>
    <w:rsid w:val="00E33E32"/>
    <w:rsid w:val="00E34729"/>
    <w:rsid w:val="00E34978"/>
    <w:rsid w:val="00E34D99"/>
    <w:rsid w:val="00E34E53"/>
    <w:rsid w:val="00E35293"/>
    <w:rsid w:val="00E35497"/>
    <w:rsid w:val="00E35904"/>
    <w:rsid w:val="00E3598A"/>
    <w:rsid w:val="00E35D2A"/>
    <w:rsid w:val="00E35FED"/>
    <w:rsid w:val="00E362A2"/>
    <w:rsid w:val="00E363AA"/>
    <w:rsid w:val="00E36801"/>
    <w:rsid w:val="00E36C54"/>
    <w:rsid w:val="00E36F67"/>
    <w:rsid w:val="00E370A9"/>
    <w:rsid w:val="00E3731D"/>
    <w:rsid w:val="00E374D9"/>
    <w:rsid w:val="00E37909"/>
    <w:rsid w:val="00E37E03"/>
    <w:rsid w:val="00E40072"/>
    <w:rsid w:val="00E40287"/>
    <w:rsid w:val="00E406CA"/>
    <w:rsid w:val="00E40822"/>
    <w:rsid w:val="00E40A63"/>
    <w:rsid w:val="00E40A74"/>
    <w:rsid w:val="00E40ABE"/>
    <w:rsid w:val="00E40B51"/>
    <w:rsid w:val="00E40FA7"/>
    <w:rsid w:val="00E4127E"/>
    <w:rsid w:val="00E412D6"/>
    <w:rsid w:val="00E41304"/>
    <w:rsid w:val="00E419AE"/>
    <w:rsid w:val="00E41A5B"/>
    <w:rsid w:val="00E41A81"/>
    <w:rsid w:val="00E41A8F"/>
    <w:rsid w:val="00E41AF4"/>
    <w:rsid w:val="00E41BB8"/>
    <w:rsid w:val="00E422D0"/>
    <w:rsid w:val="00E424BE"/>
    <w:rsid w:val="00E42564"/>
    <w:rsid w:val="00E42815"/>
    <w:rsid w:val="00E42C4C"/>
    <w:rsid w:val="00E42D20"/>
    <w:rsid w:val="00E42D79"/>
    <w:rsid w:val="00E43126"/>
    <w:rsid w:val="00E43224"/>
    <w:rsid w:val="00E4383A"/>
    <w:rsid w:val="00E43A43"/>
    <w:rsid w:val="00E44E48"/>
    <w:rsid w:val="00E44EBA"/>
    <w:rsid w:val="00E45397"/>
    <w:rsid w:val="00E45555"/>
    <w:rsid w:val="00E4566F"/>
    <w:rsid w:val="00E4570F"/>
    <w:rsid w:val="00E46207"/>
    <w:rsid w:val="00E46265"/>
    <w:rsid w:val="00E464EC"/>
    <w:rsid w:val="00E46558"/>
    <w:rsid w:val="00E46A77"/>
    <w:rsid w:val="00E470B4"/>
    <w:rsid w:val="00E47290"/>
    <w:rsid w:val="00E474BD"/>
    <w:rsid w:val="00E4780A"/>
    <w:rsid w:val="00E4794A"/>
    <w:rsid w:val="00E47FEA"/>
    <w:rsid w:val="00E5045B"/>
    <w:rsid w:val="00E5056D"/>
    <w:rsid w:val="00E509F4"/>
    <w:rsid w:val="00E50B1B"/>
    <w:rsid w:val="00E50B4C"/>
    <w:rsid w:val="00E50C48"/>
    <w:rsid w:val="00E50D12"/>
    <w:rsid w:val="00E50E7B"/>
    <w:rsid w:val="00E50F0D"/>
    <w:rsid w:val="00E50F22"/>
    <w:rsid w:val="00E50FFD"/>
    <w:rsid w:val="00E5177E"/>
    <w:rsid w:val="00E5191A"/>
    <w:rsid w:val="00E51C59"/>
    <w:rsid w:val="00E52038"/>
    <w:rsid w:val="00E5207D"/>
    <w:rsid w:val="00E52111"/>
    <w:rsid w:val="00E5213E"/>
    <w:rsid w:val="00E526EE"/>
    <w:rsid w:val="00E527B8"/>
    <w:rsid w:val="00E52819"/>
    <w:rsid w:val="00E52A4D"/>
    <w:rsid w:val="00E52D87"/>
    <w:rsid w:val="00E52E68"/>
    <w:rsid w:val="00E52F32"/>
    <w:rsid w:val="00E53164"/>
    <w:rsid w:val="00E536BB"/>
    <w:rsid w:val="00E53CB1"/>
    <w:rsid w:val="00E53CBA"/>
    <w:rsid w:val="00E54365"/>
    <w:rsid w:val="00E547A4"/>
    <w:rsid w:val="00E54AB0"/>
    <w:rsid w:val="00E553E2"/>
    <w:rsid w:val="00E55462"/>
    <w:rsid w:val="00E55BD2"/>
    <w:rsid w:val="00E55C1A"/>
    <w:rsid w:val="00E56455"/>
    <w:rsid w:val="00E567D9"/>
    <w:rsid w:val="00E56971"/>
    <w:rsid w:val="00E56A82"/>
    <w:rsid w:val="00E575CA"/>
    <w:rsid w:val="00E57B7E"/>
    <w:rsid w:val="00E57CFB"/>
    <w:rsid w:val="00E60325"/>
    <w:rsid w:val="00E60645"/>
    <w:rsid w:val="00E60B13"/>
    <w:rsid w:val="00E60D17"/>
    <w:rsid w:val="00E6103F"/>
    <w:rsid w:val="00E61353"/>
    <w:rsid w:val="00E61358"/>
    <w:rsid w:val="00E6165D"/>
    <w:rsid w:val="00E616C0"/>
    <w:rsid w:val="00E61724"/>
    <w:rsid w:val="00E61989"/>
    <w:rsid w:val="00E61A06"/>
    <w:rsid w:val="00E61A89"/>
    <w:rsid w:val="00E620D0"/>
    <w:rsid w:val="00E6262F"/>
    <w:rsid w:val="00E62748"/>
    <w:rsid w:val="00E629E6"/>
    <w:rsid w:val="00E62B78"/>
    <w:rsid w:val="00E632DA"/>
    <w:rsid w:val="00E638C7"/>
    <w:rsid w:val="00E63F54"/>
    <w:rsid w:val="00E6425E"/>
    <w:rsid w:val="00E6431E"/>
    <w:rsid w:val="00E64450"/>
    <w:rsid w:val="00E6461F"/>
    <w:rsid w:val="00E64C03"/>
    <w:rsid w:val="00E64EE6"/>
    <w:rsid w:val="00E64FEA"/>
    <w:rsid w:val="00E6502F"/>
    <w:rsid w:val="00E651EF"/>
    <w:rsid w:val="00E652F0"/>
    <w:rsid w:val="00E65CF9"/>
    <w:rsid w:val="00E65D90"/>
    <w:rsid w:val="00E66D69"/>
    <w:rsid w:val="00E67000"/>
    <w:rsid w:val="00E67207"/>
    <w:rsid w:val="00E67619"/>
    <w:rsid w:val="00E6775F"/>
    <w:rsid w:val="00E677BF"/>
    <w:rsid w:val="00E67E0A"/>
    <w:rsid w:val="00E70129"/>
    <w:rsid w:val="00E7022E"/>
    <w:rsid w:val="00E7026F"/>
    <w:rsid w:val="00E70535"/>
    <w:rsid w:val="00E706A8"/>
    <w:rsid w:val="00E70A29"/>
    <w:rsid w:val="00E70F85"/>
    <w:rsid w:val="00E7120D"/>
    <w:rsid w:val="00E71240"/>
    <w:rsid w:val="00E71B33"/>
    <w:rsid w:val="00E71CC3"/>
    <w:rsid w:val="00E71DE0"/>
    <w:rsid w:val="00E72226"/>
    <w:rsid w:val="00E7241C"/>
    <w:rsid w:val="00E7254F"/>
    <w:rsid w:val="00E72760"/>
    <w:rsid w:val="00E728A4"/>
    <w:rsid w:val="00E72994"/>
    <w:rsid w:val="00E7313C"/>
    <w:rsid w:val="00E73378"/>
    <w:rsid w:val="00E73773"/>
    <w:rsid w:val="00E739CB"/>
    <w:rsid w:val="00E73A86"/>
    <w:rsid w:val="00E73C57"/>
    <w:rsid w:val="00E7418A"/>
    <w:rsid w:val="00E74200"/>
    <w:rsid w:val="00E744E0"/>
    <w:rsid w:val="00E74660"/>
    <w:rsid w:val="00E74721"/>
    <w:rsid w:val="00E747B0"/>
    <w:rsid w:val="00E74EF1"/>
    <w:rsid w:val="00E750D2"/>
    <w:rsid w:val="00E75276"/>
    <w:rsid w:val="00E75492"/>
    <w:rsid w:val="00E75A78"/>
    <w:rsid w:val="00E75AF9"/>
    <w:rsid w:val="00E75C85"/>
    <w:rsid w:val="00E7612A"/>
    <w:rsid w:val="00E761C2"/>
    <w:rsid w:val="00E76B94"/>
    <w:rsid w:val="00E76CC5"/>
    <w:rsid w:val="00E774E9"/>
    <w:rsid w:val="00E774F9"/>
    <w:rsid w:val="00E806FA"/>
    <w:rsid w:val="00E807EE"/>
    <w:rsid w:val="00E8085A"/>
    <w:rsid w:val="00E808FC"/>
    <w:rsid w:val="00E80B00"/>
    <w:rsid w:val="00E80E60"/>
    <w:rsid w:val="00E811B0"/>
    <w:rsid w:val="00E812FA"/>
    <w:rsid w:val="00E8149B"/>
    <w:rsid w:val="00E8155C"/>
    <w:rsid w:val="00E81620"/>
    <w:rsid w:val="00E81AD6"/>
    <w:rsid w:val="00E81E1A"/>
    <w:rsid w:val="00E81F12"/>
    <w:rsid w:val="00E823B1"/>
    <w:rsid w:val="00E823F5"/>
    <w:rsid w:val="00E82997"/>
    <w:rsid w:val="00E82BD6"/>
    <w:rsid w:val="00E82C7F"/>
    <w:rsid w:val="00E82D6C"/>
    <w:rsid w:val="00E82DE3"/>
    <w:rsid w:val="00E82E05"/>
    <w:rsid w:val="00E82E2F"/>
    <w:rsid w:val="00E83278"/>
    <w:rsid w:val="00E833E3"/>
    <w:rsid w:val="00E83535"/>
    <w:rsid w:val="00E839DC"/>
    <w:rsid w:val="00E83B6B"/>
    <w:rsid w:val="00E83D5C"/>
    <w:rsid w:val="00E83D75"/>
    <w:rsid w:val="00E83F51"/>
    <w:rsid w:val="00E83F55"/>
    <w:rsid w:val="00E83FC6"/>
    <w:rsid w:val="00E84135"/>
    <w:rsid w:val="00E8437C"/>
    <w:rsid w:val="00E849BF"/>
    <w:rsid w:val="00E84CF8"/>
    <w:rsid w:val="00E850F2"/>
    <w:rsid w:val="00E8615B"/>
    <w:rsid w:val="00E86674"/>
    <w:rsid w:val="00E867C2"/>
    <w:rsid w:val="00E86815"/>
    <w:rsid w:val="00E86B89"/>
    <w:rsid w:val="00E86E04"/>
    <w:rsid w:val="00E86E45"/>
    <w:rsid w:val="00E87092"/>
    <w:rsid w:val="00E873BA"/>
    <w:rsid w:val="00E87648"/>
    <w:rsid w:val="00E879E0"/>
    <w:rsid w:val="00E87BD1"/>
    <w:rsid w:val="00E902F2"/>
    <w:rsid w:val="00E90375"/>
    <w:rsid w:val="00E9048C"/>
    <w:rsid w:val="00E90724"/>
    <w:rsid w:val="00E90A4D"/>
    <w:rsid w:val="00E91194"/>
    <w:rsid w:val="00E91808"/>
    <w:rsid w:val="00E91CC4"/>
    <w:rsid w:val="00E91CD3"/>
    <w:rsid w:val="00E91EB1"/>
    <w:rsid w:val="00E91EFE"/>
    <w:rsid w:val="00E921EF"/>
    <w:rsid w:val="00E922F5"/>
    <w:rsid w:val="00E922F8"/>
    <w:rsid w:val="00E92317"/>
    <w:rsid w:val="00E9231A"/>
    <w:rsid w:val="00E92524"/>
    <w:rsid w:val="00E92C1C"/>
    <w:rsid w:val="00E92D4B"/>
    <w:rsid w:val="00E93053"/>
    <w:rsid w:val="00E93099"/>
    <w:rsid w:val="00E93AA9"/>
    <w:rsid w:val="00E93AED"/>
    <w:rsid w:val="00E93F64"/>
    <w:rsid w:val="00E93F65"/>
    <w:rsid w:val="00E942ED"/>
    <w:rsid w:val="00E944BC"/>
    <w:rsid w:val="00E94574"/>
    <w:rsid w:val="00E949F7"/>
    <w:rsid w:val="00E94A19"/>
    <w:rsid w:val="00E94E14"/>
    <w:rsid w:val="00E95466"/>
    <w:rsid w:val="00E95883"/>
    <w:rsid w:val="00E95896"/>
    <w:rsid w:val="00E9592F"/>
    <w:rsid w:val="00E95A06"/>
    <w:rsid w:val="00E95C40"/>
    <w:rsid w:val="00E96061"/>
    <w:rsid w:val="00E966A6"/>
    <w:rsid w:val="00E96708"/>
    <w:rsid w:val="00E96727"/>
    <w:rsid w:val="00E967E7"/>
    <w:rsid w:val="00E96905"/>
    <w:rsid w:val="00E96B4F"/>
    <w:rsid w:val="00E96FF2"/>
    <w:rsid w:val="00E970BE"/>
    <w:rsid w:val="00E971DF"/>
    <w:rsid w:val="00E97480"/>
    <w:rsid w:val="00E97726"/>
    <w:rsid w:val="00E9793D"/>
    <w:rsid w:val="00E979E2"/>
    <w:rsid w:val="00E97D1C"/>
    <w:rsid w:val="00EA04F8"/>
    <w:rsid w:val="00EA0579"/>
    <w:rsid w:val="00EA0844"/>
    <w:rsid w:val="00EA0861"/>
    <w:rsid w:val="00EA0D62"/>
    <w:rsid w:val="00EA1143"/>
    <w:rsid w:val="00EA12D1"/>
    <w:rsid w:val="00EA1326"/>
    <w:rsid w:val="00EA1451"/>
    <w:rsid w:val="00EA1603"/>
    <w:rsid w:val="00EA1C72"/>
    <w:rsid w:val="00EA273E"/>
    <w:rsid w:val="00EA284A"/>
    <w:rsid w:val="00EA2D1B"/>
    <w:rsid w:val="00EA306F"/>
    <w:rsid w:val="00EA30A2"/>
    <w:rsid w:val="00EA3316"/>
    <w:rsid w:val="00EA38EF"/>
    <w:rsid w:val="00EA3ABB"/>
    <w:rsid w:val="00EA3DEB"/>
    <w:rsid w:val="00EA3E2F"/>
    <w:rsid w:val="00EA4227"/>
    <w:rsid w:val="00EA4382"/>
    <w:rsid w:val="00EA461F"/>
    <w:rsid w:val="00EA4765"/>
    <w:rsid w:val="00EA49E1"/>
    <w:rsid w:val="00EA4E2F"/>
    <w:rsid w:val="00EA503E"/>
    <w:rsid w:val="00EA515D"/>
    <w:rsid w:val="00EA5183"/>
    <w:rsid w:val="00EA545A"/>
    <w:rsid w:val="00EA565D"/>
    <w:rsid w:val="00EA56A7"/>
    <w:rsid w:val="00EA57BD"/>
    <w:rsid w:val="00EA595C"/>
    <w:rsid w:val="00EA5AD7"/>
    <w:rsid w:val="00EA5DC6"/>
    <w:rsid w:val="00EA60E8"/>
    <w:rsid w:val="00EA61AD"/>
    <w:rsid w:val="00EA63B8"/>
    <w:rsid w:val="00EA6494"/>
    <w:rsid w:val="00EA64DF"/>
    <w:rsid w:val="00EA69EF"/>
    <w:rsid w:val="00EA6AE4"/>
    <w:rsid w:val="00EA6F14"/>
    <w:rsid w:val="00EA7051"/>
    <w:rsid w:val="00EA717F"/>
    <w:rsid w:val="00EA71A3"/>
    <w:rsid w:val="00EA767A"/>
    <w:rsid w:val="00EA78E6"/>
    <w:rsid w:val="00EA7BD9"/>
    <w:rsid w:val="00EB0040"/>
    <w:rsid w:val="00EB0166"/>
    <w:rsid w:val="00EB041B"/>
    <w:rsid w:val="00EB0850"/>
    <w:rsid w:val="00EB0BA3"/>
    <w:rsid w:val="00EB0FFA"/>
    <w:rsid w:val="00EB14AE"/>
    <w:rsid w:val="00EB1554"/>
    <w:rsid w:val="00EB1B03"/>
    <w:rsid w:val="00EB1CBB"/>
    <w:rsid w:val="00EB1E0C"/>
    <w:rsid w:val="00EB2045"/>
    <w:rsid w:val="00EB212A"/>
    <w:rsid w:val="00EB212B"/>
    <w:rsid w:val="00EB216E"/>
    <w:rsid w:val="00EB2220"/>
    <w:rsid w:val="00EB2311"/>
    <w:rsid w:val="00EB2577"/>
    <w:rsid w:val="00EB2A83"/>
    <w:rsid w:val="00EB2FE7"/>
    <w:rsid w:val="00EB3358"/>
    <w:rsid w:val="00EB39AD"/>
    <w:rsid w:val="00EB3A54"/>
    <w:rsid w:val="00EB3B7D"/>
    <w:rsid w:val="00EB3EF5"/>
    <w:rsid w:val="00EB4177"/>
    <w:rsid w:val="00EB418B"/>
    <w:rsid w:val="00EB44F1"/>
    <w:rsid w:val="00EB497B"/>
    <w:rsid w:val="00EB49A1"/>
    <w:rsid w:val="00EB51D6"/>
    <w:rsid w:val="00EB53C4"/>
    <w:rsid w:val="00EB5661"/>
    <w:rsid w:val="00EB573B"/>
    <w:rsid w:val="00EB590B"/>
    <w:rsid w:val="00EB5A95"/>
    <w:rsid w:val="00EB5BB9"/>
    <w:rsid w:val="00EB5CA0"/>
    <w:rsid w:val="00EB63B3"/>
    <w:rsid w:val="00EB6703"/>
    <w:rsid w:val="00EB6934"/>
    <w:rsid w:val="00EB69E6"/>
    <w:rsid w:val="00EB6CC4"/>
    <w:rsid w:val="00EB6E41"/>
    <w:rsid w:val="00EB7C69"/>
    <w:rsid w:val="00EB7D34"/>
    <w:rsid w:val="00EB7E28"/>
    <w:rsid w:val="00EB7EA2"/>
    <w:rsid w:val="00EC0100"/>
    <w:rsid w:val="00EC0360"/>
    <w:rsid w:val="00EC0709"/>
    <w:rsid w:val="00EC0A5F"/>
    <w:rsid w:val="00EC0C06"/>
    <w:rsid w:val="00EC0DBF"/>
    <w:rsid w:val="00EC0F7D"/>
    <w:rsid w:val="00EC1174"/>
    <w:rsid w:val="00EC124A"/>
    <w:rsid w:val="00EC135E"/>
    <w:rsid w:val="00EC13D4"/>
    <w:rsid w:val="00EC13D9"/>
    <w:rsid w:val="00EC14D3"/>
    <w:rsid w:val="00EC1647"/>
    <w:rsid w:val="00EC1A2A"/>
    <w:rsid w:val="00EC1F46"/>
    <w:rsid w:val="00EC2293"/>
    <w:rsid w:val="00EC232B"/>
    <w:rsid w:val="00EC2B1F"/>
    <w:rsid w:val="00EC2FF2"/>
    <w:rsid w:val="00EC3460"/>
    <w:rsid w:val="00EC38E2"/>
    <w:rsid w:val="00EC3A47"/>
    <w:rsid w:val="00EC3A6A"/>
    <w:rsid w:val="00EC40A4"/>
    <w:rsid w:val="00EC42D6"/>
    <w:rsid w:val="00EC4347"/>
    <w:rsid w:val="00EC4366"/>
    <w:rsid w:val="00EC4393"/>
    <w:rsid w:val="00EC439E"/>
    <w:rsid w:val="00EC43C7"/>
    <w:rsid w:val="00EC4793"/>
    <w:rsid w:val="00EC4BB9"/>
    <w:rsid w:val="00EC4C49"/>
    <w:rsid w:val="00EC4FFA"/>
    <w:rsid w:val="00EC51A4"/>
    <w:rsid w:val="00EC52A4"/>
    <w:rsid w:val="00EC52C8"/>
    <w:rsid w:val="00EC53E4"/>
    <w:rsid w:val="00EC5488"/>
    <w:rsid w:val="00EC5560"/>
    <w:rsid w:val="00EC559A"/>
    <w:rsid w:val="00EC56F7"/>
    <w:rsid w:val="00EC58EC"/>
    <w:rsid w:val="00EC59A6"/>
    <w:rsid w:val="00EC63A0"/>
    <w:rsid w:val="00EC68E0"/>
    <w:rsid w:val="00EC6F55"/>
    <w:rsid w:val="00EC6FCF"/>
    <w:rsid w:val="00EC7197"/>
    <w:rsid w:val="00EC71CA"/>
    <w:rsid w:val="00EC729C"/>
    <w:rsid w:val="00ED0022"/>
    <w:rsid w:val="00ED00E4"/>
    <w:rsid w:val="00ED029F"/>
    <w:rsid w:val="00ED07E1"/>
    <w:rsid w:val="00ED0A94"/>
    <w:rsid w:val="00ED0B03"/>
    <w:rsid w:val="00ED0B89"/>
    <w:rsid w:val="00ED0BB3"/>
    <w:rsid w:val="00ED0F90"/>
    <w:rsid w:val="00ED133C"/>
    <w:rsid w:val="00ED1439"/>
    <w:rsid w:val="00ED190A"/>
    <w:rsid w:val="00ED2214"/>
    <w:rsid w:val="00ED225E"/>
    <w:rsid w:val="00ED2389"/>
    <w:rsid w:val="00ED2687"/>
    <w:rsid w:val="00ED2882"/>
    <w:rsid w:val="00ED2B47"/>
    <w:rsid w:val="00ED2BA7"/>
    <w:rsid w:val="00ED2C46"/>
    <w:rsid w:val="00ED2CED"/>
    <w:rsid w:val="00ED2DE9"/>
    <w:rsid w:val="00ED302D"/>
    <w:rsid w:val="00ED35C3"/>
    <w:rsid w:val="00ED37E0"/>
    <w:rsid w:val="00ED38D3"/>
    <w:rsid w:val="00ED3A98"/>
    <w:rsid w:val="00ED3BFE"/>
    <w:rsid w:val="00ED4432"/>
    <w:rsid w:val="00ED4713"/>
    <w:rsid w:val="00ED4796"/>
    <w:rsid w:val="00ED4ECD"/>
    <w:rsid w:val="00ED4F0C"/>
    <w:rsid w:val="00ED5653"/>
    <w:rsid w:val="00ED5793"/>
    <w:rsid w:val="00ED57BD"/>
    <w:rsid w:val="00ED59B8"/>
    <w:rsid w:val="00ED5D71"/>
    <w:rsid w:val="00ED5FF3"/>
    <w:rsid w:val="00ED6224"/>
    <w:rsid w:val="00ED6A09"/>
    <w:rsid w:val="00ED6C44"/>
    <w:rsid w:val="00ED6F4A"/>
    <w:rsid w:val="00ED6F54"/>
    <w:rsid w:val="00ED72D3"/>
    <w:rsid w:val="00ED748F"/>
    <w:rsid w:val="00ED7661"/>
    <w:rsid w:val="00ED7CF5"/>
    <w:rsid w:val="00EE0056"/>
    <w:rsid w:val="00EE03B8"/>
    <w:rsid w:val="00EE0403"/>
    <w:rsid w:val="00EE057B"/>
    <w:rsid w:val="00EE06DB"/>
    <w:rsid w:val="00EE0853"/>
    <w:rsid w:val="00EE0DE2"/>
    <w:rsid w:val="00EE0ECA"/>
    <w:rsid w:val="00EE10A6"/>
    <w:rsid w:val="00EE129C"/>
    <w:rsid w:val="00EE159A"/>
    <w:rsid w:val="00EE17FA"/>
    <w:rsid w:val="00EE18FB"/>
    <w:rsid w:val="00EE1A0A"/>
    <w:rsid w:val="00EE1A77"/>
    <w:rsid w:val="00EE1DB2"/>
    <w:rsid w:val="00EE1E66"/>
    <w:rsid w:val="00EE253F"/>
    <w:rsid w:val="00EE27CB"/>
    <w:rsid w:val="00EE2926"/>
    <w:rsid w:val="00EE2A03"/>
    <w:rsid w:val="00EE2A2F"/>
    <w:rsid w:val="00EE2BF4"/>
    <w:rsid w:val="00EE315B"/>
    <w:rsid w:val="00EE316F"/>
    <w:rsid w:val="00EE360C"/>
    <w:rsid w:val="00EE3ADB"/>
    <w:rsid w:val="00EE3CC3"/>
    <w:rsid w:val="00EE3F07"/>
    <w:rsid w:val="00EE438F"/>
    <w:rsid w:val="00EE46A0"/>
    <w:rsid w:val="00EE4820"/>
    <w:rsid w:val="00EE4D80"/>
    <w:rsid w:val="00EE4E0C"/>
    <w:rsid w:val="00EE4FC5"/>
    <w:rsid w:val="00EE552E"/>
    <w:rsid w:val="00EE553E"/>
    <w:rsid w:val="00EE57B6"/>
    <w:rsid w:val="00EE5855"/>
    <w:rsid w:val="00EE5D57"/>
    <w:rsid w:val="00EE5F90"/>
    <w:rsid w:val="00EE6368"/>
    <w:rsid w:val="00EE638F"/>
    <w:rsid w:val="00EE679A"/>
    <w:rsid w:val="00EE6AE7"/>
    <w:rsid w:val="00EE6C6A"/>
    <w:rsid w:val="00EE71B4"/>
    <w:rsid w:val="00EE71E4"/>
    <w:rsid w:val="00EE7C9B"/>
    <w:rsid w:val="00EE7FD8"/>
    <w:rsid w:val="00EF0422"/>
    <w:rsid w:val="00EF0597"/>
    <w:rsid w:val="00EF0BFE"/>
    <w:rsid w:val="00EF0D52"/>
    <w:rsid w:val="00EF11C9"/>
    <w:rsid w:val="00EF11EB"/>
    <w:rsid w:val="00EF1207"/>
    <w:rsid w:val="00EF144E"/>
    <w:rsid w:val="00EF19B2"/>
    <w:rsid w:val="00EF1A72"/>
    <w:rsid w:val="00EF1BE8"/>
    <w:rsid w:val="00EF1C1B"/>
    <w:rsid w:val="00EF1F60"/>
    <w:rsid w:val="00EF2374"/>
    <w:rsid w:val="00EF2452"/>
    <w:rsid w:val="00EF2876"/>
    <w:rsid w:val="00EF2EB6"/>
    <w:rsid w:val="00EF319F"/>
    <w:rsid w:val="00EF330F"/>
    <w:rsid w:val="00EF36DB"/>
    <w:rsid w:val="00EF3C2E"/>
    <w:rsid w:val="00EF3C5F"/>
    <w:rsid w:val="00EF3D2D"/>
    <w:rsid w:val="00EF3E36"/>
    <w:rsid w:val="00EF3E8E"/>
    <w:rsid w:val="00EF4BA0"/>
    <w:rsid w:val="00EF4C34"/>
    <w:rsid w:val="00EF4EF8"/>
    <w:rsid w:val="00EF4F98"/>
    <w:rsid w:val="00EF525B"/>
    <w:rsid w:val="00EF570E"/>
    <w:rsid w:val="00EF591C"/>
    <w:rsid w:val="00EF59EA"/>
    <w:rsid w:val="00EF5AE6"/>
    <w:rsid w:val="00EF5BBC"/>
    <w:rsid w:val="00EF5E04"/>
    <w:rsid w:val="00EF5F9E"/>
    <w:rsid w:val="00EF6090"/>
    <w:rsid w:val="00EF62F2"/>
    <w:rsid w:val="00EF6455"/>
    <w:rsid w:val="00EF653C"/>
    <w:rsid w:val="00EF6DC4"/>
    <w:rsid w:val="00EF70A6"/>
    <w:rsid w:val="00EF72F5"/>
    <w:rsid w:val="00EF7728"/>
    <w:rsid w:val="00EF7A2D"/>
    <w:rsid w:val="00EF7AC4"/>
    <w:rsid w:val="00EF7D76"/>
    <w:rsid w:val="00EF7FBA"/>
    <w:rsid w:val="00F00147"/>
    <w:rsid w:val="00F001D0"/>
    <w:rsid w:val="00F002D2"/>
    <w:rsid w:val="00F004D3"/>
    <w:rsid w:val="00F00955"/>
    <w:rsid w:val="00F01181"/>
    <w:rsid w:val="00F01275"/>
    <w:rsid w:val="00F01319"/>
    <w:rsid w:val="00F014D8"/>
    <w:rsid w:val="00F018E9"/>
    <w:rsid w:val="00F0243E"/>
    <w:rsid w:val="00F02994"/>
    <w:rsid w:val="00F02A05"/>
    <w:rsid w:val="00F02AD3"/>
    <w:rsid w:val="00F02CE9"/>
    <w:rsid w:val="00F02F55"/>
    <w:rsid w:val="00F031C4"/>
    <w:rsid w:val="00F03C13"/>
    <w:rsid w:val="00F040BC"/>
    <w:rsid w:val="00F046FC"/>
    <w:rsid w:val="00F047AB"/>
    <w:rsid w:val="00F05795"/>
    <w:rsid w:val="00F05807"/>
    <w:rsid w:val="00F05A0D"/>
    <w:rsid w:val="00F05A92"/>
    <w:rsid w:val="00F05F12"/>
    <w:rsid w:val="00F0675F"/>
    <w:rsid w:val="00F06821"/>
    <w:rsid w:val="00F06D28"/>
    <w:rsid w:val="00F06E13"/>
    <w:rsid w:val="00F06E61"/>
    <w:rsid w:val="00F06EC3"/>
    <w:rsid w:val="00F06FED"/>
    <w:rsid w:val="00F07031"/>
    <w:rsid w:val="00F070E4"/>
    <w:rsid w:val="00F07662"/>
    <w:rsid w:val="00F07868"/>
    <w:rsid w:val="00F10125"/>
    <w:rsid w:val="00F1026A"/>
    <w:rsid w:val="00F10543"/>
    <w:rsid w:val="00F10767"/>
    <w:rsid w:val="00F10C5D"/>
    <w:rsid w:val="00F10E27"/>
    <w:rsid w:val="00F10EE8"/>
    <w:rsid w:val="00F11064"/>
    <w:rsid w:val="00F11192"/>
    <w:rsid w:val="00F113A8"/>
    <w:rsid w:val="00F113E8"/>
    <w:rsid w:val="00F11681"/>
    <w:rsid w:val="00F11AB4"/>
    <w:rsid w:val="00F11C10"/>
    <w:rsid w:val="00F11D48"/>
    <w:rsid w:val="00F11FB0"/>
    <w:rsid w:val="00F11FDC"/>
    <w:rsid w:val="00F1218C"/>
    <w:rsid w:val="00F1220A"/>
    <w:rsid w:val="00F1224E"/>
    <w:rsid w:val="00F1238A"/>
    <w:rsid w:val="00F1294C"/>
    <w:rsid w:val="00F12C94"/>
    <w:rsid w:val="00F12E34"/>
    <w:rsid w:val="00F12FC5"/>
    <w:rsid w:val="00F13071"/>
    <w:rsid w:val="00F131E4"/>
    <w:rsid w:val="00F132E5"/>
    <w:rsid w:val="00F135AC"/>
    <w:rsid w:val="00F137BF"/>
    <w:rsid w:val="00F13899"/>
    <w:rsid w:val="00F13D8A"/>
    <w:rsid w:val="00F13F1B"/>
    <w:rsid w:val="00F14183"/>
    <w:rsid w:val="00F14188"/>
    <w:rsid w:val="00F141F1"/>
    <w:rsid w:val="00F14369"/>
    <w:rsid w:val="00F146A8"/>
    <w:rsid w:val="00F1486F"/>
    <w:rsid w:val="00F14B29"/>
    <w:rsid w:val="00F14F0E"/>
    <w:rsid w:val="00F15178"/>
    <w:rsid w:val="00F1533F"/>
    <w:rsid w:val="00F1553C"/>
    <w:rsid w:val="00F156F5"/>
    <w:rsid w:val="00F1594A"/>
    <w:rsid w:val="00F15A3D"/>
    <w:rsid w:val="00F15A98"/>
    <w:rsid w:val="00F15DF5"/>
    <w:rsid w:val="00F15F28"/>
    <w:rsid w:val="00F166EC"/>
    <w:rsid w:val="00F16A08"/>
    <w:rsid w:val="00F16B0E"/>
    <w:rsid w:val="00F1726E"/>
    <w:rsid w:val="00F17348"/>
    <w:rsid w:val="00F17533"/>
    <w:rsid w:val="00F17CB6"/>
    <w:rsid w:val="00F200EE"/>
    <w:rsid w:val="00F201AD"/>
    <w:rsid w:val="00F20499"/>
    <w:rsid w:val="00F204E0"/>
    <w:rsid w:val="00F204EF"/>
    <w:rsid w:val="00F20617"/>
    <w:rsid w:val="00F20693"/>
    <w:rsid w:val="00F208FF"/>
    <w:rsid w:val="00F20A1B"/>
    <w:rsid w:val="00F20F38"/>
    <w:rsid w:val="00F210B4"/>
    <w:rsid w:val="00F2117A"/>
    <w:rsid w:val="00F2189C"/>
    <w:rsid w:val="00F21D82"/>
    <w:rsid w:val="00F21EF4"/>
    <w:rsid w:val="00F21F8B"/>
    <w:rsid w:val="00F221AC"/>
    <w:rsid w:val="00F225E1"/>
    <w:rsid w:val="00F22AD8"/>
    <w:rsid w:val="00F22B55"/>
    <w:rsid w:val="00F22EC5"/>
    <w:rsid w:val="00F23198"/>
    <w:rsid w:val="00F231F2"/>
    <w:rsid w:val="00F2323E"/>
    <w:rsid w:val="00F23547"/>
    <w:rsid w:val="00F23737"/>
    <w:rsid w:val="00F2383A"/>
    <w:rsid w:val="00F23D3C"/>
    <w:rsid w:val="00F24092"/>
    <w:rsid w:val="00F242C9"/>
    <w:rsid w:val="00F2446D"/>
    <w:rsid w:val="00F24547"/>
    <w:rsid w:val="00F24900"/>
    <w:rsid w:val="00F24B5C"/>
    <w:rsid w:val="00F24C0B"/>
    <w:rsid w:val="00F24D09"/>
    <w:rsid w:val="00F2512F"/>
    <w:rsid w:val="00F2516A"/>
    <w:rsid w:val="00F251C8"/>
    <w:rsid w:val="00F259C7"/>
    <w:rsid w:val="00F25ADB"/>
    <w:rsid w:val="00F25D4D"/>
    <w:rsid w:val="00F262C2"/>
    <w:rsid w:val="00F26DCF"/>
    <w:rsid w:val="00F26FD3"/>
    <w:rsid w:val="00F2709C"/>
    <w:rsid w:val="00F270D9"/>
    <w:rsid w:val="00F271EF"/>
    <w:rsid w:val="00F2747C"/>
    <w:rsid w:val="00F2778C"/>
    <w:rsid w:val="00F27806"/>
    <w:rsid w:val="00F27CA0"/>
    <w:rsid w:val="00F27CF0"/>
    <w:rsid w:val="00F27E37"/>
    <w:rsid w:val="00F302F6"/>
    <w:rsid w:val="00F3048E"/>
    <w:rsid w:val="00F30516"/>
    <w:rsid w:val="00F305D4"/>
    <w:rsid w:val="00F306BB"/>
    <w:rsid w:val="00F3072B"/>
    <w:rsid w:val="00F30750"/>
    <w:rsid w:val="00F309FA"/>
    <w:rsid w:val="00F31238"/>
    <w:rsid w:val="00F31240"/>
    <w:rsid w:val="00F31287"/>
    <w:rsid w:val="00F313E5"/>
    <w:rsid w:val="00F3153E"/>
    <w:rsid w:val="00F31BB9"/>
    <w:rsid w:val="00F3203F"/>
    <w:rsid w:val="00F32207"/>
    <w:rsid w:val="00F325C0"/>
    <w:rsid w:val="00F328D1"/>
    <w:rsid w:val="00F32BF9"/>
    <w:rsid w:val="00F32E09"/>
    <w:rsid w:val="00F33246"/>
    <w:rsid w:val="00F3412D"/>
    <w:rsid w:val="00F34423"/>
    <w:rsid w:val="00F3472B"/>
    <w:rsid w:val="00F347C4"/>
    <w:rsid w:val="00F349C3"/>
    <w:rsid w:val="00F34C3E"/>
    <w:rsid w:val="00F34C87"/>
    <w:rsid w:val="00F34D01"/>
    <w:rsid w:val="00F34D8F"/>
    <w:rsid w:val="00F34E26"/>
    <w:rsid w:val="00F35578"/>
    <w:rsid w:val="00F358B1"/>
    <w:rsid w:val="00F35942"/>
    <w:rsid w:val="00F359FC"/>
    <w:rsid w:val="00F35B2A"/>
    <w:rsid w:val="00F35BAD"/>
    <w:rsid w:val="00F35C09"/>
    <w:rsid w:val="00F35D20"/>
    <w:rsid w:val="00F35E93"/>
    <w:rsid w:val="00F3609A"/>
    <w:rsid w:val="00F36168"/>
    <w:rsid w:val="00F36856"/>
    <w:rsid w:val="00F36B01"/>
    <w:rsid w:val="00F36E5B"/>
    <w:rsid w:val="00F36E7A"/>
    <w:rsid w:val="00F36FA4"/>
    <w:rsid w:val="00F37C45"/>
    <w:rsid w:val="00F37DAD"/>
    <w:rsid w:val="00F37DF0"/>
    <w:rsid w:val="00F37EB4"/>
    <w:rsid w:val="00F40164"/>
    <w:rsid w:val="00F4036C"/>
    <w:rsid w:val="00F405AA"/>
    <w:rsid w:val="00F40655"/>
    <w:rsid w:val="00F40915"/>
    <w:rsid w:val="00F40C32"/>
    <w:rsid w:val="00F4132D"/>
    <w:rsid w:val="00F41422"/>
    <w:rsid w:val="00F417DD"/>
    <w:rsid w:val="00F418BC"/>
    <w:rsid w:val="00F41B88"/>
    <w:rsid w:val="00F41D92"/>
    <w:rsid w:val="00F41ECC"/>
    <w:rsid w:val="00F42795"/>
    <w:rsid w:val="00F429D8"/>
    <w:rsid w:val="00F42A41"/>
    <w:rsid w:val="00F42D73"/>
    <w:rsid w:val="00F4317C"/>
    <w:rsid w:val="00F431BC"/>
    <w:rsid w:val="00F436B7"/>
    <w:rsid w:val="00F43D46"/>
    <w:rsid w:val="00F43E56"/>
    <w:rsid w:val="00F43F8D"/>
    <w:rsid w:val="00F4405E"/>
    <w:rsid w:val="00F4437D"/>
    <w:rsid w:val="00F444C5"/>
    <w:rsid w:val="00F4490F"/>
    <w:rsid w:val="00F44AAF"/>
    <w:rsid w:val="00F44B9C"/>
    <w:rsid w:val="00F44DAF"/>
    <w:rsid w:val="00F44DEE"/>
    <w:rsid w:val="00F44FEB"/>
    <w:rsid w:val="00F45507"/>
    <w:rsid w:val="00F45BB5"/>
    <w:rsid w:val="00F45D64"/>
    <w:rsid w:val="00F461B7"/>
    <w:rsid w:val="00F46622"/>
    <w:rsid w:val="00F46BC9"/>
    <w:rsid w:val="00F4714C"/>
    <w:rsid w:val="00F47659"/>
    <w:rsid w:val="00F47A1C"/>
    <w:rsid w:val="00F47A62"/>
    <w:rsid w:val="00F47C73"/>
    <w:rsid w:val="00F47DFB"/>
    <w:rsid w:val="00F50310"/>
    <w:rsid w:val="00F50447"/>
    <w:rsid w:val="00F507EA"/>
    <w:rsid w:val="00F50AB4"/>
    <w:rsid w:val="00F51369"/>
    <w:rsid w:val="00F514E2"/>
    <w:rsid w:val="00F5167A"/>
    <w:rsid w:val="00F51CAF"/>
    <w:rsid w:val="00F520F8"/>
    <w:rsid w:val="00F521A0"/>
    <w:rsid w:val="00F522D0"/>
    <w:rsid w:val="00F52404"/>
    <w:rsid w:val="00F52797"/>
    <w:rsid w:val="00F5287D"/>
    <w:rsid w:val="00F5293E"/>
    <w:rsid w:val="00F529F3"/>
    <w:rsid w:val="00F52BE3"/>
    <w:rsid w:val="00F52DFE"/>
    <w:rsid w:val="00F5318C"/>
    <w:rsid w:val="00F53259"/>
    <w:rsid w:val="00F534FA"/>
    <w:rsid w:val="00F53A88"/>
    <w:rsid w:val="00F53B3E"/>
    <w:rsid w:val="00F53BC9"/>
    <w:rsid w:val="00F53F6F"/>
    <w:rsid w:val="00F53FD3"/>
    <w:rsid w:val="00F5424F"/>
    <w:rsid w:val="00F54503"/>
    <w:rsid w:val="00F545ED"/>
    <w:rsid w:val="00F54879"/>
    <w:rsid w:val="00F54DE8"/>
    <w:rsid w:val="00F54E65"/>
    <w:rsid w:val="00F54F13"/>
    <w:rsid w:val="00F55829"/>
    <w:rsid w:val="00F558F5"/>
    <w:rsid w:val="00F55BCE"/>
    <w:rsid w:val="00F55EEE"/>
    <w:rsid w:val="00F5657B"/>
    <w:rsid w:val="00F56ECF"/>
    <w:rsid w:val="00F57096"/>
    <w:rsid w:val="00F576F2"/>
    <w:rsid w:val="00F57E95"/>
    <w:rsid w:val="00F60094"/>
    <w:rsid w:val="00F602DF"/>
    <w:rsid w:val="00F60497"/>
    <w:rsid w:val="00F6067B"/>
    <w:rsid w:val="00F607A2"/>
    <w:rsid w:val="00F60A81"/>
    <w:rsid w:val="00F60B4E"/>
    <w:rsid w:val="00F610A0"/>
    <w:rsid w:val="00F612E8"/>
    <w:rsid w:val="00F61DD7"/>
    <w:rsid w:val="00F61FBF"/>
    <w:rsid w:val="00F62169"/>
    <w:rsid w:val="00F62472"/>
    <w:rsid w:val="00F62987"/>
    <w:rsid w:val="00F62E80"/>
    <w:rsid w:val="00F63320"/>
    <w:rsid w:val="00F6350B"/>
    <w:rsid w:val="00F639A2"/>
    <w:rsid w:val="00F63CC8"/>
    <w:rsid w:val="00F63D09"/>
    <w:rsid w:val="00F63DD5"/>
    <w:rsid w:val="00F64008"/>
    <w:rsid w:val="00F640A4"/>
    <w:rsid w:val="00F64133"/>
    <w:rsid w:val="00F6460B"/>
    <w:rsid w:val="00F648A2"/>
    <w:rsid w:val="00F65031"/>
    <w:rsid w:val="00F650ED"/>
    <w:rsid w:val="00F654AD"/>
    <w:rsid w:val="00F65C31"/>
    <w:rsid w:val="00F65DB6"/>
    <w:rsid w:val="00F65F9D"/>
    <w:rsid w:val="00F66052"/>
    <w:rsid w:val="00F669AE"/>
    <w:rsid w:val="00F669B0"/>
    <w:rsid w:val="00F66E53"/>
    <w:rsid w:val="00F67359"/>
    <w:rsid w:val="00F675F9"/>
    <w:rsid w:val="00F676D7"/>
    <w:rsid w:val="00F67AEF"/>
    <w:rsid w:val="00F67B8D"/>
    <w:rsid w:val="00F70628"/>
    <w:rsid w:val="00F7091D"/>
    <w:rsid w:val="00F70A7B"/>
    <w:rsid w:val="00F70B36"/>
    <w:rsid w:val="00F70B98"/>
    <w:rsid w:val="00F70F7D"/>
    <w:rsid w:val="00F71025"/>
    <w:rsid w:val="00F712B2"/>
    <w:rsid w:val="00F71452"/>
    <w:rsid w:val="00F7152E"/>
    <w:rsid w:val="00F71570"/>
    <w:rsid w:val="00F715CB"/>
    <w:rsid w:val="00F718AF"/>
    <w:rsid w:val="00F7191D"/>
    <w:rsid w:val="00F71F7F"/>
    <w:rsid w:val="00F7204D"/>
    <w:rsid w:val="00F72A70"/>
    <w:rsid w:val="00F72AB2"/>
    <w:rsid w:val="00F72BA5"/>
    <w:rsid w:val="00F72D19"/>
    <w:rsid w:val="00F72D66"/>
    <w:rsid w:val="00F730A5"/>
    <w:rsid w:val="00F73201"/>
    <w:rsid w:val="00F7338A"/>
    <w:rsid w:val="00F733D9"/>
    <w:rsid w:val="00F73598"/>
    <w:rsid w:val="00F7360F"/>
    <w:rsid w:val="00F74007"/>
    <w:rsid w:val="00F74374"/>
    <w:rsid w:val="00F74780"/>
    <w:rsid w:val="00F747FD"/>
    <w:rsid w:val="00F74EF0"/>
    <w:rsid w:val="00F750AA"/>
    <w:rsid w:val="00F751AB"/>
    <w:rsid w:val="00F751DD"/>
    <w:rsid w:val="00F757CD"/>
    <w:rsid w:val="00F75BF8"/>
    <w:rsid w:val="00F7643A"/>
    <w:rsid w:val="00F766B9"/>
    <w:rsid w:val="00F76749"/>
    <w:rsid w:val="00F76B3D"/>
    <w:rsid w:val="00F76B9E"/>
    <w:rsid w:val="00F76D6E"/>
    <w:rsid w:val="00F76E9D"/>
    <w:rsid w:val="00F76EAD"/>
    <w:rsid w:val="00F772C4"/>
    <w:rsid w:val="00F773F7"/>
    <w:rsid w:val="00F773FB"/>
    <w:rsid w:val="00F77830"/>
    <w:rsid w:val="00F778E2"/>
    <w:rsid w:val="00F779CB"/>
    <w:rsid w:val="00F77BB4"/>
    <w:rsid w:val="00F80372"/>
    <w:rsid w:val="00F80B37"/>
    <w:rsid w:val="00F80C1F"/>
    <w:rsid w:val="00F80D9C"/>
    <w:rsid w:val="00F80F38"/>
    <w:rsid w:val="00F813B0"/>
    <w:rsid w:val="00F814DE"/>
    <w:rsid w:val="00F81691"/>
    <w:rsid w:val="00F81A95"/>
    <w:rsid w:val="00F81CF0"/>
    <w:rsid w:val="00F8202C"/>
    <w:rsid w:val="00F82069"/>
    <w:rsid w:val="00F82398"/>
    <w:rsid w:val="00F82409"/>
    <w:rsid w:val="00F8291A"/>
    <w:rsid w:val="00F829B8"/>
    <w:rsid w:val="00F82A3C"/>
    <w:rsid w:val="00F82A74"/>
    <w:rsid w:val="00F835D4"/>
    <w:rsid w:val="00F8397D"/>
    <w:rsid w:val="00F84437"/>
    <w:rsid w:val="00F844A8"/>
    <w:rsid w:val="00F844CF"/>
    <w:rsid w:val="00F84EB6"/>
    <w:rsid w:val="00F84EE1"/>
    <w:rsid w:val="00F857D1"/>
    <w:rsid w:val="00F85CA9"/>
    <w:rsid w:val="00F85F0D"/>
    <w:rsid w:val="00F86210"/>
    <w:rsid w:val="00F86B48"/>
    <w:rsid w:val="00F87241"/>
    <w:rsid w:val="00F877D4"/>
    <w:rsid w:val="00F878EB"/>
    <w:rsid w:val="00F90072"/>
    <w:rsid w:val="00F90850"/>
    <w:rsid w:val="00F90B15"/>
    <w:rsid w:val="00F910A7"/>
    <w:rsid w:val="00F913F6"/>
    <w:rsid w:val="00F9148A"/>
    <w:rsid w:val="00F91539"/>
    <w:rsid w:val="00F91EDE"/>
    <w:rsid w:val="00F925FE"/>
    <w:rsid w:val="00F92701"/>
    <w:rsid w:val="00F930B7"/>
    <w:rsid w:val="00F93283"/>
    <w:rsid w:val="00F937E4"/>
    <w:rsid w:val="00F9397B"/>
    <w:rsid w:val="00F9399C"/>
    <w:rsid w:val="00F93A95"/>
    <w:rsid w:val="00F93C76"/>
    <w:rsid w:val="00F94360"/>
    <w:rsid w:val="00F94361"/>
    <w:rsid w:val="00F94410"/>
    <w:rsid w:val="00F947A2"/>
    <w:rsid w:val="00F94C2D"/>
    <w:rsid w:val="00F94E54"/>
    <w:rsid w:val="00F951F4"/>
    <w:rsid w:val="00F95211"/>
    <w:rsid w:val="00F9531E"/>
    <w:rsid w:val="00F9537B"/>
    <w:rsid w:val="00F956E4"/>
    <w:rsid w:val="00F95E25"/>
    <w:rsid w:val="00F96122"/>
    <w:rsid w:val="00F9616C"/>
    <w:rsid w:val="00F9619B"/>
    <w:rsid w:val="00F96233"/>
    <w:rsid w:val="00F96554"/>
    <w:rsid w:val="00F96B80"/>
    <w:rsid w:val="00F96CB1"/>
    <w:rsid w:val="00F97016"/>
    <w:rsid w:val="00F970EC"/>
    <w:rsid w:val="00F97226"/>
    <w:rsid w:val="00F97338"/>
    <w:rsid w:val="00F9739F"/>
    <w:rsid w:val="00F973D7"/>
    <w:rsid w:val="00F974E6"/>
    <w:rsid w:val="00FA00D2"/>
    <w:rsid w:val="00FA0939"/>
    <w:rsid w:val="00FA0B2A"/>
    <w:rsid w:val="00FA0B4B"/>
    <w:rsid w:val="00FA0D65"/>
    <w:rsid w:val="00FA0D84"/>
    <w:rsid w:val="00FA0FF7"/>
    <w:rsid w:val="00FA151F"/>
    <w:rsid w:val="00FA15F8"/>
    <w:rsid w:val="00FA15FD"/>
    <w:rsid w:val="00FA1B8D"/>
    <w:rsid w:val="00FA1DB0"/>
    <w:rsid w:val="00FA1F5D"/>
    <w:rsid w:val="00FA20E6"/>
    <w:rsid w:val="00FA267A"/>
    <w:rsid w:val="00FA286C"/>
    <w:rsid w:val="00FA2970"/>
    <w:rsid w:val="00FA2AE3"/>
    <w:rsid w:val="00FA2BDD"/>
    <w:rsid w:val="00FA2D9E"/>
    <w:rsid w:val="00FA2EE6"/>
    <w:rsid w:val="00FA3B64"/>
    <w:rsid w:val="00FA3ED9"/>
    <w:rsid w:val="00FA4261"/>
    <w:rsid w:val="00FA436B"/>
    <w:rsid w:val="00FA4AAF"/>
    <w:rsid w:val="00FA4C1D"/>
    <w:rsid w:val="00FA4F5F"/>
    <w:rsid w:val="00FA5056"/>
    <w:rsid w:val="00FA50E6"/>
    <w:rsid w:val="00FA5160"/>
    <w:rsid w:val="00FA55D7"/>
    <w:rsid w:val="00FA5A70"/>
    <w:rsid w:val="00FA5CEF"/>
    <w:rsid w:val="00FA674A"/>
    <w:rsid w:val="00FA6A7A"/>
    <w:rsid w:val="00FA6AF5"/>
    <w:rsid w:val="00FA6C2C"/>
    <w:rsid w:val="00FA6CC3"/>
    <w:rsid w:val="00FA6D0C"/>
    <w:rsid w:val="00FA6ED5"/>
    <w:rsid w:val="00FA6F07"/>
    <w:rsid w:val="00FA7198"/>
    <w:rsid w:val="00FA74AE"/>
    <w:rsid w:val="00FA74D1"/>
    <w:rsid w:val="00FA77AE"/>
    <w:rsid w:val="00FA7997"/>
    <w:rsid w:val="00FB016B"/>
    <w:rsid w:val="00FB0384"/>
    <w:rsid w:val="00FB0AD3"/>
    <w:rsid w:val="00FB0AEF"/>
    <w:rsid w:val="00FB0D45"/>
    <w:rsid w:val="00FB0DCC"/>
    <w:rsid w:val="00FB0E50"/>
    <w:rsid w:val="00FB0E8D"/>
    <w:rsid w:val="00FB1520"/>
    <w:rsid w:val="00FB165F"/>
    <w:rsid w:val="00FB1863"/>
    <w:rsid w:val="00FB1CE2"/>
    <w:rsid w:val="00FB1D2C"/>
    <w:rsid w:val="00FB1D6A"/>
    <w:rsid w:val="00FB1D6E"/>
    <w:rsid w:val="00FB1EE4"/>
    <w:rsid w:val="00FB256D"/>
    <w:rsid w:val="00FB26AB"/>
    <w:rsid w:val="00FB2764"/>
    <w:rsid w:val="00FB28F1"/>
    <w:rsid w:val="00FB291F"/>
    <w:rsid w:val="00FB2B4A"/>
    <w:rsid w:val="00FB2D93"/>
    <w:rsid w:val="00FB3BCE"/>
    <w:rsid w:val="00FB40F6"/>
    <w:rsid w:val="00FB429C"/>
    <w:rsid w:val="00FB4618"/>
    <w:rsid w:val="00FB4B5D"/>
    <w:rsid w:val="00FB4F7D"/>
    <w:rsid w:val="00FB5005"/>
    <w:rsid w:val="00FB572C"/>
    <w:rsid w:val="00FB5A1F"/>
    <w:rsid w:val="00FB5C44"/>
    <w:rsid w:val="00FB5ED0"/>
    <w:rsid w:val="00FB628F"/>
    <w:rsid w:val="00FB63D7"/>
    <w:rsid w:val="00FB64DB"/>
    <w:rsid w:val="00FB6531"/>
    <w:rsid w:val="00FB6985"/>
    <w:rsid w:val="00FB6C9F"/>
    <w:rsid w:val="00FB6D1D"/>
    <w:rsid w:val="00FB7391"/>
    <w:rsid w:val="00FB786B"/>
    <w:rsid w:val="00FB78B3"/>
    <w:rsid w:val="00FB7938"/>
    <w:rsid w:val="00FB7A2D"/>
    <w:rsid w:val="00FB7AB1"/>
    <w:rsid w:val="00FB7C22"/>
    <w:rsid w:val="00FB7D4F"/>
    <w:rsid w:val="00FC02CA"/>
    <w:rsid w:val="00FC08F8"/>
    <w:rsid w:val="00FC0D20"/>
    <w:rsid w:val="00FC0D8F"/>
    <w:rsid w:val="00FC0ECD"/>
    <w:rsid w:val="00FC0F69"/>
    <w:rsid w:val="00FC113A"/>
    <w:rsid w:val="00FC1396"/>
    <w:rsid w:val="00FC144E"/>
    <w:rsid w:val="00FC1780"/>
    <w:rsid w:val="00FC18E6"/>
    <w:rsid w:val="00FC1B11"/>
    <w:rsid w:val="00FC1BFE"/>
    <w:rsid w:val="00FC20AC"/>
    <w:rsid w:val="00FC21B0"/>
    <w:rsid w:val="00FC250F"/>
    <w:rsid w:val="00FC251C"/>
    <w:rsid w:val="00FC2D26"/>
    <w:rsid w:val="00FC2D2E"/>
    <w:rsid w:val="00FC32E5"/>
    <w:rsid w:val="00FC3455"/>
    <w:rsid w:val="00FC3817"/>
    <w:rsid w:val="00FC382C"/>
    <w:rsid w:val="00FC3C77"/>
    <w:rsid w:val="00FC3FC6"/>
    <w:rsid w:val="00FC4131"/>
    <w:rsid w:val="00FC4189"/>
    <w:rsid w:val="00FC4420"/>
    <w:rsid w:val="00FC496E"/>
    <w:rsid w:val="00FC4CE7"/>
    <w:rsid w:val="00FC4EE5"/>
    <w:rsid w:val="00FC508C"/>
    <w:rsid w:val="00FC52AE"/>
    <w:rsid w:val="00FC564A"/>
    <w:rsid w:val="00FC5A7B"/>
    <w:rsid w:val="00FC5BDC"/>
    <w:rsid w:val="00FC64BC"/>
    <w:rsid w:val="00FC68C0"/>
    <w:rsid w:val="00FC6D5D"/>
    <w:rsid w:val="00FC6FC8"/>
    <w:rsid w:val="00FC779C"/>
    <w:rsid w:val="00FC7A4F"/>
    <w:rsid w:val="00FD0028"/>
    <w:rsid w:val="00FD00F6"/>
    <w:rsid w:val="00FD0C9A"/>
    <w:rsid w:val="00FD0D10"/>
    <w:rsid w:val="00FD0D8C"/>
    <w:rsid w:val="00FD0EC4"/>
    <w:rsid w:val="00FD11A7"/>
    <w:rsid w:val="00FD11C4"/>
    <w:rsid w:val="00FD134E"/>
    <w:rsid w:val="00FD13EF"/>
    <w:rsid w:val="00FD1639"/>
    <w:rsid w:val="00FD1785"/>
    <w:rsid w:val="00FD18FC"/>
    <w:rsid w:val="00FD1981"/>
    <w:rsid w:val="00FD1D9B"/>
    <w:rsid w:val="00FD1DC1"/>
    <w:rsid w:val="00FD1EAD"/>
    <w:rsid w:val="00FD204B"/>
    <w:rsid w:val="00FD2105"/>
    <w:rsid w:val="00FD2195"/>
    <w:rsid w:val="00FD2748"/>
    <w:rsid w:val="00FD2816"/>
    <w:rsid w:val="00FD29BC"/>
    <w:rsid w:val="00FD2C7B"/>
    <w:rsid w:val="00FD32EF"/>
    <w:rsid w:val="00FD36CE"/>
    <w:rsid w:val="00FD381F"/>
    <w:rsid w:val="00FD387B"/>
    <w:rsid w:val="00FD3987"/>
    <w:rsid w:val="00FD3AA5"/>
    <w:rsid w:val="00FD3C0A"/>
    <w:rsid w:val="00FD3D01"/>
    <w:rsid w:val="00FD3E85"/>
    <w:rsid w:val="00FD3F8D"/>
    <w:rsid w:val="00FD496D"/>
    <w:rsid w:val="00FD4BBA"/>
    <w:rsid w:val="00FD502B"/>
    <w:rsid w:val="00FD519D"/>
    <w:rsid w:val="00FD53E1"/>
    <w:rsid w:val="00FD53E5"/>
    <w:rsid w:val="00FD570E"/>
    <w:rsid w:val="00FD6046"/>
    <w:rsid w:val="00FD60A3"/>
    <w:rsid w:val="00FD61A7"/>
    <w:rsid w:val="00FD6AD4"/>
    <w:rsid w:val="00FD6F4A"/>
    <w:rsid w:val="00FD7317"/>
    <w:rsid w:val="00FD756C"/>
    <w:rsid w:val="00FD764E"/>
    <w:rsid w:val="00FD7688"/>
    <w:rsid w:val="00FD7BE5"/>
    <w:rsid w:val="00FD7C49"/>
    <w:rsid w:val="00FD7DDB"/>
    <w:rsid w:val="00FD7E4D"/>
    <w:rsid w:val="00FE05C0"/>
    <w:rsid w:val="00FE061F"/>
    <w:rsid w:val="00FE0757"/>
    <w:rsid w:val="00FE07EA"/>
    <w:rsid w:val="00FE0B4F"/>
    <w:rsid w:val="00FE0DD3"/>
    <w:rsid w:val="00FE0DED"/>
    <w:rsid w:val="00FE1494"/>
    <w:rsid w:val="00FE1984"/>
    <w:rsid w:val="00FE1A99"/>
    <w:rsid w:val="00FE1AE7"/>
    <w:rsid w:val="00FE1CD8"/>
    <w:rsid w:val="00FE1F4F"/>
    <w:rsid w:val="00FE21DB"/>
    <w:rsid w:val="00FE235B"/>
    <w:rsid w:val="00FE2503"/>
    <w:rsid w:val="00FE268F"/>
    <w:rsid w:val="00FE29D8"/>
    <w:rsid w:val="00FE2C98"/>
    <w:rsid w:val="00FE3397"/>
    <w:rsid w:val="00FE359E"/>
    <w:rsid w:val="00FE3610"/>
    <w:rsid w:val="00FE3736"/>
    <w:rsid w:val="00FE3C43"/>
    <w:rsid w:val="00FE3CD8"/>
    <w:rsid w:val="00FE3E82"/>
    <w:rsid w:val="00FE4347"/>
    <w:rsid w:val="00FE4423"/>
    <w:rsid w:val="00FE4D8B"/>
    <w:rsid w:val="00FE4D9B"/>
    <w:rsid w:val="00FE4EFD"/>
    <w:rsid w:val="00FE4F32"/>
    <w:rsid w:val="00FE53D9"/>
    <w:rsid w:val="00FE554E"/>
    <w:rsid w:val="00FE59B1"/>
    <w:rsid w:val="00FE5E91"/>
    <w:rsid w:val="00FE63EA"/>
    <w:rsid w:val="00FE64B6"/>
    <w:rsid w:val="00FE6A15"/>
    <w:rsid w:val="00FE6A94"/>
    <w:rsid w:val="00FE6D6B"/>
    <w:rsid w:val="00FE6FE5"/>
    <w:rsid w:val="00FE7016"/>
    <w:rsid w:val="00FE7136"/>
    <w:rsid w:val="00FE7384"/>
    <w:rsid w:val="00FE79A0"/>
    <w:rsid w:val="00FE7ECB"/>
    <w:rsid w:val="00FE7F8E"/>
    <w:rsid w:val="00FE7FFE"/>
    <w:rsid w:val="00FF01EB"/>
    <w:rsid w:val="00FF0299"/>
    <w:rsid w:val="00FF04C9"/>
    <w:rsid w:val="00FF0815"/>
    <w:rsid w:val="00FF0ADF"/>
    <w:rsid w:val="00FF10BC"/>
    <w:rsid w:val="00FF10F9"/>
    <w:rsid w:val="00FF1214"/>
    <w:rsid w:val="00FF12A8"/>
    <w:rsid w:val="00FF15EA"/>
    <w:rsid w:val="00FF1C9D"/>
    <w:rsid w:val="00FF1D53"/>
    <w:rsid w:val="00FF1F20"/>
    <w:rsid w:val="00FF209F"/>
    <w:rsid w:val="00FF213A"/>
    <w:rsid w:val="00FF228B"/>
    <w:rsid w:val="00FF2361"/>
    <w:rsid w:val="00FF2395"/>
    <w:rsid w:val="00FF23C5"/>
    <w:rsid w:val="00FF3217"/>
    <w:rsid w:val="00FF3510"/>
    <w:rsid w:val="00FF35B2"/>
    <w:rsid w:val="00FF3841"/>
    <w:rsid w:val="00FF3FAB"/>
    <w:rsid w:val="00FF4308"/>
    <w:rsid w:val="00FF4534"/>
    <w:rsid w:val="00FF45FE"/>
    <w:rsid w:val="00FF46A3"/>
    <w:rsid w:val="00FF4827"/>
    <w:rsid w:val="00FF4904"/>
    <w:rsid w:val="00FF49E0"/>
    <w:rsid w:val="00FF4A03"/>
    <w:rsid w:val="00FF4A31"/>
    <w:rsid w:val="00FF4BD2"/>
    <w:rsid w:val="00FF4BE9"/>
    <w:rsid w:val="00FF4D51"/>
    <w:rsid w:val="00FF4F51"/>
    <w:rsid w:val="00FF4FB4"/>
    <w:rsid w:val="00FF5190"/>
    <w:rsid w:val="00FF5466"/>
    <w:rsid w:val="00FF5CC3"/>
    <w:rsid w:val="00FF5FD9"/>
    <w:rsid w:val="00FF6172"/>
    <w:rsid w:val="00FF6434"/>
    <w:rsid w:val="00FF6504"/>
    <w:rsid w:val="00FF68B5"/>
    <w:rsid w:val="00FF6B6A"/>
    <w:rsid w:val="00FF6BDD"/>
    <w:rsid w:val="00FF703C"/>
    <w:rsid w:val="00FF70F0"/>
    <w:rsid w:val="00FF70F9"/>
    <w:rsid w:val="00FF7174"/>
    <w:rsid w:val="00FF7454"/>
    <w:rsid w:val="00FF76AD"/>
    <w:rsid w:val="00FF7735"/>
    <w:rsid w:val="00FF7BE6"/>
    <w:rsid w:val="00FF7EBC"/>
    <w:rsid w:val="01495A04"/>
    <w:rsid w:val="01794B36"/>
    <w:rsid w:val="01D86CE0"/>
    <w:rsid w:val="01EE41B1"/>
    <w:rsid w:val="02963253"/>
    <w:rsid w:val="02BE18F9"/>
    <w:rsid w:val="03CD3125"/>
    <w:rsid w:val="043417EC"/>
    <w:rsid w:val="044566F3"/>
    <w:rsid w:val="04A65382"/>
    <w:rsid w:val="05C74CD3"/>
    <w:rsid w:val="069A34DF"/>
    <w:rsid w:val="06A47504"/>
    <w:rsid w:val="06DE0E65"/>
    <w:rsid w:val="07525AD6"/>
    <w:rsid w:val="087E3174"/>
    <w:rsid w:val="094377E2"/>
    <w:rsid w:val="09BA5B0A"/>
    <w:rsid w:val="0A99444E"/>
    <w:rsid w:val="0B3526F6"/>
    <w:rsid w:val="0C751D26"/>
    <w:rsid w:val="0C851169"/>
    <w:rsid w:val="0DE21705"/>
    <w:rsid w:val="0E9C2631"/>
    <w:rsid w:val="0EC326E6"/>
    <w:rsid w:val="0EDB6021"/>
    <w:rsid w:val="0EEE5D92"/>
    <w:rsid w:val="0FF54A44"/>
    <w:rsid w:val="10023C60"/>
    <w:rsid w:val="11370CF0"/>
    <w:rsid w:val="117261B4"/>
    <w:rsid w:val="125E1627"/>
    <w:rsid w:val="129742ED"/>
    <w:rsid w:val="12D21129"/>
    <w:rsid w:val="13010ECD"/>
    <w:rsid w:val="13404FE3"/>
    <w:rsid w:val="1370477F"/>
    <w:rsid w:val="13EFD11E"/>
    <w:rsid w:val="153B37EB"/>
    <w:rsid w:val="153D4FEA"/>
    <w:rsid w:val="1751401F"/>
    <w:rsid w:val="1781370E"/>
    <w:rsid w:val="181226BF"/>
    <w:rsid w:val="18426D52"/>
    <w:rsid w:val="19A13552"/>
    <w:rsid w:val="19CE79CE"/>
    <w:rsid w:val="1A0E2DF5"/>
    <w:rsid w:val="1A1E0FF3"/>
    <w:rsid w:val="1A43429B"/>
    <w:rsid w:val="1A956826"/>
    <w:rsid w:val="1AD35795"/>
    <w:rsid w:val="1B862E9D"/>
    <w:rsid w:val="1C2C72A0"/>
    <w:rsid w:val="1C866751"/>
    <w:rsid w:val="1C8A11D4"/>
    <w:rsid w:val="1C8A6538"/>
    <w:rsid w:val="1CF70C66"/>
    <w:rsid w:val="1D4F30AE"/>
    <w:rsid w:val="1D6B7C96"/>
    <w:rsid w:val="1DCE3DD2"/>
    <w:rsid w:val="1DED179D"/>
    <w:rsid w:val="1E007E71"/>
    <w:rsid w:val="1E7209E7"/>
    <w:rsid w:val="1E9E1474"/>
    <w:rsid w:val="1F422EEA"/>
    <w:rsid w:val="1FB66934"/>
    <w:rsid w:val="212A1707"/>
    <w:rsid w:val="21CE559A"/>
    <w:rsid w:val="220529E0"/>
    <w:rsid w:val="227C49FF"/>
    <w:rsid w:val="22C563B5"/>
    <w:rsid w:val="22E333F7"/>
    <w:rsid w:val="23305C0A"/>
    <w:rsid w:val="2346573D"/>
    <w:rsid w:val="23DC5FF0"/>
    <w:rsid w:val="242C1B74"/>
    <w:rsid w:val="25421D7E"/>
    <w:rsid w:val="25C12DBA"/>
    <w:rsid w:val="26F1528B"/>
    <w:rsid w:val="273C54E2"/>
    <w:rsid w:val="27585D3E"/>
    <w:rsid w:val="2784162E"/>
    <w:rsid w:val="27F26033"/>
    <w:rsid w:val="28157FCC"/>
    <w:rsid w:val="28177139"/>
    <w:rsid w:val="2A7D3F1E"/>
    <w:rsid w:val="2A844EC5"/>
    <w:rsid w:val="2AAE2819"/>
    <w:rsid w:val="2AB07ECD"/>
    <w:rsid w:val="2B0137A0"/>
    <w:rsid w:val="2B9764FC"/>
    <w:rsid w:val="2BD930C3"/>
    <w:rsid w:val="2C533964"/>
    <w:rsid w:val="2C99739A"/>
    <w:rsid w:val="2CC02EE5"/>
    <w:rsid w:val="2D341934"/>
    <w:rsid w:val="2D921A6A"/>
    <w:rsid w:val="2D932250"/>
    <w:rsid w:val="2E83546C"/>
    <w:rsid w:val="2ECB237F"/>
    <w:rsid w:val="2EDA1A07"/>
    <w:rsid w:val="2F8D4A35"/>
    <w:rsid w:val="2F9F0A73"/>
    <w:rsid w:val="2FA75B0E"/>
    <w:rsid w:val="300E0195"/>
    <w:rsid w:val="303370A2"/>
    <w:rsid w:val="306331C1"/>
    <w:rsid w:val="30864ABA"/>
    <w:rsid w:val="31140622"/>
    <w:rsid w:val="31A83080"/>
    <w:rsid w:val="31BD4AF6"/>
    <w:rsid w:val="31ED5CA9"/>
    <w:rsid w:val="32C50AC0"/>
    <w:rsid w:val="32E14EE9"/>
    <w:rsid w:val="32EC2B0E"/>
    <w:rsid w:val="332416E4"/>
    <w:rsid w:val="33987151"/>
    <w:rsid w:val="33B42B9A"/>
    <w:rsid w:val="342A0102"/>
    <w:rsid w:val="343F28D9"/>
    <w:rsid w:val="345B6AD0"/>
    <w:rsid w:val="34726EED"/>
    <w:rsid w:val="34747AD1"/>
    <w:rsid w:val="34B81230"/>
    <w:rsid w:val="3504116C"/>
    <w:rsid w:val="351E43F4"/>
    <w:rsid w:val="353B041A"/>
    <w:rsid w:val="35B63C4F"/>
    <w:rsid w:val="369B1B87"/>
    <w:rsid w:val="36EF4CEC"/>
    <w:rsid w:val="370F65B6"/>
    <w:rsid w:val="37210E5D"/>
    <w:rsid w:val="37246E93"/>
    <w:rsid w:val="377F57E9"/>
    <w:rsid w:val="38514A7C"/>
    <w:rsid w:val="386229C4"/>
    <w:rsid w:val="38992EBF"/>
    <w:rsid w:val="39221A26"/>
    <w:rsid w:val="395B63C5"/>
    <w:rsid w:val="39F906B9"/>
    <w:rsid w:val="3A526360"/>
    <w:rsid w:val="3A826E6B"/>
    <w:rsid w:val="3ABB5087"/>
    <w:rsid w:val="3AD74507"/>
    <w:rsid w:val="3AF05431"/>
    <w:rsid w:val="3B0F1820"/>
    <w:rsid w:val="3B3509F3"/>
    <w:rsid w:val="3B4F65CA"/>
    <w:rsid w:val="3B561DA4"/>
    <w:rsid w:val="3B793BFC"/>
    <w:rsid w:val="3BA25A69"/>
    <w:rsid w:val="3BD364C3"/>
    <w:rsid w:val="3C3E78E8"/>
    <w:rsid w:val="3C9705C1"/>
    <w:rsid w:val="3CEA3E5E"/>
    <w:rsid w:val="3D0B175E"/>
    <w:rsid w:val="3D9D469F"/>
    <w:rsid w:val="3DD0408A"/>
    <w:rsid w:val="3E3D0C5D"/>
    <w:rsid w:val="3E894239"/>
    <w:rsid w:val="3E943433"/>
    <w:rsid w:val="3EB454FC"/>
    <w:rsid w:val="3F79486F"/>
    <w:rsid w:val="3FA93BEC"/>
    <w:rsid w:val="3FF40FEB"/>
    <w:rsid w:val="3FF722F1"/>
    <w:rsid w:val="40415059"/>
    <w:rsid w:val="40440E56"/>
    <w:rsid w:val="404F70DB"/>
    <w:rsid w:val="40C53301"/>
    <w:rsid w:val="411478EF"/>
    <w:rsid w:val="41425F39"/>
    <w:rsid w:val="419126F6"/>
    <w:rsid w:val="41F802D3"/>
    <w:rsid w:val="4263645E"/>
    <w:rsid w:val="427819A8"/>
    <w:rsid w:val="427E06BA"/>
    <w:rsid w:val="4346276F"/>
    <w:rsid w:val="43777719"/>
    <w:rsid w:val="442F4D6E"/>
    <w:rsid w:val="44854178"/>
    <w:rsid w:val="44931311"/>
    <w:rsid w:val="44A5037F"/>
    <w:rsid w:val="44AF1DBA"/>
    <w:rsid w:val="45275804"/>
    <w:rsid w:val="46024259"/>
    <w:rsid w:val="46217B35"/>
    <w:rsid w:val="46707E00"/>
    <w:rsid w:val="46E06FEF"/>
    <w:rsid w:val="4719768F"/>
    <w:rsid w:val="474A3C76"/>
    <w:rsid w:val="483A6833"/>
    <w:rsid w:val="49EB06D7"/>
    <w:rsid w:val="49EF0DAE"/>
    <w:rsid w:val="4A3414FD"/>
    <w:rsid w:val="4AFA62E3"/>
    <w:rsid w:val="4B3F5E04"/>
    <w:rsid w:val="4B6C5F53"/>
    <w:rsid w:val="4B9B56F5"/>
    <w:rsid w:val="4BA6038A"/>
    <w:rsid w:val="4BC501E6"/>
    <w:rsid w:val="4BF17BBA"/>
    <w:rsid w:val="4C3A6396"/>
    <w:rsid w:val="4CA76E32"/>
    <w:rsid w:val="4CB613E3"/>
    <w:rsid w:val="4CC079E1"/>
    <w:rsid w:val="4D482001"/>
    <w:rsid w:val="4E0A2D4C"/>
    <w:rsid w:val="4E655507"/>
    <w:rsid w:val="4EC81E2A"/>
    <w:rsid w:val="4EDF209B"/>
    <w:rsid w:val="4EE81577"/>
    <w:rsid w:val="4EF33E19"/>
    <w:rsid w:val="4F210C39"/>
    <w:rsid w:val="4F7D4322"/>
    <w:rsid w:val="4FDA0C43"/>
    <w:rsid w:val="500C3DD2"/>
    <w:rsid w:val="509D0670"/>
    <w:rsid w:val="50A67A27"/>
    <w:rsid w:val="51946048"/>
    <w:rsid w:val="51F171C9"/>
    <w:rsid w:val="52D64853"/>
    <w:rsid w:val="52F14313"/>
    <w:rsid w:val="539A3992"/>
    <w:rsid w:val="53BC65FC"/>
    <w:rsid w:val="53C70EDE"/>
    <w:rsid w:val="5412180E"/>
    <w:rsid w:val="544A27E7"/>
    <w:rsid w:val="54696AC3"/>
    <w:rsid w:val="547A66A6"/>
    <w:rsid w:val="55B44156"/>
    <w:rsid w:val="561953C2"/>
    <w:rsid w:val="5666654B"/>
    <w:rsid w:val="5696489C"/>
    <w:rsid w:val="56CF181C"/>
    <w:rsid w:val="56F00513"/>
    <w:rsid w:val="571564CE"/>
    <w:rsid w:val="575C1E9F"/>
    <w:rsid w:val="57B75F81"/>
    <w:rsid w:val="57E07345"/>
    <w:rsid w:val="58565CBB"/>
    <w:rsid w:val="587F4188"/>
    <w:rsid w:val="589F1F84"/>
    <w:rsid w:val="58A74328"/>
    <w:rsid w:val="590C1524"/>
    <w:rsid w:val="59226744"/>
    <w:rsid w:val="598F63AA"/>
    <w:rsid w:val="59C67764"/>
    <w:rsid w:val="59D27CAF"/>
    <w:rsid w:val="5A026F22"/>
    <w:rsid w:val="5A643932"/>
    <w:rsid w:val="5A681647"/>
    <w:rsid w:val="5AC726E7"/>
    <w:rsid w:val="5AD057E1"/>
    <w:rsid w:val="5B1E4CBF"/>
    <w:rsid w:val="5BF1DA16"/>
    <w:rsid w:val="5CF84789"/>
    <w:rsid w:val="5D812CAB"/>
    <w:rsid w:val="5DBA7D6F"/>
    <w:rsid w:val="5E1F7B3B"/>
    <w:rsid w:val="5E265619"/>
    <w:rsid w:val="5E3A3D19"/>
    <w:rsid w:val="5E6737F7"/>
    <w:rsid w:val="5F52367E"/>
    <w:rsid w:val="5F7DFB42"/>
    <w:rsid w:val="5FDFBDBE"/>
    <w:rsid w:val="60263FA7"/>
    <w:rsid w:val="604F666B"/>
    <w:rsid w:val="607E07CC"/>
    <w:rsid w:val="60FF7CF1"/>
    <w:rsid w:val="613B2B78"/>
    <w:rsid w:val="6149520B"/>
    <w:rsid w:val="614E0C9F"/>
    <w:rsid w:val="61EF1E09"/>
    <w:rsid w:val="6269767E"/>
    <w:rsid w:val="631F7ECC"/>
    <w:rsid w:val="63EB4830"/>
    <w:rsid w:val="64CA0F84"/>
    <w:rsid w:val="651B4380"/>
    <w:rsid w:val="653E5BBD"/>
    <w:rsid w:val="65D04C6F"/>
    <w:rsid w:val="668D6261"/>
    <w:rsid w:val="6739599B"/>
    <w:rsid w:val="6742320F"/>
    <w:rsid w:val="67434B39"/>
    <w:rsid w:val="67B60912"/>
    <w:rsid w:val="682813EE"/>
    <w:rsid w:val="684E6CF8"/>
    <w:rsid w:val="686220B6"/>
    <w:rsid w:val="687E0A4F"/>
    <w:rsid w:val="68DF088C"/>
    <w:rsid w:val="6945507D"/>
    <w:rsid w:val="69E54E72"/>
    <w:rsid w:val="6A635B7E"/>
    <w:rsid w:val="6AEC7D80"/>
    <w:rsid w:val="6AED56A9"/>
    <w:rsid w:val="6BCE0FBC"/>
    <w:rsid w:val="6C9A2F50"/>
    <w:rsid w:val="6D177676"/>
    <w:rsid w:val="6D9956CD"/>
    <w:rsid w:val="6DEC5AC7"/>
    <w:rsid w:val="6E3A2665"/>
    <w:rsid w:val="6EB82762"/>
    <w:rsid w:val="6EDFE213"/>
    <w:rsid w:val="6EEA1026"/>
    <w:rsid w:val="6EFF69C0"/>
    <w:rsid w:val="6F1674E9"/>
    <w:rsid w:val="6F1928EC"/>
    <w:rsid w:val="704F105F"/>
    <w:rsid w:val="70E02C66"/>
    <w:rsid w:val="70E07806"/>
    <w:rsid w:val="70F05F13"/>
    <w:rsid w:val="710061D8"/>
    <w:rsid w:val="718E20C6"/>
    <w:rsid w:val="729477EF"/>
    <w:rsid w:val="731724C8"/>
    <w:rsid w:val="731E3053"/>
    <w:rsid w:val="735859B6"/>
    <w:rsid w:val="737750CD"/>
    <w:rsid w:val="7395167D"/>
    <w:rsid w:val="73FF8FEB"/>
    <w:rsid w:val="74B03CF2"/>
    <w:rsid w:val="75E03679"/>
    <w:rsid w:val="75F11046"/>
    <w:rsid w:val="772C5A7C"/>
    <w:rsid w:val="7855070D"/>
    <w:rsid w:val="78697084"/>
    <w:rsid w:val="78B12F4B"/>
    <w:rsid w:val="78CD464C"/>
    <w:rsid w:val="78D41446"/>
    <w:rsid w:val="79812907"/>
    <w:rsid w:val="7996511D"/>
    <w:rsid w:val="7A232E21"/>
    <w:rsid w:val="7A257582"/>
    <w:rsid w:val="7A4342FA"/>
    <w:rsid w:val="7A454497"/>
    <w:rsid w:val="7B482527"/>
    <w:rsid w:val="7C206BB6"/>
    <w:rsid w:val="7C5E4419"/>
    <w:rsid w:val="7C923CDE"/>
    <w:rsid w:val="7C9954EA"/>
    <w:rsid w:val="7D3A7D13"/>
    <w:rsid w:val="7D482ABB"/>
    <w:rsid w:val="7D99109C"/>
    <w:rsid w:val="7DFDE1C6"/>
    <w:rsid w:val="7F166D56"/>
    <w:rsid w:val="7F2B66D5"/>
    <w:rsid w:val="7F517815"/>
    <w:rsid w:val="7FAF3137"/>
    <w:rsid w:val="7FDF2964"/>
    <w:rsid w:val="7FFABCDA"/>
    <w:rsid w:val="8FFFF1DE"/>
    <w:rsid w:val="9FF5745B"/>
    <w:rsid w:val="BFB7520D"/>
    <w:rsid w:val="DF1D1078"/>
    <w:rsid w:val="E176D354"/>
    <w:rsid w:val="E3DE8419"/>
    <w:rsid w:val="EFE72326"/>
    <w:rsid w:val="EFFB9982"/>
    <w:rsid w:val="EFFF830E"/>
    <w:rsid w:val="F9DF5797"/>
    <w:rsid w:val="FC7E47CF"/>
    <w:rsid w:val="FDEE45EC"/>
    <w:rsid w:val="FF848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qFormat="1" w:unhideWhenUsed="0" w:uiPriority="0" w:semiHidden="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395"/>
    <w:autoRedefine/>
    <w:qFormat/>
    <w:uiPriority w:val="0"/>
    <w:pPr>
      <w:keepNext/>
      <w:keepLines/>
      <w:spacing w:before="340" w:after="330" w:line="576" w:lineRule="auto"/>
      <w:outlineLvl w:val="0"/>
    </w:pPr>
    <w:rPr>
      <w:b/>
      <w:kern w:val="44"/>
      <w:sz w:val="44"/>
    </w:rPr>
  </w:style>
  <w:style w:type="paragraph" w:styleId="6">
    <w:name w:val="heading 2"/>
    <w:basedOn w:val="1"/>
    <w:next w:val="1"/>
    <w:link w:val="367"/>
    <w:autoRedefine/>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link w:val="340"/>
    <w:autoRedefine/>
    <w:qFormat/>
    <w:uiPriority w:val="0"/>
    <w:pPr>
      <w:keepNext/>
      <w:tabs>
        <w:tab w:val="left" w:pos="1560"/>
      </w:tabs>
      <w:adjustRightInd w:val="0"/>
      <w:ind w:left="1560" w:hanging="720"/>
      <w:jc w:val="center"/>
      <w:textAlignment w:val="baseline"/>
      <w:outlineLvl w:val="2"/>
    </w:pPr>
    <w:rPr>
      <w:sz w:val="28"/>
    </w:rPr>
  </w:style>
  <w:style w:type="paragraph" w:styleId="8">
    <w:name w:val="heading 4"/>
    <w:basedOn w:val="1"/>
    <w:next w:val="1"/>
    <w:link w:val="420"/>
    <w:autoRedefine/>
    <w:qFormat/>
    <w:uiPriority w:val="0"/>
    <w:pPr>
      <w:keepNext/>
      <w:tabs>
        <w:tab w:val="left" w:pos="1575"/>
      </w:tabs>
      <w:adjustRightInd w:val="0"/>
      <w:ind w:left="1576" w:hanging="720"/>
      <w:jc w:val="center"/>
      <w:textAlignment w:val="baseline"/>
      <w:outlineLvl w:val="3"/>
    </w:pPr>
    <w:rPr>
      <w:sz w:val="28"/>
    </w:rPr>
  </w:style>
  <w:style w:type="paragraph" w:styleId="9">
    <w:name w:val="heading 5"/>
    <w:basedOn w:val="1"/>
    <w:next w:val="1"/>
    <w:link w:val="350"/>
    <w:autoRedefine/>
    <w:qFormat/>
    <w:uiPriority w:val="9"/>
    <w:pPr>
      <w:keepNext/>
      <w:keepLines/>
      <w:widowControl/>
      <w:spacing w:before="120" w:after="120" w:line="360" w:lineRule="auto"/>
      <w:ind w:firstLine="499"/>
      <w:jc w:val="left"/>
      <w:outlineLvl w:val="4"/>
    </w:pPr>
    <w:rPr>
      <w:rFonts w:ascii="宋体" w:hAnsi="宋体"/>
      <w:b/>
      <w:kern w:val="0"/>
      <w:sz w:val="24"/>
    </w:rPr>
  </w:style>
  <w:style w:type="paragraph" w:styleId="10">
    <w:name w:val="heading 6"/>
    <w:basedOn w:val="1"/>
    <w:next w:val="1"/>
    <w:link w:val="416"/>
    <w:autoRedefine/>
    <w:qFormat/>
    <w:uiPriority w:val="0"/>
    <w:pPr>
      <w:keepNext/>
      <w:keepLines/>
      <w:adjustRightInd w:val="0"/>
      <w:spacing w:before="240" w:after="64" w:line="320" w:lineRule="atLeast"/>
      <w:textAlignment w:val="baseline"/>
      <w:outlineLvl w:val="5"/>
    </w:pPr>
    <w:rPr>
      <w:rFonts w:ascii="Arial" w:hAnsi="Arial" w:eastAsia="黑体"/>
      <w:b/>
      <w:kern w:val="0"/>
      <w:sz w:val="24"/>
    </w:rPr>
  </w:style>
  <w:style w:type="paragraph" w:styleId="11">
    <w:name w:val="heading 7"/>
    <w:basedOn w:val="1"/>
    <w:next w:val="1"/>
    <w:link w:val="437"/>
    <w:autoRedefine/>
    <w:qFormat/>
    <w:uiPriority w:val="0"/>
    <w:pPr>
      <w:keepNext/>
      <w:keepLines/>
      <w:adjustRightInd w:val="0"/>
      <w:spacing w:before="240" w:after="64" w:line="320" w:lineRule="atLeast"/>
      <w:textAlignment w:val="baseline"/>
      <w:outlineLvl w:val="6"/>
    </w:pPr>
    <w:rPr>
      <w:b/>
      <w:kern w:val="0"/>
      <w:sz w:val="24"/>
    </w:rPr>
  </w:style>
  <w:style w:type="paragraph" w:styleId="12">
    <w:name w:val="heading 8"/>
    <w:basedOn w:val="1"/>
    <w:next w:val="1"/>
    <w:link w:val="445"/>
    <w:autoRedefine/>
    <w:qFormat/>
    <w:uiPriority w:val="0"/>
    <w:pPr>
      <w:keepNext/>
      <w:keepLines/>
      <w:adjustRightInd w:val="0"/>
      <w:spacing w:before="240" w:after="64" w:line="320" w:lineRule="atLeast"/>
      <w:textAlignment w:val="baseline"/>
      <w:outlineLvl w:val="7"/>
    </w:pPr>
    <w:rPr>
      <w:rFonts w:ascii="Arial" w:hAnsi="Arial" w:eastAsia="黑体"/>
      <w:kern w:val="0"/>
      <w:sz w:val="24"/>
    </w:rPr>
  </w:style>
  <w:style w:type="paragraph" w:styleId="13">
    <w:name w:val="heading 9"/>
    <w:basedOn w:val="1"/>
    <w:next w:val="1"/>
    <w:link w:val="363"/>
    <w:autoRedefine/>
    <w:qFormat/>
    <w:uiPriority w:val="0"/>
    <w:pPr>
      <w:keepNext/>
      <w:keepLines/>
      <w:adjustRightInd w:val="0"/>
      <w:spacing w:before="240" w:after="64" w:line="320" w:lineRule="atLeast"/>
      <w:textAlignment w:val="baseline"/>
      <w:outlineLvl w:val="8"/>
    </w:pPr>
    <w:rPr>
      <w:rFonts w:ascii="Arial" w:hAnsi="Arial" w:eastAsia="黑体"/>
      <w:kern w:val="0"/>
      <w:sz w:val="24"/>
    </w:rPr>
  </w:style>
  <w:style w:type="character" w:default="1" w:styleId="92">
    <w:name w:val="Default Paragraph Font"/>
    <w:autoRedefine/>
    <w:semiHidden/>
    <w:unhideWhenUsed/>
    <w:qFormat/>
    <w:uiPriority w:val="1"/>
  </w:style>
  <w:style w:type="table" w:default="1" w:styleId="8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467"/>
    <w:autoRedefine/>
    <w:qFormat/>
    <w:uiPriority w:val="0"/>
    <w:pPr>
      <w:spacing w:after="120" w:line="240" w:lineRule="auto"/>
      <w:ind w:firstLine="420" w:firstLineChars="100"/>
    </w:pPr>
    <w:rPr>
      <w:rFonts w:ascii="Arial" w:hAnsi="Arial" w:eastAsia="华文细黑"/>
      <w:b/>
      <w:bCs/>
      <w:kern w:val="44"/>
      <w:sz w:val="28"/>
      <w:szCs w:val="32"/>
    </w:rPr>
  </w:style>
  <w:style w:type="paragraph" w:styleId="3">
    <w:name w:val="Body Text"/>
    <w:basedOn w:val="1"/>
    <w:link w:val="462"/>
    <w:autoRedefine/>
    <w:qFormat/>
    <w:uiPriority w:val="0"/>
    <w:pPr>
      <w:spacing w:line="400" w:lineRule="exact"/>
    </w:pPr>
    <w:rPr>
      <w:rFonts w:ascii="宋体"/>
      <w:sz w:val="19"/>
    </w:rPr>
  </w:style>
  <w:style w:type="paragraph" w:styleId="4">
    <w:name w:val="macro"/>
    <w:link w:val="40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4">
    <w:name w:val="List 3"/>
    <w:basedOn w:val="1"/>
    <w:autoRedefine/>
    <w:qFormat/>
    <w:uiPriority w:val="0"/>
    <w:pPr>
      <w:ind w:left="100" w:leftChars="400" w:hanging="200" w:hangingChars="200"/>
    </w:pPr>
    <w:rPr>
      <w:szCs w:val="24"/>
    </w:rPr>
  </w:style>
  <w:style w:type="paragraph" w:styleId="15">
    <w:name w:val="toc 7"/>
    <w:basedOn w:val="1"/>
    <w:next w:val="1"/>
    <w:autoRedefine/>
    <w:qFormat/>
    <w:uiPriority w:val="39"/>
    <w:pPr>
      <w:ind w:left="1260"/>
      <w:jc w:val="left"/>
    </w:pPr>
    <w:rPr>
      <w:sz w:val="18"/>
      <w:szCs w:val="18"/>
    </w:rPr>
  </w:style>
  <w:style w:type="paragraph" w:styleId="16">
    <w:name w:val="List Number 2"/>
    <w:basedOn w:val="17"/>
    <w:autoRedefine/>
    <w:qFormat/>
    <w:uiPriority w:val="0"/>
    <w:pPr>
      <w:tabs>
        <w:tab w:val="left" w:pos="360"/>
        <w:tab w:val="left" w:pos="420"/>
      </w:tabs>
      <w:spacing w:before="120"/>
      <w:ind w:left="851" w:hanging="426"/>
    </w:pPr>
  </w:style>
  <w:style w:type="paragraph" w:styleId="17">
    <w:name w:val="List Number"/>
    <w:basedOn w:val="3"/>
    <w:autoRedefine/>
    <w:qFormat/>
    <w:uiPriority w:val="0"/>
    <w:pPr>
      <w:keepLines/>
      <w:widowControl/>
      <w:tabs>
        <w:tab w:val="left" w:pos="420"/>
      </w:tabs>
      <w:spacing w:before="50" w:line="280" w:lineRule="atLeast"/>
      <w:ind w:left="420" w:hanging="420"/>
    </w:pPr>
    <w:rPr>
      <w:rFonts w:ascii="Times New Roman"/>
      <w:kern w:val="0"/>
      <w:sz w:val="22"/>
      <w:lang w:val="en-GB"/>
    </w:rPr>
  </w:style>
  <w:style w:type="paragraph" w:styleId="18">
    <w:name w:val="table of authorities"/>
    <w:basedOn w:val="1"/>
    <w:next w:val="1"/>
    <w:autoRedefine/>
    <w:qFormat/>
    <w:uiPriority w:val="0"/>
    <w:pPr>
      <w:ind w:left="420" w:leftChars="200"/>
    </w:pPr>
    <w:rPr>
      <w:szCs w:val="24"/>
    </w:rPr>
  </w:style>
  <w:style w:type="paragraph" w:styleId="19">
    <w:name w:val="Note Heading"/>
    <w:basedOn w:val="1"/>
    <w:next w:val="1"/>
    <w:link w:val="373"/>
    <w:autoRedefine/>
    <w:qFormat/>
    <w:uiPriority w:val="0"/>
    <w:pPr>
      <w:jc w:val="center"/>
    </w:pPr>
    <w:rPr>
      <w:szCs w:val="24"/>
    </w:rPr>
  </w:style>
  <w:style w:type="paragraph" w:styleId="20">
    <w:name w:val="List Bullet 4"/>
    <w:basedOn w:val="1"/>
    <w:autoRedefine/>
    <w:qFormat/>
    <w:uiPriority w:val="0"/>
    <w:pPr>
      <w:adjustRightInd w:val="0"/>
      <w:spacing w:line="440" w:lineRule="exact"/>
      <w:ind w:firstLine="360"/>
      <w:textAlignment w:val="baseline"/>
    </w:pPr>
    <w:rPr>
      <w:rFonts w:ascii="宋体" w:hAnsi="宋体"/>
      <w:sz w:val="24"/>
      <w:szCs w:val="28"/>
    </w:rPr>
  </w:style>
  <w:style w:type="paragraph" w:styleId="21">
    <w:name w:val="index 8"/>
    <w:basedOn w:val="1"/>
    <w:next w:val="1"/>
    <w:autoRedefine/>
    <w:qFormat/>
    <w:uiPriority w:val="0"/>
    <w:pPr>
      <w:ind w:left="1400" w:leftChars="1400"/>
    </w:pPr>
  </w:style>
  <w:style w:type="paragraph" w:styleId="22">
    <w:name w:val="E-mail Signature"/>
    <w:basedOn w:val="1"/>
    <w:link w:val="409"/>
    <w:autoRedefine/>
    <w:qFormat/>
    <w:uiPriority w:val="0"/>
    <w:rPr>
      <w:szCs w:val="24"/>
    </w:rPr>
  </w:style>
  <w:style w:type="paragraph" w:styleId="23">
    <w:name w:val="Normal Indent"/>
    <w:basedOn w:val="1"/>
    <w:link w:val="397"/>
    <w:autoRedefine/>
    <w:qFormat/>
    <w:uiPriority w:val="0"/>
    <w:pPr>
      <w:ind w:firstLine="420" w:firstLineChars="200"/>
    </w:pPr>
  </w:style>
  <w:style w:type="paragraph" w:styleId="24">
    <w:name w:val="caption"/>
    <w:basedOn w:val="1"/>
    <w:next w:val="1"/>
    <w:autoRedefine/>
    <w:qFormat/>
    <w:uiPriority w:val="0"/>
    <w:pPr>
      <w:tabs>
        <w:tab w:val="left" w:pos="425"/>
      </w:tabs>
      <w:snapToGrid w:val="0"/>
      <w:spacing w:before="240" w:after="120" w:line="360" w:lineRule="auto"/>
      <w:ind w:left="425" w:hanging="425"/>
    </w:pPr>
    <w:rPr>
      <w:sz w:val="28"/>
    </w:rPr>
  </w:style>
  <w:style w:type="paragraph" w:styleId="25">
    <w:name w:val="index 5"/>
    <w:basedOn w:val="1"/>
    <w:next w:val="1"/>
    <w:autoRedefine/>
    <w:qFormat/>
    <w:uiPriority w:val="0"/>
    <w:pPr>
      <w:ind w:left="800" w:leftChars="800"/>
    </w:pPr>
  </w:style>
  <w:style w:type="paragraph" w:styleId="26">
    <w:name w:val="List Bullet"/>
    <w:basedOn w:val="3"/>
    <w:autoRedefine/>
    <w:qFormat/>
    <w:uiPriority w:val="0"/>
    <w:pPr>
      <w:keepLines/>
      <w:widowControl/>
      <w:spacing w:line="360" w:lineRule="auto"/>
    </w:pPr>
    <w:rPr>
      <w:rFonts w:ascii="Times New Roman"/>
      <w:color w:val="000000"/>
      <w:kern w:val="0"/>
      <w:sz w:val="21"/>
      <w:lang w:val="en-GB"/>
    </w:rPr>
  </w:style>
  <w:style w:type="paragraph" w:styleId="27">
    <w:name w:val="envelope address"/>
    <w:basedOn w:val="1"/>
    <w:autoRedefine/>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8">
    <w:name w:val="Document Map"/>
    <w:basedOn w:val="1"/>
    <w:link w:val="377"/>
    <w:autoRedefine/>
    <w:qFormat/>
    <w:uiPriority w:val="99"/>
    <w:pPr>
      <w:shd w:val="clear" w:color="auto" w:fill="000080"/>
    </w:pPr>
  </w:style>
  <w:style w:type="paragraph" w:styleId="29">
    <w:name w:val="toa heading"/>
    <w:basedOn w:val="1"/>
    <w:next w:val="1"/>
    <w:autoRedefine/>
    <w:qFormat/>
    <w:uiPriority w:val="0"/>
    <w:pPr>
      <w:spacing w:before="120"/>
    </w:pPr>
    <w:rPr>
      <w:rFonts w:ascii="Arial" w:hAnsi="Arial" w:cs="Arial"/>
      <w:sz w:val="24"/>
      <w:szCs w:val="24"/>
    </w:rPr>
  </w:style>
  <w:style w:type="paragraph" w:styleId="30">
    <w:name w:val="annotation text"/>
    <w:basedOn w:val="1"/>
    <w:link w:val="475"/>
    <w:autoRedefine/>
    <w:qFormat/>
    <w:uiPriority w:val="0"/>
    <w:pPr>
      <w:adjustRightInd w:val="0"/>
      <w:spacing w:line="360" w:lineRule="atLeast"/>
      <w:jc w:val="left"/>
      <w:textAlignment w:val="baseline"/>
    </w:pPr>
    <w:rPr>
      <w:kern w:val="0"/>
      <w:sz w:val="24"/>
    </w:rPr>
  </w:style>
  <w:style w:type="paragraph" w:styleId="31">
    <w:name w:val="index 6"/>
    <w:basedOn w:val="1"/>
    <w:next w:val="1"/>
    <w:autoRedefine/>
    <w:qFormat/>
    <w:uiPriority w:val="0"/>
    <w:pPr>
      <w:ind w:left="1000" w:leftChars="1000"/>
    </w:pPr>
  </w:style>
  <w:style w:type="paragraph" w:styleId="32">
    <w:name w:val="Salutation"/>
    <w:basedOn w:val="1"/>
    <w:next w:val="1"/>
    <w:link w:val="439"/>
    <w:autoRedefine/>
    <w:qFormat/>
    <w:uiPriority w:val="0"/>
    <w:rPr>
      <w:szCs w:val="24"/>
    </w:rPr>
  </w:style>
  <w:style w:type="paragraph" w:styleId="33">
    <w:name w:val="Body Text 3"/>
    <w:basedOn w:val="1"/>
    <w:link w:val="487"/>
    <w:autoRedefine/>
    <w:qFormat/>
    <w:uiPriority w:val="0"/>
    <w:pPr>
      <w:spacing w:after="120"/>
    </w:pPr>
    <w:rPr>
      <w:sz w:val="16"/>
    </w:rPr>
  </w:style>
  <w:style w:type="paragraph" w:styleId="34">
    <w:name w:val="Closing"/>
    <w:basedOn w:val="1"/>
    <w:link w:val="387"/>
    <w:autoRedefine/>
    <w:qFormat/>
    <w:uiPriority w:val="0"/>
    <w:pPr>
      <w:ind w:left="100" w:leftChars="2100"/>
    </w:pPr>
    <w:rPr>
      <w:szCs w:val="24"/>
    </w:rPr>
  </w:style>
  <w:style w:type="paragraph" w:styleId="35">
    <w:name w:val="List Bullet 3"/>
    <w:basedOn w:val="3"/>
    <w:autoRedefine/>
    <w:qFormat/>
    <w:uiPriority w:val="0"/>
    <w:pPr>
      <w:widowControl/>
      <w:tabs>
        <w:tab w:val="left" w:pos="420"/>
        <w:tab w:val="left" w:pos="1276"/>
      </w:tabs>
      <w:spacing w:after="120" w:line="280" w:lineRule="atLeast"/>
      <w:ind w:left="1276" w:hanging="425"/>
    </w:pPr>
    <w:rPr>
      <w:rFonts w:ascii="Times New Roman"/>
      <w:kern w:val="0"/>
      <w:sz w:val="22"/>
      <w:lang w:val="en-GB"/>
    </w:rPr>
  </w:style>
  <w:style w:type="paragraph" w:styleId="36">
    <w:name w:val="Body Text Indent"/>
    <w:basedOn w:val="1"/>
    <w:link w:val="391"/>
    <w:autoRedefine/>
    <w:qFormat/>
    <w:uiPriority w:val="0"/>
    <w:pPr>
      <w:spacing w:line="500" w:lineRule="exact"/>
      <w:ind w:firstLine="480" w:firstLineChars="200"/>
    </w:pPr>
    <w:rPr>
      <w:rFonts w:ascii="宋体" w:hAnsi="宋体"/>
      <w:sz w:val="24"/>
    </w:rPr>
  </w:style>
  <w:style w:type="paragraph" w:styleId="37">
    <w:name w:val="List Number 3"/>
    <w:basedOn w:val="1"/>
    <w:autoRedefine/>
    <w:qFormat/>
    <w:uiPriority w:val="0"/>
    <w:pPr>
      <w:tabs>
        <w:tab w:val="left" w:pos="1200"/>
      </w:tabs>
      <w:ind w:left="1200" w:hanging="360"/>
    </w:pPr>
    <w:rPr>
      <w:szCs w:val="24"/>
    </w:rPr>
  </w:style>
  <w:style w:type="paragraph" w:styleId="38">
    <w:name w:val="List 2"/>
    <w:basedOn w:val="1"/>
    <w:autoRedefine/>
    <w:qFormat/>
    <w:uiPriority w:val="0"/>
    <w:pPr>
      <w:ind w:left="100" w:leftChars="200" w:hanging="200" w:hangingChars="200"/>
    </w:pPr>
  </w:style>
  <w:style w:type="paragraph" w:styleId="39">
    <w:name w:val="List Continue"/>
    <w:basedOn w:val="1"/>
    <w:autoRedefine/>
    <w:qFormat/>
    <w:uiPriority w:val="0"/>
    <w:pPr>
      <w:spacing w:after="120"/>
      <w:ind w:left="420" w:leftChars="200"/>
    </w:pPr>
    <w:rPr>
      <w:szCs w:val="24"/>
    </w:rPr>
  </w:style>
  <w:style w:type="paragraph" w:styleId="40">
    <w:name w:val="Block Text"/>
    <w:basedOn w:val="1"/>
    <w:autoRedefine/>
    <w:qFormat/>
    <w:uiPriority w:val="0"/>
    <w:pPr>
      <w:spacing w:after="120"/>
      <w:ind w:left="1440" w:leftChars="700" w:right="1440"/>
    </w:pPr>
  </w:style>
  <w:style w:type="paragraph" w:styleId="41">
    <w:name w:val="List Bullet 2"/>
    <w:basedOn w:val="26"/>
    <w:autoRedefine/>
    <w:qFormat/>
    <w:uiPriority w:val="0"/>
    <w:pPr>
      <w:tabs>
        <w:tab w:val="left" w:pos="720"/>
      </w:tabs>
      <w:spacing w:before="120"/>
      <w:ind w:left="720" w:hanging="720"/>
    </w:pPr>
  </w:style>
  <w:style w:type="paragraph" w:styleId="42">
    <w:name w:val="HTML Address"/>
    <w:basedOn w:val="1"/>
    <w:link w:val="448"/>
    <w:autoRedefine/>
    <w:qFormat/>
    <w:uiPriority w:val="0"/>
    <w:rPr>
      <w:i/>
      <w:iCs/>
      <w:szCs w:val="24"/>
    </w:rPr>
  </w:style>
  <w:style w:type="paragraph" w:styleId="43">
    <w:name w:val="index 4"/>
    <w:basedOn w:val="1"/>
    <w:next w:val="1"/>
    <w:autoRedefine/>
    <w:qFormat/>
    <w:uiPriority w:val="0"/>
    <w:pPr>
      <w:ind w:left="600" w:leftChars="600"/>
    </w:pPr>
  </w:style>
  <w:style w:type="paragraph" w:styleId="44">
    <w:name w:val="toc 5"/>
    <w:basedOn w:val="1"/>
    <w:next w:val="1"/>
    <w:autoRedefine/>
    <w:qFormat/>
    <w:uiPriority w:val="39"/>
    <w:pPr>
      <w:ind w:left="840"/>
      <w:jc w:val="left"/>
    </w:pPr>
    <w:rPr>
      <w:sz w:val="18"/>
      <w:szCs w:val="18"/>
    </w:rPr>
  </w:style>
  <w:style w:type="paragraph" w:styleId="45">
    <w:name w:val="toc 3"/>
    <w:basedOn w:val="1"/>
    <w:next w:val="1"/>
    <w:autoRedefine/>
    <w:qFormat/>
    <w:uiPriority w:val="39"/>
    <w:pPr>
      <w:ind w:left="420"/>
      <w:jc w:val="left"/>
    </w:pPr>
    <w:rPr>
      <w:i/>
      <w:iCs/>
      <w:sz w:val="20"/>
    </w:rPr>
  </w:style>
  <w:style w:type="paragraph" w:styleId="46">
    <w:name w:val="Plain Text"/>
    <w:basedOn w:val="1"/>
    <w:link w:val="378"/>
    <w:autoRedefine/>
    <w:qFormat/>
    <w:uiPriority w:val="0"/>
    <w:rPr>
      <w:rFonts w:ascii="宋体" w:hAnsi="Courier New"/>
    </w:rPr>
  </w:style>
  <w:style w:type="paragraph" w:styleId="47">
    <w:name w:val="List Bullet 5"/>
    <w:basedOn w:val="1"/>
    <w:autoRedefine/>
    <w:qFormat/>
    <w:uiPriority w:val="0"/>
    <w:pPr>
      <w:tabs>
        <w:tab w:val="left" w:pos="2040"/>
      </w:tabs>
      <w:ind w:left="2040" w:hanging="360"/>
    </w:pPr>
    <w:rPr>
      <w:szCs w:val="24"/>
    </w:rPr>
  </w:style>
  <w:style w:type="paragraph" w:styleId="48">
    <w:name w:val="List Number 4"/>
    <w:basedOn w:val="1"/>
    <w:autoRedefine/>
    <w:qFormat/>
    <w:uiPriority w:val="0"/>
    <w:pPr>
      <w:tabs>
        <w:tab w:val="left" w:pos="1620"/>
      </w:tabs>
      <w:ind w:left="1620" w:hanging="360"/>
    </w:pPr>
    <w:rPr>
      <w:szCs w:val="24"/>
    </w:rPr>
  </w:style>
  <w:style w:type="paragraph" w:styleId="49">
    <w:name w:val="toc 8"/>
    <w:basedOn w:val="1"/>
    <w:next w:val="1"/>
    <w:autoRedefine/>
    <w:qFormat/>
    <w:uiPriority w:val="39"/>
    <w:pPr>
      <w:ind w:left="1470"/>
      <w:jc w:val="left"/>
    </w:pPr>
    <w:rPr>
      <w:sz w:val="18"/>
      <w:szCs w:val="18"/>
    </w:rPr>
  </w:style>
  <w:style w:type="paragraph" w:styleId="50">
    <w:name w:val="index 3"/>
    <w:basedOn w:val="1"/>
    <w:next w:val="1"/>
    <w:autoRedefine/>
    <w:qFormat/>
    <w:uiPriority w:val="0"/>
    <w:pPr>
      <w:ind w:left="400" w:leftChars="400"/>
    </w:pPr>
  </w:style>
  <w:style w:type="paragraph" w:styleId="51">
    <w:name w:val="Date"/>
    <w:basedOn w:val="1"/>
    <w:next w:val="1"/>
    <w:link w:val="401"/>
    <w:autoRedefine/>
    <w:qFormat/>
    <w:uiPriority w:val="0"/>
    <w:pPr>
      <w:ind w:left="2500" w:leftChars="2500"/>
    </w:pPr>
    <w:rPr>
      <w:rFonts w:ascii="仿宋_GB2312" w:hAnsi="华文中宋" w:eastAsia="仿宋_GB2312"/>
      <w:b/>
      <w:sz w:val="32"/>
    </w:rPr>
  </w:style>
  <w:style w:type="paragraph" w:styleId="52">
    <w:name w:val="Body Text Indent 2"/>
    <w:basedOn w:val="1"/>
    <w:link w:val="358"/>
    <w:autoRedefine/>
    <w:qFormat/>
    <w:uiPriority w:val="0"/>
    <w:pPr>
      <w:spacing w:line="600" w:lineRule="exact"/>
      <w:ind w:firstLine="560" w:firstLineChars="200"/>
    </w:pPr>
    <w:rPr>
      <w:rFonts w:eastAsia="仿宋_GB2312"/>
      <w:sz w:val="28"/>
    </w:rPr>
  </w:style>
  <w:style w:type="paragraph" w:styleId="53">
    <w:name w:val="endnote text"/>
    <w:basedOn w:val="1"/>
    <w:link w:val="479"/>
    <w:autoRedefine/>
    <w:qFormat/>
    <w:uiPriority w:val="0"/>
    <w:pPr>
      <w:snapToGrid w:val="0"/>
      <w:jc w:val="left"/>
    </w:pPr>
    <w:rPr>
      <w:szCs w:val="24"/>
    </w:rPr>
  </w:style>
  <w:style w:type="paragraph" w:styleId="54">
    <w:name w:val="List Continue 5"/>
    <w:basedOn w:val="1"/>
    <w:autoRedefine/>
    <w:qFormat/>
    <w:uiPriority w:val="0"/>
    <w:pPr>
      <w:spacing w:after="120"/>
      <w:ind w:left="2100" w:leftChars="1000"/>
    </w:pPr>
    <w:rPr>
      <w:szCs w:val="24"/>
    </w:rPr>
  </w:style>
  <w:style w:type="paragraph" w:styleId="55">
    <w:name w:val="Balloon Text"/>
    <w:basedOn w:val="1"/>
    <w:link w:val="369"/>
    <w:autoRedefine/>
    <w:qFormat/>
    <w:uiPriority w:val="0"/>
    <w:rPr>
      <w:sz w:val="18"/>
    </w:rPr>
  </w:style>
  <w:style w:type="paragraph" w:styleId="56">
    <w:name w:val="footer"/>
    <w:basedOn w:val="1"/>
    <w:link w:val="421"/>
    <w:autoRedefine/>
    <w:qFormat/>
    <w:uiPriority w:val="99"/>
    <w:pPr>
      <w:tabs>
        <w:tab w:val="center" w:pos="4153"/>
        <w:tab w:val="right" w:pos="8306"/>
      </w:tabs>
      <w:snapToGrid w:val="0"/>
      <w:jc w:val="left"/>
    </w:pPr>
    <w:rPr>
      <w:sz w:val="18"/>
    </w:rPr>
  </w:style>
  <w:style w:type="paragraph" w:styleId="57">
    <w:name w:val="envelope return"/>
    <w:basedOn w:val="1"/>
    <w:autoRedefine/>
    <w:qFormat/>
    <w:uiPriority w:val="0"/>
    <w:pPr>
      <w:snapToGrid w:val="0"/>
    </w:pPr>
    <w:rPr>
      <w:rFonts w:ascii="Arial" w:hAnsi="Arial" w:cs="Arial"/>
      <w:szCs w:val="24"/>
    </w:rPr>
  </w:style>
  <w:style w:type="paragraph" w:styleId="58">
    <w:name w:val="header"/>
    <w:basedOn w:val="1"/>
    <w:link w:val="399"/>
    <w:autoRedefine/>
    <w:qFormat/>
    <w:uiPriority w:val="99"/>
  </w:style>
  <w:style w:type="paragraph" w:styleId="59">
    <w:name w:val="Signature"/>
    <w:basedOn w:val="1"/>
    <w:link w:val="471"/>
    <w:autoRedefine/>
    <w:qFormat/>
    <w:uiPriority w:val="0"/>
    <w:pPr>
      <w:ind w:left="100" w:leftChars="2100"/>
    </w:pPr>
    <w:rPr>
      <w:szCs w:val="24"/>
    </w:rPr>
  </w:style>
  <w:style w:type="paragraph" w:styleId="60">
    <w:name w:val="toc 1"/>
    <w:basedOn w:val="1"/>
    <w:next w:val="1"/>
    <w:autoRedefine/>
    <w:qFormat/>
    <w:uiPriority w:val="39"/>
    <w:pPr>
      <w:spacing w:before="120" w:after="120"/>
      <w:jc w:val="left"/>
    </w:pPr>
    <w:rPr>
      <w:b/>
      <w:bCs/>
      <w:caps/>
      <w:sz w:val="20"/>
    </w:rPr>
  </w:style>
  <w:style w:type="paragraph" w:styleId="61">
    <w:name w:val="List Continue 4"/>
    <w:basedOn w:val="1"/>
    <w:autoRedefine/>
    <w:qFormat/>
    <w:uiPriority w:val="0"/>
    <w:pPr>
      <w:spacing w:after="120"/>
      <w:ind w:left="1680" w:leftChars="800"/>
    </w:pPr>
    <w:rPr>
      <w:szCs w:val="24"/>
    </w:rPr>
  </w:style>
  <w:style w:type="paragraph" w:styleId="62">
    <w:name w:val="toc 4"/>
    <w:basedOn w:val="1"/>
    <w:next w:val="1"/>
    <w:autoRedefine/>
    <w:qFormat/>
    <w:uiPriority w:val="39"/>
    <w:pPr>
      <w:ind w:left="630"/>
      <w:jc w:val="left"/>
    </w:pPr>
    <w:rPr>
      <w:sz w:val="18"/>
      <w:szCs w:val="18"/>
    </w:rPr>
  </w:style>
  <w:style w:type="paragraph" w:styleId="63">
    <w:name w:val="index heading"/>
    <w:basedOn w:val="1"/>
    <w:next w:val="64"/>
    <w:autoRedefine/>
    <w:qFormat/>
    <w:uiPriority w:val="0"/>
  </w:style>
  <w:style w:type="paragraph" w:styleId="64">
    <w:name w:val="index 1"/>
    <w:basedOn w:val="1"/>
    <w:next w:val="1"/>
    <w:autoRedefine/>
    <w:qFormat/>
    <w:uiPriority w:val="0"/>
  </w:style>
  <w:style w:type="paragraph" w:styleId="65">
    <w:name w:val="Subtitle"/>
    <w:basedOn w:val="1"/>
    <w:next w:val="1"/>
    <w:link w:val="472"/>
    <w:autoRedefine/>
    <w:qFormat/>
    <w:uiPriority w:val="0"/>
    <w:pPr>
      <w:widowControl/>
      <w:spacing w:after="60"/>
      <w:jc w:val="center"/>
      <w:outlineLvl w:val="1"/>
    </w:pPr>
    <w:rPr>
      <w:rFonts w:ascii="Cambria" w:hAnsi="Cambria"/>
      <w:kern w:val="0"/>
      <w:sz w:val="24"/>
      <w:lang w:eastAsia="en-US"/>
    </w:rPr>
  </w:style>
  <w:style w:type="paragraph" w:styleId="66">
    <w:name w:val="List Number 5"/>
    <w:basedOn w:val="1"/>
    <w:autoRedefine/>
    <w:qFormat/>
    <w:uiPriority w:val="0"/>
    <w:pPr>
      <w:tabs>
        <w:tab w:val="left" w:pos="2040"/>
      </w:tabs>
      <w:ind w:left="2040" w:hanging="360"/>
    </w:pPr>
    <w:rPr>
      <w:szCs w:val="24"/>
    </w:rPr>
  </w:style>
  <w:style w:type="paragraph" w:styleId="67">
    <w:name w:val="List"/>
    <w:autoRedefine/>
    <w:qFormat/>
    <w:uiPriority w:val="0"/>
    <w:pPr>
      <w:spacing w:line="400" w:lineRule="exact"/>
      <w:jc w:val="both"/>
    </w:pPr>
    <w:rPr>
      <w:rFonts w:ascii="Arial" w:hAnsi="Arial" w:eastAsia="宋体" w:cs="Times New Roman"/>
      <w:sz w:val="24"/>
      <w:lang w:val="en-US" w:eastAsia="zh-CN" w:bidi="ar-SA"/>
    </w:rPr>
  </w:style>
  <w:style w:type="paragraph" w:styleId="68">
    <w:name w:val="footnote text"/>
    <w:basedOn w:val="1"/>
    <w:link w:val="368"/>
    <w:autoRedefine/>
    <w:qFormat/>
    <w:uiPriority w:val="0"/>
    <w:pPr>
      <w:snapToGrid w:val="0"/>
      <w:jc w:val="left"/>
    </w:pPr>
    <w:rPr>
      <w:sz w:val="18"/>
      <w:szCs w:val="18"/>
    </w:rPr>
  </w:style>
  <w:style w:type="paragraph" w:styleId="69">
    <w:name w:val="toc 6"/>
    <w:basedOn w:val="1"/>
    <w:next w:val="1"/>
    <w:autoRedefine/>
    <w:qFormat/>
    <w:uiPriority w:val="39"/>
    <w:pPr>
      <w:ind w:left="1050"/>
      <w:jc w:val="left"/>
    </w:pPr>
    <w:rPr>
      <w:sz w:val="18"/>
      <w:szCs w:val="18"/>
    </w:rPr>
  </w:style>
  <w:style w:type="paragraph" w:styleId="70">
    <w:name w:val="List 5"/>
    <w:basedOn w:val="1"/>
    <w:autoRedefine/>
    <w:qFormat/>
    <w:uiPriority w:val="0"/>
    <w:pPr>
      <w:ind w:left="100" w:leftChars="800" w:hanging="200" w:hangingChars="200"/>
    </w:pPr>
    <w:rPr>
      <w:szCs w:val="24"/>
    </w:rPr>
  </w:style>
  <w:style w:type="paragraph" w:styleId="71">
    <w:name w:val="Body Text Indent 3"/>
    <w:basedOn w:val="1"/>
    <w:link w:val="355"/>
    <w:autoRedefine/>
    <w:qFormat/>
    <w:uiPriority w:val="0"/>
    <w:pPr>
      <w:spacing w:line="480" w:lineRule="auto"/>
      <w:ind w:firstLine="555"/>
    </w:pPr>
    <w:rPr>
      <w:rFonts w:ascii="仿宋_GB2312" w:eastAsia="仿宋_GB2312"/>
      <w:sz w:val="28"/>
    </w:rPr>
  </w:style>
  <w:style w:type="paragraph" w:styleId="72">
    <w:name w:val="index 7"/>
    <w:basedOn w:val="1"/>
    <w:next w:val="1"/>
    <w:autoRedefine/>
    <w:qFormat/>
    <w:uiPriority w:val="0"/>
    <w:pPr>
      <w:ind w:left="1200" w:leftChars="1200"/>
    </w:pPr>
  </w:style>
  <w:style w:type="paragraph" w:styleId="73">
    <w:name w:val="index 9"/>
    <w:basedOn w:val="1"/>
    <w:next w:val="1"/>
    <w:autoRedefine/>
    <w:qFormat/>
    <w:uiPriority w:val="0"/>
    <w:pPr>
      <w:ind w:left="1600" w:leftChars="1600"/>
    </w:pPr>
  </w:style>
  <w:style w:type="paragraph" w:styleId="74">
    <w:name w:val="table of figures"/>
    <w:basedOn w:val="1"/>
    <w:next w:val="1"/>
    <w:autoRedefine/>
    <w:qFormat/>
    <w:uiPriority w:val="0"/>
    <w:pPr>
      <w:ind w:left="840" w:leftChars="200" w:hanging="420" w:hangingChars="200"/>
    </w:pPr>
  </w:style>
  <w:style w:type="paragraph" w:styleId="75">
    <w:name w:val="toc 2"/>
    <w:basedOn w:val="1"/>
    <w:next w:val="1"/>
    <w:autoRedefine/>
    <w:qFormat/>
    <w:uiPriority w:val="39"/>
    <w:pPr>
      <w:ind w:left="210"/>
      <w:jc w:val="left"/>
    </w:pPr>
    <w:rPr>
      <w:smallCaps/>
      <w:sz w:val="20"/>
    </w:rPr>
  </w:style>
  <w:style w:type="paragraph" w:styleId="76">
    <w:name w:val="toc 9"/>
    <w:basedOn w:val="1"/>
    <w:next w:val="1"/>
    <w:autoRedefine/>
    <w:qFormat/>
    <w:uiPriority w:val="39"/>
    <w:pPr>
      <w:ind w:left="1680"/>
      <w:jc w:val="left"/>
    </w:pPr>
    <w:rPr>
      <w:sz w:val="18"/>
      <w:szCs w:val="18"/>
    </w:rPr>
  </w:style>
  <w:style w:type="paragraph" w:styleId="77">
    <w:name w:val="Body Text 2"/>
    <w:basedOn w:val="1"/>
    <w:link w:val="485"/>
    <w:autoRedefine/>
    <w:qFormat/>
    <w:uiPriority w:val="0"/>
    <w:rPr>
      <w:rFonts w:ascii="宋体" w:hAnsi="宋体"/>
      <w:b/>
      <w:sz w:val="24"/>
    </w:rPr>
  </w:style>
  <w:style w:type="paragraph" w:styleId="78">
    <w:name w:val="List 4"/>
    <w:basedOn w:val="1"/>
    <w:autoRedefine/>
    <w:qFormat/>
    <w:uiPriority w:val="0"/>
    <w:pPr>
      <w:ind w:left="100" w:leftChars="600" w:hanging="200" w:hangingChars="200"/>
    </w:pPr>
  </w:style>
  <w:style w:type="paragraph" w:styleId="79">
    <w:name w:val="List Continue 2"/>
    <w:basedOn w:val="1"/>
    <w:autoRedefine/>
    <w:qFormat/>
    <w:uiPriority w:val="0"/>
    <w:pPr>
      <w:spacing w:after="120"/>
      <w:ind w:left="840" w:leftChars="400"/>
    </w:pPr>
    <w:rPr>
      <w:szCs w:val="24"/>
    </w:rPr>
  </w:style>
  <w:style w:type="paragraph" w:styleId="80">
    <w:name w:val="Message Header"/>
    <w:basedOn w:val="1"/>
    <w:link w:val="362"/>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4"/>
    </w:rPr>
  </w:style>
  <w:style w:type="paragraph" w:styleId="81">
    <w:name w:val="HTML Preformatted"/>
    <w:basedOn w:val="1"/>
    <w:link w:val="43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82">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83">
    <w:name w:val="List Continue 3"/>
    <w:basedOn w:val="1"/>
    <w:autoRedefine/>
    <w:qFormat/>
    <w:uiPriority w:val="0"/>
    <w:pPr>
      <w:spacing w:after="120"/>
      <w:ind w:left="1260" w:leftChars="600"/>
    </w:pPr>
    <w:rPr>
      <w:szCs w:val="24"/>
    </w:rPr>
  </w:style>
  <w:style w:type="paragraph" w:styleId="84">
    <w:name w:val="index 2"/>
    <w:basedOn w:val="1"/>
    <w:next w:val="1"/>
    <w:autoRedefine/>
    <w:qFormat/>
    <w:uiPriority w:val="0"/>
    <w:pPr>
      <w:ind w:left="200" w:leftChars="200"/>
    </w:pPr>
  </w:style>
  <w:style w:type="paragraph" w:styleId="85">
    <w:name w:val="Title"/>
    <w:basedOn w:val="5"/>
    <w:link w:val="345"/>
    <w:autoRedefine/>
    <w:qFormat/>
    <w:uiPriority w:val="0"/>
    <w:pPr>
      <w:keepLines w:val="0"/>
      <w:tabs>
        <w:tab w:val="left" w:pos="48"/>
      </w:tabs>
      <w:overflowPunct w:val="0"/>
      <w:adjustRightInd w:val="0"/>
      <w:spacing w:before="240" w:after="60" w:line="300" w:lineRule="auto"/>
      <w:jc w:val="center"/>
    </w:pPr>
    <w:rPr>
      <w:rFonts w:ascii="Arial Narrow" w:hAnsi="Arial Narrow" w:eastAsia="黑体"/>
      <w:b w:val="0"/>
      <w:kern w:val="0"/>
      <w:sz w:val="30"/>
    </w:rPr>
  </w:style>
  <w:style w:type="paragraph" w:styleId="86">
    <w:name w:val="annotation subject"/>
    <w:basedOn w:val="30"/>
    <w:next w:val="30"/>
    <w:link w:val="357"/>
    <w:autoRedefine/>
    <w:qFormat/>
    <w:uiPriority w:val="0"/>
    <w:pPr>
      <w:adjustRightInd/>
      <w:spacing w:line="240" w:lineRule="auto"/>
      <w:textAlignment w:val="auto"/>
    </w:pPr>
    <w:rPr>
      <w:b/>
      <w:kern w:val="2"/>
      <w:sz w:val="21"/>
    </w:rPr>
  </w:style>
  <w:style w:type="paragraph" w:styleId="87">
    <w:name w:val="Body Text First Indent 2"/>
    <w:basedOn w:val="36"/>
    <w:link w:val="460"/>
    <w:autoRedefine/>
    <w:qFormat/>
    <w:uiPriority w:val="0"/>
    <w:pPr>
      <w:spacing w:after="120" w:line="240" w:lineRule="auto"/>
      <w:ind w:left="420" w:leftChars="200" w:firstLine="210"/>
    </w:pPr>
    <w:rPr>
      <w:sz w:val="21"/>
      <w:szCs w:val="24"/>
    </w:rPr>
  </w:style>
  <w:style w:type="table" w:styleId="89">
    <w:name w:val="Table Grid"/>
    <w:basedOn w:val="8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2"/>
    <w:basedOn w:val="88"/>
    <w:autoRedefine/>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character" w:styleId="93">
    <w:name w:val="Strong"/>
    <w:autoRedefine/>
    <w:qFormat/>
    <w:uiPriority w:val="0"/>
    <w:rPr>
      <w:b/>
    </w:rPr>
  </w:style>
  <w:style w:type="character" w:styleId="94">
    <w:name w:val="endnote reference"/>
    <w:autoRedefine/>
    <w:qFormat/>
    <w:uiPriority w:val="0"/>
    <w:rPr>
      <w:rFonts w:cs="Times New Roman"/>
      <w:vertAlign w:val="superscript"/>
    </w:rPr>
  </w:style>
  <w:style w:type="character" w:styleId="95">
    <w:name w:val="page number"/>
    <w:basedOn w:val="92"/>
    <w:autoRedefine/>
    <w:qFormat/>
    <w:uiPriority w:val="0"/>
  </w:style>
  <w:style w:type="character" w:styleId="96">
    <w:name w:val="FollowedHyperlink"/>
    <w:autoRedefine/>
    <w:qFormat/>
    <w:uiPriority w:val="0"/>
    <w:rPr>
      <w:color w:val="800080"/>
      <w:u w:val="single"/>
    </w:rPr>
  </w:style>
  <w:style w:type="character" w:styleId="97">
    <w:name w:val="Emphasis"/>
    <w:autoRedefine/>
    <w:qFormat/>
    <w:uiPriority w:val="0"/>
    <w:rPr>
      <w:rFonts w:ascii="Calibri" w:hAnsi="Calibri"/>
      <w:b/>
      <w:i/>
    </w:rPr>
  </w:style>
  <w:style w:type="character" w:styleId="98">
    <w:name w:val="HTML Typewriter"/>
    <w:autoRedefine/>
    <w:qFormat/>
    <w:uiPriority w:val="0"/>
    <w:rPr>
      <w:rFonts w:ascii="宋体" w:hAnsi="宋体" w:eastAsia="宋体" w:cs="宋体"/>
      <w:sz w:val="24"/>
      <w:szCs w:val="24"/>
    </w:rPr>
  </w:style>
  <w:style w:type="character" w:styleId="99">
    <w:name w:val="Hyperlink"/>
    <w:autoRedefine/>
    <w:qFormat/>
    <w:uiPriority w:val="99"/>
    <w:rPr>
      <w:color w:val="0000FF"/>
      <w:u w:val="single"/>
    </w:rPr>
  </w:style>
  <w:style w:type="character" w:styleId="100">
    <w:name w:val="annotation reference"/>
    <w:autoRedefine/>
    <w:qFormat/>
    <w:uiPriority w:val="0"/>
    <w:rPr>
      <w:sz w:val="21"/>
    </w:rPr>
  </w:style>
  <w:style w:type="paragraph" w:customStyle="1" w:styleId="101">
    <w:name w:val="CM95"/>
    <w:basedOn w:val="102"/>
    <w:next w:val="102"/>
    <w:autoRedefine/>
    <w:qFormat/>
    <w:uiPriority w:val="0"/>
    <w:pPr>
      <w:spacing w:after="115"/>
    </w:pPr>
    <w:rPr>
      <w:color w:val="auto"/>
    </w:rPr>
  </w:style>
  <w:style w:type="paragraph" w:customStyle="1" w:styleId="102">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03">
    <w:name w:val="cucd-2"/>
    <w:next w:val="104"/>
    <w:autoRedefine/>
    <w:qFormat/>
    <w:uiPriority w:val="0"/>
    <w:pPr>
      <w:tabs>
        <w:tab w:val="left" w:pos="3447"/>
      </w:tabs>
      <w:spacing w:line="360" w:lineRule="auto"/>
      <w:ind w:left="3447" w:hanging="567"/>
      <w:outlineLvl w:val="1"/>
    </w:pPr>
    <w:rPr>
      <w:rFonts w:ascii="Times New Roman" w:hAnsi="Times New Roman" w:eastAsia="黑体" w:cs="Times New Roman"/>
      <w:b/>
      <w:kern w:val="2"/>
      <w:sz w:val="30"/>
      <w:lang w:val="en-US" w:eastAsia="zh-CN" w:bidi="ar-SA"/>
    </w:rPr>
  </w:style>
  <w:style w:type="paragraph" w:customStyle="1" w:styleId="104">
    <w:name w:val="cucd-3"/>
    <w:next w:val="105"/>
    <w:autoRedefine/>
    <w:qFormat/>
    <w:uiPriority w:val="0"/>
    <w:pPr>
      <w:tabs>
        <w:tab w:val="left" w:pos="3589"/>
      </w:tabs>
      <w:spacing w:line="360" w:lineRule="auto"/>
      <w:ind w:left="3589" w:hanging="709"/>
      <w:outlineLvl w:val="2"/>
    </w:pPr>
    <w:rPr>
      <w:rFonts w:ascii="Times New Roman" w:hAnsi="Times New Roman" w:eastAsia="宋体" w:cs="Times New Roman"/>
      <w:b/>
      <w:kern w:val="2"/>
      <w:sz w:val="28"/>
      <w:lang w:val="en-US" w:eastAsia="zh-CN" w:bidi="ar-SA"/>
    </w:rPr>
  </w:style>
  <w:style w:type="paragraph" w:customStyle="1" w:styleId="105">
    <w:name w:val="cucd-4"/>
    <w:next w:val="106"/>
    <w:autoRedefine/>
    <w:qFormat/>
    <w:uiPriority w:val="0"/>
    <w:pPr>
      <w:tabs>
        <w:tab w:val="left" w:pos="3731"/>
      </w:tabs>
      <w:spacing w:line="360" w:lineRule="auto"/>
      <w:ind w:left="3731" w:hanging="851"/>
      <w:outlineLvl w:val="3"/>
    </w:pPr>
    <w:rPr>
      <w:rFonts w:ascii="Times New Roman" w:hAnsi="Times New Roman" w:eastAsia="宋体" w:cs="Times New Roman"/>
      <w:b/>
      <w:kern w:val="2"/>
      <w:sz w:val="24"/>
      <w:lang w:val="en-US" w:eastAsia="zh-CN" w:bidi="ar-SA"/>
    </w:rPr>
  </w:style>
  <w:style w:type="paragraph" w:customStyle="1" w:styleId="106">
    <w:name w:val="cucd-0"/>
    <w:autoRedefine/>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107">
    <w:name w:val="Char Char Char Char Char Char Char"/>
    <w:basedOn w:val="1"/>
    <w:autoRedefine/>
    <w:qFormat/>
    <w:uiPriority w:val="0"/>
  </w:style>
  <w:style w:type="paragraph" w:customStyle="1" w:styleId="108">
    <w:name w:val="xl57"/>
    <w:basedOn w:val="1"/>
    <w:autoRedefine/>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left"/>
      <w:textAlignment w:val="bottom"/>
    </w:pPr>
    <w:rPr>
      <w:rFonts w:ascii="宋体" w:hAnsi="宋体" w:cs="宋体"/>
      <w:kern w:val="0"/>
      <w:sz w:val="24"/>
      <w:szCs w:val="24"/>
    </w:rPr>
  </w:style>
  <w:style w:type="paragraph" w:customStyle="1" w:styleId="109">
    <w:name w:val="样式 正文缩进正文（首行缩进两字）正文（首行缩进两字） Char Char Char Char Char Char Char..."/>
    <w:basedOn w:val="23"/>
    <w:autoRedefine/>
    <w:qFormat/>
    <w:uiPriority w:val="0"/>
    <w:pPr>
      <w:spacing w:line="312" w:lineRule="auto"/>
      <w:ind w:firstLine="539" w:firstLineChars="0"/>
    </w:pPr>
    <w:rPr>
      <w:sz w:val="28"/>
    </w:rPr>
  </w:style>
  <w:style w:type="paragraph" w:customStyle="1" w:styleId="110">
    <w:name w:val="段"/>
    <w:autoRedefine/>
    <w:qFormat/>
    <w:uiPriority w:val="0"/>
    <w:pPr>
      <w:autoSpaceDE w:val="0"/>
      <w:autoSpaceDN w:val="0"/>
      <w:jc w:val="both"/>
    </w:pPr>
    <w:rPr>
      <w:rFonts w:ascii="宋体" w:hAnsi="Calibri" w:eastAsia="宋体" w:cs="Times New Roman"/>
      <w:sz w:val="21"/>
      <w:szCs w:val="22"/>
      <w:lang w:val="en-US" w:eastAsia="zh-CN" w:bidi="ar-SA"/>
    </w:rPr>
  </w:style>
  <w:style w:type="paragraph" w:customStyle="1" w:styleId="111">
    <w:name w:val="标准中文版式_正文"/>
    <w:basedOn w:val="1"/>
    <w:autoRedefine/>
    <w:qFormat/>
    <w:uiPriority w:val="0"/>
    <w:pPr>
      <w:spacing w:before="30"/>
    </w:pPr>
  </w:style>
  <w:style w:type="paragraph" w:customStyle="1" w:styleId="112">
    <w:name w:val="样式 标题3 + (西文) BatangChe (中文) BatangChe"/>
    <w:link w:val="478"/>
    <w:autoRedefine/>
    <w:qFormat/>
    <w:uiPriority w:val="0"/>
    <w:pPr>
      <w:outlineLvl w:val="3"/>
    </w:pPr>
    <w:rPr>
      <w:rFonts w:ascii="BatangChe" w:hAnsi="BatangChe" w:eastAsia="BatangChe" w:cs="Times New Roman"/>
      <w:b/>
      <w:bCs/>
      <w:kern w:val="2"/>
      <w:sz w:val="28"/>
      <w:szCs w:val="28"/>
      <w:lang w:val="en-US" w:eastAsia="zh-CN" w:bidi="ar-SA"/>
    </w:rPr>
  </w:style>
  <w:style w:type="paragraph" w:customStyle="1" w:styleId="113">
    <w:name w:val="样式 标题 3 + 宋体 行距: 1.5 倍行距"/>
    <w:basedOn w:val="7"/>
    <w:autoRedefine/>
    <w:qFormat/>
    <w:uiPriority w:val="0"/>
    <w:pPr>
      <w:keepLines/>
      <w:tabs>
        <w:tab w:val="clear" w:pos="1560"/>
      </w:tabs>
      <w:adjustRightInd/>
      <w:spacing w:before="100" w:beforeLines="100" w:after="100" w:afterLines="100" w:line="360" w:lineRule="auto"/>
      <w:ind w:left="0" w:firstLine="0"/>
      <w:jc w:val="both"/>
      <w:textAlignment w:val="auto"/>
    </w:pPr>
    <w:rPr>
      <w:rFonts w:ascii="宋体" w:hAnsi="宋体" w:cs="宋体"/>
      <w:b/>
      <w:bCs/>
      <w:sz w:val="24"/>
    </w:rPr>
  </w:style>
  <w:style w:type="paragraph" w:customStyle="1" w:styleId="114">
    <w:name w:val="文档结构图1"/>
    <w:basedOn w:val="1"/>
    <w:autoRedefine/>
    <w:qFormat/>
    <w:uiPriority w:val="0"/>
    <w:rPr>
      <w:rFonts w:ascii="宋体" w:hAnsi="Calibri"/>
      <w:sz w:val="18"/>
      <w:szCs w:val="18"/>
    </w:rPr>
  </w:style>
  <w:style w:type="paragraph" w:customStyle="1" w:styleId="115">
    <w:name w:val="页眉1"/>
    <w:basedOn w:val="102"/>
    <w:next w:val="102"/>
    <w:autoRedefine/>
    <w:qFormat/>
    <w:uiPriority w:val="0"/>
    <w:pPr>
      <w:spacing w:after="120"/>
    </w:pPr>
    <w:rPr>
      <w:rFonts w:ascii="Arial Unicode MS" w:hAnsi="Arial Unicode MS"/>
      <w:color w:val="auto"/>
    </w:rPr>
  </w:style>
  <w:style w:type="paragraph" w:customStyle="1" w:styleId="116">
    <w:name w:val="样式 标题 4 + 楷体_GB2312 黑色 段前: 0 磅 段后: 0 磅 行距: 单倍行距"/>
    <w:basedOn w:val="8"/>
    <w:autoRedefine/>
    <w:qFormat/>
    <w:uiPriority w:val="0"/>
    <w:pPr>
      <w:keepLines/>
      <w:tabs>
        <w:tab w:val="clear" w:pos="1575"/>
      </w:tabs>
      <w:adjustRightInd/>
      <w:ind w:left="0" w:firstLine="0"/>
      <w:jc w:val="both"/>
      <w:textAlignment w:val="auto"/>
      <w:outlineLvl w:val="9"/>
    </w:pPr>
    <w:rPr>
      <w:rFonts w:ascii="楷体_GB2312" w:hAnsi="Arial" w:eastAsia="楷体_GB2312" w:cs="宋体"/>
      <w:b/>
      <w:bCs/>
      <w:color w:val="000000"/>
    </w:rPr>
  </w:style>
  <w:style w:type="paragraph" w:customStyle="1" w:styleId="117">
    <w:name w:val="TOC 标题1"/>
    <w:basedOn w:val="5"/>
    <w:next w:val="1"/>
    <w:autoRedefine/>
    <w:qFormat/>
    <w:uiPriority w:val="0"/>
    <w:pPr>
      <w:widowControl/>
      <w:spacing w:before="240" w:after="0" w:line="259" w:lineRule="auto"/>
      <w:jc w:val="left"/>
      <w:outlineLvl w:val="9"/>
    </w:pPr>
    <w:rPr>
      <w:rFonts w:ascii="Calibri Light" w:hAnsi="Calibri Light"/>
      <w:b w:val="0"/>
      <w:color w:val="2E74B5"/>
      <w:kern w:val="0"/>
      <w:sz w:val="32"/>
      <w:szCs w:val="32"/>
    </w:rPr>
  </w:style>
  <w:style w:type="paragraph" w:customStyle="1" w:styleId="118">
    <w:name w:val="样式 标题 2 + 四号 非加粗 段前: 0 磅 段后: 0 磅 行距: 1.5 倍行距"/>
    <w:basedOn w:val="6"/>
    <w:autoRedefine/>
    <w:qFormat/>
    <w:uiPriority w:val="0"/>
    <w:pPr>
      <w:keepNext w:val="0"/>
      <w:keepLines w:val="0"/>
      <w:tabs>
        <w:tab w:val="left" w:pos="576"/>
      </w:tabs>
      <w:spacing w:before="0" w:after="0" w:line="360" w:lineRule="auto"/>
      <w:ind w:left="576" w:hanging="576"/>
    </w:pPr>
    <w:rPr>
      <w:rFonts w:ascii="宋体" w:hAnsi="宋体" w:eastAsia="宋体" w:cs="宋体"/>
      <w:b w:val="0"/>
      <w:bCs/>
      <w:sz w:val="24"/>
      <w:szCs w:val="24"/>
    </w:rPr>
  </w:style>
  <w:style w:type="paragraph" w:customStyle="1" w:styleId="119">
    <w:name w:val="WW-普通文字"/>
    <w:basedOn w:val="1"/>
    <w:autoRedefine/>
    <w:qFormat/>
    <w:uiPriority w:val="0"/>
    <w:pPr>
      <w:suppressAutoHyphens/>
    </w:pPr>
    <w:rPr>
      <w:rFonts w:ascii="宋体" w:hAnsi="宋体"/>
      <w:kern w:val="1"/>
    </w:rPr>
  </w:style>
  <w:style w:type="paragraph" w:customStyle="1" w:styleId="120">
    <w:name w:val="TB"/>
    <w:basedOn w:val="1"/>
    <w:autoRedefine/>
    <w:qFormat/>
    <w:uiPriority w:val="0"/>
    <w:pPr>
      <w:widowControl/>
      <w:jc w:val="left"/>
      <w:outlineLvl w:val="1"/>
    </w:pPr>
    <w:rPr>
      <w:b/>
      <w:caps/>
      <w:kern w:val="0"/>
      <w:sz w:val="24"/>
      <w:lang w:val="fr-FR" w:eastAsia="fr-FR"/>
    </w:rPr>
  </w:style>
  <w:style w:type="paragraph" w:customStyle="1" w:styleId="121">
    <w:name w:val="Char1"/>
    <w:basedOn w:val="28"/>
    <w:autoRedefine/>
    <w:qFormat/>
    <w:uiPriority w:val="0"/>
    <w:rPr>
      <w:rFonts w:ascii="Tahoma" w:hAnsi="Tahoma"/>
      <w:sz w:val="24"/>
      <w:szCs w:val="24"/>
    </w:rPr>
  </w:style>
  <w:style w:type="paragraph" w:customStyle="1" w:styleId="122">
    <w:name w:val="P6"/>
    <w:autoRedefine/>
    <w:qFormat/>
    <w:uiPriority w:val="0"/>
    <w:pPr>
      <w:widowControl w:val="0"/>
      <w:adjustRightInd w:val="0"/>
      <w:spacing w:after="240"/>
      <w:ind w:left="3456"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23">
    <w:name w:val="图"/>
    <w:basedOn w:val="1"/>
    <w:autoRedefine/>
    <w:qFormat/>
    <w:uiPriority w:val="0"/>
    <w:pPr>
      <w:adjustRightInd w:val="0"/>
      <w:snapToGrid w:val="0"/>
      <w:jc w:val="center"/>
    </w:pPr>
    <w:rPr>
      <w:rFonts w:ascii="楷体_GB2312" w:hAnsi="宋体"/>
      <w:szCs w:val="24"/>
    </w:rPr>
  </w:style>
  <w:style w:type="paragraph" w:customStyle="1" w:styleId="124">
    <w:name w:val="yy"/>
    <w:basedOn w:val="1"/>
    <w:autoRedefine/>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spacing w:val="-30"/>
      <w:kern w:val="0"/>
      <w:sz w:val="24"/>
    </w:rPr>
  </w:style>
  <w:style w:type="paragraph" w:customStyle="1" w:styleId="125">
    <w:name w:val="样式4"/>
    <w:basedOn w:val="8"/>
    <w:autoRedefine/>
    <w:qFormat/>
    <w:uiPriority w:val="0"/>
    <w:pPr>
      <w:keepNext w:val="0"/>
      <w:tabs>
        <w:tab w:val="left" w:pos="2356"/>
        <w:tab w:val="clear" w:pos="1575"/>
      </w:tabs>
      <w:adjustRightInd/>
      <w:spacing w:line="377" w:lineRule="auto"/>
      <w:ind w:left="1984" w:hanging="708"/>
      <w:jc w:val="both"/>
      <w:textAlignment w:val="auto"/>
    </w:pPr>
    <w:rPr>
      <w:rFonts w:ascii="楷体_GB2312" w:hAnsi="Arial" w:eastAsia="楷体_GB2312"/>
      <w:bCs/>
      <w:szCs w:val="28"/>
    </w:rPr>
  </w:style>
  <w:style w:type="paragraph" w:customStyle="1" w:styleId="126">
    <w:name w:val="cucd-1"/>
    <w:next w:val="103"/>
    <w:link w:val="442"/>
    <w:autoRedefine/>
    <w:qFormat/>
    <w:uiPriority w:val="0"/>
    <w:pPr>
      <w:pageBreakBefore/>
      <w:tabs>
        <w:tab w:val="left" w:pos="3305"/>
      </w:tabs>
      <w:spacing w:before="312" w:beforeLines="100" w:after="156" w:afterLines="50" w:line="360" w:lineRule="auto"/>
      <w:ind w:left="3305" w:hanging="425"/>
      <w:jc w:val="center"/>
      <w:outlineLvl w:val="0"/>
    </w:pPr>
    <w:rPr>
      <w:rFonts w:ascii="Times New Roman" w:hAnsi="Times New Roman" w:eastAsia="黑体" w:cs="Times New Roman"/>
      <w:b/>
      <w:kern w:val="2"/>
      <w:sz w:val="36"/>
      <w:lang w:val="en-US" w:eastAsia="zh-CN" w:bidi="ar-SA"/>
    </w:rPr>
  </w:style>
  <w:style w:type="paragraph" w:customStyle="1" w:styleId="127">
    <w:name w:val="font8"/>
    <w:basedOn w:val="1"/>
    <w:autoRedefine/>
    <w:qFormat/>
    <w:uiPriority w:val="0"/>
    <w:pPr>
      <w:widowControl/>
      <w:spacing w:before="100" w:beforeAutospacing="1" w:after="100" w:afterAutospacing="1"/>
      <w:jc w:val="left"/>
    </w:pPr>
    <w:rPr>
      <w:kern w:val="0"/>
      <w:sz w:val="20"/>
    </w:rPr>
  </w:style>
  <w:style w:type="paragraph" w:customStyle="1" w:styleId="128">
    <w:name w:val="标题1"/>
    <w:basedOn w:val="1"/>
    <w:next w:val="129"/>
    <w:autoRedefine/>
    <w:qFormat/>
    <w:uiPriority w:val="0"/>
    <w:pPr>
      <w:tabs>
        <w:tab w:val="left" w:pos="425"/>
      </w:tabs>
      <w:spacing w:line="360" w:lineRule="auto"/>
      <w:ind w:left="425" w:hanging="425"/>
      <w:outlineLvl w:val="0"/>
    </w:pPr>
    <w:rPr>
      <w:rFonts w:ascii="楷体_GB2312" w:eastAsia="楷体_GB2312"/>
      <w:b/>
      <w:sz w:val="28"/>
      <w:szCs w:val="28"/>
    </w:rPr>
  </w:style>
  <w:style w:type="paragraph" w:customStyle="1" w:styleId="129">
    <w:name w:val="标题2"/>
    <w:basedOn w:val="6"/>
    <w:autoRedefine/>
    <w:qFormat/>
    <w:uiPriority w:val="0"/>
    <w:pPr>
      <w:tabs>
        <w:tab w:val="left" w:pos="1640"/>
      </w:tabs>
      <w:spacing w:before="120" w:after="0" w:line="240" w:lineRule="auto"/>
      <w:ind w:left="1640" w:hanging="420"/>
    </w:pPr>
    <w:rPr>
      <w:rFonts w:ascii="宋体" w:eastAsia="宋体"/>
      <w:b w:val="0"/>
      <w:sz w:val="28"/>
    </w:rPr>
  </w:style>
  <w:style w:type="paragraph" w:customStyle="1" w:styleId="130">
    <w:name w:val="xl33"/>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31">
    <w:name w:val="xl49"/>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right"/>
      <w:textAlignment w:val="bottom"/>
    </w:pPr>
    <w:rPr>
      <w:rFonts w:ascii="Arial" w:hAnsi="Arial" w:cs="Arial"/>
      <w:kern w:val="0"/>
      <w:sz w:val="20"/>
    </w:rPr>
  </w:style>
  <w:style w:type="paragraph" w:customStyle="1" w:styleId="132">
    <w:name w:val="Char Char 字元 字元 字元 Char Char Char Char"/>
    <w:basedOn w:val="1"/>
    <w:autoRedefine/>
    <w:qFormat/>
    <w:uiPriority w:val="0"/>
    <w:pPr>
      <w:adjustRightInd w:val="0"/>
      <w:spacing w:line="360" w:lineRule="auto"/>
    </w:pPr>
    <w:rPr>
      <w:kern w:val="0"/>
      <w:sz w:val="24"/>
    </w:rPr>
  </w:style>
  <w:style w:type="paragraph" w:customStyle="1" w:styleId="133">
    <w:name w:val="xl24"/>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134">
    <w:name w:val="TX"/>
    <w:basedOn w:val="1"/>
    <w:autoRedefine/>
    <w:qFormat/>
    <w:uiPriority w:val="0"/>
    <w:pPr>
      <w:widowControl/>
      <w:jc w:val="left"/>
    </w:pPr>
    <w:rPr>
      <w:kern w:val="0"/>
      <w:sz w:val="20"/>
      <w:lang w:val="fr-FR" w:eastAsia="fr-FR"/>
    </w:rPr>
  </w:style>
  <w:style w:type="paragraph" w:customStyle="1" w:styleId="135">
    <w:name w:val="CM91"/>
    <w:basedOn w:val="102"/>
    <w:next w:val="102"/>
    <w:autoRedefine/>
    <w:qFormat/>
    <w:uiPriority w:val="0"/>
    <w:pPr>
      <w:spacing w:after="160"/>
    </w:pPr>
    <w:rPr>
      <w:color w:val="auto"/>
    </w:rPr>
  </w:style>
  <w:style w:type="paragraph" w:customStyle="1" w:styleId="136">
    <w:name w:val="1.正文"/>
    <w:basedOn w:val="1"/>
    <w:autoRedefine/>
    <w:qFormat/>
    <w:uiPriority w:val="0"/>
    <w:pPr>
      <w:widowControl/>
      <w:tabs>
        <w:tab w:val="left" w:pos="1361"/>
      </w:tabs>
      <w:spacing w:line="360" w:lineRule="exact"/>
      <w:ind w:left="1361" w:hanging="397"/>
    </w:pPr>
    <w:rPr>
      <w:sz w:val="24"/>
    </w:rPr>
  </w:style>
  <w:style w:type="paragraph" w:customStyle="1" w:styleId="137">
    <w:name w:val="样式 标题 3 + 新宋体 四号 非加粗 左 段前: 0 磅 段后: 0 磅 行距: 1.5 倍行距"/>
    <w:basedOn w:val="7"/>
    <w:autoRedefine/>
    <w:qFormat/>
    <w:uiPriority w:val="0"/>
    <w:pPr>
      <w:keepNext w:val="0"/>
      <w:tabs>
        <w:tab w:val="left" w:pos="1080"/>
        <w:tab w:val="clear" w:pos="1560"/>
      </w:tabs>
      <w:adjustRightInd/>
      <w:spacing w:line="360" w:lineRule="auto"/>
      <w:ind w:left="720"/>
      <w:jc w:val="left"/>
      <w:textAlignment w:val="auto"/>
    </w:pPr>
    <w:rPr>
      <w:rFonts w:ascii="新宋体" w:hAnsi="新宋体" w:eastAsia="新宋体" w:cs="宋体"/>
    </w:rPr>
  </w:style>
  <w:style w:type="paragraph" w:customStyle="1" w:styleId="138">
    <w:name w:val="Abs"/>
    <w:basedOn w:val="3"/>
    <w:autoRedefine/>
    <w:qFormat/>
    <w:uiPriority w:val="0"/>
    <w:pPr>
      <w:keepNext/>
      <w:widowControl/>
      <w:spacing w:after="160" w:line="240" w:lineRule="auto"/>
      <w:jc w:val="left"/>
    </w:pPr>
    <w:rPr>
      <w:rFonts w:ascii="Arial" w:hAnsi="Arial"/>
      <w:kern w:val="0"/>
      <w:sz w:val="24"/>
      <w:lang w:val="en-GB"/>
    </w:rPr>
  </w:style>
  <w:style w:type="paragraph" w:customStyle="1" w:styleId="139">
    <w:name w:val="point"/>
    <w:basedOn w:val="1"/>
    <w:autoRedefine/>
    <w:qFormat/>
    <w:uiPriority w:val="0"/>
    <w:pPr>
      <w:tabs>
        <w:tab w:val="left" w:pos="845"/>
      </w:tabs>
      <w:overflowPunct w:val="0"/>
      <w:autoSpaceDE w:val="0"/>
      <w:autoSpaceDN w:val="0"/>
      <w:adjustRightInd w:val="0"/>
      <w:spacing w:before="60" w:line="360" w:lineRule="auto"/>
      <w:ind w:left="845" w:hanging="420"/>
      <w:textAlignment w:val="baseline"/>
    </w:pPr>
    <w:rPr>
      <w:rFonts w:ascii="宋体" w:hAnsi="宋体"/>
      <w:kern w:val="0"/>
      <w:sz w:val="28"/>
      <w:lang w:val="en-GB"/>
    </w:rPr>
  </w:style>
  <w:style w:type="paragraph" w:customStyle="1" w:styleId="140">
    <w:name w:val="列出段落1"/>
    <w:basedOn w:val="1"/>
    <w:autoRedefine/>
    <w:qFormat/>
    <w:uiPriority w:val="0"/>
    <w:pPr>
      <w:ind w:firstLine="420" w:firstLineChars="200"/>
    </w:pPr>
    <w:rPr>
      <w:rFonts w:ascii="Calibri" w:hAnsi="Calibri"/>
      <w:szCs w:val="22"/>
    </w:rPr>
  </w:style>
  <w:style w:type="paragraph" w:customStyle="1" w:styleId="141">
    <w:name w:val="_Style 140"/>
    <w:basedOn w:val="1"/>
    <w:autoRedefine/>
    <w:qFormat/>
    <w:uiPriority w:val="34"/>
    <w:pPr>
      <w:widowControl/>
      <w:ind w:left="720"/>
      <w:jc w:val="left"/>
    </w:pPr>
    <w:rPr>
      <w:rFonts w:ascii="Calibri" w:hAnsi="Calibri"/>
      <w:kern w:val="0"/>
      <w:sz w:val="24"/>
      <w:lang w:eastAsia="en-US"/>
    </w:rPr>
  </w:style>
  <w:style w:type="paragraph" w:customStyle="1" w:styleId="142">
    <w:name w:val="表名称 Char Char"/>
    <w:basedOn w:val="1"/>
    <w:next w:val="143"/>
    <w:link w:val="463"/>
    <w:autoRedefine/>
    <w:qFormat/>
    <w:uiPriority w:val="0"/>
    <w:pPr>
      <w:keepNext/>
      <w:ind w:left="403"/>
      <w:outlineLvl w:val="4"/>
    </w:pPr>
    <w:rPr>
      <w:sz w:val="28"/>
      <w:szCs w:val="28"/>
    </w:rPr>
  </w:style>
  <w:style w:type="paragraph" w:customStyle="1" w:styleId="143">
    <w:name w:val="表头"/>
    <w:basedOn w:val="1"/>
    <w:autoRedefine/>
    <w:qFormat/>
    <w:uiPriority w:val="0"/>
    <w:pPr>
      <w:spacing w:line="300" w:lineRule="auto"/>
      <w:jc w:val="center"/>
      <w:outlineLvl w:val="2"/>
    </w:pPr>
    <w:rPr>
      <w:rFonts w:eastAsia="仿宋_GB2312"/>
      <w:sz w:val="24"/>
      <w:szCs w:val="24"/>
    </w:rPr>
  </w:style>
  <w:style w:type="paragraph" w:customStyle="1" w:styleId="144">
    <w:name w:val="Char2"/>
    <w:basedOn w:val="1"/>
    <w:autoRedefine/>
    <w:qFormat/>
    <w:uiPriority w:val="0"/>
    <w:pPr>
      <w:spacing w:line="360" w:lineRule="auto"/>
      <w:ind w:firstLine="551" w:firstLineChars="196"/>
    </w:pPr>
    <w:rPr>
      <w:b/>
      <w:sz w:val="28"/>
      <w:szCs w:val="28"/>
    </w:rPr>
  </w:style>
  <w:style w:type="paragraph" w:customStyle="1" w:styleId="145">
    <w:name w:val="默认段落字体 Para Char Char Char Char"/>
    <w:basedOn w:val="1"/>
    <w:autoRedefine/>
    <w:qFormat/>
    <w:uiPriority w:val="0"/>
  </w:style>
  <w:style w:type="paragraph" w:customStyle="1" w:styleId="146">
    <w:name w:val="初设2"/>
    <w:basedOn w:val="1"/>
    <w:link w:val="411"/>
    <w:autoRedefine/>
    <w:qFormat/>
    <w:uiPriority w:val="0"/>
    <w:pPr>
      <w:adjustRightInd w:val="0"/>
      <w:snapToGrid w:val="0"/>
      <w:spacing w:line="360" w:lineRule="auto"/>
      <w:ind w:firstLine="540" w:firstLineChars="225"/>
      <w:jc w:val="left"/>
    </w:pPr>
    <w:rPr>
      <w:rFonts w:ascii="宋体" w:hAnsi="宋体"/>
      <w:kern w:val="0"/>
      <w:sz w:val="24"/>
      <w:szCs w:val="24"/>
    </w:rPr>
  </w:style>
  <w:style w:type="paragraph" w:customStyle="1" w:styleId="147">
    <w:name w:val="样式 标题 1 + 行距: 1.5 倍行距"/>
    <w:basedOn w:val="5"/>
    <w:autoRedefine/>
    <w:qFormat/>
    <w:uiPriority w:val="0"/>
    <w:pPr>
      <w:pageBreakBefore/>
      <w:tabs>
        <w:tab w:val="left" w:pos="432"/>
      </w:tabs>
      <w:spacing w:before="0" w:after="240" w:line="360" w:lineRule="auto"/>
      <w:ind w:left="432" w:hanging="432"/>
      <w:jc w:val="center"/>
      <w:textAlignment w:val="center"/>
    </w:pPr>
    <w:rPr>
      <w:rFonts w:ascii="宋体"/>
      <w:sz w:val="40"/>
    </w:rPr>
  </w:style>
  <w:style w:type="paragraph" w:customStyle="1" w:styleId="148">
    <w:name w:val="样式 标题 2 + Times New Roman 四号 非加粗 段前: 5 磅 段后: 0 磅 行距: 固定值 20..."/>
    <w:basedOn w:val="6"/>
    <w:autoRedefine/>
    <w:qFormat/>
    <w:uiPriority w:val="0"/>
    <w:pPr>
      <w:spacing w:before="100" w:after="0" w:line="400" w:lineRule="exact"/>
    </w:pPr>
    <w:rPr>
      <w:rFonts w:ascii="Times New Roman" w:hAnsi="Times New Roman"/>
      <w:b w:val="0"/>
      <w:sz w:val="28"/>
    </w:rPr>
  </w:style>
  <w:style w:type="paragraph" w:customStyle="1" w:styleId="149">
    <w:name w:val="初设3"/>
    <w:basedOn w:val="146"/>
    <w:autoRedefine/>
    <w:qFormat/>
    <w:uiPriority w:val="0"/>
    <w:pPr>
      <w:spacing w:after="120" w:afterLines="50" w:line="240" w:lineRule="auto"/>
      <w:ind w:left="567" w:firstLine="0" w:firstLineChars="0"/>
      <w:jc w:val="both"/>
    </w:pPr>
    <w:rPr>
      <w:rFonts w:ascii="Times New Roman" w:hAnsi="Times New Roman"/>
      <w:kern w:val="2"/>
    </w:rPr>
  </w:style>
  <w:style w:type="paragraph" w:customStyle="1" w:styleId="150">
    <w:name w:val="xl41"/>
    <w:basedOn w:val="1"/>
    <w:autoRedefine/>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pPr>
    <w:rPr>
      <w:rFonts w:ascii="宋体" w:hAnsi="宋体" w:cs="宋体"/>
      <w:kern w:val="0"/>
      <w:sz w:val="20"/>
    </w:rPr>
  </w:style>
  <w:style w:type="paragraph" w:customStyle="1" w:styleId="151">
    <w:name w:val="P1"/>
    <w:autoRedefine/>
    <w:qFormat/>
    <w:uiPriority w:val="0"/>
    <w:pPr>
      <w:widowControl w:val="0"/>
      <w:adjustRightInd w:val="0"/>
      <w:spacing w:after="240"/>
      <w:ind w:left="2304"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52">
    <w:name w:val="_Style 151"/>
    <w:basedOn w:val="5"/>
    <w:next w:val="1"/>
    <w:autoRedefine/>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53">
    <w:name w:val="SuepChapter"/>
    <w:basedOn w:val="1"/>
    <w:autoRedefine/>
    <w:qFormat/>
    <w:uiPriority w:val="0"/>
    <w:pPr>
      <w:widowControl/>
      <w:tabs>
        <w:tab w:val="left" w:pos="420"/>
        <w:tab w:val="center" w:pos="4513"/>
      </w:tabs>
      <w:suppressAutoHyphens/>
      <w:ind w:left="420" w:hanging="420"/>
      <w:jc w:val="center"/>
    </w:pPr>
    <w:rPr>
      <w:b/>
      <w:spacing w:val="-2"/>
      <w:kern w:val="0"/>
      <w:sz w:val="22"/>
      <w:lang w:val="en-GB"/>
    </w:rPr>
  </w:style>
  <w:style w:type="paragraph" w:customStyle="1" w:styleId="154">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55">
    <w:name w:val="样式 Title_u + 悬挂缩进: 0.91 字符"/>
    <w:basedOn w:val="156"/>
    <w:autoRedefine/>
    <w:qFormat/>
    <w:uiPriority w:val="0"/>
    <w:pPr>
      <w:spacing w:line="240" w:lineRule="auto"/>
      <w:ind w:left="281" w:leftChars="-7" w:hanging="301" w:hangingChars="107"/>
    </w:pPr>
    <w:rPr>
      <w:rFonts w:eastAsia="宋体"/>
    </w:rPr>
  </w:style>
  <w:style w:type="paragraph" w:customStyle="1" w:styleId="156">
    <w:name w:val="Title_u"/>
    <w:basedOn w:val="1"/>
    <w:autoRedefine/>
    <w:qFormat/>
    <w:uiPriority w:val="0"/>
    <w:pPr>
      <w:widowControl/>
      <w:overflowPunct w:val="0"/>
      <w:autoSpaceDE w:val="0"/>
      <w:autoSpaceDN w:val="0"/>
      <w:adjustRightInd w:val="0"/>
      <w:spacing w:before="120" w:after="120" w:line="360" w:lineRule="auto"/>
      <w:jc w:val="center"/>
      <w:textAlignment w:val="baseline"/>
    </w:pPr>
    <w:rPr>
      <w:rFonts w:ascii="黑体" w:eastAsia="黑体"/>
      <w:b/>
      <w:kern w:val="0"/>
      <w:sz w:val="28"/>
    </w:rPr>
  </w:style>
  <w:style w:type="paragraph" w:customStyle="1" w:styleId="157">
    <w:name w:val="正文-表格"/>
    <w:basedOn w:val="1"/>
    <w:autoRedefine/>
    <w:qFormat/>
    <w:uiPriority w:val="0"/>
    <w:pPr>
      <w:adjustRightInd w:val="0"/>
      <w:spacing w:before="120" w:beforeLines="50"/>
      <w:jc w:val="left"/>
      <w:textAlignment w:val="baseline"/>
    </w:pPr>
    <w:rPr>
      <w:rFonts w:ascii="宋体" w:hAnsi="宋体"/>
      <w:kern w:val="0"/>
    </w:rPr>
  </w:style>
  <w:style w:type="paragraph" w:customStyle="1" w:styleId="158">
    <w:name w:val="样式 标题 3头 + 小三"/>
    <w:basedOn w:val="7"/>
    <w:autoRedefine/>
    <w:qFormat/>
    <w:uiPriority w:val="0"/>
    <w:pPr>
      <w:keepLines/>
      <w:tabs>
        <w:tab w:val="left" w:pos="578"/>
        <w:tab w:val="clear" w:pos="1560"/>
      </w:tabs>
      <w:adjustRightInd/>
      <w:spacing w:before="60" w:after="60"/>
      <w:ind w:left="578" w:hanging="578"/>
      <w:jc w:val="both"/>
      <w:textAlignment w:val="auto"/>
    </w:pPr>
    <w:rPr>
      <w:b/>
      <w:sz w:val="30"/>
    </w:rPr>
  </w:style>
  <w:style w:type="paragraph" w:customStyle="1" w:styleId="159">
    <w:name w:val="(i)正文"/>
    <w:basedOn w:val="1"/>
    <w:autoRedefine/>
    <w:qFormat/>
    <w:uiPriority w:val="0"/>
    <w:pPr>
      <w:widowControl/>
      <w:tabs>
        <w:tab w:val="left" w:pos="2381"/>
        <w:tab w:val="left" w:pos="2951"/>
      </w:tabs>
      <w:spacing w:line="360" w:lineRule="exact"/>
      <w:ind w:left="2381" w:hanging="510"/>
    </w:pPr>
    <w:rPr>
      <w:sz w:val="24"/>
    </w:rPr>
  </w:style>
  <w:style w:type="paragraph" w:customStyle="1" w:styleId="160">
    <w:name w:val="样式 标题 3头 + 小四 段前: 0 磅 行距: 1.5 倍行距"/>
    <w:basedOn w:val="7"/>
    <w:autoRedefine/>
    <w:qFormat/>
    <w:uiPriority w:val="0"/>
    <w:pPr>
      <w:keepLines/>
      <w:tabs>
        <w:tab w:val="clear" w:pos="1560"/>
      </w:tabs>
      <w:spacing w:line="360" w:lineRule="auto"/>
      <w:ind w:left="0" w:firstLine="0"/>
      <w:jc w:val="left"/>
    </w:pPr>
    <w:rPr>
      <w:rFonts w:ascii="宋体" w:hAnsi="宋体"/>
      <w:b/>
      <w:sz w:val="24"/>
      <w:lang w:val="en-GB"/>
    </w:rPr>
  </w:style>
  <w:style w:type="paragraph" w:customStyle="1" w:styleId="161">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18"/>
      <w:szCs w:val="18"/>
    </w:rPr>
  </w:style>
  <w:style w:type="paragraph" w:customStyle="1" w:styleId="162">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63">
    <w:name w:val="样式 宋体 行距: 固定值 18 磅"/>
    <w:basedOn w:val="1"/>
    <w:autoRedefine/>
    <w:qFormat/>
    <w:uiPriority w:val="0"/>
    <w:pPr>
      <w:spacing w:before="30" w:line="360" w:lineRule="exact"/>
    </w:pPr>
    <w:rPr>
      <w:rFonts w:ascii="宋体" w:hAnsi="宋体"/>
    </w:rPr>
  </w:style>
  <w:style w:type="paragraph" w:customStyle="1" w:styleId="164">
    <w:name w:val="列出段落11"/>
    <w:basedOn w:val="1"/>
    <w:autoRedefine/>
    <w:qFormat/>
    <w:uiPriority w:val="0"/>
    <w:pPr>
      <w:ind w:firstLine="420" w:firstLineChars="200"/>
    </w:pPr>
    <w:rPr>
      <w:rFonts w:ascii="Calibri" w:hAnsi="Calibri"/>
      <w:szCs w:val="24"/>
    </w:rPr>
  </w:style>
  <w:style w:type="paragraph" w:customStyle="1" w:styleId="165">
    <w:name w:val="b-b1"/>
    <w:basedOn w:val="5"/>
    <w:next w:val="1"/>
    <w:autoRedefine/>
    <w:qFormat/>
    <w:uiPriority w:val="0"/>
    <w:pPr>
      <w:keepNext w:val="0"/>
      <w:keepLines w:val="0"/>
      <w:tabs>
        <w:tab w:val="left" w:pos="360"/>
        <w:tab w:val="left" w:pos="1800"/>
      </w:tabs>
      <w:autoSpaceDE w:val="0"/>
      <w:autoSpaceDN w:val="0"/>
      <w:adjustRightInd w:val="0"/>
      <w:snapToGrid w:val="0"/>
      <w:spacing w:before="160" w:after="160" w:line="400" w:lineRule="exact"/>
      <w:ind w:left="1531" w:hanging="1531"/>
      <w:jc w:val="left"/>
      <w:textAlignment w:val="baseline"/>
    </w:pPr>
    <w:rPr>
      <w:rFonts w:ascii="黑体" w:eastAsia="黑体"/>
      <w:b w:val="0"/>
      <w:color w:val="000000"/>
      <w:sz w:val="28"/>
    </w:rPr>
  </w:style>
  <w:style w:type="paragraph" w:customStyle="1" w:styleId="166">
    <w:name w:val="样式 标题 1 + 段前: 2 行 段后: 2 行"/>
    <w:basedOn w:val="5"/>
    <w:autoRedefine/>
    <w:qFormat/>
    <w:uiPriority w:val="0"/>
    <w:pPr>
      <w:keepNext w:val="0"/>
      <w:keepLines w:val="0"/>
      <w:pageBreakBefore/>
      <w:tabs>
        <w:tab w:val="left" w:pos="642"/>
      </w:tabs>
      <w:spacing w:before="624" w:beforeLines="200" w:after="624" w:afterLines="200" w:line="360" w:lineRule="auto"/>
      <w:ind w:left="431" w:hanging="431"/>
    </w:pPr>
    <w:rPr>
      <w:rFonts w:ascii="Arial" w:hAnsi="Arial" w:eastAsia="黑体" w:cs="宋体"/>
      <w:bCs/>
      <w:sz w:val="28"/>
    </w:rPr>
  </w:style>
  <w:style w:type="paragraph" w:customStyle="1" w:styleId="167">
    <w:name w:val="样式 左侧:  1.1 厘米"/>
    <w:basedOn w:val="1"/>
    <w:autoRedefine/>
    <w:qFormat/>
    <w:uiPriority w:val="0"/>
    <w:pPr>
      <w:ind w:left="624" w:firstLine="420"/>
    </w:pPr>
    <w:rPr>
      <w:szCs w:val="24"/>
    </w:rPr>
  </w:style>
  <w:style w:type="paragraph" w:customStyle="1" w:styleId="168">
    <w:name w:val="样式 标题 3 + 非加粗 段前: 0.3 行 段后: 0.3 行1"/>
    <w:basedOn w:val="7"/>
    <w:autoRedefine/>
    <w:qFormat/>
    <w:uiPriority w:val="0"/>
    <w:pPr>
      <w:keepNext w:val="0"/>
      <w:tabs>
        <w:tab w:val="left" w:pos="975"/>
        <w:tab w:val="clear" w:pos="1560"/>
      </w:tabs>
      <w:adjustRightInd/>
      <w:snapToGrid w:val="0"/>
      <w:spacing w:before="30" w:beforeLines="30" w:after="30" w:afterLines="30" w:line="300" w:lineRule="auto"/>
      <w:ind w:left="300" w:hanging="300" w:hangingChars="300"/>
      <w:jc w:val="both"/>
      <w:textAlignment w:val="auto"/>
    </w:pPr>
    <w:rPr>
      <w:rFonts w:cs="宋体"/>
    </w:rPr>
  </w:style>
  <w:style w:type="paragraph" w:customStyle="1" w:styleId="169">
    <w:name w:val="xl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70">
    <w:name w:val="Char Char1 Char Char Char Char Char Char Char Char"/>
    <w:basedOn w:val="1"/>
    <w:autoRedefine/>
    <w:qFormat/>
    <w:uiPriority w:val="0"/>
    <w:pPr>
      <w:widowControl/>
      <w:spacing w:line="240" w:lineRule="exact"/>
      <w:jc w:val="left"/>
    </w:pPr>
    <w:rPr>
      <w:rFonts w:ascii="Verdana" w:hAnsi="Verdana"/>
      <w:kern w:val="0"/>
      <w:sz w:val="24"/>
      <w:lang w:eastAsia="en-US"/>
    </w:rPr>
  </w:style>
  <w:style w:type="paragraph" w:customStyle="1" w:styleId="171">
    <w:name w:val="4"/>
    <w:basedOn w:val="8"/>
    <w:autoRedefine/>
    <w:qFormat/>
    <w:uiPriority w:val="0"/>
    <w:pPr>
      <w:keepLines/>
      <w:adjustRightInd/>
      <w:spacing w:before="60" w:after="60" w:line="300" w:lineRule="auto"/>
      <w:ind w:left="0" w:firstLine="0"/>
      <w:jc w:val="both"/>
      <w:textAlignment w:val="auto"/>
    </w:pPr>
    <w:rPr>
      <w:rFonts w:ascii="Arial" w:hAnsi="Arial" w:eastAsia="黑体"/>
      <w:sz w:val="24"/>
    </w:rPr>
  </w:style>
  <w:style w:type="paragraph" w:customStyle="1" w:styleId="172">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s="Arial"/>
      <w:kern w:val="0"/>
      <w:sz w:val="20"/>
    </w:rPr>
  </w:style>
  <w:style w:type="paragraph" w:customStyle="1" w:styleId="173">
    <w:name w:val="正文2"/>
    <w:basedOn w:val="7"/>
    <w:autoRedefine/>
    <w:qFormat/>
    <w:uiPriority w:val="0"/>
    <w:pPr>
      <w:keepNext w:val="0"/>
      <w:tabs>
        <w:tab w:val="left" w:pos="2134"/>
        <w:tab w:val="clear" w:pos="1560"/>
      </w:tabs>
      <w:snapToGrid w:val="0"/>
      <w:ind w:left="0" w:firstLine="0"/>
      <w:jc w:val="both"/>
      <w:textAlignment w:val="auto"/>
    </w:pPr>
    <w:rPr>
      <w:bCs/>
      <w:sz w:val="24"/>
      <w:lang w:val="en-GB"/>
    </w:rPr>
  </w:style>
  <w:style w:type="paragraph" w:customStyle="1" w:styleId="174">
    <w:name w:val="fontnr"/>
    <w:basedOn w:val="1"/>
    <w:autoRedefine/>
    <w:qFormat/>
    <w:uiPriority w:val="0"/>
    <w:pPr>
      <w:widowControl/>
      <w:spacing w:before="100" w:beforeAutospacing="1" w:after="100" w:afterAutospacing="1" w:line="600" w:lineRule="atLeast"/>
      <w:jc w:val="left"/>
    </w:pPr>
    <w:rPr>
      <w:rFonts w:ascii="仿宋_GB2312" w:hAnsi="宋体" w:eastAsia="仿宋_GB2312"/>
      <w:color w:val="000000"/>
      <w:kern w:val="0"/>
      <w:sz w:val="32"/>
    </w:rPr>
  </w:style>
  <w:style w:type="paragraph" w:customStyle="1" w:styleId="175">
    <w:name w:val="导则正文"/>
    <w:basedOn w:val="1"/>
    <w:autoRedefine/>
    <w:qFormat/>
    <w:uiPriority w:val="0"/>
    <w:pPr>
      <w:ind w:firstLine="200"/>
      <w:jc w:val="left"/>
    </w:pPr>
    <w:rPr>
      <w:rFonts w:ascii="Calibri" w:hAnsi="Calibri"/>
      <w:szCs w:val="24"/>
    </w:rPr>
  </w:style>
  <w:style w:type="paragraph" w:customStyle="1" w:styleId="176">
    <w:name w:val="表内容"/>
    <w:basedOn w:val="1"/>
    <w:autoRedefine/>
    <w:qFormat/>
    <w:uiPriority w:val="0"/>
    <w:pPr>
      <w:jc w:val="center"/>
    </w:pPr>
    <w:rPr>
      <w:rFonts w:eastAsia="仿宋_GB2312"/>
      <w:sz w:val="24"/>
      <w:szCs w:val="24"/>
    </w:rPr>
  </w:style>
  <w:style w:type="paragraph" w:customStyle="1" w:styleId="177">
    <w:name w:val="正文文本缩进1"/>
    <w:basedOn w:val="1"/>
    <w:autoRedefine/>
    <w:qFormat/>
    <w:uiPriority w:val="0"/>
    <w:pPr>
      <w:spacing w:after="120"/>
      <w:ind w:left="420" w:leftChars="200"/>
    </w:pPr>
    <w:rPr>
      <w:szCs w:val="24"/>
    </w:rPr>
  </w:style>
  <w:style w:type="paragraph" w:customStyle="1" w:styleId="178">
    <w:name w:val="标题5"/>
    <w:basedOn w:val="1"/>
    <w:autoRedefine/>
    <w:qFormat/>
    <w:uiPriority w:val="0"/>
    <w:rPr>
      <w:rFonts w:eastAsia="楷体_GB2312"/>
      <w:sz w:val="28"/>
      <w:szCs w:val="24"/>
    </w:rPr>
  </w:style>
  <w:style w:type="paragraph" w:customStyle="1" w:styleId="179">
    <w:name w:val="A.正文"/>
    <w:basedOn w:val="1"/>
    <w:autoRedefine/>
    <w:qFormat/>
    <w:uiPriority w:val="0"/>
    <w:pPr>
      <w:widowControl/>
      <w:tabs>
        <w:tab w:val="left" w:pos="964"/>
      </w:tabs>
      <w:spacing w:line="360" w:lineRule="exact"/>
      <w:ind w:left="964" w:hanging="397"/>
    </w:pPr>
    <w:rPr>
      <w:sz w:val="24"/>
    </w:rPr>
  </w:style>
  <w:style w:type="paragraph" w:customStyle="1" w:styleId="180">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181">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82">
    <w:name w:val="封面标准号2"/>
    <w:basedOn w:val="1"/>
    <w:autoRedefine/>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rPr>
  </w:style>
  <w:style w:type="paragraph" w:customStyle="1" w:styleId="183">
    <w:name w:val="样式 标题 4 + 段前: 0.5 行 段后: 0.5 行"/>
    <w:basedOn w:val="8"/>
    <w:autoRedefine/>
    <w:semiHidden/>
    <w:qFormat/>
    <w:uiPriority w:val="0"/>
    <w:pPr>
      <w:keepNext w:val="0"/>
      <w:tabs>
        <w:tab w:val="left" w:pos="237"/>
        <w:tab w:val="clear" w:pos="1575"/>
      </w:tabs>
      <w:adjustRightInd/>
      <w:spacing w:before="156" w:beforeLines="50" w:after="156" w:afterLines="50" w:line="300" w:lineRule="auto"/>
      <w:ind w:left="180"/>
      <w:jc w:val="both"/>
      <w:textAlignment w:val="auto"/>
    </w:pPr>
    <w:rPr>
      <w:rFonts w:cs="宋体"/>
      <w:bCs/>
      <w:sz w:val="24"/>
    </w:rPr>
  </w:style>
  <w:style w:type="paragraph" w:customStyle="1" w:styleId="184">
    <w:name w:val="表格"/>
    <w:autoRedefine/>
    <w:qFormat/>
    <w:uiPriority w:val="0"/>
    <w:pPr>
      <w:spacing w:before="20" w:after="20"/>
    </w:pPr>
    <w:rPr>
      <w:rFonts w:ascii="宋体" w:hAnsi="Times New Roman" w:eastAsia="宋体" w:cs="Times New Roman"/>
      <w:sz w:val="24"/>
      <w:lang w:val="en-US" w:eastAsia="zh-CN" w:bidi="ar-SA"/>
    </w:rPr>
  </w:style>
  <w:style w:type="paragraph" w:customStyle="1" w:styleId="185">
    <w:name w:val="样式 标题 3 + 楷体_GB2312 加粗"/>
    <w:basedOn w:val="8"/>
    <w:autoRedefine/>
    <w:qFormat/>
    <w:uiPriority w:val="0"/>
    <w:pPr>
      <w:keepLines/>
      <w:tabs>
        <w:tab w:val="left" w:pos="420"/>
        <w:tab w:val="clear" w:pos="1575"/>
      </w:tabs>
      <w:adjustRightInd/>
      <w:spacing w:line="360" w:lineRule="auto"/>
      <w:ind w:left="420" w:hanging="80"/>
      <w:jc w:val="both"/>
      <w:textAlignment w:val="auto"/>
    </w:pPr>
    <w:rPr>
      <w:rFonts w:ascii="楷体_GB2312" w:hAnsi="楷体_GB2312" w:eastAsia="楷体_GB2312"/>
      <w:b/>
      <w:bCs/>
      <w:szCs w:val="28"/>
    </w:rPr>
  </w:style>
  <w:style w:type="paragraph" w:customStyle="1" w:styleId="186">
    <w:name w:val="Char Char Char Char"/>
    <w:basedOn w:val="1"/>
    <w:autoRedefine/>
    <w:qFormat/>
    <w:uiPriority w:val="0"/>
  </w:style>
  <w:style w:type="paragraph" w:customStyle="1" w:styleId="187">
    <w:name w:val="样式 标题 2节 + 行距: 多倍行距 1.25 字行"/>
    <w:basedOn w:val="6"/>
    <w:autoRedefine/>
    <w:qFormat/>
    <w:uiPriority w:val="0"/>
    <w:pPr>
      <w:tabs>
        <w:tab w:val="left" w:pos="840"/>
      </w:tabs>
      <w:spacing w:before="120" w:after="0" w:line="300" w:lineRule="auto"/>
      <w:ind w:left="840" w:hanging="420"/>
    </w:pPr>
    <w:rPr>
      <w:rFonts w:ascii="宋体" w:eastAsia="宋体"/>
      <w:sz w:val="28"/>
    </w:rPr>
  </w:style>
  <w:style w:type="paragraph" w:customStyle="1" w:styleId="188">
    <w:name w:val="Char Char 字元 字元 字元 Char Char Char Char1"/>
    <w:basedOn w:val="1"/>
    <w:autoRedefine/>
    <w:qFormat/>
    <w:uiPriority w:val="0"/>
    <w:pPr>
      <w:adjustRightInd w:val="0"/>
      <w:spacing w:line="360" w:lineRule="auto"/>
    </w:pPr>
    <w:rPr>
      <w:kern w:val="0"/>
      <w:sz w:val="24"/>
    </w:rPr>
  </w:style>
  <w:style w:type="paragraph" w:customStyle="1" w:styleId="189">
    <w:name w:val="正文文本 21"/>
    <w:basedOn w:val="1"/>
    <w:autoRedefine/>
    <w:qFormat/>
    <w:uiPriority w:val="0"/>
    <w:pPr>
      <w:autoSpaceDE w:val="0"/>
      <w:autoSpaceDN w:val="0"/>
      <w:adjustRightInd w:val="0"/>
      <w:spacing w:line="380" w:lineRule="atLeast"/>
      <w:textAlignment w:val="baseline"/>
    </w:pPr>
    <w:rPr>
      <w:spacing w:val="10"/>
      <w:kern w:val="0"/>
      <w:sz w:val="24"/>
    </w:rPr>
  </w:style>
  <w:style w:type="paragraph" w:customStyle="1" w:styleId="190">
    <w:name w:val="b-b4"/>
    <w:basedOn w:val="8"/>
    <w:next w:val="1"/>
    <w:autoRedefine/>
    <w:qFormat/>
    <w:uiPriority w:val="0"/>
    <w:pPr>
      <w:keepNext w:val="0"/>
      <w:tabs>
        <w:tab w:val="left" w:pos="540"/>
        <w:tab w:val="clear" w:pos="1575"/>
      </w:tabs>
      <w:adjustRightInd/>
      <w:spacing w:before="60" w:after="60" w:line="400" w:lineRule="exact"/>
      <w:ind w:left="0" w:firstLine="198"/>
      <w:jc w:val="left"/>
      <w:textAlignment w:val="auto"/>
    </w:pPr>
    <w:rPr>
      <w:rFonts w:ascii="黑体" w:hAnsi="宋体" w:eastAsia="黑体"/>
      <w:b/>
      <w:kern w:val="0"/>
    </w:rPr>
  </w:style>
  <w:style w:type="paragraph" w:customStyle="1" w:styleId="191">
    <w:name w:val="xl37"/>
    <w:basedOn w:val="1"/>
    <w:autoRedefine/>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right"/>
      <w:textAlignment w:val="bottom"/>
    </w:pPr>
    <w:rPr>
      <w:rFonts w:ascii="Arial" w:hAnsi="Arial" w:cs="Arial"/>
      <w:b/>
      <w:bCs/>
      <w:kern w:val="0"/>
      <w:sz w:val="20"/>
    </w:rPr>
  </w:style>
  <w:style w:type="paragraph" w:customStyle="1" w:styleId="192">
    <w:name w:val="方案正文"/>
    <w:basedOn w:val="1"/>
    <w:autoRedefine/>
    <w:qFormat/>
    <w:uiPriority w:val="0"/>
    <w:pPr>
      <w:adjustRightInd w:val="0"/>
      <w:snapToGrid w:val="0"/>
      <w:spacing w:before="60" w:line="420" w:lineRule="exact"/>
      <w:ind w:firstLine="567"/>
      <w:textAlignment w:val="baseline"/>
    </w:pPr>
    <w:rPr>
      <w:rFonts w:ascii="Arial" w:hAnsi="Arial"/>
      <w:snapToGrid w:val="0"/>
      <w:spacing w:val="14"/>
      <w:kern w:val="0"/>
      <w:sz w:val="24"/>
    </w:rPr>
  </w:style>
  <w:style w:type="paragraph" w:customStyle="1" w:styleId="193">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194">
    <w:name w:val="xl46"/>
    <w:basedOn w:val="1"/>
    <w:autoRedefine/>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宋体" w:hAnsi="宋体" w:cs="宋体"/>
      <w:kern w:val="0"/>
      <w:sz w:val="24"/>
      <w:szCs w:val="24"/>
    </w:rPr>
  </w:style>
  <w:style w:type="paragraph" w:customStyle="1" w:styleId="195">
    <w:name w:val="普通(网站)1"/>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196">
    <w:name w:val="字元 字元1"/>
    <w:basedOn w:val="1"/>
    <w:autoRedefine/>
    <w:semiHidden/>
    <w:qFormat/>
    <w:uiPriority w:val="0"/>
    <w:rPr>
      <w:szCs w:val="24"/>
    </w:rPr>
  </w:style>
  <w:style w:type="paragraph" w:customStyle="1" w:styleId="197">
    <w:name w:val="样式 标题 3 + (中文) 黑体 小四 非加粗 段前: 7.8 磅 段后: 0 磅 行距: 固定值 20 磅"/>
    <w:basedOn w:val="7"/>
    <w:autoRedefine/>
    <w:qFormat/>
    <w:uiPriority w:val="0"/>
    <w:pPr>
      <w:keepLines/>
      <w:tabs>
        <w:tab w:val="clear" w:pos="1560"/>
      </w:tabs>
      <w:adjustRightInd/>
      <w:spacing w:line="400" w:lineRule="exact"/>
      <w:ind w:left="0" w:firstLine="0"/>
      <w:jc w:val="both"/>
      <w:textAlignment w:val="auto"/>
    </w:pPr>
    <w:rPr>
      <w:rFonts w:eastAsia="黑体"/>
      <w:sz w:val="24"/>
    </w:rPr>
  </w:style>
  <w:style w:type="paragraph" w:customStyle="1" w:styleId="198">
    <w:name w:val="样式 l_text + 段后: 3.6 磅"/>
    <w:basedOn w:val="199"/>
    <w:autoRedefine/>
    <w:qFormat/>
    <w:uiPriority w:val="0"/>
    <w:pPr>
      <w:topLinePunct/>
      <w:autoSpaceDE/>
      <w:autoSpaceDN/>
      <w:spacing w:after="72"/>
    </w:pPr>
  </w:style>
  <w:style w:type="paragraph" w:customStyle="1" w:styleId="199">
    <w:name w:val="l_text"/>
    <w:basedOn w:val="1"/>
    <w:autoRedefine/>
    <w:qFormat/>
    <w:uiPriority w:val="0"/>
    <w:pPr>
      <w:widowControl/>
      <w:overflowPunct w:val="0"/>
      <w:autoSpaceDE w:val="0"/>
      <w:autoSpaceDN w:val="0"/>
      <w:adjustRightInd w:val="0"/>
      <w:spacing w:line="360" w:lineRule="auto"/>
      <w:ind w:left="170" w:firstLine="680"/>
      <w:textAlignment w:val="baseline"/>
    </w:pPr>
    <w:rPr>
      <w:rFonts w:ascii="宋体"/>
      <w:kern w:val="0"/>
      <w:sz w:val="28"/>
      <w:lang w:val="en-GB"/>
    </w:rPr>
  </w:style>
  <w:style w:type="paragraph" w:customStyle="1" w:styleId="200">
    <w:name w:val="bf"/>
    <w:basedOn w:val="1"/>
    <w:autoRedefine/>
    <w:qFormat/>
    <w:uiPriority w:val="0"/>
    <w:pPr>
      <w:tabs>
        <w:tab w:val="left" w:pos="0"/>
        <w:tab w:val="left" w:pos="2269"/>
      </w:tabs>
      <w:adjustRightInd w:val="0"/>
      <w:spacing w:before="480" w:after="240" w:line="360" w:lineRule="atLeast"/>
      <w:ind w:left="1134" w:hanging="1134"/>
      <w:jc w:val="center"/>
      <w:textAlignment w:val="baseline"/>
    </w:pPr>
    <w:rPr>
      <w:rFonts w:ascii="Arial" w:hAnsi="Arial" w:eastAsia="黑体"/>
      <w:kern w:val="0"/>
      <w:sz w:val="32"/>
    </w:rPr>
  </w:style>
  <w:style w:type="paragraph" w:customStyle="1" w:styleId="201">
    <w:name w:val="目录"/>
    <w:basedOn w:val="1"/>
    <w:autoRedefine/>
    <w:qFormat/>
    <w:uiPriority w:val="0"/>
    <w:pPr>
      <w:widowControl/>
      <w:jc w:val="center"/>
    </w:pPr>
    <w:rPr>
      <w:rFonts w:ascii="宋体"/>
      <w:b/>
      <w:kern w:val="0"/>
      <w:sz w:val="36"/>
    </w:rPr>
  </w:style>
  <w:style w:type="paragraph" w:customStyle="1" w:styleId="202">
    <w:name w:val="样式 (复杂文种)五号"/>
    <w:basedOn w:val="1"/>
    <w:autoRedefine/>
    <w:qFormat/>
    <w:uiPriority w:val="0"/>
    <w:pPr>
      <w:jc w:val="center"/>
    </w:pPr>
    <w:rPr>
      <w:szCs w:val="21"/>
    </w:rPr>
  </w:style>
  <w:style w:type="paragraph" w:customStyle="1" w:styleId="203">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204">
    <w:name w:val="xl48"/>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宋体" w:hAnsi="宋体" w:cs="宋体"/>
      <w:kern w:val="0"/>
      <w:sz w:val="20"/>
    </w:rPr>
  </w:style>
  <w:style w:type="paragraph" w:customStyle="1" w:styleId="205">
    <w:name w:val="1.1"/>
    <w:basedOn w:val="6"/>
    <w:autoRedefine/>
    <w:qFormat/>
    <w:uiPriority w:val="0"/>
    <w:pPr>
      <w:tabs>
        <w:tab w:val="left" w:pos="1080"/>
      </w:tabs>
      <w:adjustRightInd w:val="0"/>
      <w:spacing w:line="360" w:lineRule="exact"/>
      <w:ind w:left="1077" w:hanging="1077"/>
      <w:jc w:val="left"/>
      <w:textAlignment w:val="baseline"/>
    </w:pPr>
    <w:rPr>
      <w:sz w:val="28"/>
    </w:rPr>
  </w:style>
  <w:style w:type="paragraph" w:customStyle="1" w:styleId="206">
    <w:name w:val="Report Text"/>
    <w:basedOn w:val="1"/>
    <w:autoRedefine/>
    <w:qFormat/>
    <w:uiPriority w:val="0"/>
    <w:pPr>
      <w:widowControl/>
      <w:ind w:left="1080"/>
    </w:pPr>
    <w:rPr>
      <w:kern w:val="0"/>
      <w:sz w:val="22"/>
      <w:lang w:val="en-GB" w:eastAsia="zh-TW"/>
    </w:rPr>
  </w:style>
  <w:style w:type="paragraph" w:customStyle="1" w:styleId="207">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08">
    <w:name w:val="1."/>
    <w:basedOn w:val="1"/>
    <w:autoRedefine/>
    <w:qFormat/>
    <w:uiPriority w:val="0"/>
    <w:pPr>
      <w:tabs>
        <w:tab w:val="left" w:pos="0"/>
        <w:tab w:val="left" w:pos="426"/>
        <w:tab w:val="left" w:pos="900"/>
      </w:tabs>
      <w:adjustRightInd w:val="0"/>
      <w:snapToGrid w:val="0"/>
      <w:spacing w:before="120" w:after="120" w:line="400" w:lineRule="atLeast"/>
      <w:ind w:left="425" w:leftChars="50" w:right="32" w:hanging="425"/>
      <w:jc w:val="center"/>
      <w:textAlignment w:val="baseline"/>
    </w:pPr>
    <w:rPr>
      <w:rFonts w:ascii="Arial" w:hAnsi="Arial"/>
      <w:b/>
      <w:kern w:val="0"/>
      <w:sz w:val="32"/>
    </w:rPr>
  </w:style>
  <w:style w:type="paragraph" w:customStyle="1" w:styleId="209">
    <w:name w:val="bf.1"/>
    <w:basedOn w:val="23"/>
    <w:autoRedefine/>
    <w:qFormat/>
    <w:uiPriority w:val="0"/>
    <w:pPr>
      <w:spacing w:line="360" w:lineRule="auto"/>
      <w:ind w:left="1050" w:hanging="1050" w:hangingChars="375"/>
    </w:pPr>
    <w:rPr>
      <w:rFonts w:ascii="Arial" w:hAnsi="Arial"/>
      <w:sz w:val="24"/>
    </w:rPr>
  </w:style>
  <w:style w:type="paragraph" w:customStyle="1" w:styleId="210">
    <w:name w:val="SuepHeading"/>
    <w:basedOn w:val="1"/>
    <w:autoRedefine/>
    <w:qFormat/>
    <w:uiPriority w:val="0"/>
    <w:pPr>
      <w:widowControl/>
      <w:tabs>
        <w:tab w:val="left" w:pos="828"/>
        <w:tab w:val="left" w:pos="1394"/>
        <w:tab w:val="left" w:pos="2245"/>
        <w:tab w:val="left" w:pos="3094"/>
        <w:tab w:val="left" w:pos="3945"/>
        <w:tab w:val="left" w:pos="5079"/>
        <w:tab w:val="left" w:pos="6496"/>
        <w:tab w:val="left" w:pos="7630"/>
      </w:tabs>
      <w:suppressAutoHyphens/>
      <w:ind w:left="840" w:hanging="420"/>
    </w:pPr>
    <w:rPr>
      <w:b/>
      <w:spacing w:val="-2"/>
      <w:kern w:val="0"/>
      <w:sz w:val="22"/>
      <w:lang w:val="en-GB"/>
    </w:rPr>
  </w:style>
  <w:style w:type="paragraph" w:customStyle="1" w:styleId="211">
    <w:name w:val="样式 正文首行缩进 + 四号 首行缩进:  1 字符"/>
    <w:basedOn w:val="2"/>
    <w:autoRedefine/>
    <w:qFormat/>
    <w:uiPriority w:val="0"/>
    <w:pPr>
      <w:spacing w:after="0" w:line="360" w:lineRule="auto"/>
      <w:ind w:firstLine="560" w:firstLineChars="200"/>
    </w:pPr>
    <w:rPr>
      <w:rFonts w:cs="宋体"/>
      <w:szCs w:val="20"/>
    </w:rPr>
  </w:style>
  <w:style w:type="paragraph" w:customStyle="1" w:styleId="212">
    <w:name w:val="cucd-TB"/>
    <w:autoRedefine/>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213">
    <w:name w:val="xl55"/>
    <w:basedOn w:val="1"/>
    <w:autoRedefine/>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214">
    <w:name w:val="样式 标题 1 + 行距: 多倍行距 1.25 字行"/>
    <w:basedOn w:val="5"/>
    <w:autoRedefine/>
    <w:qFormat/>
    <w:uiPriority w:val="0"/>
    <w:pPr>
      <w:pageBreakBefore/>
      <w:tabs>
        <w:tab w:val="left" w:pos="420"/>
      </w:tabs>
      <w:spacing w:before="0" w:after="300" w:line="480" w:lineRule="auto"/>
      <w:ind w:left="420" w:hanging="420"/>
      <w:jc w:val="center"/>
    </w:pPr>
    <w:rPr>
      <w:sz w:val="40"/>
    </w:rPr>
  </w:style>
  <w:style w:type="paragraph" w:customStyle="1" w:styleId="215">
    <w:name w:val="jjj"/>
    <w:basedOn w:val="1"/>
    <w:autoRedefine/>
    <w:qFormat/>
    <w:uiPriority w:val="0"/>
    <w:pPr>
      <w:keepNext/>
      <w:keepLines/>
      <w:widowControl/>
      <w:suppressLineNumbers/>
      <w:autoSpaceDE w:val="0"/>
      <w:autoSpaceDN w:val="0"/>
      <w:adjustRightInd w:val="0"/>
      <w:spacing w:before="100"/>
      <w:ind w:left="1440" w:hanging="360"/>
      <w:outlineLvl w:val="1"/>
    </w:pPr>
    <w:rPr>
      <w:rFonts w:ascii="宋体"/>
      <w:kern w:val="0"/>
      <w:sz w:val="28"/>
    </w:rPr>
  </w:style>
  <w:style w:type="paragraph" w:customStyle="1" w:styleId="216">
    <w:name w:val="页眉11"/>
    <w:basedOn w:val="102"/>
    <w:next w:val="102"/>
    <w:autoRedefine/>
    <w:qFormat/>
    <w:uiPriority w:val="0"/>
    <w:pPr>
      <w:spacing w:after="120"/>
    </w:pPr>
    <w:rPr>
      <w:rFonts w:ascii="Arial Unicode MS" w:hAnsi="Arial Unicode MS"/>
      <w:color w:val="auto"/>
    </w:rPr>
  </w:style>
  <w:style w:type="paragraph" w:customStyle="1" w:styleId="217">
    <w:name w:val="Char Char Char"/>
    <w:basedOn w:val="1"/>
    <w:autoRedefine/>
    <w:qFormat/>
    <w:uiPriority w:val="0"/>
    <w:rPr>
      <w:szCs w:val="24"/>
    </w:rPr>
  </w:style>
  <w:style w:type="paragraph" w:customStyle="1" w:styleId="218">
    <w:name w:val="1.1.1.1"/>
    <w:basedOn w:val="1"/>
    <w:autoRedefine/>
    <w:qFormat/>
    <w:uiPriority w:val="0"/>
    <w:pPr>
      <w:tabs>
        <w:tab w:val="left" w:pos="1134"/>
      </w:tabs>
      <w:adjustRightInd w:val="0"/>
      <w:spacing w:before="60" w:after="60" w:line="360" w:lineRule="atLeast"/>
      <w:ind w:left="1134" w:hanging="1134"/>
      <w:jc w:val="left"/>
      <w:textAlignment w:val="baseline"/>
    </w:pPr>
    <w:rPr>
      <w:rFonts w:ascii="Arial" w:hAnsi="Arial"/>
      <w:kern w:val="0"/>
      <w:sz w:val="24"/>
    </w:rPr>
  </w:style>
  <w:style w:type="paragraph" w:customStyle="1" w:styleId="219">
    <w:name w:val="菲页1"/>
    <w:basedOn w:val="6"/>
    <w:autoRedefine/>
    <w:qFormat/>
    <w:uiPriority w:val="0"/>
    <w:pPr>
      <w:widowControl/>
      <w:jc w:val="center"/>
    </w:pPr>
    <w:rPr>
      <w:rFonts w:ascii="黑体" w:hAnsi="宋体" w:eastAsia="宋体"/>
      <w:b w:val="0"/>
      <w:kern w:val="0"/>
      <w:sz w:val="52"/>
    </w:rPr>
  </w:style>
  <w:style w:type="paragraph" w:customStyle="1" w:styleId="220">
    <w:name w:val="字元 字元11"/>
    <w:basedOn w:val="1"/>
    <w:autoRedefine/>
    <w:semiHidden/>
    <w:qFormat/>
    <w:uiPriority w:val="0"/>
    <w:rPr>
      <w:szCs w:val="24"/>
    </w:rPr>
  </w:style>
  <w:style w:type="paragraph" w:customStyle="1" w:styleId="221">
    <w:name w:val="目录文字"/>
    <w:basedOn w:val="1"/>
    <w:autoRedefine/>
    <w:qFormat/>
    <w:uiPriority w:val="0"/>
    <w:pPr>
      <w:widowControl/>
      <w:spacing w:line="480" w:lineRule="auto"/>
      <w:jc w:val="left"/>
    </w:pPr>
    <w:rPr>
      <w:rFonts w:ascii="宋体" w:hAnsi="宋体"/>
      <w:kern w:val="0"/>
      <w:sz w:val="24"/>
    </w:rPr>
  </w:style>
  <w:style w:type="paragraph" w:customStyle="1" w:styleId="222">
    <w:name w:val="b-b3"/>
    <w:basedOn w:val="7"/>
    <w:next w:val="1"/>
    <w:autoRedefine/>
    <w:qFormat/>
    <w:uiPriority w:val="0"/>
    <w:pPr>
      <w:keepNext w:val="0"/>
      <w:tabs>
        <w:tab w:val="clear" w:pos="1560"/>
      </w:tabs>
      <w:adjustRightInd/>
      <w:snapToGrid w:val="0"/>
      <w:spacing w:before="80" w:after="80" w:line="440" w:lineRule="atLeast"/>
      <w:ind w:left="0" w:firstLine="0"/>
      <w:jc w:val="both"/>
    </w:pPr>
    <w:rPr>
      <w:rFonts w:eastAsia="黑体"/>
      <w:kern w:val="0"/>
    </w:rPr>
  </w:style>
  <w:style w:type="paragraph" w:customStyle="1" w:styleId="223">
    <w:name w:val="textstyle1"/>
    <w:basedOn w:val="1"/>
    <w:autoRedefine/>
    <w:qFormat/>
    <w:uiPriority w:val="0"/>
    <w:pPr>
      <w:widowControl/>
      <w:overflowPunct w:val="0"/>
      <w:autoSpaceDE w:val="0"/>
      <w:autoSpaceDN w:val="0"/>
      <w:adjustRightInd w:val="0"/>
      <w:spacing w:before="120"/>
      <w:ind w:left="288" w:firstLine="432"/>
      <w:textAlignment w:val="baseline"/>
    </w:pPr>
    <w:rPr>
      <w:rFonts w:ascii="楷体" w:eastAsia="楷体"/>
      <w:kern w:val="0"/>
      <w:sz w:val="24"/>
    </w:rPr>
  </w:style>
  <w:style w:type="paragraph" w:customStyle="1" w:styleId="224">
    <w:name w:val="text"/>
    <w:basedOn w:val="1"/>
    <w:autoRedefine/>
    <w:qFormat/>
    <w:uiPriority w:val="0"/>
    <w:pPr>
      <w:widowControl/>
      <w:overflowPunct w:val="0"/>
      <w:autoSpaceDE w:val="0"/>
      <w:autoSpaceDN w:val="0"/>
      <w:adjustRightInd w:val="0"/>
      <w:spacing w:before="120" w:after="120" w:line="360" w:lineRule="auto"/>
      <w:ind w:left="851" w:firstLine="709"/>
      <w:textAlignment w:val="baseline"/>
    </w:pPr>
    <w:rPr>
      <w:rFonts w:ascii="楷体" w:eastAsia="楷体"/>
      <w:kern w:val="0"/>
      <w:sz w:val="28"/>
    </w:rPr>
  </w:style>
  <w:style w:type="paragraph" w:customStyle="1" w:styleId="225">
    <w:name w:val="标题3"/>
    <w:basedOn w:val="1"/>
    <w:next w:val="1"/>
    <w:autoRedefine/>
    <w:qFormat/>
    <w:uiPriority w:val="0"/>
    <w:pPr>
      <w:tabs>
        <w:tab w:val="left" w:pos="709"/>
      </w:tabs>
      <w:spacing w:line="360" w:lineRule="auto"/>
      <w:ind w:left="709" w:hanging="709"/>
      <w:outlineLvl w:val="2"/>
    </w:pPr>
    <w:rPr>
      <w:rFonts w:ascii="楷体_GB2312" w:eastAsia="楷体_GB2312"/>
      <w:b/>
      <w:sz w:val="28"/>
      <w:szCs w:val="28"/>
    </w:rPr>
  </w:style>
  <w:style w:type="paragraph" w:customStyle="1" w:styleId="226">
    <w:name w:val="6"/>
    <w:basedOn w:val="1"/>
    <w:autoRedefine/>
    <w:qFormat/>
    <w:uiPriority w:val="0"/>
    <w:pPr>
      <w:spacing w:line="300" w:lineRule="auto"/>
    </w:pPr>
    <w:rPr>
      <w:sz w:val="24"/>
    </w:rPr>
  </w:style>
  <w:style w:type="paragraph" w:customStyle="1" w:styleId="227">
    <w:name w:val="dian"/>
    <w:basedOn w:val="1"/>
    <w:autoRedefine/>
    <w:qFormat/>
    <w:uiPriority w:val="0"/>
    <w:pPr>
      <w:widowControl/>
      <w:tabs>
        <w:tab w:val="left" w:pos="900"/>
      </w:tabs>
      <w:overflowPunct w:val="0"/>
      <w:autoSpaceDE w:val="0"/>
      <w:autoSpaceDN w:val="0"/>
      <w:adjustRightInd w:val="0"/>
      <w:spacing w:line="360" w:lineRule="auto"/>
      <w:ind w:left="900" w:hanging="360"/>
      <w:textAlignment w:val="baseline"/>
    </w:pPr>
    <w:rPr>
      <w:rFonts w:ascii="宋体"/>
      <w:kern w:val="0"/>
      <w:sz w:val="28"/>
    </w:rPr>
  </w:style>
  <w:style w:type="paragraph" w:customStyle="1" w:styleId="228">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s="Arial"/>
      <w:kern w:val="0"/>
      <w:sz w:val="20"/>
    </w:rPr>
  </w:style>
  <w:style w:type="paragraph" w:customStyle="1" w:styleId="229">
    <w:name w:val="xl56"/>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230">
    <w:name w:val="H－2"/>
    <w:basedOn w:val="1"/>
    <w:link w:val="482"/>
    <w:autoRedefine/>
    <w:qFormat/>
    <w:uiPriority w:val="0"/>
    <w:pPr>
      <w:keepNext/>
      <w:keepLines/>
      <w:tabs>
        <w:tab w:val="left" w:pos="360"/>
        <w:tab w:val="left" w:pos="630"/>
      </w:tabs>
      <w:spacing w:before="260" w:after="260" w:line="415" w:lineRule="auto"/>
      <w:ind w:left="340" w:right="100" w:rightChars="100" w:hanging="340"/>
      <w:jc w:val="left"/>
      <w:outlineLvl w:val="1"/>
    </w:pPr>
    <w:rPr>
      <w:rFonts w:ascii="Arial" w:hAnsi="Arial" w:eastAsia="黑体"/>
      <w:bCs/>
      <w:kern w:val="0"/>
      <w:szCs w:val="28"/>
    </w:rPr>
  </w:style>
  <w:style w:type="paragraph" w:customStyle="1" w:styleId="231">
    <w:name w:val="Char11"/>
    <w:basedOn w:val="1"/>
    <w:autoRedefine/>
    <w:qFormat/>
    <w:uiPriority w:val="0"/>
    <w:rPr>
      <w:szCs w:val="21"/>
    </w:rPr>
  </w:style>
  <w:style w:type="paragraph" w:customStyle="1" w:styleId="232">
    <w:name w:val="1"/>
    <w:basedOn w:val="1"/>
    <w:next w:val="71"/>
    <w:autoRedefine/>
    <w:qFormat/>
    <w:uiPriority w:val="0"/>
    <w:pPr>
      <w:tabs>
        <w:tab w:val="left" w:pos="780"/>
        <w:tab w:val="left" w:pos="900"/>
      </w:tabs>
      <w:adjustRightInd w:val="0"/>
      <w:snapToGrid w:val="0"/>
      <w:spacing w:before="156" w:after="156" w:line="400" w:lineRule="atLeast"/>
      <w:ind w:left="869" w:leftChars="50" w:right="32" w:firstLine="599" w:firstLineChars="214"/>
    </w:pPr>
    <w:rPr>
      <w:sz w:val="28"/>
    </w:rPr>
  </w:style>
  <w:style w:type="paragraph" w:customStyle="1" w:styleId="233">
    <w:name w:val="正文 + 加粗"/>
    <w:basedOn w:val="1"/>
    <w:autoRedefine/>
    <w:qFormat/>
    <w:uiPriority w:val="0"/>
    <w:pPr>
      <w:spacing w:line="312" w:lineRule="auto"/>
    </w:pPr>
    <w:rPr>
      <w:rFonts w:ascii="Arial" w:hAnsi="Arial"/>
      <w:b/>
    </w:rPr>
  </w:style>
  <w:style w:type="paragraph" w:customStyle="1" w:styleId="234">
    <w:name w:val="浮动幅度fdfd"/>
    <w:basedOn w:val="8"/>
    <w:autoRedefine/>
    <w:qFormat/>
    <w:uiPriority w:val="0"/>
    <w:pPr>
      <w:keepNext w:val="0"/>
      <w:tabs>
        <w:tab w:val="left" w:pos="2240"/>
        <w:tab w:val="clear" w:pos="1575"/>
      </w:tabs>
      <w:adjustRightInd/>
      <w:spacing w:line="360" w:lineRule="auto"/>
      <w:ind w:left="2240" w:hanging="420"/>
      <w:jc w:val="both"/>
      <w:textAlignment w:val="auto"/>
    </w:pPr>
    <w:rPr>
      <w:rFonts w:ascii="楷体_GB2312" w:hAnsi="楷体_GB2312" w:eastAsia="楷体_GB2312"/>
      <w:bCs/>
      <w:szCs w:val="28"/>
    </w:rPr>
  </w:style>
  <w:style w:type="paragraph" w:customStyle="1" w:styleId="235">
    <w:name w:val="表项目及备注栏"/>
    <w:basedOn w:val="1"/>
    <w:autoRedefine/>
    <w:qFormat/>
    <w:uiPriority w:val="0"/>
    <w:rPr>
      <w:rFonts w:eastAsia="仿宋_GB2312"/>
      <w:sz w:val="24"/>
      <w:szCs w:val="24"/>
    </w:rPr>
  </w:style>
  <w:style w:type="paragraph" w:customStyle="1" w:styleId="236">
    <w:name w:val="head1"/>
    <w:basedOn w:val="1"/>
    <w:autoRedefine/>
    <w:qFormat/>
    <w:uiPriority w:val="0"/>
    <w:pPr>
      <w:widowControl/>
      <w:overflowPunct w:val="0"/>
      <w:autoSpaceDE w:val="0"/>
      <w:autoSpaceDN w:val="0"/>
      <w:adjustRightInd w:val="0"/>
      <w:spacing w:before="120"/>
      <w:ind w:left="288"/>
      <w:jc w:val="left"/>
      <w:textAlignment w:val="baseline"/>
    </w:pPr>
    <w:rPr>
      <w:rFonts w:ascii="黑体" w:eastAsia="黑体"/>
      <w:kern w:val="0"/>
      <w:sz w:val="32"/>
    </w:rPr>
  </w:style>
  <w:style w:type="paragraph" w:customStyle="1" w:styleId="237">
    <w:name w:val="_Style 236"/>
    <w:basedOn w:val="1"/>
    <w:next w:val="1"/>
    <w:link w:val="406"/>
    <w:autoRedefine/>
    <w:qFormat/>
    <w:uiPriority w:val="0"/>
    <w:pPr>
      <w:widowControl/>
      <w:jc w:val="left"/>
    </w:pPr>
    <w:rPr>
      <w:rFonts w:ascii="Calibri" w:hAnsi="Calibri"/>
      <w:i/>
      <w:kern w:val="0"/>
      <w:sz w:val="24"/>
      <w:lang w:eastAsia="en-US"/>
    </w:rPr>
  </w:style>
  <w:style w:type="paragraph" w:customStyle="1" w:styleId="238">
    <w:name w:val="Headings Font"/>
    <w:basedOn w:val="1"/>
    <w:next w:val="3"/>
    <w:autoRedefine/>
    <w:qFormat/>
    <w:uiPriority w:val="0"/>
    <w:pPr>
      <w:keepNext/>
      <w:spacing w:line="280" w:lineRule="atLeast"/>
      <w:jc w:val="left"/>
    </w:pPr>
    <w:rPr>
      <w:rFonts w:ascii="Arial" w:hAnsi="Arial"/>
      <w:kern w:val="0"/>
      <w:sz w:val="22"/>
      <w:lang w:val="en-GB"/>
    </w:rPr>
  </w:style>
  <w:style w:type="paragraph" w:customStyle="1" w:styleId="239">
    <w:name w:val="POINT"/>
    <w:basedOn w:val="199"/>
    <w:autoRedefine/>
    <w:qFormat/>
    <w:uiPriority w:val="0"/>
    <w:pPr>
      <w:tabs>
        <w:tab w:val="left" w:pos="840"/>
      </w:tabs>
      <w:ind w:left="840" w:hanging="420"/>
    </w:pPr>
  </w:style>
  <w:style w:type="paragraph" w:customStyle="1" w:styleId="240">
    <w:name w:val="Char21"/>
    <w:basedOn w:val="1"/>
    <w:autoRedefine/>
    <w:qFormat/>
    <w:uiPriority w:val="0"/>
    <w:pPr>
      <w:spacing w:line="360" w:lineRule="auto"/>
      <w:ind w:firstLine="551" w:firstLineChars="196"/>
    </w:pPr>
    <w:rPr>
      <w:b/>
      <w:sz w:val="28"/>
      <w:szCs w:val="28"/>
    </w:rPr>
  </w:style>
  <w:style w:type="paragraph" w:customStyle="1" w:styleId="241">
    <w:name w:val="P2"/>
    <w:basedOn w:val="1"/>
    <w:autoRedefine/>
    <w:qFormat/>
    <w:uiPriority w:val="0"/>
    <w:pPr>
      <w:widowControl/>
      <w:ind w:left="1134"/>
    </w:pPr>
    <w:rPr>
      <w:kern w:val="0"/>
      <w:sz w:val="20"/>
      <w:lang w:val="fr-FR" w:eastAsia="fr-FR"/>
    </w:rPr>
  </w:style>
  <w:style w:type="paragraph" w:customStyle="1" w:styleId="242">
    <w:name w:val="face"/>
    <w:basedOn w:val="1"/>
    <w:autoRedefine/>
    <w:qFormat/>
    <w:uiPriority w:val="0"/>
    <w:pPr>
      <w:widowControl/>
      <w:overflowPunct w:val="0"/>
      <w:autoSpaceDE w:val="0"/>
      <w:autoSpaceDN w:val="0"/>
      <w:adjustRightInd w:val="0"/>
      <w:spacing w:before="60" w:after="60" w:line="240" w:lineRule="atLeast"/>
      <w:ind w:firstLine="567"/>
      <w:textAlignment w:val="baseline"/>
    </w:pPr>
    <w:rPr>
      <w:rFonts w:ascii="仿宋体" w:eastAsia="仿宋体"/>
      <w:kern w:val="0"/>
      <w:sz w:val="24"/>
    </w:rPr>
  </w:style>
  <w:style w:type="paragraph" w:customStyle="1" w:styleId="243">
    <w:name w:val="_Style 242"/>
    <w:autoRedefine/>
    <w:semiHidden/>
    <w:qFormat/>
    <w:uiPriority w:val="99"/>
    <w:rPr>
      <w:rFonts w:ascii="Times New Roman" w:hAnsi="Times New Roman" w:eastAsia="宋体" w:cs="Times New Roman"/>
      <w:kern w:val="2"/>
      <w:sz w:val="21"/>
      <w:lang w:val="en-US" w:eastAsia="zh-CN" w:bidi="ar-SA"/>
    </w:rPr>
  </w:style>
  <w:style w:type="paragraph" w:customStyle="1" w:styleId="244">
    <w:name w:val="项目符号_圆点"/>
    <w:basedOn w:val="1"/>
    <w:autoRedefine/>
    <w:qFormat/>
    <w:uiPriority w:val="0"/>
    <w:pPr>
      <w:tabs>
        <w:tab w:val="left" w:pos="780"/>
        <w:tab w:val="left" w:pos="900"/>
      </w:tabs>
      <w:spacing w:before="78"/>
      <w:ind w:left="900" w:hanging="420"/>
    </w:pPr>
    <w:rPr>
      <w:sz w:val="24"/>
    </w:rPr>
  </w:style>
  <w:style w:type="paragraph" w:customStyle="1" w:styleId="245">
    <w:name w:val="xl26"/>
    <w:basedOn w:val="1"/>
    <w:autoRedefine/>
    <w:qFormat/>
    <w:uiPriority w:val="0"/>
    <w:pPr>
      <w:widowControl/>
      <w:pBdr>
        <w:bottom w:val="single" w:color="auto" w:sz="4" w:space="0"/>
        <w:right w:val="single" w:color="auto" w:sz="4" w:space="0"/>
      </w:pBdr>
      <w:spacing w:before="100" w:beforeAutospacing="1" w:after="100" w:afterAutospacing="1"/>
      <w:textAlignment w:val="top"/>
    </w:pPr>
    <w:rPr>
      <w:rFonts w:ascii="宋体" w:hAnsi="宋体"/>
      <w:kern w:val="0"/>
      <w:sz w:val="24"/>
      <w:szCs w:val="24"/>
    </w:rPr>
  </w:style>
  <w:style w:type="paragraph" w:customStyle="1" w:styleId="246">
    <w:name w:val="_Style 245"/>
    <w:basedOn w:val="1"/>
    <w:next w:val="1"/>
    <w:link w:val="393"/>
    <w:autoRedefine/>
    <w:qFormat/>
    <w:uiPriority w:val="0"/>
    <w:pPr>
      <w:widowControl/>
      <w:ind w:left="720" w:right="720"/>
      <w:jc w:val="left"/>
    </w:pPr>
    <w:rPr>
      <w:rFonts w:ascii="Calibri" w:hAnsi="Calibri"/>
      <w:b/>
      <w:i/>
      <w:kern w:val="0"/>
      <w:sz w:val="24"/>
      <w:lang w:eastAsia="en-US"/>
    </w:rPr>
  </w:style>
  <w:style w:type="paragraph" w:customStyle="1" w:styleId="247">
    <w:name w:val="样式2"/>
    <w:basedOn w:val="1"/>
    <w:autoRedefine/>
    <w:qFormat/>
    <w:uiPriority w:val="0"/>
    <w:pPr>
      <w:tabs>
        <w:tab w:val="left" w:pos="1134"/>
      </w:tabs>
      <w:adjustRightInd w:val="0"/>
      <w:snapToGrid w:val="0"/>
      <w:spacing w:line="360" w:lineRule="auto"/>
      <w:ind w:left="1134" w:hanging="510"/>
    </w:pPr>
    <w:rPr>
      <w:sz w:val="28"/>
    </w:rPr>
  </w:style>
  <w:style w:type="paragraph" w:customStyle="1" w:styleId="248">
    <w:name w:val="3"/>
    <w:basedOn w:val="7"/>
    <w:autoRedefine/>
    <w:qFormat/>
    <w:uiPriority w:val="0"/>
    <w:pPr>
      <w:keepLines/>
      <w:tabs>
        <w:tab w:val="left" w:pos="1134"/>
        <w:tab w:val="left" w:pos="1830"/>
        <w:tab w:val="clear" w:pos="1560"/>
      </w:tabs>
      <w:adjustRightInd/>
      <w:spacing w:before="60" w:after="60" w:line="300" w:lineRule="auto"/>
      <w:ind w:left="1830" w:hanging="420"/>
      <w:jc w:val="both"/>
      <w:textAlignment w:val="auto"/>
    </w:pPr>
    <w:rPr>
      <w:rFonts w:ascii="Arial" w:hAnsi="Arial" w:eastAsia="黑体"/>
    </w:rPr>
  </w:style>
  <w:style w:type="paragraph" w:customStyle="1" w:styleId="249">
    <w:name w:val="样式 标题 3头 + 行距: 多倍行距 0.25 字行"/>
    <w:basedOn w:val="7"/>
    <w:autoRedefine/>
    <w:qFormat/>
    <w:uiPriority w:val="0"/>
    <w:pPr>
      <w:keepLines/>
      <w:tabs>
        <w:tab w:val="left" w:pos="578"/>
        <w:tab w:val="clear" w:pos="1560"/>
      </w:tabs>
      <w:adjustRightInd/>
      <w:spacing w:before="60" w:after="60" w:line="60" w:lineRule="auto"/>
      <w:ind w:left="578" w:hanging="578"/>
      <w:jc w:val="both"/>
      <w:textAlignment w:val="auto"/>
    </w:pPr>
    <w:rPr>
      <w:b/>
    </w:rPr>
  </w:style>
  <w:style w:type="paragraph" w:customStyle="1" w:styleId="250">
    <w:name w:val="表名文字"/>
    <w:basedOn w:val="1"/>
    <w:next w:val="1"/>
    <w:autoRedefine/>
    <w:semiHidden/>
    <w:qFormat/>
    <w:uiPriority w:val="0"/>
    <w:pPr>
      <w:adjustRightInd w:val="0"/>
      <w:spacing w:before="50" w:beforeLines="50" w:after="50" w:afterLines="50"/>
      <w:jc w:val="center"/>
      <w:textAlignment w:val="baseline"/>
    </w:pPr>
    <w:rPr>
      <w:kern w:val="0"/>
      <w:sz w:val="28"/>
      <w:szCs w:val="28"/>
    </w:rPr>
  </w:style>
  <w:style w:type="paragraph" w:customStyle="1" w:styleId="251">
    <w:name w:val="正文文本 31"/>
    <w:basedOn w:val="1"/>
    <w:autoRedefine/>
    <w:qFormat/>
    <w:uiPriority w:val="0"/>
    <w:pPr>
      <w:tabs>
        <w:tab w:val="left" w:pos="180"/>
      </w:tabs>
      <w:spacing w:line="360" w:lineRule="auto"/>
    </w:pPr>
    <w:rPr>
      <w:sz w:val="16"/>
      <w:szCs w:val="16"/>
    </w:rPr>
  </w:style>
  <w:style w:type="paragraph" w:customStyle="1" w:styleId="252">
    <w:name w:val="test"/>
    <w:basedOn w:val="1"/>
    <w:autoRedefine/>
    <w:qFormat/>
    <w:uiPriority w:val="0"/>
    <w:pPr>
      <w:widowControl/>
      <w:overflowPunct w:val="0"/>
      <w:autoSpaceDE w:val="0"/>
      <w:autoSpaceDN w:val="0"/>
      <w:adjustRightInd w:val="0"/>
      <w:spacing w:before="60" w:after="60"/>
      <w:textAlignment w:val="baseline"/>
    </w:pPr>
    <w:rPr>
      <w:rFonts w:ascii="楷体_GB2312" w:eastAsia="楷体_GB2312"/>
      <w:spacing w:val="-30"/>
      <w:kern w:val="0"/>
      <w:sz w:val="22"/>
    </w:rPr>
  </w:style>
  <w:style w:type="paragraph" w:customStyle="1" w:styleId="253">
    <w:name w:val="样式 (西文) 楷体_GB2312 (中文) 楷体_GB2312 四号 加宽量  0.8 磅"/>
    <w:basedOn w:val="1"/>
    <w:link w:val="382"/>
    <w:autoRedefine/>
    <w:qFormat/>
    <w:uiPriority w:val="0"/>
    <w:pPr>
      <w:tabs>
        <w:tab w:val="left" w:pos="556"/>
      </w:tabs>
      <w:ind w:left="851" w:hanging="567"/>
    </w:pPr>
    <w:rPr>
      <w:rFonts w:ascii="楷体_GB2312" w:eastAsia="楷体_GB2312"/>
      <w:spacing w:val="16"/>
      <w:sz w:val="28"/>
      <w:szCs w:val="24"/>
    </w:rPr>
  </w:style>
  <w:style w:type="paragraph" w:customStyle="1" w:styleId="254">
    <w:name w:val="5"/>
    <w:basedOn w:val="1"/>
    <w:autoRedefine/>
    <w:qFormat/>
    <w:uiPriority w:val="0"/>
    <w:pPr>
      <w:tabs>
        <w:tab w:val="left" w:pos="1313"/>
      </w:tabs>
      <w:spacing w:line="300" w:lineRule="auto"/>
      <w:ind w:left="1313" w:hanging="420"/>
    </w:pPr>
    <w:rPr>
      <w:sz w:val="24"/>
    </w:rPr>
  </w:style>
  <w:style w:type="paragraph" w:customStyle="1" w:styleId="255">
    <w:name w:val="1.1.1.1A"/>
    <w:basedOn w:val="218"/>
    <w:autoRedefine/>
    <w:qFormat/>
    <w:uiPriority w:val="0"/>
    <w:pPr>
      <w:tabs>
        <w:tab w:val="left" w:pos="1843"/>
        <w:tab w:val="clear" w:pos="1134"/>
      </w:tabs>
      <w:spacing w:line="400" w:lineRule="atLeast"/>
      <w:ind w:left="1560" w:right="200" w:hanging="426"/>
      <w:jc w:val="both"/>
    </w:pPr>
  </w:style>
  <w:style w:type="paragraph" w:customStyle="1" w:styleId="256">
    <w:name w:val="#国航标题3"/>
    <w:autoRedefine/>
    <w:qFormat/>
    <w:uiPriority w:val="0"/>
    <w:pPr>
      <w:tabs>
        <w:tab w:val="left" w:pos="0"/>
        <w:tab w:val="left" w:pos="567"/>
      </w:tabs>
      <w:ind w:left="567" w:hanging="567"/>
    </w:pPr>
    <w:rPr>
      <w:rFonts w:ascii="Times New Roman" w:hAnsi="Times New Roman" w:eastAsia="宋体" w:cs="Times New Roman"/>
      <w:color w:val="333399"/>
      <w:lang w:val="en-US" w:eastAsia="zh-CN" w:bidi="ar-SA"/>
    </w:rPr>
  </w:style>
  <w:style w:type="paragraph" w:customStyle="1" w:styleId="257">
    <w:name w:val="a"/>
    <w:basedOn w:val="1"/>
    <w:autoRedefine/>
    <w:qFormat/>
    <w:uiPriority w:val="0"/>
    <w:pPr>
      <w:adjustRightInd w:val="0"/>
      <w:spacing w:line="400" w:lineRule="atLeast"/>
      <w:ind w:left="1134" w:hanging="454"/>
    </w:pPr>
    <w:rPr>
      <w:rFonts w:ascii="Arial" w:hAnsi="Arial"/>
      <w:kern w:val="0"/>
      <w:sz w:val="24"/>
    </w:rPr>
  </w:style>
  <w:style w:type="paragraph" w:customStyle="1" w:styleId="258">
    <w:name w:val="正文1"/>
    <w:basedOn w:val="1"/>
    <w:autoRedefine/>
    <w:qFormat/>
    <w:uiPriority w:val="0"/>
    <w:pPr>
      <w:tabs>
        <w:tab w:val="left" w:pos="737"/>
      </w:tabs>
      <w:spacing w:line="360" w:lineRule="auto"/>
      <w:ind w:left="737" w:hanging="283"/>
    </w:pPr>
    <w:rPr>
      <w:rFonts w:ascii="宋体"/>
      <w:sz w:val="28"/>
    </w:rPr>
  </w:style>
  <w:style w:type="paragraph" w:customStyle="1" w:styleId="259">
    <w:name w:val="编号1"/>
    <w:basedOn w:val="52"/>
    <w:autoRedefine/>
    <w:qFormat/>
    <w:uiPriority w:val="0"/>
    <w:pPr>
      <w:widowControl/>
      <w:tabs>
        <w:tab w:val="left" w:pos="425"/>
      </w:tabs>
      <w:spacing w:before="50" w:beforeLines="50" w:after="50" w:afterLines="50" w:line="300" w:lineRule="auto"/>
      <w:ind w:left="425" w:hanging="425" w:firstLineChars="0"/>
      <w:contextualSpacing/>
      <w:outlineLvl w:val="5"/>
    </w:pPr>
    <w:rPr>
      <w:rFonts w:eastAsia="宋体"/>
      <w:sz w:val="24"/>
      <w:szCs w:val="24"/>
    </w:rPr>
  </w:style>
  <w:style w:type="paragraph" w:customStyle="1" w:styleId="260">
    <w:name w:val="p"/>
    <w:basedOn w:val="199"/>
    <w:autoRedefine/>
    <w:qFormat/>
    <w:uiPriority w:val="0"/>
    <w:pPr>
      <w:ind w:left="709" w:hanging="425"/>
    </w:pPr>
    <w:rPr>
      <w:rFonts w:ascii="楷体" w:eastAsia="楷体"/>
      <w:lang w:val="en-US"/>
    </w:rPr>
  </w:style>
  <w:style w:type="paragraph" w:customStyle="1" w:styleId="261">
    <w:name w:val="1.1.1"/>
    <w:basedOn w:val="7"/>
    <w:autoRedefine/>
    <w:qFormat/>
    <w:uiPriority w:val="0"/>
    <w:pPr>
      <w:keepLines/>
      <w:tabs>
        <w:tab w:val="left" w:pos="1080"/>
        <w:tab w:val="left" w:pos="1260"/>
        <w:tab w:val="clear" w:pos="1560"/>
      </w:tabs>
      <w:spacing w:before="120" w:after="50" w:line="440" w:lineRule="exact"/>
      <w:ind w:left="1140" w:hanging="1140"/>
      <w:jc w:val="left"/>
    </w:pPr>
    <w:rPr>
      <w:b/>
      <w:sz w:val="24"/>
    </w:rPr>
  </w:style>
  <w:style w:type="paragraph" w:customStyle="1" w:styleId="262">
    <w:name w:val="样式 正文小四wg + 首行缩进:  2 字符"/>
    <w:basedOn w:val="1"/>
    <w:autoRedefine/>
    <w:qFormat/>
    <w:uiPriority w:val="99"/>
    <w:pPr>
      <w:autoSpaceDE w:val="0"/>
      <w:autoSpaceDN w:val="0"/>
      <w:adjustRightInd w:val="0"/>
      <w:ind w:firstLine="200" w:firstLineChars="200"/>
    </w:pPr>
    <w:rPr>
      <w:rFonts w:ascii="仿宋_GB2312" w:hAnsi="宋体" w:eastAsia="仿宋_GB2312" w:cs="宋体"/>
      <w:color w:val="000000"/>
      <w:kern w:val="20"/>
      <w:sz w:val="24"/>
    </w:rPr>
  </w:style>
  <w:style w:type="paragraph" w:customStyle="1" w:styleId="263">
    <w:name w:val="xl44"/>
    <w:basedOn w:val="1"/>
    <w:autoRedefine/>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bottom"/>
    </w:pPr>
    <w:rPr>
      <w:rFonts w:ascii="Arial" w:hAnsi="Arial" w:cs="Arial"/>
      <w:kern w:val="0"/>
      <w:sz w:val="20"/>
    </w:rPr>
  </w:style>
  <w:style w:type="paragraph" w:customStyle="1" w:styleId="264">
    <w:name w:val="cauc-0"/>
    <w:autoRedefine/>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265">
    <w:name w:val="Char Char Char Char Char Char Char Char Char 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66">
    <w:name w:val="2"/>
    <w:basedOn w:val="6"/>
    <w:autoRedefine/>
    <w:qFormat/>
    <w:uiPriority w:val="0"/>
    <w:pPr>
      <w:tabs>
        <w:tab w:val="left" w:pos="1134"/>
        <w:tab w:val="left" w:pos="1410"/>
      </w:tabs>
      <w:spacing w:before="60" w:after="60" w:line="300" w:lineRule="auto"/>
      <w:ind w:left="1410" w:hanging="420"/>
    </w:pPr>
    <w:rPr>
      <w:sz w:val="30"/>
    </w:rPr>
  </w:style>
  <w:style w:type="paragraph" w:customStyle="1" w:styleId="267">
    <w:name w:val="样式 标题 2节 + 行距: 多倍行距 0.5 字行"/>
    <w:basedOn w:val="6"/>
    <w:autoRedefine/>
    <w:qFormat/>
    <w:uiPriority w:val="0"/>
    <w:pPr>
      <w:tabs>
        <w:tab w:val="left" w:pos="576"/>
      </w:tabs>
      <w:spacing w:before="80" w:after="80" w:line="300" w:lineRule="auto"/>
      <w:ind w:left="576" w:hanging="576"/>
    </w:pPr>
    <w:rPr>
      <w:rFonts w:eastAsia="宋体"/>
      <w:sz w:val="28"/>
    </w:rPr>
  </w:style>
  <w:style w:type="paragraph" w:customStyle="1" w:styleId="26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Arial" w:hAnsi="Arial" w:cs="Arial"/>
      <w:b/>
      <w:bCs/>
      <w:kern w:val="0"/>
      <w:sz w:val="20"/>
    </w:rPr>
  </w:style>
  <w:style w:type="paragraph" w:customStyle="1" w:styleId="269">
    <w:name w:val="批注主题1"/>
    <w:basedOn w:val="30"/>
    <w:next w:val="30"/>
    <w:autoRedefine/>
    <w:qFormat/>
    <w:uiPriority w:val="0"/>
    <w:pPr>
      <w:adjustRightInd/>
      <w:spacing w:line="240" w:lineRule="auto"/>
      <w:jc w:val="both"/>
      <w:textAlignment w:val="auto"/>
    </w:pPr>
    <w:rPr>
      <w:rFonts w:ascii="Calibri" w:hAnsi="Calibri"/>
      <w:b/>
    </w:rPr>
  </w:style>
  <w:style w:type="paragraph" w:customStyle="1" w:styleId="270">
    <w:name w:val="(a)正文"/>
    <w:basedOn w:val="1"/>
    <w:autoRedefine/>
    <w:qFormat/>
    <w:uiPriority w:val="0"/>
    <w:pPr>
      <w:widowControl/>
      <w:tabs>
        <w:tab w:val="left" w:pos="1871"/>
        <w:tab w:val="left" w:pos="2081"/>
      </w:tabs>
      <w:spacing w:line="360" w:lineRule="exact"/>
      <w:ind w:left="1871" w:hanging="510"/>
    </w:pPr>
    <w:rPr>
      <w:sz w:val="24"/>
    </w:rPr>
  </w:style>
  <w:style w:type="paragraph" w:customStyle="1" w:styleId="271">
    <w:name w:val="纯文本1"/>
    <w:basedOn w:val="1"/>
    <w:autoRedefine/>
    <w:qFormat/>
    <w:uiPriority w:val="0"/>
    <w:pPr>
      <w:adjustRightInd w:val="0"/>
      <w:jc w:val="left"/>
      <w:textAlignment w:val="baseline"/>
    </w:pPr>
    <w:rPr>
      <w:rFonts w:ascii="宋体" w:hAnsi="Courier New"/>
      <w:sz w:val="24"/>
    </w:rPr>
  </w:style>
  <w:style w:type="paragraph" w:customStyle="1" w:styleId="272">
    <w:name w:val="段落文字"/>
    <w:basedOn w:val="1"/>
    <w:next w:val="1"/>
    <w:autoRedefine/>
    <w:semiHidden/>
    <w:qFormat/>
    <w:uiPriority w:val="0"/>
    <w:pPr>
      <w:adjustRightInd w:val="0"/>
      <w:spacing w:line="360" w:lineRule="auto"/>
      <w:ind w:firstLine="200" w:firstLineChars="200"/>
      <w:jc w:val="left"/>
      <w:textAlignment w:val="baseline"/>
    </w:pPr>
    <w:rPr>
      <w:kern w:val="0"/>
      <w:sz w:val="28"/>
      <w:szCs w:val="28"/>
    </w:rPr>
  </w:style>
  <w:style w:type="paragraph" w:customStyle="1" w:styleId="273">
    <w:name w:val="Char"/>
    <w:basedOn w:val="1"/>
    <w:autoRedefine/>
    <w:qFormat/>
    <w:uiPriority w:val="0"/>
    <w:pPr>
      <w:spacing w:line="360" w:lineRule="auto"/>
      <w:ind w:firstLine="200" w:firstLineChars="200"/>
    </w:pPr>
    <w:rPr>
      <w:rFonts w:ascii="宋体" w:hAnsi="宋体"/>
      <w:sz w:val="24"/>
    </w:rPr>
  </w:style>
  <w:style w:type="paragraph" w:customStyle="1" w:styleId="274">
    <w:name w:val="Char Char Char Char Char Char Char Char Char Char Char Char Char Char Char Char Char Char Char Char Char Char Char Char Char Char Char Char Char 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275">
    <w:name w:val="table"/>
    <w:basedOn w:val="1"/>
    <w:autoRedefine/>
    <w:qFormat/>
    <w:uiPriority w:val="0"/>
    <w:pPr>
      <w:widowControl/>
      <w:overflowPunct w:val="0"/>
      <w:autoSpaceDE w:val="0"/>
      <w:autoSpaceDN w:val="0"/>
      <w:adjustRightInd w:val="0"/>
      <w:spacing w:before="60" w:after="60"/>
      <w:ind w:left="-115" w:firstLine="115"/>
      <w:jc w:val="center"/>
      <w:textAlignment w:val="baseline"/>
    </w:pPr>
    <w:rPr>
      <w:rFonts w:ascii="仿宋体" w:eastAsia="仿宋体"/>
      <w:kern w:val="0"/>
      <w:sz w:val="24"/>
    </w:rPr>
  </w:style>
  <w:style w:type="paragraph" w:customStyle="1" w:styleId="276">
    <w:name w:val="样式 目录 2 + 行距: 1.5 倍行距"/>
    <w:basedOn w:val="75"/>
    <w:autoRedefine/>
    <w:qFormat/>
    <w:uiPriority w:val="0"/>
    <w:rPr>
      <w:rFonts w:cs="宋体"/>
      <w:smallCaps w:val="0"/>
      <w:sz w:val="24"/>
      <w:szCs w:val="24"/>
    </w:rPr>
  </w:style>
  <w:style w:type="paragraph" w:customStyle="1" w:styleId="277">
    <w:name w:val="_Style 276"/>
    <w:basedOn w:val="1"/>
    <w:link w:val="376"/>
    <w:autoRedefine/>
    <w:qFormat/>
    <w:uiPriority w:val="0"/>
    <w:pPr>
      <w:widowControl/>
      <w:jc w:val="left"/>
    </w:pPr>
    <w:rPr>
      <w:rFonts w:ascii="Calibri" w:hAnsi="Calibri"/>
      <w:kern w:val="0"/>
      <w:sz w:val="24"/>
      <w:lang w:eastAsia="en-US"/>
    </w:rPr>
  </w:style>
  <w:style w:type="paragraph" w:customStyle="1" w:styleId="278">
    <w:name w:val="样式5"/>
    <w:basedOn w:val="3"/>
    <w:autoRedefine/>
    <w:qFormat/>
    <w:uiPriority w:val="0"/>
    <w:pPr>
      <w:tabs>
        <w:tab w:val="left" w:pos="420"/>
      </w:tabs>
      <w:spacing w:line="360" w:lineRule="auto"/>
      <w:ind w:left="420"/>
    </w:pPr>
    <w:rPr>
      <w:rFonts w:ascii="楷体_GB2312" w:eastAsia="楷体_GB2312"/>
      <w:b/>
      <w:sz w:val="28"/>
      <w:szCs w:val="28"/>
    </w:rPr>
  </w:style>
  <w:style w:type="paragraph" w:customStyle="1" w:styleId="279">
    <w:name w:val="xl45"/>
    <w:basedOn w:val="1"/>
    <w:autoRedefine/>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80">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81">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pPr>
    <w:rPr>
      <w:kern w:val="0"/>
    </w:rPr>
  </w:style>
  <w:style w:type="paragraph" w:customStyle="1" w:styleId="282">
    <w:name w:val="样式 标题 1合同标题 + 楷体_GB2312 三号 黑色"/>
    <w:basedOn w:val="5"/>
    <w:autoRedefine/>
    <w:qFormat/>
    <w:uiPriority w:val="0"/>
    <w:pPr>
      <w:keepLines w:val="0"/>
      <w:spacing w:before="0" w:after="0" w:line="360" w:lineRule="auto"/>
    </w:pPr>
    <w:rPr>
      <w:rFonts w:ascii="楷体_GB2312" w:hAnsi="楷体_GB2312" w:eastAsia="楷体_GB2312"/>
      <w:bCs/>
      <w:color w:val="000000"/>
      <w:kern w:val="2"/>
      <w:sz w:val="32"/>
      <w:szCs w:val="32"/>
    </w:rPr>
  </w:style>
  <w:style w:type="paragraph" w:customStyle="1" w:styleId="283">
    <w:name w:val="HTML 预设格式1"/>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pPr>
    <w:rPr>
      <w:rFonts w:ascii="Arial" w:hAnsi="Arial" w:cs="Arial"/>
      <w:kern w:val="0"/>
      <w:szCs w:val="21"/>
    </w:rPr>
  </w:style>
  <w:style w:type="paragraph" w:customStyle="1" w:styleId="284">
    <w:name w:val="b-b5"/>
    <w:basedOn w:val="9"/>
    <w:next w:val="1"/>
    <w:autoRedefine/>
    <w:qFormat/>
    <w:uiPriority w:val="0"/>
    <w:pPr>
      <w:keepNext w:val="0"/>
      <w:keepLines w:val="0"/>
      <w:widowControl w:val="0"/>
      <w:spacing w:before="40" w:after="40" w:line="400" w:lineRule="exact"/>
      <w:ind w:firstLine="301"/>
    </w:pPr>
    <w:rPr>
      <w:rFonts w:ascii="Times New Roman" w:hAnsi="Times New Roman"/>
      <w:b w:val="0"/>
      <w:color w:val="000000"/>
      <w:kern w:val="2"/>
      <w:lang w:val="en-GB"/>
    </w:rPr>
  </w:style>
  <w:style w:type="paragraph" w:customStyle="1" w:styleId="285">
    <w:name w:val="纯文本2"/>
    <w:basedOn w:val="1"/>
    <w:autoRedefine/>
    <w:qFormat/>
    <w:uiPriority w:val="0"/>
    <w:pPr>
      <w:adjustRightInd w:val="0"/>
      <w:jc w:val="left"/>
      <w:textAlignment w:val="baseline"/>
    </w:pPr>
    <w:rPr>
      <w:rFonts w:ascii="宋体" w:hAnsi="Courier New"/>
      <w:sz w:val="24"/>
    </w:rPr>
  </w:style>
  <w:style w:type="paragraph" w:customStyle="1" w:styleId="286">
    <w:name w:val="纯文本11"/>
    <w:basedOn w:val="1"/>
    <w:autoRedefine/>
    <w:qFormat/>
    <w:uiPriority w:val="0"/>
    <w:pPr>
      <w:adjustRightInd w:val="0"/>
      <w:jc w:val="left"/>
      <w:textAlignment w:val="baseline"/>
    </w:pPr>
    <w:rPr>
      <w:rFonts w:ascii="宋体" w:hAnsi="Courier New"/>
      <w:sz w:val="24"/>
    </w:rPr>
  </w:style>
  <w:style w:type="paragraph" w:customStyle="1" w:styleId="287">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288">
    <w:name w:val="部分编号"/>
    <w:basedOn w:val="1"/>
    <w:autoRedefine/>
    <w:qFormat/>
    <w:uiPriority w:val="0"/>
    <w:pPr>
      <w:widowControl/>
      <w:tabs>
        <w:tab w:val="left" w:pos="1531"/>
        <w:tab w:val="left" w:pos="1800"/>
      </w:tabs>
      <w:spacing w:before="160" w:after="120" w:line="400" w:lineRule="exact"/>
      <w:ind w:left="1531" w:hanging="1531"/>
    </w:pPr>
    <w:rPr>
      <w:rFonts w:ascii="Arial" w:hAnsi="Arial" w:eastAsia="黑体"/>
      <w:spacing w:val="30"/>
      <w:sz w:val="24"/>
    </w:rPr>
  </w:style>
  <w:style w:type="paragraph" w:customStyle="1" w:styleId="289">
    <w:name w:val="xl2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right"/>
      <w:textAlignment w:val="bottom"/>
    </w:pPr>
    <w:rPr>
      <w:rFonts w:ascii="Arial" w:hAnsi="Arial" w:cs="Arial"/>
      <w:kern w:val="0"/>
      <w:sz w:val="20"/>
    </w:rPr>
  </w:style>
  <w:style w:type="paragraph" w:customStyle="1" w:styleId="290">
    <w:name w:val="b-b2"/>
    <w:basedOn w:val="6"/>
    <w:next w:val="1"/>
    <w:autoRedefine/>
    <w:qFormat/>
    <w:uiPriority w:val="0"/>
    <w:pPr>
      <w:keepNext w:val="0"/>
      <w:keepLines w:val="0"/>
      <w:tabs>
        <w:tab w:val="left" w:pos="1985"/>
      </w:tabs>
      <w:adjustRightInd w:val="0"/>
      <w:snapToGrid w:val="0"/>
      <w:spacing w:before="120" w:after="120" w:line="400" w:lineRule="exact"/>
      <w:jc w:val="left"/>
      <w:textAlignment w:val="baseline"/>
    </w:pPr>
    <w:rPr>
      <w:rFonts w:ascii="黑体"/>
      <w:b w:val="0"/>
      <w:kern w:val="0"/>
      <w:sz w:val="24"/>
    </w:rPr>
  </w:style>
  <w:style w:type="paragraph" w:customStyle="1" w:styleId="291">
    <w:name w:val="xl34"/>
    <w:basedOn w:val="1"/>
    <w:autoRedefine/>
    <w:qFormat/>
    <w:uiPriority w:val="0"/>
    <w:pPr>
      <w:widowControl/>
      <w:pBdr>
        <w:left w:val="single" w:color="auto" w:sz="4" w:space="0"/>
        <w:right w:val="single" w:color="auto" w:sz="4" w:space="0"/>
      </w:pBdr>
      <w:spacing w:before="100" w:beforeAutospacing="1" w:after="100" w:afterAutospacing="1"/>
      <w:jc w:val="center"/>
    </w:pPr>
    <w:rPr>
      <w:kern w:val="0"/>
      <w:sz w:val="24"/>
    </w:rPr>
  </w:style>
  <w:style w:type="paragraph" w:customStyle="1" w:styleId="292">
    <w:name w:val="Head"/>
    <w:basedOn w:val="5"/>
    <w:autoRedefine/>
    <w:qFormat/>
    <w:uiPriority w:val="0"/>
    <w:pPr>
      <w:keepLines w:val="0"/>
      <w:pageBreakBefore/>
      <w:widowControl/>
      <w:overflowPunct w:val="0"/>
      <w:autoSpaceDE w:val="0"/>
      <w:autoSpaceDN w:val="0"/>
      <w:adjustRightInd w:val="0"/>
      <w:spacing w:before="120" w:after="240" w:line="307" w:lineRule="auto"/>
      <w:jc w:val="center"/>
      <w:textAlignment w:val="baseline"/>
      <w:outlineLvl w:val="9"/>
    </w:pPr>
    <w:rPr>
      <w:rFonts w:ascii="Arial" w:hAnsi="Arial"/>
      <w:b w:val="0"/>
      <w:kern w:val="28"/>
      <w:sz w:val="40"/>
    </w:rPr>
  </w:style>
  <w:style w:type="paragraph" w:customStyle="1" w:styleId="293">
    <w:name w:val="标题3  H4章PIM 4s + 两端对齐 + 宋体 非加粗 行距: 1.5 倍行距"/>
    <w:basedOn w:val="1"/>
    <w:next w:val="7"/>
    <w:autoRedefine/>
    <w:qFormat/>
    <w:uiPriority w:val="0"/>
    <w:pPr>
      <w:keepNext/>
      <w:keepLines/>
      <w:spacing w:before="260" w:after="260" w:line="360" w:lineRule="auto"/>
      <w:outlineLvl w:val="2"/>
    </w:pPr>
    <w:rPr>
      <w:rFonts w:ascii="宋体" w:hAnsi="宋体" w:cs="宋体"/>
      <w:kern w:val="0"/>
      <w:sz w:val="24"/>
    </w:rPr>
  </w:style>
  <w:style w:type="paragraph" w:customStyle="1" w:styleId="294">
    <w:name w:val="样式 标题 1合同标题 + 楷体_GB2312 三号 黑色1"/>
    <w:basedOn w:val="5"/>
    <w:autoRedefine/>
    <w:qFormat/>
    <w:uiPriority w:val="0"/>
    <w:pPr>
      <w:keepLines w:val="0"/>
      <w:spacing w:before="0" w:after="0" w:line="360" w:lineRule="auto"/>
    </w:pPr>
    <w:rPr>
      <w:rFonts w:ascii="楷体_GB2312" w:hAnsi="楷体_GB2312" w:eastAsia="楷体_GB2312"/>
      <w:bCs/>
      <w:color w:val="000000"/>
      <w:kern w:val="2"/>
      <w:sz w:val="32"/>
      <w:szCs w:val="32"/>
    </w:rPr>
  </w:style>
  <w:style w:type="paragraph" w:customStyle="1" w:styleId="295">
    <w:name w:val="项目符号_“-”"/>
    <w:basedOn w:val="1"/>
    <w:autoRedefine/>
    <w:qFormat/>
    <w:uiPriority w:val="0"/>
    <w:pPr>
      <w:tabs>
        <w:tab w:val="left" w:pos="420"/>
        <w:tab w:val="left" w:pos="1200"/>
      </w:tabs>
      <w:spacing w:before="78"/>
      <w:ind w:left="820" w:hanging="420"/>
    </w:pPr>
  </w:style>
  <w:style w:type="paragraph" w:customStyle="1" w:styleId="296">
    <w:name w:val="无间隔1"/>
    <w:autoRedefine/>
    <w:qFormat/>
    <w:uiPriority w:val="0"/>
    <w:pPr>
      <w:widowControl w:val="0"/>
      <w:jc w:val="both"/>
    </w:pPr>
    <w:rPr>
      <w:rFonts w:ascii="等线" w:hAnsi="等线" w:eastAsia="等线" w:cs="Times New Roman"/>
      <w:kern w:val="2"/>
      <w:sz w:val="18"/>
      <w:szCs w:val="22"/>
      <w:lang w:val="en-US" w:eastAsia="zh-CN" w:bidi="ar-SA"/>
    </w:rPr>
  </w:style>
  <w:style w:type="paragraph" w:customStyle="1" w:styleId="297">
    <w:name w:val="样式 正文缩进 + 首行缩进:  2 字符 段前: 0.2 行 段后: 0.2 行 + 首行缩进:  2 字符 段前: ..."/>
    <w:basedOn w:val="1"/>
    <w:autoRedefine/>
    <w:qFormat/>
    <w:uiPriority w:val="0"/>
    <w:pPr>
      <w:spacing w:before="20" w:beforeLines="20" w:after="20" w:afterLines="20"/>
      <w:ind w:firstLine="200" w:firstLineChars="200"/>
    </w:pPr>
    <w:rPr>
      <w:rFonts w:cs="宋体"/>
      <w:sz w:val="28"/>
      <w:szCs w:val="28"/>
    </w:rPr>
  </w:style>
  <w:style w:type="paragraph" w:customStyle="1" w:styleId="298">
    <w:name w:val="font6"/>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299">
    <w:name w:val="标2"/>
    <w:basedOn w:val="1"/>
    <w:autoRedefine/>
    <w:qFormat/>
    <w:uiPriority w:val="0"/>
    <w:pPr>
      <w:ind w:firstLine="420" w:firstLineChars="200"/>
    </w:pPr>
    <w:rPr>
      <w:szCs w:val="21"/>
    </w:rPr>
  </w:style>
  <w:style w:type="paragraph" w:customStyle="1" w:styleId="300">
    <w:name w:val="Char Char Char1"/>
    <w:basedOn w:val="1"/>
    <w:autoRedefine/>
    <w:qFormat/>
    <w:uiPriority w:val="0"/>
    <w:rPr>
      <w:szCs w:val="24"/>
    </w:rPr>
  </w:style>
  <w:style w:type="paragraph" w:customStyle="1" w:styleId="301">
    <w:name w:val="font0"/>
    <w:basedOn w:val="1"/>
    <w:autoRedefine/>
    <w:qFormat/>
    <w:uiPriority w:val="0"/>
    <w:pPr>
      <w:widowControl/>
      <w:spacing w:before="100" w:beforeAutospacing="1" w:after="100" w:afterAutospacing="1"/>
      <w:jc w:val="left"/>
    </w:pPr>
    <w:rPr>
      <w:rFonts w:ascii="Arial" w:hAnsi="Arial"/>
      <w:kern w:val="0"/>
      <w:sz w:val="20"/>
    </w:rPr>
  </w:style>
  <w:style w:type="paragraph" w:customStyle="1" w:styleId="302">
    <w:name w:val="xl32"/>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right"/>
      <w:textAlignment w:val="bottom"/>
    </w:pPr>
    <w:rPr>
      <w:rFonts w:ascii="Arial" w:hAnsi="Arial" w:cs="Arial"/>
      <w:kern w:val="0"/>
      <w:sz w:val="20"/>
    </w:rPr>
  </w:style>
  <w:style w:type="paragraph" w:customStyle="1" w:styleId="303">
    <w:name w:val="l_text2"/>
    <w:basedOn w:val="1"/>
    <w:autoRedefine/>
    <w:qFormat/>
    <w:uiPriority w:val="0"/>
    <w:pPr>
      <w:widowControl/>
      <w:overflowPunct w:val="0"/>
      <w:autoSpaceDE w:val="0"/>
      <w:autoSpaceDN w:val="0"/>
      <w:adjustRightInd w:val="0"/>
      <w:jc w:val="center"/>
      <w:textAlignment w:val="baseline"/>
    </w:pPr>
    <w:rPr>
      <w:rFonts w:ascii="楷体" w:eastAsia="楷体"/>
      <w:kern w:val="0"/>
      <w:position w:val="-30"/>
      <w:sz w:val="22"/>
    </w:rPr>
  </w:style>
  <w:style w:type="paragraph" w:customStyle="1" w:styleId="304">
    <w:name w:val="xl28"/>
    <w:basedOn w:val="1"/>
    <w:autoRedefine/>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right"/>
      <w:textAlignment w:val="bottom"/>
    </w:pPr>
    <w:rPr>
      <w:rFonts w:ascii="Arial" w:hAnsi="Arial" w:cs="Arial"/>
      <w:b/>
      <w:bCs/>
      <w:kern w:val="0"/>
      <w:sz w:val="20"/>
    </w:rPr>
  </w:style>
  <w:style w:type="paragraph" w:customStyle="1" w:styleId="305">
    <w:name w:val="xl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rPr>
  </w:style>
  <w:style w:type="paragraph" w:customStyle="1" w:styleId="306">
    <w:name w:val="xl61"/>
    <w:basedOn w:val="1"/>
    <w:autoRedefine/>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bottom"/>
    </w:pPr>
    <w:rPr>
      <w:rFonts w:ascii="宋体" w:hAnsi="宋体" w:cs="宋体"/>
      <w:kern w:val="0"/>
      <w:sz w:val="20"/>
    </w:rPr>
  </w:style>
  <w:style w:type="paragraph" w:customStyle="1" w:styleId="307">
    <w:name w:val="正文文本 211"/>
    <w:basedOn w:val="1"/>
    <w:autoRedefine/>
    <w:qFormat/>
    <w:uiPriority w:val="0"/>
    <w:pPr>
      <w:autoSpaceDE w:val="0"/>
      <w:autoSpaceDN w:val="0"/>
      <w:adjustRightInd w:val="0"/>
      <w:spacing w:line="380" w:lineRule="atLeast"/>
      <w:textAlignment w:val="baseline"/>
    </w:pPr>
    <w:rPr>
      <w:spacing w:val="10"/>
      <w:kern w:val="0"/>
      <w:sz w:val="24"/>
    </w:rPr>
  </w:style>
  <w:style w:type="paragraph" w:customStyle="1" w:styleId="308">
    <w:name w:val="NN"/>
    <w:basedOn w:val="1"/>
    <w:autoRedefine/>
    <w:qFormat/>
    <w:uiPriority w:val="0"/>
    <w:pPr>
      <w:adjustRightInd w:val="0"/>
      <w:spacing w:line="360" w:lineRule="atLeast"/>
      <w:ind w:left="1134"/>
      <w:textAlignment w:val="baseline"/>
    </w:pPr>
    <w:rPr>
      <w:rFonts w:ascii="宋体"/>
      <w:spacing w:val="5"/>
      <w:kern w:val="0"/>
      <w:sz w:val="24"/>
    </w:rPr>
  </w:style>
  <w:style w:type="paragraph" w:customStyle="1" w:styleId="309">
    <w:name w:val="样式 (西文) 楷体_GB2312 (中文) 楷体_GB2312 四号 加粗"/>
    <w:basedOn w:val="1"/>
    <w:autoRedefine/>
    <w:qFormat/>
    <w:uiPriority w:val="0"/>
    <w:pPr>
      <w:tabs>
        <w:tab w:val="left" w:pos="840"/>
      </w:tabs>
      <w:ind w:left="840" w:hanging="840"/>
      <w:outlineLvl w:val="1"/>
    </w:pPr>
    <w:rPr>
      <w:rFonts w:ascii="楷体_GB2312" w:eastAsia="楷体_GB2312"/>
      <w:b/>
      <w:sz w:val="28"/>
      <w:szCs w:val="28"/>
    </w:rPr>
  </w:style>
  <w:style w:type="paragraph" w:customStyle="1" w:styleId="310">
    <w:name w:val="正文3"/>
    <w:autoRedefine/>
    <w:qFormat/>
    <w:uiPriority w:val="0"/>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eastAsia="宋体" w:cs="Times New Roman"/>
      <w:sz w:val="24"/>
      <w:lang w:val="en-US" w:eastAsia="zh-CN" w:bidi="ar-SA"/>
    </w:rPr>
  </w:style>
  <w:style w:type="paragraph" w:customStyle="1" w:styleId="311">
    <w:name w:val="初设1"/>
    <w:basedOn w:val="1"/>
    <w:link w:val="370"/>
    <w:autoRedefine/>
    <w:qFormat/>
    <w:uiPriority w:val="0"/>
    <w:pPr>
      <w:tabs>
        <w:tab w:val="left" w:pos="1092"/>
      </w:tabs>
      <w:adjustRightInd w:val="0"/>
      <w:snapToGrid w:val="0"/>
      <w:spacing w:line="360" w:lineRule="auto"/>
      <w:ind w:left="1092" w:hanging="567"/>
      <w:jc w:val="left"/>
    </w:pPr>
    <w:rPr>
      <w:b/>
      <w:kern w:val="0"/>
      <w:sz w:val="24"/>
      <w:szCs w:val="24"/>
    </w:rPr>
  </w:style>
  <w:style w:type="paragraph" w:customStyle="1" w:styleId="312">
    <w:name w:val="样式 标题 4标题 4 Char + (西文) 宋体"/>
    <w:basedOn w:val="8"/>
    <w:autoRedefine/>
    <w:qFormat/>
    <w:uiPriority w:val="0"/>
    <w:pPr>
      <w:keepLines/>
      <w:tabs>
        <w:tab w:val="clear" w:pos="1575"/>
      </w:tabs>
      <w:adjustRightInd/>
      <w:snapToGrid w:val="0"/>
      <w:spacing w:before="312" w:beforeLines="100" w:line="360" w:lineRule="auto"/>
      <w:ind w:left="0" w:firstLine="0"/>
      <w:jc w:val="both"/>
      <w:textAlignment w:val="auto"/>
    </w:pPr>
    <w:rPr>
      <w:rFonts w:ascii="宋体" w:hAnsi="宋体"/>
      <w:b/>
      <w:bCs/>
      <w:sz w:val="24"/>
      <w:szCs w:val="24"/>
    </w:rPr>
  </w:style>
  <w:style w:type="paragraph" w:customStyle="1" w:styleId="313">
    <w:name w:val="xl5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right"/>
      <w:textAlignment w:val="bottom"/>
    </w:pPr>
    <w:rPr>
      <w:rFonts w:ascii="Arial" w:hAnsi="Arial" w:cs="Arial"/>
      <w:kern w:val="0"/>
      <w:sz w:val="20"/>
    </w:rPr>
  </w:style>
  <w:style w:type="paragraph" w:customStyle="1" w:styleId="314">
    <w:name w:val="样式 标题 3头 + 行距: 多倍行距 0.5 字行"/>
    <w:basedOn w:val="7"/>
    <w:autoRedefine/>
    <w:qFormat/>
    <w:uiPriority w:val="0"/>
    <w:pPr>
      <w:keepLines/>
      <w:tabs>
        <w:tab w:val="left" w:pos="578"/>
        <w:tab w:val="clear" w:pos="1560"/>
      </w:tabs>
      <w:adjustRightInd/>
      <w:spacing w:before="60" w:after="60" w:line="120" w:lineRule="auto"/>
      <w:ind w:left="578" w:hanging="578"/>
      <w:jc w:val="both"/>
      <w:textAlignment w:val="auto"/>
    </w:pPr>
    <w:rPr>
      <w:b/>
    </w:rPr>
  </w:style>
  <w:style w:type="paragraph" w:customStyle="1" w:styleId="315">
    <w:name w:val="1.1编号"/>
    <w:basedOn w:val="1"/>
    <w:autoRedefine/>
    <w:qFormat/>
    <w:uiPriority w:val="0"/>
    <w:pPr>
      <w:widowControl/>
      <w:tabs>
        <w:tab w:val="left" w:pos="567"/>
        <w:tab w:val="left" w:pos="1684"/>
      </w:tabs>
      <w:spacing w:before="120" w:after="80" w:line="380" w:lineRule="exact"/>
      <w:ind w:left="1684" w:hanging="720"/>
    </w:pPr>
    <w:rPr>
      <w:b/>
      <w:spacing w:val="20"/>
      <w:sz w:val="24"/>
    </w:rPr>
  </w:style>
  <w:style w:type="paragraph" w:customStyle="1" w:styleId="316">
    <w:name w:val="xl35"/>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right"/>
      <w:textAlignment w:val="bottom"/>
    </w:pPr>
    <w:rPr>
      <w:rFonts w:ascii="Arial" w:hAnsi="Arial" w:cs="Arial"/>
      <w:kern w:val="0"/>
      <w:sz w:val="20"/>
    </w:rPr>
  </w:style>
  <w:style w:type="paragraph" w:customStyle="1" w:styleId="317">
    <w:name w:val="图名"/>
    <w:basedOn w:val="1"/>
    <w:next w:val="1"/>
    <w:link w:val="418"/>
    <w:autoRedefine/>
    <w:qFormat/>
    <w:uiPriority w:val="0"/>
    <w:pPr>
      <w:tabs>
        <w:tab w:val="left" w:pos="4500"/>
      </w:tabs>
      <w:adjustRightInd w:val="0"/>
      <w:spacing w:line="360" w:lineRule="auto"/>
    </w:pPr>
    <w:rPr>
      <w:rFonts w:ascii="楷体_GB2312" w:hAnsi="宋体" w:eastAsia="楷体_GB2312"/>
      <w:szCs w:val="24"/>
    </w:rPr>
  </w:style>
  <w:style w:type="paragraph" w:customStyle="1" w:styleId="318">
    <w:name w:val="样式1"/>
    <w:basedOn w:val="1"/>
    <w:link w:val="428"/>
    <w:autoRedefine/>
    <w:qFormat/>
    <w:uiPriority w:val="0"/>
    <w:pPr>
      <w:spacing w:before="120" w:after="120" w:line="300" w:lineRule="auto"/>
    </w:pPr>
    <w:rPr>
      <w:rFonts w:ascii="宋体" w:hAnsi="宋体"/>
      <w:b/>
      <w:sz w:val="24"/>
    </w:rPr>
  </w:style>
  <w:style w:type="paragraph" w:customStyle="1" w:styleId="319">
    <w:name w:val="P3"/>
    <w:basedOn w:val="1"/>
    <w:autoRedefine/>
    <w:qFormat/>
    <w:uiPriority w:val="0"/>
    <w:pPr>
      <w:widowControl/>
      <w:ind w:left="1418"/>
    </w:pPr>
    <w:rPr>
      <w:kern w:val="0"/>
      <w:sz w:val="20"/>
      <w:lang w:val="fr-FR" w:eastAsia="fr-FR"/>
    </w:rPr>
  </w:style>
  <w:style w:type="paragraph" w:customStyle="1" w:styleId="320">
    <w:name w:val="样式11 首行缩进:  2 字符1"/>
    <w:basedOn w:val="1"/>
    <w:link w:val="426"/>
    <w:autoRedefine/>
    <w:qFormat/>
    <w:uiPriority w:val="0"/>
    <w:pPr>
      <w:spacing w:before="156" w:beforeLines="50" w:after="156" w:afterLines="50" w:line="300" w:lineRule="auto"/>
      <w:ind w:firstLine="480" w:firstLineChars="200"/>
    </w:pPr>
    <w:rPr>
      <w:sz w:val="24"/>
      <w:szCs w:val="24"/>
    </w:rPr>
  </w:style>
  <w:style w:type="paragraph" w:customStyle="1" w:styleId="321">
    <w:name w:val="Char Char Char Char1"/>
    <w:basedOn w:val="1"/>
    <w:autoRedefine/>
    <w:qFormat/>
    <w:uiPriority w:val="0"/>
  </w:style>
  <w:style w:type="paragraph" w:customStyle="1" w:styleId="322">
    <w:name w:val="cucd-TB-Head"/>
    <w:basedOn w:val="1"/>
    <w:next w:val="106"/>
    <w:autoRedefine/>
    <w:qFormat/>
    <w:uiPriority w:val="0"/>
    <w:pPr>
      <w:spacing w:line="360" w:lineRule="auto"/>
      <w:jc w:val="center"/>
    </w:pPr>
    <w:rPr>
      <w:rFonts w:ascii="宋体" w:eastAsia="黑体"/>
      <w:sz w:val="24"/>
    </w:rPr>
  </w:style>
  <w:style w:type="paragraph" w:customStyle="1" w:styleId="323">
    <w:name w:val="H-3"/>
    <w:basedOn w:val="230"/>
    <w:autoRedefine/>
    <w:qFormat/>
    <w:uiPriority w:val="0"/>
    <w:pPr>
      <w:tabs>
        <w:tab w:val="left" w:pos="0"/>
        <w:tab w:val="left" w:pos="567"/>
        <w:tab w:val="left" w:pos="840"/>
        <w:tab w:val="left" w:pos="927"/>
        <w:tab w:val="clear" w:pos="630"/>
      </w:tabs>
      <w:spacing w:line="360" w:lineRule="auto"/>
      <w:ind w:left="840" w:right="210" w:hanging="360"/>
    </w:pPr>
    <w:rPr>
      <w:rFonts w:ascii="黑体" w:hAnsi="黑体" w:eastAsia="宋体"/>
      <w:szCs w:val="21"/>
    </w:rPr>
  </w:style>
  <w:style w:type="paragraph" w:customStyle="1" w:styleId="324">
    <w:name w:val="xl50"/>
    <w:basedOn w:val="1"/>
    <w:autoRedefine/>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right"/>
      <w:textAlignment w:val="bottom"/>
    </w:pPr>
    <w:rPr>
      <w:rFonts w:ascii="Arial" w:hAnsi="Arial" w:cs="Arial"/>
      <w:b/>
      <w:bCs/>
      <w:kern w:val="0"/>
      <w:sz w:val="20"/>
    </w:rPr>
  </w:style>
  <w:style w:type="paragraph" w:customStyle="1" w:styleId="325">
    <w:name w:val="样式 样式 正文缩进正文（首行缩进两字）表正文正文非缩进段1特点ALT+Z水上软件正文不缩进四号特点 Char C... + 首..."/>
    <w:basedOn w:val="1"/>
    <w:autoRedefine/>
    <w:qFormat/>
    <w:uiPriority w:val="0"/>
    <w:pPr>
      <w:spacing w:line="360" w:lineRule="auto"/>
      <w:ind w:firstLine="540" w:firstLineChars="225"/>
      <w:outlineLvl w:val="5"/>
    </w:pPr>
    <w:rPr>
      <w:rFonts w:cs="宋体"/>
      <w:sz w:val="24"/>
      <w:szCs w:val="24"/>
    </w:rPr>
  </w:style>
  <w:style w:type="paragraph" w:customStyle="1" w:styleId="326">
    <w:name w:val="SuepSubHead"/>
    <w:basedOn w:val="1"/>
    <w:autoRedefine/>
    <w:qFormat/>
    <w:uiPriority w:val="0"/>
    <w:pPr>
      <w:widowControl/>
      <w:tabs>
        <w:tab w:val="left" w:pos="1260"/>
      </w:tabs>
      <w:ind w:left="1260" w:hanging="420"/>
      <w:jc w:val="left"/>
    </w:pPr>
    <w:rPr>
      <w:b/>
      <w:kern w:val="0"/>
      <w:sz w:val="22"/>
    </w:rPr>
  </w:style>
  <w:style w:type="paragraph" w:customStyle="1" w:styleId="327">
    <w:name w:val="q"/>
    <w:basedOn w:val="1"/>
    <w:autoRedefine/>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spacing w:val="-30"/>
      <w:kern w:val="0"/>
      <w:sz w:val="24"/>
    </w:rPr>
  </w:style>
  <w:style w:type="paragraph" w:customStyle="1" w:styleId="328">
    <w:name w:val="xl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s="Arial"/>
      <w:kern w:val="0"/>
      <w:sz w:val="20"/>
    </w:rPr>
  </w:style>
  <w:style w:type="paragraph" w:customStyle="1" w:styleId="329">
    <w:name w:val="xl58"/>
    <w:basedOn w:val="1"/>
    <w:autoRedefine/>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3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331">
    <w:name w:val="xl67"/>
    <w:basedOn w:val="1"/>
    <w:autoRedefine/>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pPr>
    <w:rPr>
      <w:rFonts w:ascii="宋体" w:hAnsi="宋体"/>
      <w:kern w:val="0"/>
      <w:sz w:val="24"/>
    </w:rPr>
  </w:style>
  <w:style w:type="paragraph" w:customStyle="1" w:styleId="332">
    <w:name w:val="xl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rPr>
  </w:style>
  <w:style w:type="paragraph" w:customStyle="1" w:styleId="333">
    <w:name w:val="font7"/>
    <w:basedOn w:val="1"/>
    <w:autoRedefine/>
    <w:qFormat/>
    <w:uiPriority w:val="0"/>
    <w:pPr>
      <w:widowControl/>
      <w:spacing w:before="100" w:beforeAutospacing="1" w:after="100" w:afterAutospacing="1"/>
      <w:jc w:val="left"/>
    </w:pPr>
    <w:rPr>
      <w:rFonts w:ascii="Arial" w:hAnsi="Arial" w:cs="Arial"/>
      <w:kern w:val="0"/>
      <w:sz w:val="18"/>
      <w:szCs w:val="18"/>
    </w:rPr>
  </w:style>
  <w:style w:type="paragraph" w:customStyle="1" w:styleId="334">
    <w:name w:val="正文 + 宋体"/>
    <w:basedOn w:val="1"/>
    <w:link w:val="424"/>
    <w:autoRedefine/>
    <w:qFormat/>
    <w:uiPriority w:val="0"/>
    <w:rPr>
      <w:b/>
      <w:spacing w:val="32"/>
      <w:sz w:val="24"/>
      <w:szCs w:val="24"/>
    </w:rPr>
  </w:style>
  <w:style w:type="paragraph" w:customStyle="1" w:styleId="335">
    <w:name w:val="Style Heading 2H2Heading 2 HiddenHeading 2 CCBS2nd levelh22H..."/>
    <w:basedOn w:val="6"/>
    <w:link w:val="349"/>
    <w:autoRedefine/>
    <w:qFormat/>
    <w:uiPriority w:val="0"/>
    <w:pPr>
      <w:tabs>
        <w:tab w:val="left" w:pos="720"/>
      </w:tabs>
      <w:spacing w:afterLines="50" w:line="416" w:lineRule="auto"/>
    </w:pPr>
    <w:rPr>
      <w:rFonts w:ascii="Times New Roman" w:hAnsi="Times New Roman" w:eastAsia="宋体"/>
      <w:bCs/>
      <w:kern w:val="0"/>
      <w:sz w:val="24"/>
      <w:szCs w:val="24"/>
    </w:rPr>
  </w:style>
  <w:style w:type="character" w:customStyle="1" w:styleId="336">
    <w:name w:val="Char Char8"/>
    <w:autoRedefine/>
    <w:qFormat/>
    <w:uiPriority w:val="0"/>
  </w:style>
  <w:style w:type="character" w:customStyle="1" w:styleId="337">
    <w:name w:val="Char Char24"/>
    <w:autoRedefine/>
    <w:qFormat/>
    <w:locked/>
    <w:uiPriority w:val="0"/>
    <w:rPr>
      <w:rFonts w:ascii="宋体" w:hAnsi="宋体" w:eastAsia="宋体"/>
      <w:kern w:val="2"/>
      <w:sz w:val="16"/>
      <w:szCs w:val="16"/>
      <w:lang w:val="en-US" w:eastAsia="zh-CN" w:bidi="ar-SA"/>
    </w:rPr>
  </w:style>
  <w:style w:type="character" w:customStyle="1" w:styleId="338">
    <w:name w:val="样式 (中文) 仿宋_GB2312 三号"/>
    <w:autoRedefine/>
    <w:qFormat/>
    <w:uiPriority w:val="0"/>
    <w:rPr>
      <w:rFonts w:eastAsia="仿宋_GB2312"/>
      <w:sz w:val="32"/>
    </w:rPr>
  </w:style>
  <w:style w:type="character" w:customStyle="1" w:styleId="339">
    <w:name w:val="Char Char28"/>
    <w:autoRedefine/>
    <w:semiHidden/>
    <w:qFormat/>
    <w:uiPriority w:val="0"/>
    <w:rPr>
      <w:kern w:val="2"/>
      <w:sz w:val="18"/>
      <w:szCs w:val="18"/>
    </w:rPr>
  </w:style>
  <w:style w:type="character" w:customStyle="1" w:styleId="340">
    <w:name w:val="标题 3 字符"/>
    <w:link w:val="7"/>
    <w:autoRedefine/>
    <w:qFormat/>
    <w:uiPriority w:val="0"/>
    <w:rPr>
      <w:rFonts w:eastAsia="宋体"/>
      <w:kern w:val="2"/>
      <w:sz w:val="28"/>
      <w:lang w:val="en-US" w:eastAsia="zh-CN"/>
    </w:rPr>
  </w:style>
  <w:style w:type="character" w:customStyle="1" w:styleId="341">
    <w:name w:val="Char Char27"/>
    <w:autoRedefine/>
    <w:semiHidden/>
    <w:qFormat/>
    <w:uiPriority w:val="0"/>
    <w:rPr>
      <w:kern w:val="2"/>
      <w:sz w:val="18"/>
      <w:szCs w:val="18"/>
    </w:rPr>
  </w:style>
  <w:style w:type="character" w:customStyle="1" w:styleId="342">
    <w:name w:val="日期 Char1"/>
    <w:autoRedefine/>
    <w:semiHidden/>
    <w:qFormat/>
    <w:uiPriority w:val="99"/>
    <w:rPr>
      <w:rFonts w:ascii="Times New Roman" w:hAnsi="Times New Roman" w:eastAsia="宋体" w:cs="Times New Roman"/>
      <w:szCs w:val="20"/>
    </w:rPr>
  </w:style>
  <w:style w:type="character" w:customStyle="1" w:styleId="343">
    <w:name w:val="Char Char10"/>
    <w:autoRedefine/>
    <w:qFormat/>
    <w:uiPriority w:val="0"/>
    <w:rPr>
      <w:rFonts w:ascii="宋体" w:hAnsi="Courier New" w:eastAsia="宋体"/>
      <w:kern w:val="2"/>
      <w:sz w:val="24"/>
      <w:szCs w:val="24"/>
      <w:lang w:val="en-US" w:eastAsia="zh-CN" w:bidi="ar-SA"/>
    </w:rPr>
  </w:style>
  <w:style w:type="character" w:customStyle="1" w:styleId="344">
    <w:name w:val="标题 2 Char"/>
    <w:autoRedefine/>
    <w:qFormat/>
    <w:uiPriority w:val="0"/>
    <w:rPr>
      <w:rFonts w:ascii="宋体" w:hAnsi="宋体" w:eastAsia="宋体"/>
      <w:b/>
      <w:spacing w:val="-6"/>
      <w:kern w:val="2"/>
      <w:sz w:val="28"/>
      <w:lang w:val="en-US" w:eastAsia="zh-CN"/>
    </w:rPr>
  </w:style>
  <w:style w:type="character" w:customStyle="1" w:styleId="345">
    <w:name w:val="标题 字符"/>
    <w:link w:val="85"/>
    <w:autoRedefine/>
    <w:qFormat/>
    <w:uiPriority w:val="0"/>
    <w:rPr>
      <w:rFonts w:ascii="Arial Narrow" w:hAnsi="Arial Narrow" w:eastAsia="黑体"/>
      <w:sz w:val="30"/>
      <w:lang w:val="en-US" w:eastAsia="zh-CN"/>
    </w:rPr>
  </w:style>
  <w:style w:type="character" w:customStyle="1" w:styleId="346">
    <w:name w:val="样式 楷体_GB2312 四号 加粗 黑色"/>
    <w:autoRedefine/>
    <w:qFormat/>
    <w:uiPriority w:val="0"/>
    <w:rPr>
      <w:rFonts w:ascii="楷体_GB2312" w:eastAsia="楷体_GB2312"/>
      <w:bCs/>
      <w:color w:val="000000"/>
      <w:sz w:val="28"/>
      <w:szCs w:val="28"/>
    </w:rPr>
  </w:style>
  <w:style w:type="character" w:customStyle="1" w:styleId="347">
    <w:name w:val="Char Char30"/>
    <w:autoRedefine/>
    <w:qFormat/>
    <w:locked/>
    <w:uiPriority w:val="0"/>
    <w:rPr>
      <w:rFonts w:ascii="宋体" w:hAnsi="宋体" w:eastAsia="宋体"/>
      <w:kern w:val="2"/>
      <w:sz w:val="21"/>
      <w:lang w:val="en-US" w:eastAsia="zh-CN" w:bidi="ar-SA"/>
    </w:rPr>
  </w:style>
  <w:style w:type="character" w:customStyle="1" w:styleId="348">
    <w:name w:val="_Style 347"/>
    <w:autoRedefine/>
    <w:qFormat/>
    <w:uiPriority w:val="0"/>
    <w:rPr>
      <w:b/>
      <w:i/>
      <w:sz w:val="24"/>
      <w:u w:val="single"/>
    </w:rPr>
  </w:style>
  <w:style w:type="character" w:customStyle="1" w:styleId="349">
    <w:name w:val="Style Heading 2H2Heading 2 HiddenHeading 2 CCBS2nd levelh22H... Char"/>
    <w:link w:val="335"/>
    <w:autoRedefine/>
    <w:qFormat/>
    <w:uiPriority w:val="0"/>
    <w:rPr>
      <w:b/>
      <w:bCs/>
      <w:sz w:val="24"/>
      <w:szCs w:val="24"/>
    </w:rPr>
  </w:style>
  <w:style w:type="character" w:customStyle="1" w:styleId="350">
    <w:name w:val="标题 5 字符"/>
    <w:link w:val="9"/>
    <w:autoRedefine/>
    <w:qFormat/>
    <w:uiPriority w:val="9"/>
    <w:rPr>
      <w:rFonts w:ascii="宋体" w:hAnsi="宋体" w:eastAsia="宋体"/>
      <w:b/>
      <w:sz w:val="24"/>
      <w:lang w:val="en-US" w:eastAsia="zh-CN"/>
    </w:rPr>
  </w:style>
  <w:style w:type="character" w:customStyle="1" w:styleId="351">
    <w:name w:val="正文文本缩进 2 Char1"/>
    <w:autoRedefine/>
    <w:semiHidden/>
    <w:qFormat/>
    <w:uiPriority w:val="99"/>
    <w:rPr>
      <w:rFonts w:ascii="Times New Roman" w:hAnsi="Times New Roman" w:eastAsia="宋体" w:cs="Times New Roman"/>
      <w:szCs w:val="20"/>
    </w:rPr>
  </w:style>
  <w:style w:type="character" w:customStyle="1" w:styleId="352">
    <w:name w:val="Char Char101"/>
    <w:autoRedefine/>
    <w:semiHidden/>
    <w:qFormat/>
    <w:locked/>
    <w:uiPriority w:val="0"/>
    <w:rPr>
      <w:rFonts w:ascii="宋体" w:hAnsi="宋体" w:eastAsia="宋体"/>
      <w:kern w:val="2"/>
      <w:sz w:val="18"/>
      <w:szCs w:val="18"/>
      <w:lang w:val="en-US" w:eastAsia="zh-CN" w:bidi="ar-SA"/>
    </w:rPr>
  </w:style>
  <w:style w:type="character" w:customStyle="1" w:styleId="353">
    <w:name w:val="标题 4 Char1"/>
    <w:autoRedefine/>
    <w:qFormat/>
    <w:uiPriority w:val="0"/>
    <w:rPr>
      <w:rFonts w:ascii="楷体_GB2312" w:hAnsi="Arial" w:eastAsia="楷体_GB2312"/>
      <w:bCs/>
      <w:kern w:val="2"/>
      <w:sz w:val="28"/>
      <w:szCs w:val="28"/>
      <w:lang w:val="en-US" w:eastAsia="zh-CN" w:bidi="ar-SA"/>
    </w:rPr>
  </w:style>
  <w:style w:type="character" w:customStyle="1" w:styleId="354">
    <w:name w:val="style71"/>
    <w:autoRedefine/>
    <w:qFormat/>
    <w:uiPriority w:val="0"/>
    <w:rPr>
      <w:sz w:val="30"/>
    </w:rPr>
  </w:style>
  <w:style w:type="character" w:customStyle="1" w:styleId="355">
    <w:name w:val="正文文本缩进 3 字符"/>
    <w:link w:val="71"/>
    <w:autoRedefine/>
    <w:qFormat/>
    <w:uiPriority w:val="0"/>
    <w:rPr>
      <w:rFonts w:ascii="仿宋_GB2312" w:eastAsia="仿宋_GB2312"/>
      <w:kern w:val="2"/>
      <w:sz w:val="28"/>
      <w:lang w:val="en-US" w:eastAsia="zh-CN"/>
    </w:rPr>
  </w:style>
  <w:style w:type="character" w:customStyle="1" w:styleId="356">
    <w:name w:val="正文首行缩进 Char1"/>
    <w:autoRedefine/>
    <w:qFormat/>
    <w:uiPriority w:val="99"/>
    <w:rPr>
      <w:rFonts w:ascii="宋体"/>
      <w:kern w:val="2"/>
      <w:sz w:val="21"/>
    </w:rPr>
  </w:style>
  <w:style w:type="character" w:customStyle="1" w:styleId="357">
    <w:name w:val="批注主题 字符"/>
    <w:link w:val="86"/>
    <w:autoRedefine/>
    <w:qFormat/>
    <w:uiPriority w:val="0"/>
    <w:rPr>
      <w:rFonts w:ascii="Times New Roman" w:hAnsi="Times New Roman" w:eastAsia="宋体" w:cs="Times New Roman"/>
      <w:b/>
      <w:kern w:val="2"/>
      <w:sz w:val="21"/>
      <w:szCs w:val="20"/>
    </w:rPr>
  </w:style>
  <w:style w:type="character" w:customStyle="1" w:styleId="358">
    <w:name w:val="正文文本缩进 2 字符"/>
    <w:link w:val="52"/>
    <w:autoRedefine/>
    <w:qFormat/>
    <w:uiPriority w:val="0"/>
    <w:rPr>
      <w:rFonts w:eastAsia="仿宋_GB2312"/>
      <w:kern w:val="2"/>
      <w:sz w:val="28"/>
      <w:lang w:val="en-US" w:eastAsia="zh-CN"/>
    </w:rPr>
  </w:style>
  <w:style w:type="character" w:customStyle="1" w:styleId="359">
    <w:name w:val="Char Char34"/>
    <w:autoRedefine/>
    <w:qFormat/>
    <w:uiPriority w:val="0"/>
    <w:rPr>
      <w:rFonts w:hint="eastAsia" w:ascii="楷体_GB2312" w:hAnsi="Arial" w:eastAsia="楷体_GB2312"/>
      <w:bCs/>
      <w:kern w:val="2"/>
      <w:sz w:val="28"/>
      <w:szCs w:val="28"/>
    </w:rPr>
  </w:style>
  <w:style w:type="character" w:customStyle="1" w:styleId="360">
    <w:name w:val="Char Char6"/>
    <w:autoRedefine/>
    <w:qFormat/>
    <w:locked/>
    <w:uiPriority w:val="0"/>
    <w:rPr>
      <w:rFonts w:ascii="宋体" w:hAnsi="宋体" w:eastAsia="宋体"/>
      <w:kern w:val="2"/>
      <w:sz w:val="21"/>
      <w:szCs w:val="24"/>
      <w:lang w:val="en-US" w:eastAsia="zh-CN" w:bidi="ar-SA"/>
    </w:rPr>
  </w:style>
  <w:style w:type="character" w:customStyle="1" w:styleId="361">
    <w:name w:val="批注引用1"/>
    <w:autoRedefine/>
    <w:qFormat/>
    <w:uiPriority w:val="0"/>
    <w:rPr>
      <w:sz w:val="21"/>
    </w:rPr>
  </w:style>
  <w:style w:type="character" w:customStyle="1" w:styleId="362">
    <w:name w:val="信息标题 字符"/>
    <w:link w:val="80"/>
    <w:autoRedefine/>
    <w:qFormat/>
    <w:uiPriority w:val="0"/>
    <w:rPr>
      <w:rFonts w:ascii="Arial" w:hAnsi="Arial" w:cs="Arial"/>
      <w:kern w:val="2"/>
      <w:sz w:val="24"/>
      <w:szCs w:val="24"/>
      <w:shd w:val="pct20" w:color="auto" w:fill="auto"/>
    </w:rPr>
  </w:style>
  <w:style w:type="character" w:customStyle="1" w:styleId="363">
    <w:name w:val="标题 9 字符"/>
    <w:link w:val="13"/>
    <w:autoRedefine/>
    <w:qFormat/>
    <w:uiPriority w:val="0"/>
    <w:rPr>
      <w:rFonts w:ascii="Arial" w:hAnsi="Arial" w:eastAsia="黑体"/>
      <w:sz w:val="24"/>
      <w:lang w:val="en-US" w:eastAsia="zh-CN"/>
    </w:rPr>
  </w:style>
  <w:style w:type="character" w:customStyle="1" w:styleId="364">
    <w:name w:val="Char Char33"/>
    <w:autoRedefine/>
    <w:qFormat/>
    <w:uiPriority w:val="0"/>
    <w:rPr>
      <w:rFonts w:hint="eastAsia" w:ascii="宋体" w:hAnsi="宋体" w:eastAsia="宋体"/>
      <w:b/>
      <w:bCs/>
      <w:kern w:val="2"/>
      <w:sz w:val="28"/>
      <w:szCs w:val="28"/>
      <w:lang w:val="en-US" w:eastAsia="zh-CN" w:bidi="ar-SA"/>
    </w:rPr>
  </w:style>
  <w:style w:type="character" w:customStyle="1" w:styleId="365">
    <w:name w:val="Char Char35"/>
    <w:autoRedefine/>
    <w:qFormat/>
    <w:uiPriority w:val="0"/>
    <w:rPr>
      <w:rFonts w:hint="default" w:ascii="Times New Roman" w:hAnsi="Times New Roman" w:cs="Times New Roman"/>
      <w:b/>
      <w:bCs/>
      <w:kern w:val="2"/>
      <w:sz w:val="32"/>
      <w:szCs w:val="32"/>
    </w:rPr>
  </w:style>
  <w:style w:type="character" w:customStyle="1" w:styleId="366">
    <w:name w:val="Char Char26"/>
    <w:autoRedefine/>
    <w:qFormat/>
    <w:locked/>
    <w:uiPriority w:val="0"/>
    <w:rPr>
      <w:rFonts w:ascii="宋体" w:hAnsi="宋体" w:eastAsia="宋体"/>
      <w:kern w:val="2"/>
      <w:sz w:val="16"/>
      <w:szCs w:val="16"/>
      <w:lang w:val="en-US" w:eastAsia="zh-CN" w:bidi="ar-SA"/>
    </w:rPr>
  </w:style>
  <w:style w:type="character" w:customStyle="1" w:styleId="367">
    <w:name w:val="标题 2 字符"/>
    <w:link w:val="6"/>
    <w:autoRedefine/>
    <w:qFormat/>
    <w:uiPriority w:val="0"/>
    <w:rPr>
      <w:rFonts w:ascii="Arial" w:hAnsi="Arial" w:eastAsia="黑体"/>
      <w:b/>
      <w:kern w:val="2"/>
      <w:sz w:val="32"/>
      <w:lang w:val="en-US" w:eastAsia="zh-CN"/>
    </w:rPr>
  </w:style>
  <w:style w:type="character" w:customStyle="1" w:styleId="368">
    <w:name w:val="脚注文本 字符"/>
    <w:link w:val="68"/>
    <w:autoRedefine/>
    <w:qFormat/>
    <w:uiPriority w:val="0"/>
    <w:rPr>
      <w:kern w:val="2"/>
      <w:sz w:val="18"/>
      <w:szCs w:val="18"/>
    </w:rPr>
  </w:style>
  <w:style w:type="character" w:customStyle="1" w:styleId="369">
    <w:name w:val="批注框文本 字符"/>
    <w:link w:val="55"/>
    <w:autoRedefine/>
    <w:qFormat/>
    <w:uiPriority w:val="0"/>
    <w:rPr>
      <w:kern w:val="2"/>
      <w:sz w:val="18"/>
    </w:rPr>
  </w:style>
  <w:style w:type="character" w:customStyle="1" w:styleId="370">
    <w:name w:val="初设1 Char Char"/>
    <w:link w:val="311"/>
    <w:autoRedefine/>
    <w:qFormat/>
    <w:uiPriority w:val="0"/>
    <w:rPr>
      <w:b/>
      <w:sz w:val="24"/>
      <w:szCs w:val="24"/>
    </w:rPr>
  </w:style>
  <w:style w:type="character" w:customStyle="1" w:styleId="371">
    <w:name w:val="批注文字 Char1"/>
    <w:autoRedefine/>
    <w:semiHidden/>
    <w:qFormat/>
    <w:uiPriority w:val="0"/>
    <w:rPr>
      <w:rFonts w:ascii="Times New Roman" w:hAnsi="Times New Roman" w:eastAsia="宋体" w:cs="Times New Roman"/>
      <w:szCs w:val="20"/>
    </w:rPr>
  </w:style>
  <w:style w:type="character" w:customStyle="1" w:styleId="372">
    <w:name w:val="章 Char"/>
    <w:autoRedefine/>
    <w:qFormat/>
    <w:uiPriority w:val="0"/>
    <w:rPr>
      <w:rFonts w:eastAsia="宋体"/>
      <w:b/>
      <w:kern w:val="44"/>
      <w:sz w:val="44"/>
      <w:lang w:val="en-US" w:eastAsia="zh-CN"/>
    </w:rPr>
  </w:style>
  <w:style w:type="character" w:customStyle="1" w:styleId="373">
    <w:name w:val="注释标题 字符"/>
    <w:link w:val="19"/>
    <w:autoRedefine/>
    <w:qFormat/>
    <w:uiPriority w:val="0"/>
    <w:rPr>
      <w:kern w:val="2"/>
      <w:sz w:val="21"/>
      <w:szCs w:val="24"/>
    </w:rPr>
  </w:style>
  <w:style w:type="character" w:customStyle="1" w:styleId="374">
    <w:name w:val="_Style 373"/>
    <w:autoRedefine/>
    <w:qFormat/>
    <w:uiPriority w:val="0"/>
    <w:rPr>
      <w:rFonts w:ascii="Cambria" w:hAnsi="Cambria" w:eastAsia="宋体"/>
      <w:b/>
      <w:i/>
      <w:sz w:val="24"/>
    </w:rPr>
  </w:style>
  <w:style w:type="character" w:customStyle="1" w:styleId="375">
    <w:name w:val="Char Char13"/>
    <w:autoRedefine/>
    <w:qFormat/>
    <w:locked/>
    <w:uiPriority w:val="0"/>
    <w:rPr>
      <w:rFonts w:ascii="宋体" w:hAnsi="宋体" w:eastAsia="宋体"/>
      <w:kern w:val="2"/>
      <w:sz w:val="21"/>
      <w:szCs w:val="24"/>
      <w:lang w:val="en-US" w:eastAsia="zh-CN" w:bidi="ar-SA"/>
    </w:rPr>
  </w:style>
  <w:style w:type="character" w:customStyle="1" w:styleId="376">
    <w:name w:val="无间隔 Char"/>
    <w:link w:val="277"/>
    <w:autoRedefine/>
    <w:qFormat/>
    <w:uiPriority w:val="0"/>
    <w:rPr>
      <w:rFonts w:ascii="Calibri" w:hAnsi="Calibri"/>
      <w:sz w:val="24"/>
      <w:lang w:eastAsia="en-US"/>
    </w:rPr>
  </w:style>
  <w:style w:type="character" w:customStyle="1" w:styleId="377">
    <w:name w:val="文档结构图 字符"/>
    <w:link w:val="28"/>
    <w:autoRedefine/>
    <w:qFormat/>
    <w:uiPriority w:val="99"/>
    <w:rPr>
      <w:kern w:val="2"/>
      <w:sz w:val="21"/>
      <w:shd w:val="clear" w:color="auto" w:fill="000080"/>
    </w:rPr>
  </w:style>
  <w:style w:type="character" w:customStyle="1" w:styleId="378">
    <w:name w:val="纯文本 字符"/>
    <w:link w:val="46"/>
    <w:autoRedefine/>
    <w:qFormat/>
    <w:uiPriority w:val="0"/>
    <w:rPr>
      <w:rFonts w:ascii="宋体" w:hAnsi="Courier New"/>
      <w:kern w:val="2"/>
      <w:sz w:val="21"/>
    </w:rPr>
  </w:style>
  <w:style w:type="character" w:customStyle="1" w:styleId="379">
    <w:name w:val="Char Char18"/>
    <w:autoRedefine/>
    <w:semiHidden/>
    <w:qFormat/>
    <w:locked/>
    <w:uiPriority w:val="0"/>
    <w:rPr>
      <w:rFonts w:ascii="宋体" w:hAnsi="宋体" w:eastAsia="宋体"/>
      <w:sz w:val="21"/>
      <w:szCs w:val="24"/>
      <w:lang w:val="en-US" w:eastAsia="zh-CN" w:bidi="ar-SA"/>
    </w:rPr>
  </w:style>
  <w:style w:type="character" w:customStyle="1" w:styleId="380">
    <w:name w:val="正文缩进2"/>
    <w:autoRedefine/>
    <w:qFormat/>
    <w:uiPriority w:val="0"/>
    <w:rPr>
      <w:rFonts w:eastAsia="宋体"/>
      <w:kern w:val="2"/>
      <w:sz w:val="28"/>
      <w:lang w:val="en-US" w:eastAsia="zh-CN"/>
    </w:rPr>
  </w:style>
  <w:style w:type="character" w:customStyle="1" w:styleId="381">
    <w:name w:val="apple-converted-space"/>
    <w:autoRedefine/>
    <w:qFormat/>
    <w:uiPriority w:val="0"/>
    <w:rPr>
      <w:rFonts w:cs="Times New Roman"/>
    </w:rPr>
  </w:style>
  <w:style w:type="character" w:customStyle="1" w:styleId="382">
    <w:name w:val="样式 (西文) 楷体_GB2312 (中文) 楷体_GB2312 四号 加宽量  0.8 磅 Char"/>
    <w:link w:val="253"/>
    <w:autoRedefine/>
    <w:qFormat/>
    <w:uiPriority w:val="0"/>
    <w:rPr>
      <w:rFonts w:ascii="楷体_GB2312" w:eastAsia="楷体_GB2312"/>
      <w:spacing w:val="16"/>
      <w:kern w:val="2"/>
      <w:sz w:val="28"/>
      <w:szCs w:val="24"/>
    </w:rPr>
  </w:style>
  <w:style w:type="character" w:customStyle="1" w:styleId="383">
    <w:name w:val="Char Char7"/>
    <w:autoRedefine/>
    <w:qFormat/>
    <w:uiPriority w:val="0"/>
    <w:rPr>
      <w:rFonts w:ascii="Times New Roman" w:hAnsi="Times New Roman"/>
      <w:kern w:val="2"/>
      <w:sz w:val="21"/>
      <w:szCs w:val="24"/>
    </w:rPr>
  </w:style>
  <w:style w:type="character" w:customStyle="1" w:styleId="384">
    <w:name w:val="Char Char5"/>
    <w:autoRedefine/>
    <w:qFormat/>
    <w:uiPriority w:val="0"/>
    <w:rPr>
      <w:rFonts w:hint="eastAsia" w:ascii="宋体" w:hAnsi="宋体" w:eastAsia="宋体"/>
      <w:b/>
      <w:bCs/>
      <w:kern w:val="44"/>
      <w:sz w:val="44"/>
      <w:szCs w:val="44"/>
      <w:lang w:val="en-US" w:eastAsia="zh-CN" w:bidi="ar-SA"/>
    </w:rPr>
  </w:style>
  <w:style w:type="character" w:customStyle="1" w:styleId="385">
    <w:name w:val="aboutus1"/>
    <w:autoRedefine/>
    <w:qFormat/>
    <w:uiPriority w:val="0"/>
    <w:rPr>
      <w:rFonts w:hint="default" w:ascii="ˎ̥" w:hAnsi="ˎ̥"/>
      <w:color w:val="000000"/>
      <w:sz w:val="18"/>
      <w:szCs w:val="18"/>
      <w:u w:val="none"/>
    </w:rPr>
  </w:style>
  <w:style w:type="character" w:customStyle="1" w:styleId="386">
    <w:name w:val="标题 4 Char3"/>
    <w:autoRedefine/>
    <w:qFormat/>
    <w:uiPriority w:val="0"/>
    <w:rPr>
      <w:rFonts w:ascii="楷体_GB2312" w:hAnsi="Arial" w:eastAsia="楷体_GB2312"/>
      <w:bCs/>
      <w:kern w:val="2"/>
      <w:sz w:val="28"/>
      <w:szCs w:val="28"/>
      <w:lang w:val="en-US" w:eastAsia="zh-CN" w:bidi="ar-SA"/>
    </w:rPr>
  </w:style>
  <w:style w:type="character" w:customStyle="1" w:styleId="387">
    <w:name w:val="结束语 字符"/>
    <w:link w:val="34"/>
    <w:autoRedefine/>
    <w:qFormat/>
    <w:uiPriority w:val="0"/>
    <w:rPr>
      <w:kern w:val="2"/>
      <w:sz w:val="21"/>
      <w:szCs w:val="24"/>
    </w:rPr>
  </w:style>
  <w:style w:type="character" w:customStyle="1" w:styleId="388">
    <w:name w:val="Char Char4"/>
    <w:autoRedefine/>
    <w:qFormat/>
    <w:locked/>
    <w:uiPriority w:val="0"/>
    <w:rPr>
      <w:rFonts w:ascii="Arial" w:hAnsi="Arial" w:eastAsia="宋体" w:cs="Arial"/>
      <w:b/>
      <w:bCs/>
      <w:kern w:val="28"/>
      <w:sz w:val="32"/>
      <w:szCs w:val="32"/>
      <w:lang w:val="en-US" w:eastAsia="zh-CN" w:bidi="ar-SA"/>
    </w:rPr>
  </w:style>
  <w:style w:type="character" w:customStyle="1" w:styleId="389">
    <w:name w:val="text-content1"/>
    <w:autoRedefine/>
    <w:qFormat/>
    <w:uiPriority w:val="0"/>
    <w:rPr>
      <w:rFonts w:hint="eastAsia" w:ascii="Arial Unicode MS" w:hAnsi="Arial Unicode MS" w:eastAsia="Arial Unicode MS" w:cs="Arial Unicode MS"/>
      <w:color w:val="333333"/>
      <w:sz w:val="17"/>
      <w:szCs w:val="17"/>
    </w:rPr>
  </w:style>
  <w:style w:type="character" w:customStyle="1" w:styleId="390">
    <w:name w:val="明显引用 Char1"/>
    <w:autoRedefine/>
    <w:qFormat/>
    <w:uiPriority w:val="30"/>
    <w:rPr>
      <w:rFonts w:ascii="Times New Roman" w:hAnsi="Times New Roman" w:eastAsia="宋体" w:cs="Times New Roman"/>
      <w:b/>
      <w:bCs/>
      <w:i/>
      <w:iCs/>
      <w:color w:val="4F81BD"/>
      <w:szCs w:val="20"/>
    </w:rPr>
  </w:style>
  <w:style w:type="character" w:customStyle="1" w:styleId="391">
    <w:name w:val="正文文本缩进 字符"/>
    <w:link w:val="36"/>
    <w:autoRedefine/>
    <w:qFormat/>
    <w:uiPriority w:val="0"/>
    <w:rPr>
      <w:rFonts w:ascii="宋体" w:hAnsi="宋体"/>
      <w:kern w:val="2"/>
      <w:sz w:val="24"/>
    </w:rPr>
  </w:style>
  <w:style w:type="character" w:customStyle="1" w:styleId="392">
    <w:name w:val="Char Char12"/>
    <w:autoRedefine/>
    <w:qFormat/>
    <w:locked/>
    <w:uiPriority w:val="0"/>
    <w:rPr>
      <w:rFonts w:ascii="宋体" w:hAnsi="宋体" w:eastAsia="宋体"/>
      <w:kern w:val="2"/>
      <w:sz w:val="21"/>
      <w:szCs w:val="24"/>
      <w:lang w:val="en-US" w:eastAsia="zh-CN" w:bidi="ar-SA"/>
    </w:rPr>
  </w:style>
  <w:style w:type="character" w:customStyle="1" w:styleId="393">
    <w:name w:val="明显引用 Char"/>
    <w:link w:val="246"/>
    <w:autoRedefine/>
    <w:qFormat/>
    <w:uiPriority w:val="0"/>
    <w:rPr>
      <w:rFonts w:ascii="Calibri" w:hAnsi="Calibri" w:eastAsia="宋体"/>
      <w:b/>
      <w:i/>
      <w:sz w:val="24"/>
      <w:lang w:val="en-US" w:eastAsia="en-US"/>
    </w:rPr>
  </w:style>
  <w:style w:type="character" w:customStyle="1" w:styleId="394">
    <w:name w:val="Char Char9"/>
    <w:autoRedefine/>
    <w:qFormat/>
    <w:locked/>
    <w:uiPriority w:val="0"/>
    <w:rPr>
      <w:rFonts w:ascii="宋体" w:hAnsi="宋体" w:eastAsia="宋体"/>
      <w:kern w:val="2"/>
      <w:sz w:val="21"/>
      <w:szCs w:val="24"/>
      <w:lang w:val="en-US" w:eastAsia="zh-CN" w:bidi="ar-SA"/>
    </w:rPr>
  </w:style>
  <w:style w:type="character" w:customStyle="1" w:styleId="395">
    <w:name w:val="标题 1 字符"/>
    <w:link w:val="5"/>
    <w:autoRedefine/>
    <w:qFormat/>
    <w:uiPriority w:val="0"/>
    <w:rPr>
      <w:rFonts w:eastAsia="宋体"/>
      <w:b/>
      <w:kern w:val="44"/>
      <w:sz w:val="44"/>
      <w:lang w:val="en-US" w:eastAsia="zh-CN"/>
    </w:rPr>
  </w:style>
  <w:style w:type="character" w:customStyle="1" w:styleId="396">
    <w:name w:val="bh2 Char"/>
    <w:autoRedefine/>
    <w:qFormat/>
    <w:uiPriority w:val="0"/>
    <w:rPr>
      <w:rFonts w:eastAsia="宋体"/>
      <w:b/>
      <w:bCs/>
      <w:kern w:val="2"/>
      <w:sz w:val="32"/>
      <w:szCs w:val="32"/>
      <w:lang w:val="en-US" w:eastAsia="zh-CN" w:bidi="ar-SA"/>
    </w:rPr>
  </w:style>
  <w:style w:type="character" w:customStyle="1" w:styleId="397">
    <w:name w:val="正文缩进 字符"/>
    <w:link w:val="23"/>
    <w:autoRedefine/>
    <w:qFormat/>
    <w:uiPriority w:val="0"/>
    <w:rPr>
      <w:rFonts w:eastAsia="宋体"/>
      <w:kern w:val="2"/>
      <w:sz w:val="21"/>
      <w:lang w:val="en-US" w:eastAsia="zh-CN"/>
    </w:rPr>
  </w:style>
  <w:style w:type="character" w:customStyle="1" w:styleId="398">
    <w:name w:val="正文（首行缩进两字） Char"/>
    <w:autoRedefine/>
    <w:qFormat/>
    <w:uiPriority w:val="0"/>
    <w:rPr>
      <w:rFonts w:eastAsia="宋体"/>
      <w:kern w:val="2"/>
      <w:sz w:val="28"/>
      <w:lang w:val="en-US" w:eastAsia="zh-CN"/>
    </w:rPr>
  </w:style>
  <w:style w:type="character" w:customStyle="1" w:styleId="399">
    <w:name w:val="页眉 字符"/>
    <w:link w:val="58"/>
    <w:autoRedefine/>
    <w:qFormat/>
    <w:uiPriority w:val="99"/>
    <w:rPr>
      <w:kern w:val="2"/>
      <w:sz w:val="21"/>
    </w:rPr>
  </w:style>
  <w:style w:type="character" w:customStyle="1" w:styleId="400">
    <w:name w:val="Char Char331"/>
    <w:autoRedefine/>
    <w:qFormat/>
    <w:uiPriority w:val="0"/>
    <w:rPr>
      <w:rFonts w:eastAsia="宋体"/>
      <w:b/>
      <w:bCs/>
      <w:kern w:val="2"/>
      <w:sz w:val="28"/>
      <w:szCs w:val="28"/>
      <w:lang w:val="en-US" w:eastAsia="zh-CN" w:bidi="ar-SA"/>
    </w:rPr>
  </w:style>
  <w:style w:type="character" w:customStyle="1" w:styleId="401">
    <w:name w:val="日期 字符"/>
    <w:link w:val="51"/>
    <w:autoRedefine/>
    <w:qFormat/>
    <w:uiPriority w:val="0"/>
    <w:rPr>
      <w:rFonts w:ascii="仿宋_GB2312" w:hAnsi="华文中宋" w:eastAsia="仿宋_GB2312"/>
      <w:b/>
      <w:kern w:val="2"/>
      <w:sz w:val="32"/>
      <w:lang w:val="en-US" w:eastAsia="zh-CN"/>
    </w:rPr>
  </w:style>
  <w:style w:type="character" w:customStyle="1" w:styleId="402">
    <w:name w:val="宏文本 字符"/>
    <w:link w:val="4"/>
    <w:autoRedefine/>
    <w:qFormat/>
    <w:uiPriority w:val="0"/>
    <w:rPr>
      <w:rFonts w:ascii="Courier New" w:hAnsi="Courier New"/>
      <w:kern w:val="2"/>
      <w:sz w:val="24"/>
      <w:szCs w:val="24"/>
      <w:lang w:val="en-US" w:eastAsia="zh-CN" w:bidi="ar-SA"/>
    </w:rPr>
  </w:style>
  <w:style w:type="character" w:customStyle="1" w:styleId="403">
    <w:name w:val="Char Char31"/>
    <w:autoRedefine/>
    <w:qFormat/>
    <w:locked/>
    <w:uiPriority w:val="0"/>
    <w:rPr>
      <w:rFonts w:ascii="宋体" w:hAnsi="宋体" w:eastAsia="宋体"/>
      <w:kern w:val="2"/>
      <w:sz w:val="18"/>
      <w:szCs w:val="18"/>
      <w:lang w:val="en-US" w:eastAsia="zh-CN" w:bidi="ar-SA"/>
    </w:rPr>
  </w:style>
  <w:style w:type="character" w:customStyle="1" w:styleId="404">
    <w:name w:val="biao3"/>
    <w:autoRedefine/>
    <w:qFormat/>
    <w:uiPriority w:val="0"/>
    <w:rPr>
      <w:rFonts w:ascii="楷体_GB2312" w:hAnsi="楷体_GB2312" w:eastAsia="楷体_GB2312"/>
      <w:b/>
      <w:bCs/>
      <w:color w:val="000000"/>
      <w:sz w:val="28"/>
    </w:rPr>
  </w:style>
  <w:style w:type="character" w:customStyle="1" w:styleId="405">
    <w:name w:val="Char Char14"/>
    <w:autoRedefine/>
    <w:qFormat/>
    <w:locked/>
    <w:uiPriority w:val="0"/>
    <w:rPr>
      <w:rFonts w:ascii="Courier New" w:hAnsi="Courier New" w:eastAsia="宋体" w:cs="Courier New"/>
      <w:kern w:val="2"/>
      <w:lang w:val="en-US" w:eastAsia="zh-CN" w:bidi="ar-SA"/>
    </w:rPr>
  </w:style>
  <w:style w:type="character" w:customStyle="1" w:styleId="406">
    <w:name w:val="引用 Char"/>
    <w:link w:val="237"/>
    <w:autoRedefine/>
    <w:qFormat/>
    <w:uiPriority w:val="0"/>
    <w:rPr>
      <w:rFonts w:ascii="Calibri" w:hAnsi="Calibri" w:eastAsia="宋体"/>
      <w:i/>
      <w:sz w:val="24"/>
      <w:lang w:val="en-US" w:eastAsia="en-US"/>
    </w:rPr>
  </w:style>
  <w:style w:type="character" w:customStyle="1" w:styleId="407">
    <w:name w:val="样式 楷体_GB2312 四号 加粗"/>
    <w:autoRedefine/>
    <w:qFormat/>
    <w:uiPriority w:val="0"/>
    <w:rPr>
      <w:rFonts w:ascii="楷体_GB2312" w:hAnsi="楷体_GB2312" w:eastAsia="楷体_GB2312"/>
      <w:b/>
      <w:bCs/>
      <w:sz w:val="28"/>
    </w:rPr>
  </w:style>
  <w:style w:type="character" w:customStyle="1" w:styleId="408">
    <w:name w:val="tt1"/>
    <w:autoRedefine/>
    <w:qFormat/>
    <w:uiPriority w:val="0"/>
    <w:rPr>
      <w:sz w:val="18"/>
      <w:szCs w:val="18"/>
    </w:rPr>
  </w:style>
  <w:style w:type="character" w:customStyle="1" w:styleId="409">
    <w:name w:val="电子邮件签名 字符"/>
    <w:link w:val="22"/>
    <w:autoRedefine/>
    <w:qFormat/>
    <w:uiPriority w:val="0"/>
    <w:rPr>
      <w:kern w:val="2"/>
      <w:sz w:val="21"/>
      <w:szCs w:val="24"/>
    </w:rPr>
  </w:style>
  <w:style w:type="character" w:customStyle="1" w:styleId="410">
    <w:name w:val="Char Char29"/>
    <w:autoRedefine/>
    <w:qFormat/>
    <w:locked/>
    <w:uiPriority w:val="0"/>
    <w:rPr>
      <w:rFonts w:ascii="宋体" w:hAnsi="宋体" w:eastAsia="宋体"/>
      <w:kern w:val="2"/>
      <w:sz w:val="24"/>
      <w:szCs w:val="24"/>
      <w:lang w:val="en-US" w:eastAsia="zh-CN" w:bidi="ar-SA"/>
    </w:rPr>
  </w:style>
  <w:style w:type="character" w:customStyle="1" w:styleId="411">
    <w:name w:val="初设2 Char Char"/>
    <w:link w:val="146"/>
    <w:autoRedefine/>
    <w:qFormat/>
    <w:uiPriority w:val="0"/>
    <w:rPr>
      <w:rFonts w:ascii="宋体" w:hAnsi="宋体"/>
      <w:sz w:val="24"/>
      <w:szCs w:val="24"/>
    </w:rPr>
  </w:style>
  <w:style w:type="character" w:customStyle="1" w:styleId="412">
    <w:name w:val="页码1"/>
    <w:autoRedefine/>
    <w:qFormat/>
    <w:uiPriority w:val="0"/>
    <w:rPr>
      <w:rFonts w:cs="Times New Roman"/>
    </w:rPr>
  </w:style>
  <w:style w:type="character" w:customStyle="1" w:styleId="413">
    <w:name w:val="Char Char25"/>
    <w:autoRedefine/>
    <w:semiHidden/>
    <w:qFormat/>
    <w:uiPriority w:val="0"/>
    <w:rPr>
      <w:rFonts w:ascii="Times New Roman" w:hAnsi="Times New Roman"/>
      <w:kern w:val="2"/>
      <w:sz w:val="18"/>
      <w:szCs w:val="18"/>
    </w:rPr>
  </w:style>
  <w:style w:type="character" w:customStyle="1" w:styleId="414">
    <w:name w:val="样式 样式 样式 样式 楷体_GB2312 四号 加粗 黑色 + 非加粗 + 非加粗 + 非加粗"/>
    <w:autoRedefine/>
    <w:qFormat/>
    <w:uiPriority w:val="0"/>
  </w:style>
  <w:style w:type="character" w:customStyle="1" w:styleId="415">
    <w:name w:val="Char Char341"/>
    <w:autoRedefine/>
    <w:qFormat/>
    <w:uiPriority w:val="0"/>
    <w:rPr>
      <w:rFonts w:ascii="楷体_GB2312" w:hAnsi="Arial" w:eastAsia="楷体_GB2312"/>
      <w:bCs/>
      <w:kern w:val="2"/>
      <w:sz w:val="28"/>
      <w:szCs w:val="28"/>
    </w:rPr>
  </w:style>
  <w:style w:type="character" w:customStyle="1" w:styleId="416">
    <w:name w:val="标题 6 字符"/>
    <w:link w:val="10"/>
    <w:autoRedefine/>
    <w:qFormat/>
    <w:uiPriority w:val="0"/>
    <w:rPr>
      <w:rFonts w:ascii="Arial" w:hAnsi="Arial" w:eastAsia="黑体"/>
      <w:b/>
      <w:sz w:val="24"/>
      <w:lang w:val="en-US" w:eastAsia="zh-CN"/>
    </w:rPr>
  </w:style>
  <w:style w:type="character" w:customStyle="1" w:styleId="417">
    <w:name w:val="Char Char15"/>
    <w:autoRedefine/>
    <w:qFormat/>
    <w:locked/>
    <w:uiPriority w:val="0"/>
    <w:rPr>
      <w:rFonts w:ascii="宋体" w:hAnsi="宋体" w:eastAsia="宋体"/>
      <w:i/>
      <w:iCs/>
      <w:kern w:val="2"/>
      <w:sz w:val="21"/>
      <w:szCs w:val="24"/>
      <w:lang w:val="en-US" w:eastAsia="zh-CN" w:bidi="ar-SA"/>
    </w:rPr>
  </w:style>
  <w:style w:type="character" w:customStyle="1" w:styleId="418">
    <w:name w:val="图名 Char"/>
    <w:link w:val="317"/>
    <w:autoRedefine/>
    <w:qFormat/>
    <w:uiPriority w:val="0"/>
    <w:rPr>
      <w:rFonts w:ascii="楷体_GB2312" w:hAnsi="宋体" w:eastAsia="楷体_GB2312"/>
      <w:kern w:val="2"/>
      <w:sz w:val="21"/>
      <w:szCs w:val="24"/>
      <w:lang w:val="en-US" w:eastAsia="zh-CN" w:bidi="ar-SA"/>
    </w:rPr>
  </w:style>
  <w:style w:type="character" w:customStyle="1" w:styleId="419">
    <w:name w:val="Char Char251"/>
    <w:autoRedefine/>
    <w:semiHidden/>
    <w:qFormat/>
    <w:uiPriority w:val="0"/>
    <w:rPr>
      <w:rFonts w:hint="default" w:ascii="Times New Roman" w:hAnsi="Times New Roman" w:cs="Times New Roman"/>
      <w:kern w:val="2"/>
      <w:sz w:val="18"/>
      <w:szCs w:val="18"/>
    </w:rPr>
  </w:style>
  <w:style w:type="character" w:customStyle="1" w:styleId="420">
    <w:name w:val="标题 4 字符"/>
    <w:link w:val="8"/>
    <w:autoRedefine/>
    <w:qFormat/>
    <w:uiPriority w:val="0"/>
    <w:rPr>
      <w:rFonts w:eastAsia="宋体"/>
      <w:kern w:val="2"/>
      <w:sz w:val="28"/>
      <w:lang w:val="en-US" w:eastAsia="zh-CN"/>
    </w:rPr>
  </w:style>
  <w:style w:type="character" w:customStyle="1" w:styleId="421">
    <w:name w:val="页脚 字符"/>
    <w:link w:val="56"/>
    <w:autoRedefine/>
    <w:qFormat/>
    <w:uiPriority w:val="99"/>
    <w:rPr>
      <w:rFonts w:eastAsia="宋体"/>
      <w:kern w:val="2"/>
      <w:sz w:val="18"/>
      <w:lang w:val="en-US" w:eastAsia="zh-CN"/>
    </w:rPr>
  </w:style>
  <w:style w:type="character" w:customStyle="1" w:styleId="422">
    <w:name w:val="Char Char2"/>
    <w:autoRedefine/>
    <w:qFormat/>
    <w:locked/>
    <w:uiPriority w:val="0"/>
    <w:rPr>
      <w:rFonts w:ascii="Arial" w:hAnsi="Arial" w:eastAsia="宋体" w:cs="Arial"/>
      <w:kern w:val="2"/>
      <w:sz w:val="24"/>
      <w:szCs w:val="24"/>
      <w:lang w:val="en-US" w:eastAsia="zh-CN" w:bidi="ar-SA"/>
    </w:rPr>
  </w:style>
  <w:style w:type="character" w:customStyle="1" w:styleId="423">
    <w:name w:val="Char Char19"/>
    <w:autoRedefine/>
    <w:qFormat/>
    <w:locked/>
    <w:uiPriority w:val="0"/>
    <w:rPr>
      <w:rFonts w:ascii="宋体" w:hAnsi="宋体" w:eastAsia="宋体"/>
      <w:kern w:val="2"/>
      <w:sz w:val="21"/>
      <w:lang w:val="en-US" w:eastAsia="zh-CN" w:bidi="ar-SA"/>
    </w:rPr>
  </w:style>
  <w:style w:type="character" w:customStyle="1" w:styleId="424">
    <w:name w:val="正文 + 宋体 Char"/>
    <w:link w:val="334"/>
    <w:autoRedefine/>
    <w:qFormat/>
    <w:uiPriority w:val="0"/>
    <w:rPr>
      <w:rFonts w:eastAsia="宋体"/>
      <w:b/>
      <w:spacing w:val="32"/>
      <w:kern w:val="2"/>
      <w:sz w:val="24"/>
      <w:szCs w:val="24"/>
      <w:lang w:val="en-US" w:eastAsia="zh-CN" w:bidi="ar-SA"/>
    </w:rPr>
  </w:style>
  <w:style w:type="character" w:customStyle="1" w:styleId="425">
    <w:name w:val="纯文本 Char1"/>
    <w:autoRedefine/>
    <w:qFormat/>
    <w:uiPriority w:val="0"/>
    <w:rPr>
      <w:rFonts w:ascii="宋体" w:hAnsi="Courier New" w:eastAsia="宋体" w:cs="Times New Roman"/>
      <w:szCs w:val="20"/>
    </w:rPr>
  </w:style>
  <w:style w:type="character" w:customStyle="1" w:styleId="426">
    <w:name w:val="样式11 首行缩进:  2 字符1 Char Char"/>
    <w:link w:val="320"/>
    <w:autoRedefine/>
    <w:qFormat/>
    <w:uiPriority w:val="0"/>
    <w:rPr>
      <w:kern w:val="2"/>
      <w:sz w:val="24"/>
      <w:szCs w:val="24"/>
    </w:rPr>
  </w:style>
  <w:style w:type="character" w:customStyle="1" w:styleId="427">
    <w:name w:val="Char Char81"/>
    <w:autoRedefine/>
    <w:qFormat/>
    <w:uiPriority w:val="0"/>
    <w:rPr>
      <w:rFonts w:ascii="Times New Roman" w:hAnsi="Times New Roman" w:eastAsia="宋体" w:cs="Times New Roman"/>
      <w:kern w:val="2"/>
      <w:sz w:val="21"/>
      <w:szCs w:val="24"/>
      <w:lang w:val="en-US" w:eastAsia="zh-CN" w:bidi="ar-SA"/>
    </w:rPr>
  </w:style>
  <w:style w:type="character" w:customStyle="1" w:styleId="428">
    <w:name w:val="样式1 Char"/>
    <w:link w:val="318"/>
    <w:autoRedefine/>
    <w:qFormat/>
    <w:uiPriority w:val="0"/>
    <w:rPr>
      <w:rFonts w:ascii="宋体" w:hAnsi="宋体"/>
      <w:b/>
      <w:kern w:val="2"/>
      <w:sz w:val="24"/>
    </w:rPr>
  </w:style>
  <w:style w:type="character" w:customStyle="1" w:styleId="429">
    <w:name w:val="Char Char32"/>
    <w:autoRedefine/>
    <w:qFormat/>
    <w:locked/>
    <w:uiPriority w:val="0"/>
    <w:rPr>
      <w:rFonts w:ascii="宋体" w:hAnsi="宋体" w:eastAsia="宋体"/>
      <w:kern w:val="2"/>
      <w:sz w:val="18"/>
      <w:szCs w:val="18"/>
      <w:lang w:val="en-US" w:eastAsia="zh-CN" w:bidi="ar-SA"/>
    </w:rPr>
  </w:style>
  <w:style w:type="character" w:customStyle="1" w:styleId="430">
    <w:name w:val="HTML 预设格式 字符"/>
    <w:link w:val="81"/>
    <w:autoRedefine/>
    <w:qFormat/>
    <w:uiPriority w:val="0"/>
    <w:rPr>
      <w:rFonts w:ascii="宋体" w:hAnsi="宋体"/>
      <w:sz w:val="24"/>
    </w:rPr>
  </w:style>
  <w:style w:type="character" w:customStyle="1" w:styleId="431">
    <w:name w:val="标题 4 Char Char"/>
    <w:autoRedefine/>
    <w:qFormat/>
    <w:uiPriority w:val="0"/>
    <w:rPr>
      <w:rFonts w:ascii="楷体_GB2312" w:hAnsi="Arial" w:eastAsia="楷体_GB2312"/>
      <w:bCs/>
      <w:kern w:val="2"/>
      <w:sz w:val="28"/>
      <w:szCs w:val="28"/>
      <w:lang w:val="en-US" w:eastAsia="zh-CN" w:bidi="ar-SA"/>
    </w:rPr>
  </w:style>
  <w:style w:type="character" w:customStyle="1" w:styleId="432">
    <w:name w:val="文档结构图 Char1"/>
    <w:autoRedefine/>
    <w:qFormat/>
    <w:locked/>
    <w:uiPriority w:val="0"/>
    <w:rPr>
      <w:rFonts w:ascii="宋体" w:hAnsi="Times New Roman" w:eastAsia="宋体" w:cs="Times New Roman"/>
      <w:sz w:val="18"/>
    </w:rPr>
  </w:style>
  <w:style w:type="character" w:customStyle="1" w:styleId="433">
    <w:name w:val="_Style 432"/>
    <w:autoRedefine/>
    <w:qFormat/>
    <w:uiPriority w:val="0"/>
    <w:rPr>
      <w:b/>
      <w:sz w:val="24"/>
      <w:u w:val="single"/>
    </w:rPr>
  </w:style>
  <w:style w:type="character" w:customStyle="1" w:styleId="434">
    <w:name w:val="emailstyle20"/>
    <w:autoRedefine/>
    <w:qFormat/>
    <w:uiPriority w:val="0"/>
    <w:rPr>
      <w:rFonts w:ascii="Arial" w:hAnsi="Arial" w:eastAsia="宋体"/>
      <w:color w:val="000000"/>
      <w:sz w:val="20"/>
    </w:rPr>
  </w:style>
  <w:style w:type="character" w:customStyle="1" w:styleId="435">
    <w:name w:val="Char Char271"/>
    <w:autoRedefine/>
    <w:semiHidden/>
    <w:qFormat/>
    <w:uiPriority w:val="0"/>
    <w:rPr>
      <w:kern w:val="2"/>
      <w:sz w:val="18"/>
      <w:szCs w:val="18"/>
    </w:rPr>
  </w:style>
  <w:style w:type="character" w:customStyle="1" w:styleId="436">
    <w:name w:val="_Style 435"/>
    <w:autoRedefine/>
    <w:qFormat/>
    <w:uiPriority w:val="0"/>
    <w:rPr>
      <w:sz w:val="24"/>
      <w:u w:val="single"/>
    </w:rPr>
  </w:style>
  <w:style w:type="character" w:customStyle="1" w:styleId="437">
    <w:name w:val="标题 7 字符"/>
    <w:link w:val="11"/>
    <w:autoRedefine/>
    <w:qFormat/>
    <w:uiPriority w:val="0"/>
    <w:rPr>
      <w:rFonts w:eastAsia="宋体"/>
      <w:b/>
      <w:sz w:val="24"/>
      <w:lang w:val="en-US" w:eastAsia="zh-CN"/>
    </w:rPr>
  </w:style>
  <w:style w:type="character" w:customStyle="1" w:styleId="438">
    <w:name w:val="标题 Char1"/>
    <w:autoRedefine/>
    <w:qFormat/>
    <w:uiPriority w:val="10"/>
    <w:rPr>
      <w:rFonts w:ascii="Cambria" w:hAnsi="Cambria" w:eastAsia="宋体" w:cs="Times New Roman"/>
      <w:b/>
      <w:bCs/>
      <w:sz w:val="32"/>
      <w:szCs w:val="32"/>
    </w:rPr>
  </w:style>
  <w:style w:type="character" w:customStyle="1" w:styleId="439">
    <w:name w:val="称呼 字符"/>
    <w:link w:val="32"/>
    <w:autoRedefine/>
    <w:qFormat/>
    <w:uiPriority w:val="0"/>
    <w:rPr>
      <w:kern w:val="2"/>
      <w:sz w:val="21"/>
      <w:szCs w:val="24"/>
    </w:rPr>
  </w:style>
  <w:style w:type="character" w:customStyle="1" w:styleId="440">
    <w:name w:val="节 Char Char"/>
    <w:autoRedefine/>
    <w:qFormat/>
    <w:uiPriority w:val="0"/>
    <w:rPr>
      <w:rFonts w:ascii="楷体_GB2312" w:hAnsi="Arial" w:eastAsia="楷体_GB2312"/>
      <w:kern w:val="2"/>
      <w:sz w:val="28"/>
      <w:szCs w:val="32"/>
    </w:rPr>
  </w:style>
  <w:style w:type="character" w:customStyle="1" w:styleId="441">
    <w:name w:val="Char Char351"/>
    <w:autoRedefine/>
    <w:qFormat/>
    <w:uiPriority w:val="0"/>
    <w:rPr>
      <w:rFonts w:ascii="Times New Roman" w:hAnsi="Times New Roman"/>
      <w:b/>
      <w:bCs/>
      <w:kern w:val="2"/>
      <w:sz w:val="32"/>
      <w:szCs w:val="32"/>
    </w:rPr>
  </w:style>
  <w:style w:type="character" w:customStyle="1" w:styleId="442">
    <w:name w:val="cucd-1 Char"/>
    <w:link w:val="126"/>
    <w:autoRedefine/>
    <w:qFormat/>
    <w:uiPriority w:val="0"/>
    <w:rPr>
      <w:rFonts w:eastAsia="黑体"/>
      <w:b/>
      <w:kern w:val="2"/>
      <w:sz w:val="36"/>
      <w:lang w:val="en-US" w:eastAsia="zh-CN" w:bidi="ar-SA"/>
    </w:rPr>
  </w:style>
  <w:style w:type="character" w:customStyle="1" w:styleId="443">
    <w:name w:val="标题-04"/>
    <w:autoRedefine/>
    <w:qFormat/>
    <w:uiPriority w:val="0"/>
    <w:rPr>
      <w:rFonts w:eastAsia="宋体"/>
      <w:sz w:val="24"/>
    </w:rPr>
  </w:style>
  <w:style w:type="character" w:customStyle="1" w:styleId="444">
    <w:name w:val="标题 4 Char2"/>
    <w:autoRedefine/>
    <w:qFormat/>
    <w:uiPriority w:val="0"/>
    <w:rPr>
      <w:rFonts w:ascii="Arial" w:hAnsi="Arial" w:eastAsia="黑体"/>
      <w:b/>
      <w:bCs/>
      <w:kern w:val="2"/>
      <w:sz w:val="28"/>
      <w:szCs w:val="28"/>
      <w:lang w:val="en-US" w:eastAsia="zh-CN" w:bidi="ar-SA"/>
    </w:rPr>
  </w:style>
  <w:style w:type="character" w:customStyle="1" w:styleId="445">
    <w:name w:val="标题 8 字符"/>
    <w:link w:val="12"/>
    <w:autoRedefine/>
    <w:qFormat/>
    <w:uiPriority w:val="0"/>
    <w:rPr>
      <w:rFonts w:ascii="Arial" w:hAnsi="Arial" w:eastAsia="黑体"/>
      <w:sz w:val="24"/>
      <w:lang w:val="en-US" w:eastAsia="zh-CN"/>
    </w:rPr>
  </w:style>
  <w:style w:type="character" w:customStyle="1" w:styleId="446">
    <w:name w:val="22 Char"/>
    <w:autoRedefine/>
    <w:qFormat/>
    <w:uiPriority w:val="0"/>
    <w:rPr>
      <w:rFonts w:ascii="Arial" w:hAnsi="Arial" w:eastAsia="宋体"/>
      <w:b/>
      <w:bCs/>
      <w:kern w:val="2"/>
      <w:sz w:val="24"/>
      <w:szCs w:val="32"/>
      <w:lang w:val="en-US" w:eastAsia="zh-CN" w:bidi="ar-SA"/>
    </w:rPr>
  </w:style>
  <w:style w:type="character" w:customStyle="1" w:styleId="447">
    <w:name w:val="_Style 446"/>
    <w:autoRedefine/>
    <w:qFormat/>
    <w:uiPriority w:val="0"/>
    <w:rPr>
      <w:i/>
      <w:color w:val="5A5A5A"/>
    </w:rPr>
  </w:style>
  <w:style w:type="character" w:customStyle="1" w:styleId="448">
    <w:name w:val="HTML 地址 字符"/>
    <w:link w:val="42"/>
    <w:autoRedefine/>
    <w:qFormat/>
    <w:uiPriority w:val="0"/>
    <w:rPr>
      <w:i/>
      <w:iCs/>
      <w:kern w:val="2"/>
      <w:sz w:val="21"/>
      <w:szCs w:val="24"/>
    </w:rPr>
  </w:style>
  <w:style w:type="character" w:customStyle="1" w:styleId="449">
    <w:name w:val="p14"/>
    <w:autoRedefine/>
    <w:qFormat/>
    <w:uiPriority w:val="0"/>
  </w:style>
  <w:style w:type="character" w:customStyle="1" w:styleId="450">
    <w:name w:val="h3 Char"/>
    <w:autoRedefine/>
    <w:qFormat/>
    <w:uiPriority w:val="0"/>
    <w:rPr>
      <w:rFonts w:eastAsia="宋体"/>
      <w:b/>
      <w:bCs/>
      <w:kern w:val="2"/>
      <w:sz w:val="32"/>
      <w:szCs w:val="32"/>
      <w:lang w:val="en-US" w:eastAsia="zh-CN" w:bidi="ar-SA"/>
    </w:rPr>
  </w:style>
  <w:style w:type="character" w:customStyle="1" w:styleId="451">
    <w:name w:val="正文（首行缩进两字） Char Char Char"/>
    <w:autoRedefine/>
    <w:qFormat/>
    <w:uiPriority w:val="0"/>
    <w:rPr>
      <w:rFonts w:eastAsia="宋体"/>
      <w:kern w:val="2"/>
      <w:sz w:val="28"/>
      <w:lang w:val="en-US" w:eastAsia="zh-CN"/>
    </w:rPr>
  </w:style>
  <w:style w:type="character" w:customStyle="1" w:styleId="452">
    <w:name w:val="批注框文本 Char1"/>
    <w:autoRedefine/>
    <w:semiHidden/>
    <w:qFormat/>
    <w:uiPriority w:val="0"/>
    <w:rPr>
      <w:rFonts w:cs="Times New Roman"/>
      <w:sz w:val="18"/>
      <w:szCs w:val="18"/>
    </w:rPr>
  </w:style>
  <w:style w:type="character" w:customStyle="1" w:styleId="453">
    <w:name w:val="样式 样式 样式 楷体_GB2312 四号 加粗 黑色 + 非加粗 + 非加粗"/>
    <w:autoRedefine/>
    <w:qFormat/>
    <w:uiPriority w:val="0"/>
  </w:style>
  <w:style w:type="character" w:customStyle="1" w:styleId="454">
    <w:name w:val="正文文本缩进 3 Char1"/>
    <w:autoRedefine/>
    <w:semiHidden/>
    <w:qFormat/>
    <w:uiPriority w:val="0"/>
    <w:rPr>
      <w:rFonts w:ascii="Times New Roman" w:hAnsi="Times New Roman" w:eastAsia="宋体" w:cs="Times New Roman"/>
      <w:sz w:val="16"/>
      <w:szCs w:val="16"/>
    </w:rPr>
  </w:style>
  <w:style w:type="character" w:customStyle="1" w:styleId="455">
    <w:name w:val="引用 Char1"/>
    <w:autoRedefine/>
    <w:qFormat/>
    <w:uiPriority w:val="29"/>
    <w:rPr>
      <w:rFonts w:ascii="Times New Roman" w:hAnsi="Times New Roman" w:eastAsia="宋体" w:cs="Times New Roman"/>
      <w:i/>
      <w:iCs/>
      <w:color w:val="000000"/>
      <w:szCs w:val="20"/>
    </w:rPr>
  </w:style>
  <w:style w:type="character" w:customStyle="1" w:styleId="456">
    <w:name w:val="标题 3 Char Char"/>
    <w:autoRedefine/>
    <w:qFormat/>
    <w:uiPriority w:val="0"/>
    <w:rPr>
      <w:rFonts w:eastAsia="楷体_GB2312"/>
      <w:b/>
      <w:bCs/>
      <w:kern w:val="2"/>
      <w:sz w:val="28"/>
      <w:szCs w:val="28"/>
      <w:lang w:val="en-US" w:eastAsia="zh-CN" w:bidi="ar-SA"/>
    </w:rPr>
  </w:style>
  <w:style w:type="character" w:customStyle="1" w:styleId="457">
    <w:name w:val="Char Char22"/>
    <w:autoRedefine/>
    <w:semiHidden/>
    <w:qFormat/>
    <w:locked/>
    <w:uiPriority w:val="0"/>
    <w:rPr>
      <w:rFonts w:ascii="宋体" w:hAnsi="宋体" w:eastAsia="宋体"/>
      <w:b/>
      <w:bCs/>
      <w:kern w:val="2"/>
      <w:sz w:val="21"/>
      <w:lang w:val="en-US" w:eastAsia="zh-CN" w:bidi="ar-SA"/>
    </w:rPr>
  </w:style>
  <w:style w:type="character" w:customStyle="1" w:styleId="458">
    <w:name w:val="正文（首行缩进两字） Char Char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kern w:val="2"/>
      <w:sz w:val="28"/>
      <w:lang w:val="en-US" w:eastAsia="zh-CN"/>
    </w:rPr>
  </w:style>
  <w:style w:type="character" w:customStyle="1" w:styleId="459">
    <w:name w:val="Char Char11"/>
    <w:autoRedefine/>
    <w:semiHidden/>
    <w:qFormat/>
    <w:locked/>
    <w:uiPriority w:val="0"/>
    <w:rPr>
      <w:rFonts w:ascii="Courier New" w:hAnsi="Courier New" w:eastAsia="宋体" w:cs="Courier New"/>
      <w:kern w:val="2"/>
      <w:sz w:val="24"/>
      <w:szCs w:val="24"/>
      <w:lang w:val="en-US" w:eastAsia="zh-CN" w:bidi="ar-SA"/>
    </w:rPr>
  </w:style>
  <w:style w:type="character" w:customStyle="1" w:styleId="460">
    <w:name w:val="正文首行缩进 2 字符"/>
    <w:link w:val="87"/>
    <w:autoRedefine/>
    <w:qFormat/>
    <w:uiPriority w:val="0"/>
    <w:rPr>
      <w:rFonts w:ascii="宋体" w:hAnsi="宋体"/>
      <w:kern w:val="2"/>
      <w:sz w:val="21"/>
      <w:szCs w:val="24"/>
    </w:rPr>
  </w:style>
  <w:style w:type="character" w:customStyle="1" w:styleId="461">
    <w:name w:val="样式 样式 楷体_GB2312 四号 加粗 黑色 + 非加粗"/>
    <w:autoRedefine/>
    <w:qFormat/>
    <w:uiPriority w:val="0"/>
  </w:style>
  <w:style w:type="character" w:customStyle="1" w:styleId="462">
    <w:name w:val="正文文本 字符"/>
    <w:link w:val="3"/>
    <w:autoRedefine/>
    <w:qFormat/>
    <w:uiPriority w:val="0"/>
    <w:rPr>
      <w:rFonts w:ascii="宋体"/>
      <w:kern w:val="2"/>
      <w:sz w:val="19"/>
    </w:rPr>
  </w:style>
  <w:style w:type="character" w:customStyle="1" w:styleId="463">
    <w:name w:val="表名称 Char Char Char"/>
    <w:link w:val="142"/>
    <w:autoRedefine/>
    <w:qFormat/>
    <w:uiPriority w:val="0"/>
    <w:rPr>
      <w:kern w:val="2"/>
      <w:sz w:val="28"/>
      <w:szCs w:val="28"/>
    </w:rPr>
  </w:style>
  <w:style w:type="character" w:customStyle="1" w:styleId="464">
    <w:name w:val="文档结构图 Char2"/>
    <w:autoRedefine/>
    <w:semiHidden/>
    <w:qFormat/>
    <w:uiPriority w:val="0"/>
    <w:rPr>
      <w:rFonts w:ascii="宋体"/>
      <w:kern w:val="2"/>
      <w:sz w:val="18"/>
    </w:rPr>
  </w:style>
  <w:style w:type="character" w:customStyle="1" w:styleId="465">
    <w:name w:val="Char Char51"/>
    <w:autoRedefine/>
    <w:qFormat/>
    <w:uiPriority w:val="0"/>
    <w:rPr>
      <w:rFonts w:eastAsia="宋体"/>
      <w:b/>
      <w:bCs/>
      <w:kern w:val="44"/>
      <w:sz w:val="44"/>
      <w:szCs w:val="44"/>
      <w:lang w:val="en-US" w:eastAsia="zh-CN" w:bidi="ar-SA"/>
    </w:rPr>
  </w:style>
  <w:style w:type="character" w:customStyle="1" w:styleId="466">
    <w:name w:val="Char Char1"/>
    <w:autoRedefine/>
    <w:qFormat/>
    <w:locked/>
    <w:uiPriority w:val="0"/>
    <w:rPr>
      <w:rFonts w:ascii="Arial" w:hAnsi="Arial" w:eastAsia="华文细黑"/>
      <w:kern w:val="44"/>
      <w:sz w:val="28"/>
      <w:szCs w:val="32"/>
      <w:lang w:val="en-US" w:eastAsia="zh-CN" w:bidi="ar-SA"/>
    </w:rPr>
  </w:style>
  <w:style w:type="character" w:customStyle="1" w:styleId="467">
    <w:name w:val="正文首行缩进 字符"/>
    <w:link w:val="2"/>
    <w:autoRedefine/>
    <w:qFormat/>
    <w:uiPriority w:val="0"/>
    <w:rPr>
      <w:rFonts w:ascii="Arial" w:hAnsi="Arial" w:eastAsia="华文细黑"/>
      <w:b/>
      <w:bCs/>
      <w:kern w:val="44"/>
      <w:sz w:val="28"/>
      <w:szCs w:val="32"/>
    </w:rPr>
  </w:style>
  <w:style w:type="character" w:customStyle="1" w:styleId="468">
    <w:name w:val="Char3"/>
    <w:autoRedefine/>
    <w:qFormat/>
    <w:uiPriority w:val="0"/>
    <w:rPr>
      <w:rFonts w:ascii="Arial" w:hAnsi="Arial" w:eastAsia="黑体"/>
      <w:b/>
      <w:sz w:val="32"/>
      <w:lang w:val="en-US" w:eastAsia="zh-CN"/>
    </w:rPr>
  </w:style>
  <w:style w:type="character" w:customStyle="1" w:styleId="469">
    <w:name w:val="Char Char20"/>
    <w:autoRedefine/>
    <w:qFormat/>
    <w:locked/>
    <w:uiPriority w:val="0"/>
    <w:rPr>
      <w:rFonts w:ascii="Arial" w:hAnsi="Arial" w:eastAsia="宋体" w:cs="Arial"/>
      <w:b/>
      <w:kern w:val="2"/>
      <w:sz w:val="32"/>
      <w:lang w:val="en-US" w:eastAsia="zh-CN" w:bidi="ar-SA"/>
    </w:rPr>
  </w:style>
  <w:style w:type="character" w:customStyle="1" w:styleId="470">
    <w:name w:val="Char Char21"/>
    <w:autoRedefine/>
    <w:qFormat/>
    <w:locked/>
    <w:uiPriority w:val="0"/>
    <w:rPr>
      <w:rFonts w:ascii="宋体" w:hAnsi="宋体" w:eastAsia="宋体"/>
      <w:kern w:val="2"/>
      <w:sz w:val="18"/>
      <w:szCs w:val="18"/>
      <w:lang w:val="en-US" w:eastAsia="zh-CN" w:bidi="ar-SA"/>
    </w:rPr>
  </w:style>
  <w:style w:type="character" w:customStyle="1" w:styleId="471">
    <w:name w:val="签名 字符"/>
    <w:link w:val="59"/>
    <w:autoRedefine/>
    <w:qFormat/>
    <w:uiPriority w:val="0"/>
    <w:rPr>
      <w:kern w:val="2"/>
      <w:sz w:val="21"/>
      <w:szCs w:val="24"/>
    </w:rPr>
  </w:style>
  <w:style w:type="character" w:customStyle="1" w:styleId="472">
    <w:name w:val="副标题 字符"/>
    <w:link w:val="65"/>
    <w:autoRedefine/>
    <w:qFormat/>
    <w:uiPriority w:val="0"/>
    <w:rPr>
      <w:rFonts w:ascii="Cambria" w:hAnsi="Cambria" w:eastAsia="宋体"/>
      <w:sz w:val="24"/>
      <w:lang w:val="en-US" w:eastAsia="en-US"/>
    </w:rPr>
  </w:style>
  <w:style w:type="character" w:customStyle="1" w:styleId="473">
    <w:name w:val="标题 3 Char1"/>
    <w:autoRedefine/>
    <w:qFormat/>
    <w:uiPriority w:val="0"/>
    <w:rPr>
      <w:rFonts w:ascii="Arial" w:hAnsi="Arial" w:eastAsia="华文细黑" w:cs="Times New Roman"/>
      <w:b/>
      <w:kern w:val="44"/>
      <w:sz w:val="28"/>
      <w:szCs w:val="32"/>
    </w:rPr>
  </w:style>
  <w:style w:type="character" w:customStyle="1" w:styleId="474">
    <w:name w:val="正文文本缩进 Char1"/>
    <w:autoRedefine/>
    <w:qFormat/>
    <w:uiPriority w:val="0"/>
    <w:rPr>
      <w:rFonts w:ascii="Times New Roman" w:hAnsi="Times New Roman" w:eastAsia="宋体" w:cs="Times New Roman"/>
      <w:szCs w:val="21"/>
    </w:rPr>
  </w:style>
  <w:style w:type="character" w:customStyle="1" w:styleId="475">
    <w:name w:val="批注文字 字符"/>
    <w:link w:val="30"/>
    <w:autoRedefine/>
    <w:qFormat/>
    <w:uiPriority w:val="0"/>
    <w:rPr>
      <w:rFonts w:eastAsia="宋体"/>
      <w:sz w:val="24"/>
      <w:lang w:val="en-US" w:eastAsia="zh-CN"/>
    </w:rPr>
  </w:style>
  <w:style w:type="character" w:customStyle="1" w:styleId="476">
    <w:name w:val="表名称 Char Char Char Char"/>
    <w:autoRedefine/>
    <w:qFormat/>
    <w:uiPriority w:val="0"/>
    <w:rPr>
      <w:rFonts w:eastAsia="宋体"/>
      <w:kern w:val="2"/>
      <w:sz w:val="28"/>
      <w:szCs w:val="28"/>
      <w:lang w:val="en-US" w:eastAsia="zh-CN" w:bidi="ar-SA"/>
    </w:rPr>
  </w:style>
  <w:style w:type="character" w:customStyle="1" w:styleId="477">
    <w:name w:val="Char Char23"/>
    <w:autoRedefine/>
    <w:semiHidden/>
    <w:qFormat/>
    <w:locked/>
    <w:uiPriority w:val="0"/>
    <w:rPr>
      <w:rFonts w:ascii="宋体" w:hAnsi="宋体" w:eastAsia="宋体"/>
      <w:kern w:val="2"/>
      <w:sz w:val="21"/>
      <w:lang w:val="en-US" w:eastAsia="zh-CN" w:bidi="ar-SA"/>
    </w:rPr>
  </w:style>
  <w:style w:type="character" w:customStyle="1" w:styleId="478">
    <w:name w:val="样式 标题3 + (西文) BatangChe (中文) BatangChe Char"/>
    <w:link w:val="112"/>
    <w:autoRedefine/>
    <w:qFormat/>
    <w:uiPriority w:val="0"/>
    <w:rPr>
      <w:rFonts w:ascii="BatangChe" w:hAnsi="BatangChe" w:eastAsia="BatangChe"/>
      <w:b/>
      <w:bCs/>
      <w:kern w:val="2"/>
      <w:sz w:val="28"/>
      <w:szCs w:val="28"/>
      <w:lang w:val="en-US" w:eastAsia="zh-CN" w:bidi="ar-SA"/>
    </w:rPr>
  </w:style>
  <w:style w:type="character" w:customStyle="1" w:styleId="479">
    <w:name w:val="尾注文本 字符"/>
    <w:link w:val="53"/>
    <w:autoRedefine/>
    <w:qFormat/>
    <w:uiPriority w:val="0"/>
    <w:rPr>
      <w:kern w:val="2"/>
      <w:sz w:val="21"/>
      <w:szCs w:val="24"/>
    </w:rPr>
  </w:style>
  <w:style w:type="character" w:customStyle="1" w:styleId="480">
    <w:name w:val="标题 5 Char1"/>
    <w:autoRedefine/>
    <w:qFormat/>
    <w:uiPriority w:val="0"/>
    <w:rPr>
      <w:rFonts w:ascii="Times New Roman" w:hAnsi="Times New Roman" w:eastAsia="宋体" w:cs="Times New Roman"/>
      <w:b/>
      <w:bCs/>
      <w:sz w:val="28"/>
      <w:szCs w:val="28"/>
    </w:rPr>
  </w:style>
  <w:style w:type="character" w:customStyle="1" w:styleId="481">
    <w:name w:val="Char Char17"/>
    <w:autoRedefine/>
    <w:qFormat/>
    <w:locked/>
    <w:uiPriority w:val="0"/>
    <w:rPr>
      <w:rFonts w:ascii="宋体" w:hAnsi="宋体" w:eastAsia="宋体"/>
      <w:kern w:val="2"/>
      <w:sz w:val="21"/>
      <w:szCs w:val="24"/>
      <w:lang w:val="en-US" w:eastAsia="zh-CN" w:bidi="ar-SA"/>
    </w:rPr>
  </w:style>
  <w:style w:type="character" w:customStyle="1" w:styleId="482">
    <w:name w:val="H－2 Char Char"/>
    <w:link w:val="230"/>
    <w:autoRedefine/>
    <w:qFormat/>
    <w:uiPriority w:val="0"/>
    <w:rPr>
      <w:rFonts w:ascii="Arial" w:hAnsi="Arial" w:eastAsia="黑体"/>
      <w:bCs/>
      <w:sz w:val="21"/>
      <w:szCs w:val="28"/>
    </w:rPr>
  </w:style>
  <w:style w:type="character" w:customStyle="1" w:styleId="483">
    <w:name w:val="Char Char71"/>
    <w:autoRedefine/>
    <w:qFormat/>
    <w:uiPriority w:val="0"/>
    <w:rPr>
      <w:rFonts w:hint="default" w:ascii="Times New Roman" w:hAnsi="Times New Roman" w:cs="Times New Roman"/>
      <w:kern w:val="2"/>
      <w:sz w:val="21"/>
      <w:szCs w:val="24"/>
    </w:rPr>
  </w:style>
  <w:style w:type="character" w:customStyle="1" w:styleId="484">
    <w:name w:val="正文（首行缩进两字）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kern w:val="2"/>
      <w:sz w:val="28"/>
      <w:lang w:val="en-US" w:eastAsia="zh-CN"/>
    </w:rPr>
  </w:style>
  <w:style w:type="character" w:customStyle="1" w:styleId="485">
    <w:name w:val="正文文本 2 字符"/>
    <w:link w:val="77"/>
    <w:autoRedefine/>
    <w:qFormat/>
    <w:uiPriority w:val="0"/>
    <w:rPr>
      <w:rFonts w:ascii="宋体" w:hAnsi="宋体"/>
      <w:b/>
      <w:kern w:val="2"/>
      <w:sz w:val="24"/>
    </w:rPr>
  </w:style>
  <w:style w:type="character" w:customStyle="1" w:styleId="486">
    <w:name w:val="副标题 Char1"/>
    <w:autoRedefine/>
    <w:qFormat/>
    <w:uiPriority w:val="0"/>
    <w:rPr>
      <w:rFonts w:ascii="Cambria" w:hAnsi="Cambria" w:eastAsia="宋体" w:cs="Times New Roman"/>
      <w:b/>
      <w:bCs/>
      <w:kern w:val="28"/>
      <w:sz w:val="32"/>
      <w:szCs w:val="32"/>
    </w:rPr>
  </w:style>
  <w:style w:type="character" w:customStyle="1" w:styleId="487">
    <w:name w:val="正文文本 3 字符"/>
    <w:link w:val="33"/>
    <w:autoRedefine/>
    <w:qFormat/>
    <w:uiPriority w:val="0"/>
    <w:rPr>
      <w:kern w:val="2"/>
      <w:sz w:val="16"/>
    </w:rPr>
  </w:style>
  <w:style w:type="character" w:customStyle="1" w:styleId="488">
    <w:name w:val="Char Char281"/>
    <w:autoRedefine/>
    <w:semiHidden/>
    <w:qFormat/>
    <w:uiPriority w:val="0"/>
    <w:rPr>
      <w:kern w:val="2"/>
      <w:sz w:val="18"/>
      <w:szCs w:val="18"/>
    </w:rPr>
  </w:style>
  <w:style w:type="character" w:customStyle="1" w:styleId="489">
    <w:name w:val="Char Char16"/>
    <w:autoRedefine/>
    <w:qFormat/>
    <w:locked/>
    <w:uiPriority w:val="0"/>
    <w:rPr>
      <w:rFonts w:ascii="Arial" w:hAnsi="Arial" w:eastAsia="华文细黑" w:cs="Arial"/>
      <w:b/>
      <w:bCs/>
      <w:kern w:val="44"/>
      <w:sz w:val="28"/>
      <w:szCs w:val="32"/>
      <w:lang w:bidi="ar-SA"/>
    </w:rPr>
  </w:style>
  <w:style w:type="character" w:customStyle="1" w:styleId="490">
    <w:name w:val="Char Char3"/>
    <w:autoRedefine/>
    <w:semiHidden/>
    <w:qFormat/>
    <w:locked/>
    <w:uiPriority w:val="0"/>
    <w:rPr>
      <w:rFonts w:ascii="宋体" w:hAnsi="宋体" w:eastAsia="宋体"/>
      <w:kern w:val="2"/>
      <w:sz w:val="21"/>
      <w:szCs w:val="24"/>
      <w:lang w:val="en-US" w:eastAsia="zh-CN" w:bidi="ar-SA"/>
    </w:rPr>
  </w:style>
  <w:style w:type="table" w:customStyle="1" w:styleId="491">
    <w:name w:val="小白表格"/>
    <w:basedOn w:val="88"/>
    <w:autoRedefine/>
    <w:qFormat/>
    <w:uiPriority w:val="0"/>
    <w:pPr>
      <w:widowControl w:val="0"/>
      <w:jc w:val="center"/>
    </w:pPr>
    <w:rPr>
      <w:rFonts w:ascii="宋体"/>
      <w:sz w:val="18"/>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left w:w="0" w:type="dxa"/>
        <w:right w:w="0" w:type="dxa"/>
      </w:tblCellMar>
    </w:tblPr>
    <w:trPr>
      <w:cantSplit/>
    </w:trPr>
    <w:tcPr>
      <w:shd w:val="clear" w:color="auto" w:fill="auto"/>
      <w:vAlign w:val="center"/>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92">
    <w:name w:val="网格型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3">
    <w:name w:val="二级标题2"/>
    <w:basedOn w:val="1"/>
    <w:autoRedefine/>
    <w:qFormat/>
    <w:uiPriority w:val="0"/>
    <w:pPr>
      <w:autoSpaceDE w:val="0"/>
      <w:autoSpaceDN w:val="0"/>
      <w:adjustRightInd w:val="0"/>
      <w:spacing w:before="100" w:beforeLines="100" w:after="100" w:afterLines="100"/>
      <w:jc w:val="left"/>
      <w:outlineLvl w:val="1"/>
    </w:pPr>
    <w:rPr>
      <w:rFonts w:hint="eastAsia" w:ascii="黑体" w:hAnsi="黑体" w:eastAsia="黑体"/>
      <w:kern w:val="0"/>
      <w:sz w:val="32"/>
      <w:szCs w:val="24"/>
    </w:rPr>
  </w:style>
  <w:style w:type="paragraph" w:customStyle="1" w:styleId="494">
    <w:name w:val="正正文"/>
    <w:basedOn w:val="1"/>
    <w:autoRedefine/>
    <w:qFormat/>
    <w:uiPriority w:val="0"/>
    <w:pPr>
      <w:spacing w:line="460" w:lineRule="exact"/>
      <w:ind w:firstLine="437"/>
    </w:pPr>
    <w:rPr>
      <w:rFonts w:hint="eastAsia" w:ascii="宋体" w:hAnsi="宋体" w:cs="楷体"/>
      <w:bCs/>
      <w:snapToGrid w:val="0"/>
      <w:color w:val="000000"/>
      <w:kern w:val="0"/>
      <w:sz w:val="24"/>
    </w:rPr>
  </w:style>
  <w:style w:type="paragraph" w:customStyle="1" w:styleId="495">
    <w:name w:val="表格中的文字"/>
    <w:basedOn w:val="1"/>
    <w:autoRedefine/>
    <w:qFormat/>
    <w:uiPriority w:val="0"/>
    <w:pPr>
      <w:spacing w:line="360" w:lineRule="exact"/>
      <w:jc w:val="center"/>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1026" textRotate="1"/>
    <customShpInfo spid="_x0000_s2055"/>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128</Pages>
  <Words>54780</Words>
  <Characters>60061</Characters>
  <Lines>529</Lines>
  <Paragraphs>149</Paragraphs>
  <TotalTime>1</TotalTime>
  <ScaleCrop>false</ScaleCrop>
  <LinksUpToDate>false</LinksUpToDate>
  <CharactersWithSpaces>64303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2024-12-12T17:04:00Z</dcterms:created>
  <dc:creator>PC</dc:creator>
  <cp:lastModifiedBy>admin</cp:lastModifiedBy>
  <cp:lastPrinted>2024-11-01T12:03:00Z</cp:lastPrinted>
  <dcterms:modified xsi:type="dcterms:W3CDTF">2025-07-09T07:55:48Z</dcterms:modified>
  <dc:title>目   录</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C30092C03320442DA433F94FA513D897_13</vt:lpwstr>
  </property>
  <property fmtid="{D5CDD505-2E9C-101B-9397-08002B2CF9AE}" pid="4" name="KSOTemplateDocerSaveRecord">
    <vt:lpwstr>eyJoZGlkIjoiYTMyODFlYWExNjJhMTJkODQ2ZDMzN2IxOWYwZGM3OGIiLCJ1c2VySWQiOiIxNjg4NzgyMjAwIn0=</vt:lpwstr>
  </property>
</Properties>
</file>