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29FD6">
      <w:pPr>
        <w:jc w:val="left"/>
        <w:outlineLvl w:val="9"/>
        <w:rPr>
          <w:rFonts w:ascii="黑体" w:eastAsia="黑体"/>
          <w:bCs/>
          <w:sz w:val="32"/>
          <w:szCs w:val="32"/>
        </w:rPr>
      </w:pPr>
      <w:r>
        <w:rPr>
          <w:rFonts w:hint="eastAsia" w:ascii="黑体" w:eastAsia="黑体"/>
          <w:bCs/>
          <w:sz w:val="32"/>
          <w:szCs w:val="32"/>
        </w:rPr>
        <w:t>合同编号：</w:t>
      </w:r>
    </w:p>
    <w:p w14:paraId="048AA418">
      <w:pPr>
        <w:jc w:val="center"/>
        <w:rPr>
          <w:rFonts w:eastAsia="华文中宋"/>
          <w:b/>
          <w:sz w:val="52"/>
          <w:szCs w:val="52"/>
        </w:rPr>
      </w:pPr>
    </w:p>
    <w:p w14:paraId="55C5EDE8">
      <w:pPr>
        <w:jc w:val="center"/>
        <w:outlineLvl w:val="9"/>
        <w:rPr>
          <w:szCs w:val="21"/>
        </w:rPr>
      </w:pPr>
      <w:r>
        <w:rPr>
          <w:rFonts w:hint="eastAsia" w:ascii="黑体" w:hAnsi="黑体" w:eastAsia="黑体" w:cs="Times New Roman"/>
          <w:sz w:val="52"/>
          <w:szCs w:val="52"/>
          <w:u w:val="none"/>
        </w:rPr>
        <w:t>琶洲南区AH090633地块项目</w:t>
      </w:r>
      <w:r>
        <w:rPr>
          <w:rFonts w:hint="eastAsia" w:ascii="黑体" w:hAnsi="黑体" w:eastAsia="黑体" w:cs="Times New Roman"/>
          <w:sz w:val="52"/>
          <w:szCs w:val="52"/>
          <w:u w:val="none"/>
          <w:lang w:val="en-US" w:eastAsia="zh-CN"/>
        </w:rPr>
        <w:t>精装修</w:t>
      </w:r>
      <w:r>
        <w:rPr>
          <w:rFonts w:hint="eastAsia" w:ascii="黑体" w:hAnsi="黑体" w:eastAsia="黑体" w:cs="Times New Roman"/>
          <w:sz w:val="52"/>
          <w:szCs w:val="52"/>
          <w:u w:val="none"/>
        </w:rPr>
        <w:t>施工专业承包</w:t>
      </w:r>
      <w:r>
        <w:rPr>
          <w:rFonts w:hint="eastAsia" w:ascii="黑体" w:hAnsi="黑体" w:eastAsia="黑体"/>
          <w:sz w:val="52"/>
          <w:szCs w:val="52"/>
        </w:rPr>
        <w:t>合同</w:t>
      </w:r>
    </w:p>
    <w:p w14:paraId="2544B82C">
      <w:pPr>
        <w:jc w:val="center"/>
        <w:rPr>
          <w:rFonts w:eastAsia="华文中宋"/>
          <w:sz w:val="52"/>
          <w:szCs w:val="52"/>
        </w:rPr>
      </w:pPr>
    </w:p>
    <w:p w14:paraId="585A301F">
      <w:pPr>
        <w:jc w:val="center"/>
        <w:rPr>
          <w:rFonts w:eastAsia="楷体_GB2312"/>
          <w:b/>
          <w:sz w:val="72"/>
          <w:szCs w:val="72"/>
        </w:rPr>
      </w:pPr>
    </w:p>
    <w:p w14:paraId="16F501B0">
      <w:pPr>
        <w:jc w:val="center"/>
        <w:rPr>
          <w:rFonts w:eastAsia="黑体"/>
          <w:b/>
          <w:sz w:val="52"/>
          <w:szCs w:val="52"/>
        </w:rPr>
      </w:pPr>
    </w:p>
    <w:p w14:paraId="504E6A0B">
      <w:pPr>
        <w:jc w:val="center"/>
        <w:rPr>
          <w:b/>
          <w:sz w:val="28"/>
          <w:szCs w:val="28"/>
        </w:rPr>
      </w:pPr>
    </w:p>
    <w:p w14:paraId="4540EFEA">
      <w:pPr>
        <w:jc w:val="center"/>
        <w:rPr>
          <w:b/>
          <w:sz w:val="28"/>
          <w:szCs w:val="28"/>
        </w:rPr>
      </w:pPr>
    </w:p>
    <w:p w14:paraId="25E2AF96">
      <w:pPr>
        <w:jc w:val="center"/>
        <w:rPr>
          <w:b/>
          <w:sz w:val="28"/>
          <w:szCs w:val="28"/>
        </w:rPr>
      </w:pPr>
    </w:p>
    <w:p w14:paraId="67A555EC">
      <w:pPr>
        <w:jc w:val="center"/>
        <w:rPr>
          <w:b/>
          <w:sz w:val="28"/>
          <w:szCs w:val="28"/>
        </w:rPr>
      </w:pPr>
    </w:p>
    <w:p w14:paraId="6B470F2C">
      <w:pPr>
        <w:jc w:val="left"/>
        <w:rPr>
          <w:b/>
          <w:sz w:val="28"/>
          <w:szCs w:val="28"/>
        </w:rPr>
      </w:pPr>
    </w:p>
    <w:p w14:paraId="201DE965">
      <w:pPr>
        <w:jc w:val="left"/>
        <w:rPr>
          <w:rFonts w:ascii="黑体" w:eastAsia="黑体"/>
          <w:sz w:val="52"/>
          <w:szCs w:val="52"/>
        </w:rPr>
      </w:pPr>
      <w:r>
        <w:rPr>
          <w:rFonts w:hint="eastAsia" w:ascii="黑体" w:hAnsi="黑体" w:eastAsia="黑体"/>
          <w:sz w:val="32"/>
          <w:szCs w:val="32"/>
        </w:rPr>
        <w:t>工程名称：</w:t>
      </w:r>
      <w:bookmarkStart w:id="0" w:name="_Hlk196142168"/>
      <w:r>
        <w:rPr>
          <w:rFonts w:hint="eastAsia" w:ascii="黑体" w:hAnsi="黑体" w:eastAsia="黑体"/>
          <w:sz w:val="32"/>
          <w:szCs w:val="32"/>
          <w:u w:val="single"/>
        </w:rPr>
        <w:t>琶洲</w:t>
      </w:r>
      <w:r>
        <w:rPr>
          <w:rFonts w:hint="eastAsia" w:ascii="黑体" w:hAnsi="黑体" w:eastAsia="黑体" w:cs="Times New Roman"/>
          <w:sz w:val="32"/>
          <w:szCs w:val="32"/>
          <w:u w:val="single"/>
        </w:rPr>
        <w:t>南区AH090633地块项目</w:t>
      </w:r>
      <w:r>
        <w:rPr>
          <w:rFonts w:hint="eastAsia" w:ascii="黑体" w:hAnsi="黑体" w:eastAsia="黑体" w:cs="Times New Roman"/>
          <w:sz w:val="32"/>
          <w:szCs w:val="32"/>
          <w:u w:val="single"/>
          <w:lang w:val="en-US" w:eastAsia="zh-CN"/>
        </w:rPr>
        <w:t>精装修</w:t>
      </w:r>
      <w:r>
        <w:rPr>
          <w:rFonts w:hint="eastAsia" w:ascii="黑体" w:hAnsi="黑体" w:eastAsia="黑体" w:cs="Times New Roman"/>
          <w:sz w:val="32"/>
          <w:szCs w:val="32"/>
          <w:u w:val="single"/>
        </w:rPr>
        <w:t>施工专业承包</w:t>
      </w:r>
      <w:bookmarkEnd w:id="0"/>
    </w:p>
    <w:p w14:paraId="368F9C70">
      <w:pPr>
        <w:jc w:val="left"/>
        <w:rPr>
          <w:rFonts w:hint="eastAsia" w:ascii="黑体" w:hAnsi="宋体" w:eastAsia="黑体"/>
          <w:sz w:val="32"/>
          <w:szCs w:val="32"/>
          <w:u w:val="single"/>
        </w:rPr>
      </w:pPr>
      <w:r>
        <w:rPr>
          <w:rFonts w:hint="eastAsia" w:ascii="黑体" w:hAnsi="黑体" w:eastAsia="黑体"/>
          <w:sz w:val="32"/>
          <w:szCs w:val="32"/>
        </w:rPr>
        <w:t>工程地点：</w:t>
      </w:r>
      <w:r>
        <w:rPr>
          <w:rFonts w:hint="eastAsia" w:ascii="黑体" w:hAnsi="黑体" w:eastAsia="黑体"/>
          <w:sz w:val="32"/>
          <w:szCs w:val="32"/>
          <w:u w:val="single"/>
        </w:rPr>
        <w:t>广州市海珠区</w:t>
      </w:r>
    </w:p>
    <w:p w14:paraId="3E7138DF">
      <w:pPr>
        <w:adjustRightInd w:val="0"/>
        <w:spacing w:line="480" w:lineRule="auto"/>
        <w:jc w:val="left"/>
        <w:textAlignment w:val="baseline"/>
        <w:rPr>
          <w:rFonts w:hint="eastAsia" w:ascii="黑体" w:hAnsi="黑体" w:eastAsia="黑体"/>
          <w:kern w:val="0"/>
          <w:sz w:val="32"/>
          <w:szCs w:val="32"/>
        </w:rPr>
      </w:pPr>
      <w:r>
        <w:rPr>
          <w:rFonts w:hint="eastAsia" w:ascii="黑体" w:hAnsi="黑体" w:eastAsia="黑体"/>
          <w:kern w:val="0"/>
          <w:sz w:val="32"/>
          <w:szCs w:val="32"/>
        </w:rPr>
        <w:t>发包人：</w:t>
      </w:r>
      <w:r>
        <w:rPr>
          <w:rFonts w:hint="eastAsia" w:ascii="黑体" w:hAnsi="黑体" w:eastAsia="黑体" w:cs="Times New Roman"/>
          <w:kern w:val="0"/>
          <w:sz w:val="32"/>
          <w:szCs w:val="32"/>
          <w:u w:val="single"/>
          <w:lang w:val="en-US" w:eastAsia="zh-CN"/>
        </w:rPr>
        <w:t>琶洲算力中心(广州)有限公司</w:t>
      </w:r>
    </w:p>
    <w:p w14:paraId="4ED0B64B">
      <w:pPr>
        <w:pStyle w:val="2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Times New Roman"/>
          <w:sz w:val="28"/>
          <w:szCs w:val="28"/>
          <w:lang w:eastAsia="zh-CN"/>
        </w:rPr>
      </w:pPr>
      <w:r>
        <w:rPr>
          <w:rFonts w:hint="eastAsia" w:ascii="黑体" w:hAnsi="黑体" w:eastAsia="黑体"/>
          <w:kern w:val="0"/>
          <w:sz w:val="32"/>
          <w:szCs w:val="32"/>
        </w:rPr>
        <w:t>承包人：</w:t>
      </w:r>
      <w:bookmarkStart w:id="1" w:name="_Hlk180512860"/>
      <w:r>
        <w:rPr>
          <w:rFonts w:hint="eastAsia" w:ascii="黑体" w:hAnsi="黑体" w:eastAsia="黑体"/>
          <w:kern w:val="0"/>
          <w:sz w:val="32"/>
          <w:szCs w:val="32"/>
          <w:u w:val="single"/>
        </w:rPr>
        <w:t>（主）</w:t>
      </w:r>
      <w:r>
        <w:rPr>
          <w:rFonts w:hint="eastAsia" w:ascii="黑体" w:hAnsi="黑体" w:eastAsia="黑体" w:cs="Times New Roman"/>
          <w:sz w:val="32"/>
          <w:szCs w:val="32"/>
          <w:u w:val="single"/>
          <w:lang w:val="en-US" w:eastAsia="zh-CN"/>
        </w:rPr>
        <w:t xml:space="preserve">中建三局第二建设工程有限责任公司 </w:t>
      </w:r>
    </w:p>
    <w:p w14:paraId="19AC0248">
      <w:pPr>
        <w:adjustRightInd w:val="0"/>
        <w:spacing w:line="480" w:lineRule="auto"/>
        <w:ind w:firstLine="1280" w:firstLineChars="400"/>
        <w:jc w:val="left"/>
        <w:textAlignment w:val="baseline"/>
        <w:rPr>
          <w:rFonts w:hint="eastAsia" w:ascii="宋体" w:hAnsi="宋体" w:eastAsia="宋体" w:cs="Times New Roman"/>
          <w:sz w:val="28"/>
          <w:szCs w:val="28"/>
          <w:lang w:eastAsia="zh-CN"/>
        </w:rPr>
      </w:pPr>
      <w:r>
        <w:rPr>
          <w:rFonts w:hint="eastAsia" w:ascii="黑体" w:hAnsi="黑体" w:eastAsia="黑体" w:cs="Times New Roman"/>
          <w:kern w:val="0"/>
          <w:sz w:val="32"/>
          <w:szCs w:val="32"/>
          <w:u w:val="single"/>
          <w:lang w:eastAsia="zh-CN"/>
        </w:rPr>
        <w:t>(成)中建三局第二建设工程（广州）有限责任公司</w:t>
      </w:r>
    </w:p>
    <w:bookmarkEnd w:id="1"/>
    <w:p w14:paraId="02FC4C0C">
      <w:pPr>
        <w:spacing w:line="360" w:lineRule="auto"/>
        <w:jc w:val="both"/>
        <w:rPr>
          <w:rFonts w:hint="eastAsia" w:ascii="黑体" w:hAnsi="黑体" w:eastAsia="黑体" w:cs="黑体"/>
          <w:b/>
          <w:bCs/>
          <w:sz w:val="32"/>
          <w:szCs w:val="32"/>
          <w:lang w:eastAsia="zh"/>
        </w:rPr>
      </w:pPr>
      <w:r>
        <w:rPr>
          <w:rFonts w:hint="eastAsia" w:ascii="黑体" w:hAnsi="黑体" w:eastAsia="黑体" w:cs="黑体"/>
          <w:b/>
          <w:bCs/>
          <w:sz w:val="32"/>
          <w:szCs w:val="32"/>
          <w:lang w:bidi="ar"/>
        </w:rPr>
        <w:t>分包人</w:t>
      </w:r>
      <w:r>
        <w:rPr>
          <w:rFonts w:hint="eastAsia" w:ascii="黑体" w:hAnsi="黑体" w:eastAsia="黑体" w:cs="黑体"/>
          <w:b/>
          <w:bCs/>
          <w:sz w:val="32"/>
          <w:szCs w:val="32"/>
          <w:lang w:eastAsia="zh"/>
        </w:rPr>
        <w:t>：</w:t>
      </w:r>
    </w:p>
    <w:p w14:paraId="23FE244E">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日期：</w:t>
      </w:r>
    </w:p>
    <w:p w14:paraId="206E3F2A">
      <w:pPr>
        <w:pStyle w:val="8"/>
        <w:widowControl/>
        <w:jc w:val="left"/>
      </w:pPr>
      <w:r>
        <w:rPr>
          <w:rFonts w:hint="eastAsia"/>
        </w:rPr>
        <w:br w:type="page"/>
      </w:r>
    </w:p>
    <w:p w14:paraId="05E9F31D">
      <w:pPr>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目   录</w:t>
      </w:r>
    </w:p>
    <w:p w14:paraId="1E15687D">
      <w:pPr>
        <w:pStyle w:val="22"/>
        <w:tabs>
          <w:tab w:val="right" w:leader="dot" w:pos="9355"/>
        </w:tabs>
      </w:pPr>
      <w:bookmarkStart w:id="2" w:name="_Toc832"/>
      <w:bookmarkStart w:id="3" w:name="_Toc517273204"/>
      <w:bookmarkStart w:id="4" w:name="_Toc13335"/>
      <w:bookmarkStart w:id="5" w:name="_Toc22932"/>
      <w:bookmarkStart w:id="6" w:name="_Toc13543"/>
      <w:bookmarkStart w:id="7" w:name="_Toc15127"/>
      <w:bookmarkStart w:id="8" w:name="_Toc16508"/>
      <w:bookmarkStart w:id="9" w:name="_Toc4974"/>
      <w:bookmarkStart w:id="10" w:name="_Toc344"/>
      <w:bookmarkStart w:id="11" w:name="_Toc8268"/>
      <w:bookmarkStart w:id="12" w:name="_Toc18218"/>
      <w:bookmarkStart w:id="13" w:name="_Toc20123"/>
      <w:bookmarkStart w:id="14" w:name="_Toc21618"/>
      <w:bookmarkStart w:id="15" w:name="_Toc24756"/>
      <w:bookmarkStart w:id="16" w:name="_Toc17694"/>
      <w:r>
        <w:rPr>
          <w:rFonts w:hint="eastAsia" w:asciiTheme="minorEastAsia" w:hAnsiTheme="minorEastAsia" w:eastAsiaTheme="minorEastAsia" w:cstheme="minorEastAsia"/>
          <w:b w:val="0"/>
          <w:sz w:val="24"/>
          <w:szCs w:val="24"/>
        </w:rPr>
        <w:fldChar w:fldCharType="begin"/>
      </w:r>
      <w:r>
        <w:rPr>
          <w:rFonts w:hint="eastAsia" w:asciiTheme="minorEastAsia" w:hAnsiTheme="minorEastAsia" w:eastAsiaTheme="minorEastAsia" w:cstheme="minorEastAsia"/>
          <w:b w:val="0"/>
          <w:sz w:val="24"/>
          <w:szCs w:val="24"/>
        </w:rPr>
        <w:instrText xml:space="preserve"> TOC \o "1-2" \h \z \u </w:instrText>
      </w:r>
      <w:r>
        <w:rPr>
          <w:rFonts w:hint="eastAsia" w:asciiTheme="minorEastAsia" w:hAnsiTheme="minorEastAsia" w:eastAsiaTheme="minorEastAsia" w:cstheme="minorEastAsia"/>
          <w:b w:val="0"/>
          <w:sz w:val="24"/>
          <w:szCs w:val="24"/>
        </w:rPr>
        <w:fldChar w:fldCharType="separate"/>
      </w: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_Toc14689 </w:instrText>
      </w:r>
      <w:r>
        <w:rPr>
          <w:rFonts w:hint="eastAsia" w:asciiTheme="minorEastAsia" w:hAnsiTheme="minorEastAsia" w:eastAsiaTheme="minorEastAsia" w:cstheme="minorEastAsia"/>
          <w:szCs w:val="24"/>
        </w:rPr>
        <w:fldChar w:fldCharType="separate"/>
      </w:r>
      <w:r>
        <w:rPr>
          <w:rFonts w:hint="eastAsia" w:ascii="黑体" w:hAnsi="黑体" w:cs="黑体"/>
          <w:szCs w:val="32"/>
        </w:rPr>
        <w:t>第一部分  协议书</w:t>
      </w:r>
      <w:r>
        <w:tab/>
      </w:r>
      <w:r>
        <w:fldChar w:fldCharType="begin"/>
      </w:r>
      <w:r>
        <w:instrText xml:space="preserve"> PAGEREF _Toc14689 \h </w:instrText>
      </w:r>
      <w:r>
        <w:fldChar w:fldCharType="separate"/>
      </w:r>
      <w:r>
        <w:t>4</w:t>
      </w:r>
      <w:r>
        <w:fldChar w:fldCharType="end"/>
      </w:r>
      <w:r>
        <w:rPr>
          <w:rFonts w:hint="eastAsia" w:asciiTheme="minorEastAsia" w:hAnsiTheme="minorEastAsia" w:eastAsiaTheme="minorEastAsia" w:cstheme="minorEastAsia"/>
          <w:szCs w:val="24"/>
        </w:rPr>
        <w:fldChar w:fldCharType="end"/>
      </w:r>
    </w:p>
    <w:p w14:paraId="612DF838">
      <w:pPr>
        <w:pStyle w:val="22"/>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_Toc5971 </w:instrText>
      </w:r>
      <w:r>
        <w:rPr>
          <w:rFonts w:hint="eastAsia" w:asciiTheme="minorEastAsia" w:hAnsiTheme="minorEastAsia" w:eastAsiaTheme="minorEastAsia" w:cstheme="minorEastAsia"/>
          <w:szCs w:val="24"/>
        </w:rPr>
        <w:fldChar w:fldCharType="separate"/>
      </w:r>
      <w:r>
        <w:rPr>
          <w:rFonts w:hint="eastAsia" w:ascii="黑体" w:hAnsi="黑体" w:cs="黑体"/>
          <w:szCs w:val="32"/>
        </w:rPr>
        <w:t>第二部分  专用条款</w:t>
      </w:r>
      <w:r>
        <w:tab/>
      </w:r>
      <w:r>
        <w:fldChar w:fldCharType="begin"/>
      </w:r>
      <w:r>
        <w:instrText xml:space="preserve"> PAGEREF _Toc5971 \h </w:instrText>
      </w:r>
      <w:r>
        <w:fldChar w:fldCharType="separate"/>
      </w:r>
      <w:r>
        <w:t>10</w:t>
      </w:r>
      <w:r>
        <w:fldChar w:fldCharType="end"/>
      </w:r>
      <w:r>
        <w:rPr>
          <w:rFonts w:hint="eastAsia" w:asciiTheme="minorEastAsia" w:hAnsiTheme="minorEastAsia" w:eastAsiaTheme="minorEastAsia" w:cstheme="minorEastAsia"/>
          <w:szCs w:val="24"/>
        </w:rPr>
        <w:fldChar w:fldCharType="end"/>
      </w:r>
    </w:p>
    <w:p w14:paraId="76F69EA0">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_Toc18183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一、词语定义及合同文件</w:t>
      </w:r>
      <w:r>
        <w:tab/>
      </w:r>
      <w:r>
        <w:fldChar w:fldCharType="begin"/>
      </w:r>
      <w:r>
        <w:instrText xml:space="preserve"> PAGEREF _Toc18183 \h </w:instrText>
      </w:r>
      <w:r>
        <w:fldChar w:fldCharType="separate"/>
      </w:r>
      <w:r>
        <w:t>10</w:t>
      </w:r>
      <w:r>
        <w:fldChar w:fldCharType="end"/>
      </w:r>
      <w:r>
        <w:rPr>
          <w:rFonts w:hint="eastAsia" w:asciiTheme="minorEastAsia" w:hAnsiTheme="minorEastAsia" w:eastAsiaTheme="minorEastAsia" w:cstheme="minorEastAsia"/>
          <w:szCs w:val="24"/>
        </w:rPr>
        <w:fldChar w:fldCharType="end"/>
      </w:r>
    </w:p>
    <w:p w14:paraId="025907D8">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_Toc25596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二、各方一般权利和义务</w:t>
      </w:r>
      <w:r>
        <w:tab/>
      </w:r>
      <w:r>
        <w:fldChar w:fldCharType="begin"/>
      </w:r>
      <w:r>
        <w:instrText xml:space="preserve"> PAGEREF _Toc25596 \h </w:instrText>
      </w:r>
      <w:r>
        <w:fldChar w:fldCharType="separate"/>
      </w:r>
      <w:r>
        <w:t>11</w:t>
      </w:r>
      <w:r>
        <w:fldChar w:fldCharType="end"/>
      </w:r>
      <w:r>
        <w:rPr>
          <w:rFonts w:hint="eastAsia" w:asciiTheme="minorEastAsia" w:hAnsiTheme="minorEastAsia" w:eastAsiaTheme="minorEastAsia" w:cstheme="minorEastAsia"/>
          <w:szCs w:val="24"/>
        </w:rPr>
        <w:fldChar w:fldCharType="end"/>
      </w:r>
    </w:p>
    <w:p w14:paraId="66441839">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_Toc11995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三、工期</w:t>
      </w:r>
      <w:r>
        <w:tab/>
      </w:r>
      <w:r>
        <w:fldChar w:fldCharType="begin"/>
      </w:r>
      <w:r>
        <w:instrText xml:space="preserve"> PAGEREF _Toc11995 \h </w:instrText>
      </w:r>
      <w:r>
        <w:fldChar w:fldCharType="separate"/>
      </w:r>
      <w:r>
        <w:t>17</w:t>
      </w:r>
      <w:r>
        <w:fldChar w:fldCharType="end"/>
      </w:r>
      <w:r>
        <w:rPr>
          <w:rFonts w:hint="eastAsia" w:asciiTheme="minorEastAsia" w:hAnsiTheme="minorEastAsia" w:eastAsiaTheme="minorEastAsia" w:cstheme="minorEastAsia"/>
          <w:szCs w:val="24"/>
        </w:rPr>
        <w:fldChar w:fldCharType="end"/>
      </w:r>
    </w:p>
    <w:p w14:paraId="30993530">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_Toc14132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四、安全文明施工与场地管理</w:t>
      </w:r>
      <w:r>
        <w:tab/>
      </w:r>
      <w:r>
        <w:fldChar w:fldCharType="begin"/>
      </w:r>
      <w:r>
        <w:instrText xml:space="preserve"> PAGEREF _Toc14132 \h </w:instrText>
      </w:r>
      <w:r>
        <w:fldChar w:fldCharType="separate"/>
      </w:r>
      <w:r>
        <w:t>18</w:t>
      </w:r>
      <w:r>
        <w:fldChar w:fldCharType="end"/>
      </w:r>
      <w:r>
        <w:rPr>
          <w:rFonts w:hint="eastAsia" w:asciiTheme="minorEastAsia" w:hAnsiTheme="minorEastAsia" w:eastAsiaTheme="minorEastAsia" w:cstheme="minorEastAsia"/>
          <w:szCs w:val="24"/>
        </w:rPr>
        <w:fldChar w:fldCharType="end"/>
      </w:r>
    </w:p>
    <w:p w14:paraId="6345C958">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_Toc14518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五、工程质量与验收</w:t>
      </w:r>
      <w:r>
        <w:tab/>
      </w:r>
      <w:r>
        <w:fldChar w:fldCharType="begin"/>
      </w:r>
      <w:r>
        <w:instrText xml:space="preserve"> PAGEREF _Toc14518 \h </w:instrText>
      </w:r>
      <w:r>
        <w:fldChar w:fldCharType="separate"/>
      </w:r>
      <w:r>
        <w:t>18</w:t>
      </w:r>
      <w:r>
        <w:fldChar w:fldCharType="end"/>
      </w:r>
      <w:r>
        <w:rPr>
          <w:rFonts w:hint="eastAsia" w:asciiTheme="minorEastAsia" w:hAnsiTheme="minorEastAsia" w:eastAsiaTheme="minorEastAsia" w:cstheme="minorEastAsia"/>
          <w:szCs w:val="24"/>
        </w:rPr>
        <w:fldChar w:fldCharType="end"/>
      </w:r>
    </w:p>
    <w:p w14:paraId="500E09B2">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_Toc9278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六、合同价款与支付</w:t>
      </w:r>
      <w:r>
        <w:tab/>
      </w:r>
      <w:r>
        <w:fldChar w:fldCharType="begin"/>
      </w:r>
      <w:r>
        <w:instrText xml:space="preserve"> PAGEREF _Toc9278 \h </w:instrText>
      </w:r>
      <w:r>
        <w:fldChar w:fldCharType="separate"/>
      </w:r>
      <w:r>
        <w:t>18</w:t>
      </w:r>
      <w:r>
        <w:fldChar w:fldCharType="end"/>
      </w:r>
      <w:r>
        <w:rPr>
          <w:rFonts w:hint="eastAsia" w:asciiTheme="minorEastAsia" w:hAnsiTheme="minorEastAsia" w:eastAsiaTheme="minorEastAsia" w:cstheme="minorEastAsia"/>
          <w:szCs w:val="24"/>
        </w:rPr>
        <w:fldChar w:fldCharType="end"/>
      </w:r>
    </w:p>
    <w:p w14:paraId="525C6607">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_Toc4723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七、材料和工程设备</w:t>
      </w:r>
      <w:r>
        <w:tab/>
      </w:r>
      <w:r>
        <w:fldChar w:fldCharType="begin"/>
      </w:r>
      <w:r>
        <w:instrText xml:space="preserve"> PAGEREF _Toc4723 \h </w:instrText>
      </w:r>
      <w:r>
        <w:fldChar w:fldCharType="separate"/>
      </w:r>
      <w:r>
        <w:t>22</w:t>
      </w:r>
      <w:r>
        <w:fldChar w:fldCharType="end"/>
      </w:r>
      <w:r>
        <w:rPr>
          <w:rFonts w:hint="eastAsia" w:asciiTheme="minorEastAsia" w:hAnsiTheme="minorEastAsia" w:eastAsiaTheme="minorEastAsia" w:cstheme="minorEastAsia"/>
          <w:szCs w:val="24"/>
        </w:rPr>
        <w:fldChar w:fldCharType="end"/>
      </w:r>
    </w:p>
    <w:p w14:paraId="117857B9">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_Toc29337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八、工程变更</w:t>
      </w:r>
      <w:r>
        <w:tab/>
      </w:r>
      <w:r>
        <w:fldChar w:fldCharType="begin"/>
      </w:r>
      <w:r>
        <w:instrText xml:space="preserve"> PAGEREF _Toc29337 \h </w:instrText>
      </w:r>
      <w:r>
        <w:fldChar w:fldCharType="separate"/>
      </w:r>
      <w:r>
        <w:t>27</w:t>
      </w:r>
      <w:r>
        <w:fldChar w:fldCharType="end"/>
      </w:r>
      <w:r>
        <w:rPr>
          <w:rFonts w:hint="eastAsia" w:asciiTheme="minorEastAsia" w:hAnsiTheme="minorEastAsia" w:eastAsiaTheme="minorEastAsia" w:cstheme="minorEastAsia"/>
          <w:szCs w:val="24"/>
        </w:rPr>
        <w:fldChar w:fldCharType="end"/>
      </w:r>
    </w:p>
    <w:p w14:paraId="22F9D80C">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_Toc23106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九、工程分包管理</w:t>
      </w:r>
      <w:r>
        <w:tab/>
      </w:r>
      <w:r>
        <w:fldChar w:fldCharType="begin"/>
      </w:r>
      <w:r>
        <w:instrText xml:space="preserve"> PAGEREF _Toc23106 \h </w:instrText>
      </w:r>
      <w:r>
        <w:fldChar w:fldCharType="separate"/>
      </w:r>
      <w:r>
        <w:t>29</w:t>
      </w:r>
      <w:r>
        <w:fldChar w:fldCharType="end"/>
      </w:r>
      <w:r>
        <w:rPr>
          <w:rFonts w:hint="eastAsia" w:asciiTheme="minorEastAsia" w:hAnsiTheme="minorEastAsia" w:eastAsiaTheme="minorEastAsia" w:cstheme="minorEastAsia"/>
          <w:szCs w:val="24"/>
        </w:rPr>
        <w:fldChar w:fldCharType="end"/>
      </w:r>
    </w:p>
    <w:p w14:paraId="27E95184">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_Toc12712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十、竣工结算与资料规定</w:t>
      </w:r>
      <w:r>
        <w:tab/>
      </w:r>
      <w:r>
        <w:fldChar w:fldCharType="begin"/>
      </w:r>
      <w:r>
        <w:instrText xml:space="preserve"> PAGEREF _Toc12712 \h </w:instrText>
      </w:r>
      <w:r>
        <w:fldChar w:fldCharType="separate"/>
      </w:r>
      <w:r>
        <w:t>29</w:t>
      </w:r>
      <w:r>
        <w:fldChar w:fldCharType="end"/>
      </w:r>
      <w:r>
        <w:rPr>
          <w:rFonts w:hint="eastAsia" w:asciiTheme="minorEastAsia" w:hAnsiTheme="minorEastAsia" w:eastAsiaTheme="minorEastAsia" w:cstheme="minorEastAsia"/>
          <w:szCs w:val="24"/>
        </w:rPr>
        <w:fldChar w:fldCharType="end"/>
      </w:r>
    </w:p>
    <w:p w14:paraId="5DB84860">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_Toc19519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十一、索赔和争议</w:t>
      </w:r>
      <w:r>
        <w:tab/>
      </w:r>
      <w:r>
        <w:fldChar w:fldCharType="begin"/>
      </w:r>
      <w:r>
        <w:instrText xml:space="preserve"> PAGEREF _Toc19519 \h </w:instrText>
      </w:r>
      <w:r>
        <w:fldChar w:fldCharType="separate"/>
      </w:r>
      <w:r>
        <w:t>32</w:t>
      </w:r>
      <w:r>
        <w:fldChar w:fldCharType="end"/>
      </w:r>
      <w:r>
        <w:rPr>
          <w:rFonts w:hint="eastAsia" w:asciiTheme="minorEastAsia" w:hAnsiTheme="minorEastAsia" w:eastAsiaTheme="minorEastAsia" w:cstheme="minorEastAsia"/>
          <w:szCs w:val="24"/>
        </w:rPr>
        <w:fldChar w:fldCharType="end"/>
      </w:r>
    </w:p>
    <w:p w14:paraId="610800F6">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_Toc30287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十二、其他</w:t>
      </w:r>
      <w:r>
        <w:tab/>
      </w:r>
      <w:r>
        <w:fldChar w:fldCharType="begin"/>
      </w:r>
      <w:r>
        <w:instrText xml:space="preserve"> PAGEREF _Toc30287 \h </w:instrText>
      </w:r>
      <w:r>
        <w:fldChar w:fldCharType="separate"/>
      </w:r>
      <w:r>
        <w:t>34</w:t>
      </w:r>
      <w:r>
        <w:fldChar w:fldCharType="end"/>
      </w:r>
      <w:r>
        <w:rPr>
          <w:rFonts w:hint="eastAsia" w:asciiTheme="minorEastAsia" w:hAnsiTheme="minorEastAsia" w:eastAsiaTheme="minorEastAsia" w:cstheme="minorEastAsia"/>
          <w:szCs w:val="24"/>
        </w:rPr>
        <w:fldChar w:fldCharType="end"/>
      </w:r>
    </w:p>
    <w:p w14:paraId="477E4112">
      <w:pPr>
        <w:pStyle w:val="22"/>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_Toc13844 </w:instrText>
      </w:r>
      <w:r>
        <w:rPr>
          <w:rFonts w:hint="eastAsia" w:asciiTheme="minorEastAsia" w:hAnsiTheme="minorEastAsia" w:eastAsiaTheme="minorEastAsia" w:cstheme="minorEastAsia"/>
          <w:szCs w:val="24"/>
        </w:rPr>
        <w:fldChar w:fldCharType="separate"/>
      </w:r>
      <w:r>
        <w:rPr>
          <w:rFonts w:hint="eastAsia" w:ascii="黑体" w:hAnsi="黑体" w:cs="黑体"/>
          <w:szCs w:val="32"/>
        </w:rPr>
        <w:t>第三部分  通用条款</w:t>
      </w:r>
      <w:r>
        <w:tab/>
      </w:r>
      <w:r>
        <w:fldChar w:fldCharType="begin"/>
      </w:r>
      <w:r>
        <w:instrText xml:space="preserve"> PAGEREF _Toc13844 \h </w:instrText>
      </w:r>
      <w:r>
        <w:fldChar w:fldCharType="separate"/>
      </w:r>
      <w:r>
        <w:t>38</w:t>
      </w:r>
      <w:r>
        <w:fldChar w:fldCharType="end"/>
      </w:r>
      <w:r>
        <w:rPr>
          <w:rFonts w:hint="eastAsia" w:asciiTheme="minorEastAsia" w:hAnsiTheme="minorEastAsia" w:eastAsiaTheme="minorEastAsia" w:cstheme="minorEastAsia"/>
          <w:szCs w:val="24"/>
        </w:rPr>
        <w:fldChar w:fldCharType="end"/>
      </w:r>
    </w:p>
    <w:p w14:paraId="3F3F7AEC">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_Toc31387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一、词语定义及合同文件：</w:t>
      </w:r>
      <w:r>
        <w:tab/>
      </w:r>
      <w:r>
        <w:fldChar w:fldCharType="begin"/>
      </w:r>
      <w:r>
        <w:instrText xml:space="preserve"> PAGEREF _Toc31387 \h </w:instrText>
      </w:r>
      <w:r>
        <w:fldChar w:fldCharType="separate"/>
      </w:r>
      <w:r>
        <w:t>38</w:t>
      </w:r>
      <w:r>
        <w:fldChar w:fldCharType="end"/>
      </w:r>
      <w:r>
        <w:rPr>
          <w:rFonts w:hint="eastAsia" w:asciiTheme="minorEastAsia" w:hAnsiTheme="minorEastAsia" w:eastAsiaTheme="minorEastAsia" w:cstheme="minorEastAsia"/>
          <w:szCs w:val="24"/>
        </w:rPr>
        <w:fldChar w:fldCharType="end"/>
      </w:r>
    </w:p>
    <w:p w14:paraId="65C832DA">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_Toc10358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二、各方一般权利和义务：</w:t>
      </w:r>
      <w:r>
        <w:tab/>
      </w:r>
      <w:r>
        <w:fldChar w:fldCharType="begin"/>
      </w:r>
      <w:r>
        <w:instrText xml:space="preserve"> PAGEREF _Toc10358 \h </w:instrText>
      </w:r>
      <w:r>
        <w:fldChar w:fldCharType="separate"/>
      </w:r>
      <w:r>
        <w:t>40</w:t>
      </w:r>
      <w:r>
        <w:fldChar w:fldCharType="end"/>
      </w:r>
      <w:r>
        <w:rPr>
          <w:rFonts w:hint="eastAsia" w:asciiTheme="minorEastAsia" w:hAnsiTheme="minorEastAsia" w:eastAsiaTheme="minorEastAsia" w:cstheme="minorEastAsia"/>
          <w:szCs w:val="24"/>
        </w:rPr>
        <w:fldChar w:fldCharType="end"/>
      </w:r>
    </w:p>
    <w:p w14:paraId="0AAF9536">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_Toc22465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三、工期：</w:t>
      </w:r>
      <w:r>
        <w:tab/>
      </w:r>
      <w:r>
        <w:fldChar w:fldCharType="begin"/>
      </w:r>
      <w:r>
        <w:instrText xml:space="preserve"> PAGEREF _Toc22465 \h </w:instrText>
      </w:r>
      <w:r>
        <w:fldChar w:fldCharType="separate"/>
      </w:r>
      <w:r>
        <w:t>45</w:t>
      </w:r>
      <w:r>
        <w:fldChar w:fldCharType="end"/>
      </w:r>
      <w:r>
        <w:rPr>
          <w:rFonts w:hint="eastAsia" w:asciiTheme="minorEastAsia" w:hAnsiTheme="minorEastAsia" w:eastAsiaTheme="minorEastAsia" w:cstheme="minorEastAsia"/>
          <w:szCs w:val="24"/>
        </w:rPr>
        <w:fldChar w:fldCharType="end"/>
      </w:r>
    </w:p>
    <w:p w14:paraId="5018B377">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_Toc23995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四、工程质量、检查、检验、试验、验收：</w:t>
      </w:r>
      <w:r>
        <w:tab/>
      </w:r>
      <w:r>
        <w:fldChar w:fldCharType="begin"/>
      </w:r>
      <w:r>
        <w:instrText xml:space="preserve"> PAGEREF _Toc23995 \h </w:instrText>
      </w:r>
      <w:r>
        <w:fldChar w:fldCharType="separate"/>
      </w:r>
      <w:r>
        <w:t>49</w:t>
      </w:r>
      <w:r>
        <w:fldChar w:fldCharType="end"/>
      </w:r>
      <w:r>
        <w:rPr>
          <w:rFonts w:hint="eastAsia" w:asciiTheme="minorEastAsia" w:hAnsiTheme="minorEastAsia" w:eastAsiaTheme="minorEastAsia" w:cstheme="minorEastAsia"/>
          <w:szCs w:val="24"/>
        </w:rPr>
        <w:fldChar w:fldCharType="end"/>
      </w:r>
    </w:p>
    <w:p w14:paraId="313844BE">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_Toc5360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五、安全文明施工与场地管理：</w:t>
      </w:r>
      <w:r>
        <w:tab/>
      </w:r>
      <w:r>
        <w:fldChar w:fldCharType="begin"/>
      </w:r>
      <w:r>
        <w:instrText xml:space="preserve"> PAGEREF _Toc5360 \h </w:instrText>
      </w:r>
      <w:r>
        <w:fldChar w:fldCharType="separate"/>
      </w:r>
      <w:r>
        <w:t>52</w:t>
      </w:r>
      <w:r>
        <w:fldChar w:fldCharType="end"/>
      </w:r>
      <w:r>
        <w:rPr>
          <w:rFonts w:hint="eastAsia" w:asciiTheme="minorEastAsia" w:hAnsiTheme="minorEastAsia" w:eastAsiaTheme="minorEastAsia" w:cstheme="minorEastAsia"/>
          <w:szCs w:val="24"/>
        </w:rPr>
        <w:fldChar w:fldCharType="end"/>
      </w:r>
    </w:p>
    <w:p w14:paraId="108518EC">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_Toc17877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六、合同价款与支付：</w:t>
      </w:r>
      <w:r>
        <w:tab/>
      </w:r>
      <w:r>
        <w:fldChar w:fldCharType="begin"/>
      </w:r>
      <w:r>
        <w:instrText xml:space="preserve"> PAGEREF _Toc17877 \h </w:instrText>
      </w:r>
      <w:r>
        <w:fldChar w:fldCharType="separate"/>
      </w:r>
      <w:r>
        <w:t>53</w:t>
      </w:r>
      <w:r>
        <w:fldChar w:fldCharType="end"/>
      </w:r>
      <w:r>
        <w:rPr>
          <w:rFonts w:hint="eastAsia" w:asciiTheme="minorEastAsia" w:hAnsiTheme="minorEastAsia" w:eastAsiaTheme="minorEastAsia" w:cstheme="minorEastAsia"/>
          <w:szCs w:val="24"/>
        </w:rPr>
        <w:fldChar w:fldCharType="end"/>
      </w:r>
    </w:p>
    <w:p w14:paraId="7C8AAA5E">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_Toc22985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七、材料和设备:</w:t>
      </w:r>
      <w:r>
        <w:tab/>
      </w:r>
      <w:r>
        <w:fldChar w:fldCharType="begin"/>
      </w:r>
      <w:r>
        <w:instrText xml:space="preserve"> PAGEREF _Toc22985 \h </w:instrText>
      </w:r>
      <w:r>
        <w:fldChar w:fldCharType="separate"/>
      </w:r>
      <w:r>
        <w:t>55</w:t>
      </w:r>
      <w:r>
        <w:fldChar w:fldCharType="end"/>
      </w:r>
      <w:r>
        <w:rPr>
          <w:rFonts w:hint="eastAsia" w:asciiTheme="minorEastAsia" w:hAnsiTheme="minorEastAsia" w:eastAsiaTheme="minorEastAsia" w:cstheme="minorEastAsia"/>
          <w:szCs w:val="24"/>
        </w:rPr>
        <w:fldChar w:fldCharType="end"/>
      </w:r>
    </w:p>
    <w:p w14:paraId="2A723CB1">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_Toc27513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八、工程变更：</w:t>
      </w:r>
      <w:r>
        <w:tab/>
      </w:r>
      <w:r>
        <w:fldChar w:fldCharType="begin"/>
      </w:r>
      <w:r>
        <w:instrText xml:space="preserve"> PAGEREF _Toc27513 \h </w:instrText>
      </w:r>
      <w:r>
        <w:fldChar w:fldCharType="separate"/>
      </w:r>
      <w:r>
        <w:t>56</w:t>
      </w:r>
      <w:r>
        <w:fldChar w:fldCharType="end"/>
      </w:r>
      <w:r>
        <w:rPr>
          <w:rFonts w:hint="eastAsia" w:asciiTheme="minorEastAsia" w:hAnsiTheme="minorEastAsia" w:eastAsiaTheme="minorEastAsia" w:cstheme="minorEastAsia"/>
          <w:szCs w:val="24"/>
        </w:rPr>
        <w:fldChar w:fldCharType="end"/>
      </w:r>
    </w:p>
    <w:p w14:paraId="5E457808">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_Toc18807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九、工程分包管理：</w:t>
      </w:r>
      <w:r>
        <w:tab/>
      </w:r>
      <w:r>
        <w:fldChar w:fldCharType="begin"/>
      </w:r>
      <w:r>
        <w:instrText xml:space="preserve"> PAGEREF _Toc18807 \h </w:instrText>
      </w:r>
      <w:r>
        <w:fldChar w:fldCharType="separate"/>
      </w:r>
      <w:r>
        <w:t>57</w:t>
      </w:r>
      <w:r>
        <w:fldChar w:fldCharType="end"/>
      </w:r>
      <w:r>
        <w:rPr>
          <w:rFonts w:hint="eastAsia" w:asciiTheme="minorEastAsia" w:hAnsiTheme="minorEastAsia" w:eastAsiaTheme="minorEastAsia" w:cstheme="minorEastAsia"/>
          <w:szCs w:val="24"/>
        </w:rPr>
        <w:fldChar w:fldCharType="end"/>
      </w:r>
    </w:p>
    <w:p w14:paraId="2022E408">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_Toc17217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十、竣工试验、验收：</w:t>
      </w:r>
      <w:r>
        <w:tab/>
      </w:r>
      <w:r>
        <w:fldChar w:fldCharType="begin"/>
      </w:r>
      <w:r>
        <w:instrText xml:space="preserve"> PAGEREF _Toc17217 \h </w:instrText>
      </w:r>
      <w:r>
        <w:fldChar w:fldCharType="separate"/>
      </w:r>
      <w:r>
        <w:t>57</w:t>
      </w:r>
      <w:r>
        <w:fldChar w:fldCharType="end"/>
      </w:r>
      <w:r>
        <w:rPr>
          <w:rFonts w:hint="eastAsia" w:asciiTheme="minorEastAsia" w:hAnsiTheme="minorEastAsia" w:eastAsiaTheme="minorEastAsia" w:cstheme="minorEastAsia"/>
          <w:szCs w:val="24"/>
        </w:rPr>
        <w:fldChar w:fldCharType="end"/>
      </w:r>
    </w:p>
    <w:p w14:paraId="0003AF95">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_Toc29637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十一、索赔和争议：</w:t>
      </w:r>
      <w:r>
        <w:tab/>
      </w:r>
      <w:r>
        <w:fldChar w:fldCharType="begin"/>
      </w:r>
      <w:r>
        <w:instrText xml:space="preserve"> PAGEREF _Toc29637 \h </w:instrText>
      </w:r>
      <w:r>
        <w:fldChar w:fldCharType="separate"/>
      </w:r>
      <w:r>
        <w:t>61</w:t>
      </w:r>
      <w:r>
        <w:fldChar w:fldCharType="end"/>
      </w:r>
      <w:r>
        <w:rPr>
          <w:rFonts w:hint="eastAsia" w:asciiTheme="minorEastAsia" w:hAnsiTheme="minorEastAsia" w:eastAsiaTheme="minorEastAsia" w:cstheme="minorEastAsia"/>
          <w:szCs w:val="24"/>
        </w:rPr>
        <w:fldChar w:fldCharType="end"/>
      </w:r>
    </w:p>
    <w:p w14:paraId="0C949CE4">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_Toc15617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十二、合同解除：</w:t>
      </w:r>
      <w:r>
        <w:tab/>
      </w:r>
      <w:r>
        <w:fldChar w:fldCharType="begin"/>
      </w:r>
      <w:r>
        <w:instrText xml:space="preserve"> PAGEREF _Toc15617 \h </w:instrText>
      </w:r>
      <w:r>
        <w:fldChar w:fldCharType="separate"/>
      </w:r>
      <w:r>
        <w:t>61</w:t>
      </w:r>
      <w:r>
        <w:fldChar w:fldCharType="end"/>
      </w:r>
      <w:r>
        <w:rPr>
          <w:rFonts w:hint="eastAsia" w:asciiTheme="minorEastAsia" w:hAnsiTheme="minorEastAsia" w:eastAsiaTheme="minorEastAsia" w:cstheme="minorEastAsia"/>
          <w:szCs w:val="24"/>
        </w:rPr>
        <w:fldChar w:fldCharType="end"/>
      </w:r>
    </w:p>
    <w:p w14:paraId="46DDD893">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_Toc29603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szCs w:val="24"/>
        </w:rPr>
        <w:t>十三、其他：</w:t>
      </w:r>
      <w:r>
        <w:tab/>
      </w:r>
      <w:r>
        <w:fldChar w:fldCharType="begin"/>
      </w:r>
      <w:r>
        <w:instrText xml:space="preserve"> PAGEREF _Toc29603 \h </w:instrText>
      </w:r>
      <w:r>
        <w:fldChar w:fldCharType="separate"/>
      </w:r>
      <w:r>
        <w:t>62</w:t>
      </w:r>
      <w:r>
        <w:fldChar w:fldCharType="end"/>
      </w:r>
      <w:r>
        <w:rPr>
          <w:rFonts w:hint="eastAsia" w:asciiTheme="minorEastAsia" w:hAnsiTheme="minorEastAsia" w:eastAsiaTheme="minorEastAsia" w:cstheme="minorEastAsia"/>
          <w:szCs w:val="24"/>
        </w:rPr>
        <w:fldChar w:fldCharType="end"/>
      </w:r>
    </w:p>
    <w:p w14:paraId="09BA6D3D">
      <w:pPr>
        <w:pStyle w:val="22"/>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_Toc28845 </w:instrText>
      </w:r>
      <w:r>
        <w:rPr>
          <w:rFonts w:hint="eastAsia" w:asciiTheme="minorEastAsia" w:hAnsiTheme="minorEastAsia" w:eastAsiaTheme="minorEastAsia" w:cstheme="minorEastAsia"/>
          <w:szCs w:val="24"/>
        </w:rPr>
        <w:fldChar w:fldCharType="separate"/>
      </w:r>
      <w:r>
        <w:rPr>
          <w:rFonts w:hint="eastAsia" w:ascii="黑体" w:hAnsi="黑体" w:cs="黑体"/>
          <w:szCs w:val="32"/>
          <w:lang w:bidi="ar"/>
        </w:rPr>
        <w:t>第四部分 补充条款</w:t>
      </w:r>
      <w:r>
        <w:tab/>
      </w:r>
      <w:r>
        <w:fldChar w:fldCharType="begin"/>
      </w:r>
      <w:r>
        <w:instrText xml:space="preserve"> PAGEREF _Toc28845 \h </w:instrText>
      </w:r>
      <w:r>
        <w:fldChar w:fldCharType="separate"/>
      </w:r>
      <w:r>
        <w:t>64</w:t>
      </w:r>
      <w:r>
        <w:fldChar w:fldCharType="end"/>
      </w:r>
      <w:r>
        <w:rPr>
          <w:rFonts w:hint="eastAsia" w:asciiTheme="minorEastAsia" w:hAnsiTheme="minorEastAsia" w:eastAsiaTheme="minorEastAsia" w:cstheme="minorEastAsia"/>
          <w:szCs w:val="24"/>
        </w:rPr>
        <w:fldChar w:fldCharType="end"/>
      </w:r>
    </w:p>
    <w:p w14:paraId="16E421E1">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_Toc20206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（一） 总说明</w:t>
      </w:r>
      <w:r>
        <w:tab/>
      </w:r>
      <w:r>
        <w:fldChar w:fldCharType="begin"/>
      </w:r>
      <w:r>
        <w:instrText xml:space="preserve"> PAGEREF _Toc20206 \h </w:instrText>
      </w:r>
      <w:r>
        <w:fldChar w:fldCharType="separate"/>
      </w:r>
      <w:r>
        <w:t>64</w:t>
      </w:r>
      <w:r>
        <w:fldChar w:fldCharType="end"/>
      </w:r>
      <w:r>
        <w:rPr>
          <w:rFonts w:hint="eastAsia" w:asciiTheme="minorEastAsia" w:hAnsiTheme="minorEastAsia" w:eastAsiaTheme="minorEastAsia" w:cstheme="minorEastAsia"/>
          <w:szCs w:val="24"/>
        </w:rPr>
        <w:fldChar w:fldCharType="end"/>
      </w:r>
    </w:p>
    <w:p w14:paraId="08321D10">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_Toc19327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（二） 分部分项工程量清单计价说明</w:t>
      </w:r>
      <w:r>
        <w:tab/>
      </w:r>
      <w:r>
        <w:fldChar w:fldCharType="begin"/>
      </w:r>
      <w:r>
        <w:instrText xml:space="preserve"> PAGEREF _Toc19327 \h </w:instrText>
      </w:r>
      <w:r>
        <w:fldChar w:fldCharType="separate"/>
      </w:r>
      <w:r>
        <w:t>65</w:t>
      </w:r>
      <w:r>
        <w:fldChar w:fldCharType="end"/>
      </w:r>
      <w:r>
        <w:rPr>
          <w:rFonts w:hint="eastAsia" w:asciiTheme="minorEastAsia" w:hAnsiTheme="minorEastAsia" w:eastAsiaTheme="minorEastAsia" w:cstheme="minorEastAsia"/>
          <w:szCs w:val="24"/>
        </w:rPr>
        <w:fldChar w:fldCharType="end"/>
      </w:r>
    </w:p>
    <w:p w14:paraId="0BBD77D9">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_Toc2435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（三） 措施项目清单计价说明</w:t>
      </w:r>
      <w:r>
        <w:tab/>
      </w:r>
      <w:r>
        <w:fldChar w:fldCharType="begin"/>
      </w:r>
      <w:r>
        <w:instrText xml:space="preserve"> PAGEREF _Toc2435 \h </w:instrText>
      </w:r>
      <w:r>
        <w:fldChar w:fldCharType="separate"/>
      </w:r>
      <w:r>
        <w:t>65</w:t>
      </w:r>
      <w:r>
        <w:fldChar w:fldCharType="end"/>
      </w:r>
      <w:r>
        <w:rPr>
          <w:rFonts w:hint="eastAsia" w:asciiTheme="minorEastAsia" w:hAnsiTheme="minorEastAsia" w:eastAsiaTheme="minorEastAsia" w:cstheme="minorEastAsia"/>
          <w:szCs w:val="24"/>
        </w:rPr>
        <w:fldChar w:fldCharType="end"/>
      </w:r>
    </w:p>
    <w:p w14:paraId="210C3B50">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_Toc1854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（四）其他项目清单计价说明</w:t>
      </w:r>
      <w:r>
        <w:tab/>
      </w:r>
      <w:r>
        <w:fldChar w:fldCharType="begin"/>
      </w:r>
      <w:r>
        <w:instrText xml:space="preserve"> PAGEREF _Toc1854 \h </w:instrText>
      </w:r>
      <w:r>
        <w:fldChar w:fldCharType="separate"/>
      </w:r>
      <w:r>
        <w:t>66</w:t>
      </w:r>
      <w:r>
        <w:fldChar w:fldCharType="end"/>
      </w:r>
      <w:r>
        <w:rPr>
          <w:rFonts w:hint="eastAsia" w:asciiTheme="minorEastAsia" w:hAnsiTheme="minorEastAsia" w:eastAsiaTheme="minorEastAsia" w:cstheme="minorEastAsia"/>
          <w:szCs w:val="24"/>
        </w:rPr>
        <w:fldChar w:fldCharType="end"/>
      </w:r>
    </w:p>
    <w:p w14:paraId="3714317F">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_Toc11749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（五）税金计价说明</w:t>
      </w:r>
      <w:r>
        <w:tab/>
      </w:r>
      <w:r>
        <w:fldChar w:fldCharType="begin"/>
      </w:r>
      <w:r>
        <w:instrText xml:space="preserve"> PAGEREF _Toc11749 \h </w:instrText>
      </w:r>
      <w:r>
        <w:fldChar w:fldCharType="separate"/>
      </w:r>
      <w:r>
        <w:t>67</w:t>
      </w:r>
      <w:r>
        <w:fldChar w:fldCharType="end"/>
      </w:r>
      <w:r>
        <w:rPr>
          <w:rFonts w:hint="eastAsia" w:asciiTheme="minorEastAsia" w:hAnsiTheme="minorEastAsia" w:eastAsiaTheme="minorEastAsia" w:cstheme="minorEastAsia"/>
          <w:szCs w:val="24"/>
        </w:rPr>
        <w:fldChar w:fldCharType="end"/>
      </w:r>
    </w:p>
    <w:p w14:paraId="1E907C92">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_Toc17625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rPr>
        <w:t>（六）通用建筑装饰工程量清单计价补充说明</w:t>
      </w:r>
      <w:r>
        <w:tab/>
      </w:r>
      <w:r>
        <w:fldChar w:fldCharType="begin"/>
      </w:r>
      <w:r>
        <w:instrText xml:space="preserve"> PAGEREF _Toc17625 \h </w:instrText>
      </w:r>
      <w:r>
        <w:fldChar w:fldCharType="separate"/>
      </w:r>
      <w:r>
        <w:t>67</w:t>
      </w:r>
      <w:r>
        <w:fldChar w:fldCharType="end"/>
      </w:r>
      <w:r>
        <w:rPr>
          <w:rFonts w:hint="eastAsia" w:asciiTheme="minorEastAsia" w:hAnsiTheme="minorEastAsia" w:eastAsiaTheme="minorEastAsia" w:cstheme="minorEastAsia"/>
          <w:szCs w:val="24"/>
        </w:rPr>
        <w:fldChar w:fldCharType="end"/>
      </w:r>
    </w:p>
    <w:p w14:paraId="656AEA16">
      <w:pPr>
        <w:pStyle w:val="22"/>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_Toc24564 </w:instrText>
      </w:r>
      <w:r>
        <w:rPr>
          <w:rFonts w:hint="eastAsia" w:asciiTheme="minorEastAsia" w:hAnsiTheme="minorEastAsia" w:eastAsiaTheme="minorEastAsia" w:cstheme="minorEastAsia"/>
          <w:szCs w:val="24"/>
        </w:rPr>
        <w:fldChar w:fldCharType="separate"/>
      </w:r>
      <w:r>
        <w:rPr>
          <w:rFonts w:hint="eastAsia" w:ascii="黑体" w:hAnsi="黑体" w:eastAsia="黑体" w:cs="黑体"/>
          <w:bCs/>
          <w:szCs w:val="32"/>
          <w:lang w:eastAsia="zh"/>
        </w:rPr>
        <w:t>第五部分 资料表格</w:t>
      </w:r>
      <w:r>
        <w:tab/>
      </w:r>
      <w:r>
        <w:fldChar w:fldCharType="begin"/>
      </w:r>
      <w:r>
        <w:instrText xml:space="preserve"> PAGEREF _Toc24564 \h </w:instrText>
      </w:r>
      <w:r>
        <w:fldChar w:fldCharType="separate"/>
      </w:r>
      <w:r>
        <w:t>69</w:t>
      </w:r>
      <w:r>
        <w:fldChar w:fldCharType="end"/>
      </w:r>
      <w:r>
        <w:rPr>
          <w:rFonts w:hint="eastAsia" w:asciiTheme="minorEastAsia" w:hAnsiTheme="minorEastAsia" w:eastAsiaTheme="minorEastAsia" w:cstheme="minorEastAsia"/>
          <w:szCs w:val="24"/>
        </w:rPr>
        <w:fldChar w:fldCharType="end"/>
      </w:r>
    </w:p>
    <w:p w14:paraId="6303DB86">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_Toc11437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kern w:val="44"/>
          <w:szCs w:val="30"/>
        </w:rPr>
        <w:t>附件1 施工界面划分</w:t>
      </w:r>
      <w:r>
        <w:tab/>
      </w:r>
      <w:r>
        <w:fldChar w:fldCharType="begin"/>
      </w:r>
      <w:r>
        <w:instrText xml:space="preserve"> PAGEREF _Toc11437 \h </w:instrText>
      </w:r>
      <w:r>
        <w:fldChar w:fldCharType="separate"/>
      </w:r>
      <w:r>
        <w:t>69</w:t>
      </w:r>
      <w:r>
        <w:fldChar w:fldCharType="end"/>
      </w:r>
      <w:r>
        <w:rPr>
          <w:rFonts w:hint="eastAsia" w:asciiTheme="minorEastAsia" w:hAnsiTheme="minorEastAsia" w:eastAsiaTheme="minorEastAsia" w:cstheme="minorEastAsia"/>
          <w:szCs w:val="24"/>
        </w:rPr>
        <w:fldChar w:fldCharType="end"/>
      </w:r>
    </w:p>
    <w:p w14:paraId="160E171A">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_Toc29327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kern w:val="44"/>
          <w:szCs w:val="30"/>
        </w:rPr>
        <w:t>附件2 材料设备品牌参考表</w:t>
      </w:r>
      <w:r>
        <w:tab/>
      </w:r>
      <w:r>
        <w:fldChar w:fldCharType="begin"/>
      </w:r>
      <w:r>
        <w:instrText xml:space="preserve"> PAGEREF _Toc29327 \h </w:instrText>
      </w:r>
      <w:r>
        <w:fldChar w:fldCharType="separate"/>
      </w:r>
      <w:r>
        <w:t>73</w:t>
      </w:r>
      <w:r>
        <w:fldChar w:fldCharType="end"/>
      </w:r>
      <w:r>
        <w:rPr>
          <w:rFonts w:hint="eastAsia" w:asciiTheme="minorEastAsia" w:hAnsiTheme="minorEastAsia" w:eastAsiaTheme="minorEastAsia" w:cstheme="minorEastAsia"/>
          <w:szCs w:val="24"/>
        </w:rPr>
        <w:fldChar w:fldCharType="end"/>
      </w:r>
    </w:p>
    <w:p w14:paraId="623BFCE6">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_Toc18996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kern w:val="44"/>
          <w:szCs w:val="30"/>
        </w:rPr>
        <w:t>附件3 工程质量保修书</w:t>
      </w:r>
      <w:r>
        <w:tab/>
      </w:r>
      <w:r>
        <w:fldChar w:fldCharType="begin"/>
      </w:r>
      <w:r>
        <w:instrText xml:space="preserve"> PAGEREF _Toc18996 \h </w:instrText>
      </w:r>
      <w:r>
        <w:fldChar w:fldCharType="separate"/>
      </w:r>
      <w:r>
        <w:t>74</w:t>
      </w:r>
      <w:r>
        <w:fldChar w:fldCharType="end"/>
      </w:r>
      <w:r>
        <w:rPr>
          <w:rFonts w:hint="eastAsia" w:asciiTheme="minorEastAsia" w:hAnsiTheme="minorEastAsia" w:eastAsiaTheme="minorEastAsia" w:cstheme="minorEastAsia"/>
          <w:szCs w:val="24"/>
        </w:rPr>
        <w:fldChar w:fldCharType="end"/>
      </w:r>
    </w:p>
    <w:p w14:paraId="2B5A20D5">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_Toc32534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kern w:val="44"/>
          <w:szCs w:val="28"/>
        </w:rPr>
        <w:t>附件4施工技术要求（另册）</w:t>
      </w:r>
      <w:r>
        <w:tab/>
      </w:r>
      <w:r>
        <w:fldChar w:fldCharType="begin"/>
      </w:r>
      <w:r>
        <w:instrText xml:space="preserve"> PAGEREF _Toc32534 \h </w:instrText>
      </w:r>
      <w:r>
        <w:fldChar w:fldCharType="separate"/>
      </w:r>
      <w:r>
        <w:t>76</w:t>
      </w:r>
      <w:r>
        <w:fldChar w:fldCharType="end"/>
      </w:r>
      <w:r>
        <w:rPr>
          <w:rFonts w:hint="eastAsia" w:asciiTheme="minorEastAsia" w:hAnsiTheme="minorEastAsia" w:eastAsiaTheme="minorEastAsia" w:cstheme="minorEastAsia"/>
          <w:szCs w:val="24"/>
        </w:rPr>
        <w:fldChar w:fldCharType="end"/>
      </w:r>
    </w:p>
    <w:p w14:paraId="49DDA8A9">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_Toc17902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kern w:val="44"/>
          <w:szCs w:val="30"/>
        </w:rPr>
        <w:t>附件5 工程建设项目廉政合同书</w:t>
      </w:r>
      <w:r>
        <w:tab/>
      </w:r>
      <w:r>
        <w:fldChar w:fldCharType="begin"/>
      </w:r>
      <w:r>
        <w:instrText xml:space="preserve"> PAGEREF _Toc17902 \h </w:instrText>
      </w:r>
      <w:r>
        <w:fldChar w:fldCharType="separate"/>
      </w:r>
      <w:r>
        <w:t>77</w:t>
      </w:r>
      <w:r>
        <w:fldChar w:fldCharType="end"/>
      </w:r>
      <w:r>
        <w:rPr>
          <w:rFonts w:hint="eastAsia" w:asciiTheme="minorEastAsia" w:hAnsiTheme="minorEastAsia" w:eastAsiaTheme="minorEastAsia" w:cstheme="minorEastAsia"/>
          <w:szCs w:val="24"/>
        </w:rPr>
        <w:fldChar w:fldCharType="end"/>
      </w:r>
    </w:p>
    <w:p w14:paraId="02511462">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_Toc13859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kern w:val="44"/>
          <w:szCs w:val="30"/>
          <w:lang w:bidi="ar"/>
        </w:rPr>
        <w:t>附件6 施工现场安全生产协议书</w:t>
      </w:r>
      <w:r>
        <w:tab/>
      </w:r>
      <w:r>
        <w:fldChar w:fldCharType="begin"/>
      </w:r>
      <w:r>
        <w:instrText xml:space="preserve"> PAGEREF _Toc13859 \h </w:instrText>
      </w:r>
      <w:r>
        <w:fldChar w:fldCharType="separate"/>
      </w:r>
      <w:r>
        <w:t>79</w:t>
      </w:r>
      <w:r>
        <w:fldChar w:fldCharType="end"/>
      </w:r>
      <w:r>
        <w:rPr>
          <w:rFonts w:hint="eastAsia" w:asciiTheme="minorEastAsia" w:hAnsiTheme="minorEastAsia" w:eastAsiaTheme="minorEastAsia" w:cstheme="minorEastAsia"/>
          <w:szCs w:val="24"/>
        </w:rPr>
        <w:fldChar w:fldCharType="end"/>
      </w:r>
    </w:p>
    <w:p w14:paraId="693C12F5">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_Toc30651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szCs w:val="30"/>
          <w:lang w:bidi="ar"/>
        </w:rPr>
        <w:t>附件7 项目管理班子及其他管理人员配备情况表（按投标文件）</w:t>
      </w:r>
      <w:r>
        <w:tab/>
      </w:r>
      <w:r>
        <w:fldChar w:fldCharType="begin"/>
      </w:r>
      <w:r>
        <w:instrText xml:space="preserve"> PAGEREF _Toc30651 \h </w:instrText>
      </w:r>
      <w:r>
        <w:fldChar w:fldCharType="separate"/>
      </w:r>
      <w:r>
        <w:t>86</w:t>
      </w:r>
      <w:r>
        <w:fldChar w:fldCharType="end"/>
      </w:r>
      <w:r>
        <w:rPr>
          <w:rFonts w:hint="eastAsia" w:asciiTheme="minorEastAsia" w:hAnsiTheme="minorEastAsia" w:eastAsiaTheme="minorEastAsia" w:cstheme="minorEastAsia"/>
          <w:szCs w:val="24"/>
        </w:rPr>
        <w:fldChar w:fldCharType="end"/>
      </w:r>
    </w:p>
    <w:p w14:paraId="58634344">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_Toc6908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szCs w:val="30"/>
          <w:lang w:bidi="ar"/>
        </w:rPr>
        <w:t>附件8 主要施工机械设备表（按投标文件）</w:t>
      </w:r>
      <w:r>
        <w:tab/>
      </w:r>
      <w:r>
        <w:fldChar w:fldCharType="begin"/>
      </w:r>
      <w:r>
        <w:instrText xml:space="preserve"> PAGEREF _Toc6908 \h </w:instrText>
      </w:r>
      <w:r>
        <w:fldChar w:fldCharType="separate"/>
      </w:r>
      <w:r>
        <w:t>87</w:t>
      </w:r>
      <w:r>
        <w:fldChar w:fldCharType="end"/>
      </w:r>
      <w:r>
        <w:rPr>
          <w:rFonts w:hint="eastAsia" w:asciiTheme="minorEastAsia" w:hAnsiTheme="minorEastAsia" w:eastAsiaTheme="minorEastAsia" w:cstheme="minorEastAsia"/>
          <w:szCs w:val="24"/>
        </w:rPr>
        <w:fldChar w:fldCharType="end"/>
      </w:r>
    </w:p>
    <w:p w14:paraId="16FEEC74">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_Toc23823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szCs w:val="30"/>
          <w:lang w:bidi="ar"/>
        </w:rPr>
        <w:t>附件9 答疑补遗纪要</w:t>
      </w:r>
      <w:r>
        <w:tab/>
      </w:r>
      <w:r>
        <w:fldChar w:fldCharType="begin"/>
      </w:r>
      <w:r>
        <w:instrText xml:space="preserve"> PAGEREF _Toc23823 \h </w:instrText>
      </w:r>
      <w:r>
        <w:fldChar w:fldCharType="separate"/>
      </w:r>
      <w:r>
        <w:t>88</w:t>
      </w:r>
      <w:r>
        <w:fldChar w:fldCharType="end"/>
      </w:r>
      <w:r>
        <w:rPr>
          <w:rFonts w:hint="eastAsia" w:asciiTheme="minorEastAsia" w:hAnsiTheme="minorEastAsia" w:eastAsiaTheme="minorEastAsia" w:cstheme="minorEastAsia"/>
          <w:szCs w:val="24"/>
        </w:rPr>
        <w:fldChar w:fldCharType="end"/>
      </w:r>
    </w:p>
    <w:p w14:paraId="77C4BEC5">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_Toc10113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szCs w:val="30"/>
          <w:lang w:bidi="ar"/>
        </w:rPr>
        <w:t>附件10  工程质量专项管理协议书</w:t>
      </w:r>
      <w:r>
        <w:tab/>
      </w:r>
      <w:r>
        <w:fldChar w:fldCharType="begin"/>
      </w:r>
      <w:r>
        <w:instrText xml:space="preserve"> PAGEREF _Toc10113 \h </w:instrText>
      </w:r>
      <w:r>
        <w:fldChar w:fldCharType="separate"/>
      </w:r>
      <w:r>
        <w:t>89</w:t>
      </w:r>
      <w:r>
        <w:fldChar w:fldCharType="end"/>
      </w:r>
      <w:r>
        <w:rPr>
          <w:rFonts w:hint="eastAsia" w:asciiTheme="minorEastAsia" w:hAnsiTheme="minorEastAsia" w:eastAsiaTheme="minorEastAsia" w:cstheme="minorEastAsia"/>
          <w:szCs w:val="24"/>
        </w:rPr>
        <w:fldChar w:fldCharType="end"/>
      </w:r>
    </w:p>
    <w:p w14:paraId="2E4B019B">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_Toc6555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szCs w:val="30"/>
          <w:lang w:bidi="ar"/>
        </w:rPr>
        <w:t>附件11  农民工工资委托支付协议</w:t>
      </w:r>
      <w:r>
        <w:tab/>
      </w:r>
      <w:r>
        <w:fldChar w:fldCharType="begin"/>
      </w:r>
      <w:r>
        <w:instrText xml:space="preserve"> PAGEREF _Toc6555 \h </w:instrText>
      </w:r>
      <w:r>
        <w:fldChar w:fldCharType="separate"/>
      </w:r>
      <w:r>
        <w:t>95</w:t>
      </w:r>
      <w:r>
        <w:fldChar w:fldCharType="end"/>
      </w:r>
      <w:r>
        <w:rPr>
          <w:rFonts w:hint="eastAsia" w:asciiTheme="minorEastAsia" w:hAnsiTheme="minorEastAsia" w:eastAsiaTheme="minorEastAsia" w:cstheme="minorEastAsia"/>
          <w:szCs w:val="24"/>
        </w:rPr>
        <w:fldChar w:fldCharType="end"/>
      </w:r>
    </w:p>
    <w:p w14:paraId="51FABB51">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_Toc1192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szCs w:val="30"/>
          <w:lang w:bidi="ar"/>
        </w:rPr>
        <w:t>附件12  施工现场消防安全管理协议</w:t>
      </w:r>
      <w:r>
        <w:tab/>
      </w:r>
      <w:r>
        <w:fldChar w:fldCharType="begin"/>
      </w:r>
      <w:r>
        <w:instrText xml:space="preserve"> PAGEREF _Toc1192 \h </w:instrText>
      </w:r>
      <w:r>
        <w:fldChar w:fldCharType="separate"/>
      </w:r>
      <w:r>
        <w:t>98</w:t>
      </w:r>
      <w:r>
        <w:fldChar w:fldCharType="end"/>
      </w:r>
      <w:r>
        <w:rPr>
          <w:rFonts w:hint="eastAsia" w:asciiTheme="minorEastAsia" w:hAnsiTheme="minorEastAsia" w:eastAsiaTheme="minorEastAsia" w:cstheme="minorEastAsia"/>
          <w:szCs w:val="24"/>
        </w:rPr>
        <w:fldChar w:fldCharType="end"/>
      </w:r>
    </w:p>
    <w:p w14:paraId="5328EE4E">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_Toc7778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szCs w:val="30"/>
          <w:lang w:bidi="ar"/>
        </w:rPr>
        <w:t>附件13  施工现场临时用电安全管理协议</w:t>
      </w:r>
      <w:r>
        <w:tab/>
      </w:r>
      <w:r>
        <w:fldChar w:fldCharType="begin"/>
      </w:r>
      <w:r>
        <w:instrText xml:space="preserve"> PAGEREF _Toc7778 \h </w:instrText>
      </w:r>
      <w:r>
        <w:fldChar w:fldCharType="separate"/>
      </w:r>
      <w:r>
        <w:t>101</w:t>
      </w:r>
      <w:r>
        <w:fldChar w:fldCharType="end"/>
      </w:r>
      <w:r>
        <w:rPr>
          <w:rFonts w:hint="eastAsia" w:asciiTheme="minorEastAsia" w:hAnsiTheme="minorEastAsia" w:eastAsiaTheme="minorEastAsia" w:cstheme="minorEastAsia"/>
          <w:szCs w:val="24"/>
        </w:rPr>
        <w:fldChar w:fldCharType="end"/>
      </w:r>
    </w:p>
    <w:p w14:paraId="76574418">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_Toc9158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szCs w:val="30"/>
          <w:lang w:bidi="ar"/>
        </w:rPr>
        <w:t>附件14  承诺书</w:t>
      </w:r>
      <w:r>
        <w:tab/>
      </w:r>
      <w:r>
        <w:fldChar w:fldCharType="begin"/>
      </w:r>
      <w:r>
        <w:instrText xml:space="preserve"> PAGEREF _Toc9158 \h </w:instrText>
      </w:r>
      <w:r>
        <w:fldChar w:fldCharType="separate"/>
      </w:r>
      <w:r>
        <w:t>103</w:t>
      </w:r>
      <w:r>
        <w:fldChar w:fldCharType="end"/>
      </w:r>
      <w:r>
        <w:rPr>
          <w:rFonts w:hint="eastAsia" w:asciiTheme="minorEastAsia" w:hAnsiTheme="minorEastAsia" w:eastAsiaTheme="minorEastAsia" w:cstheme="minorEastAsia"/>
          <w:szCs w:val="24"/>
        </w:rPr>
        <w:fldChar w:fldCharType="end"/>
      </w:r>
    </w:p>
    <w:p w14:paraId="1C27FAC2">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_Toc12882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szCs w:val="30"/>
          <w:lang w:bidi="ar"/>
        </w:rPr>
        <w:t>附件15  施工总承包管理配合协议</w:t>
      </w:r>
      <w:r>
        <w:tab/>
      </w:r>
      <w:r>
        <w:fldChar w:fldCharType="begin"/>
      </w:r>
      <w:r>
        <w:instrText xml:space="preserve"> PAGEREF _Toc12882 \h </w:instrText>
      </w:r>
      <w:r>
        <w:fldChar w:fldCharType="separate"/>
      </w:r>
      <w:r>
        <w:t>105</w:t>
      </w:r>
      <w:r>
        <w:fldChar w:fldCharType="end"/>
      </w:r>
      <w:r>
        <w:rPr>
          <w:rFonts w:hint="eastAsia" w:asciiTheme="minorEastAsia" w:hAnsiTheme="minorEastAsia" w:eastAsiaTheme="minorEastAsia" w:cstheme="minorEastAsia"/>
          <w:szCs w:val="24"/>
        </w:rPr>
        <w:fldChar w:fldCharType="end"/>
      </w:r>
    </w:p>
    <w:p w14:paraId="26611110">
      <w:pPr>
        <w:pStyle w:val="26"/>
        <w:tabs>
          <w:tab w:val="right" w:leader="dot" w:pos="9355"/>
        </w:tabs>
      </w:pPr>
      <w:r>
        <w:rPr>
          <w:rFonts w:hint="eastAsia" w:asciiTheme="minorEastAsia" w:hAnsiTheme="minorEastAsia" w:eastAsiaTheme="minorEastAsia" w:cstheme="minorEastAsia"/>
          <w:szCs w:val="24"/>
        </w:rPr>
        <w:fldChar w:fldCharType="begin"/>
      </w:r>
      <w:r>
        <w:rPr>
          <w:rFonts w:hint="eastAsia" w:asciiTheme="minorEastAsia" w:hAnsiTheme="minorEastAsia" w:eastAsiaTheme="minorEastAsia" w:cstheme="minorEastAsia"/>
          <w:szCs w:val="24"/>
        </w:rPr>
        <w:instrText xml:space="preserve"> HYPERLINK \l _Toc10038 </w:instrText>
      </w:r>
      <w:r>
        <w:rPr>
          <w:rFonts w:hint="eastAsia" w:asciiTheme="minorEastAsia" w:hAnsiTheme="minorEastAsia" w:eastAsiaTheme="minorEastAsia" w:cstheme="minorEastAsia"/>
          <w:szCs w:val="24"/>
        </w:rPr>
        <w:fldChar w:fldCharType="separate"/>
      </w:r>
      <w:r>
        <w:rPr>
          <w:rFonts w:hint="eastAsia" w:asciiTheme="minorEastAsia" w:hAnsiTheme="minorEastAsia" w:eastAsiaTheme="minorEastAsia" w:cstheme="minorEastAsia"/>
          <w:bCs/>
          <w:szCs w:val="30"/>
          <w:lang w:bidi="ar"/>
        </w:rPr>
        <w:t>附件16第三方合规承诺函</w:t>
      </w:r>
      <w:r>
        <w:tab/>
      </w:r>
      <w:r>
        <w:fldChar w:fldCharType="begin"/>
      </w:r>
      <w:r>
        <w:instrText xml:space="preserve"> PAGEREF _Toc10038 \h </w:instrText>
      </w:r>
      <w:r>
        <w:fldChar w:fldCharType="separate"/>
      </w:r>
      <w:r>
        <w:t>109</w:t>
      </w:r>
      <w:r>
        <w:fldChar w:fldCharType="end"/>
      </w:r>
      <w:r>
        <w:rPr>
          <w:rFonts w:hint="eastAsia" w:asciiTheme="minorEastAsia" w:hAnsiTheme="minorEastAsia" w:eastAsiaTheme="minorEastAsia" w:cstheme="minorEastAsia"/>
          <w:szCs w:val="24"/>
        </w:rPr>
        <w:fldChar w:fldCharType="end"/>
      </w:r>
    </w:p>
    <w:p w14:paraId="67C383CD">
      <w:pPr>
        <w:pStyle w:val="82"/>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Cs w:val="24"/>
        </w:rPr>
        <w:fldChar w:fldCharType="end"/>
      </w:r>
    </w:p>
    <w:p w14:paraId="62501B72">
      <w:pPr>
        <w:pStyle w:val="8"/>
        <w:widowControl/>
        <w:jc w:val="left"/>
        <w:rPr>
          <w:kern w:val="0"/>
        </w:rPr>
      </w:pPr>
      <w:r>
        <w:rPr>
          <w:rFonts w:hint="eastAsia"/>
        </w:rPr>
        <w:br w:type="page"/>
      </w:r>
    </w:p>
    <w:p w14:paraId="0166D5FE">
      <w:pPr>
        <w:pStyle w:val="82"/>
        <w:spacing w:line="360" w:lineRule="auto"/>
        <w:rPr>
          <w:rFonts w:hint="eastAsia" w:ascii="黑体" w:hAnsi="黑体" w:cs="黑体"/>
          <w:szCs w:val="32"/>
        </w:rPr>
      </w:pPr>
      <w:bookmarkStart w:id="17" w:name="_Toc14689"/>
      <w:bookmarkStart w:id="18" w:name="_Toc200394203"/>
      <w:r>
        <w:rPr>
          <w:rFonts w:hint="eastAsia" w:ascii="黑体" w:hAnsi="黑体" w:cs="黑体"/>
          <w:b/>
          <w:szCs w:val="32"/>
        </w:rPr>
        <w:t>第一部分  协议书</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12C2F8A">
      <w:pPr>
        <w:autoSpaceDE w:val="0"/>
        <w:autoSpaceDN w:val="0"/>
        <w:adjustRightInd w:val="0"/>
        <w:snapToGrid w:val="0"/>
        <w:spacing w:line="360" w:lineRule="auto"/>
        <w:jc w:val="both"/>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rPr>
        <w:t>发包人：</w:t>
      </w:r>
      <w:r>
        <w:rPr>
          <w:rFonts w:hint="eastAsia" w:asciiTheme="minorEastAsia" w:hAnsiTheme="minorEastAsia" w:eastAsiaTheme="minorEastAsia" w:cstheme="minorEastAsia"/>
          <w:kern w:val="0"/>
          <w:sz w:val="24"/>
          <w:u w:val="single"/>
        </w:rPr>
        <w:t xml:space="preserve"> </w:t>
      </w:r>
      <w:bookmarkStart w:id="19" w:name="_Hlk180512876"/>
      <w:r>
        <w:rPr>
          <w:rFonts w:hint="eastAsia" w:ascii="宋体" w:hAnsi="宋体"/>
          <w:kern w:val="0"/>
          <w:sz w:val="24"/>
          <w:lang w:val="en-US" w:eastAsia="zh-CN"/>
        </w:rPr>
        <w:t>琶洲算力中心(广州)有限公司</w:t>
      </w:r>
      <w:bookmarkEnd w:id="19"/>
      <w:r>
        <w:rPr>
          <w:rFonts w:hint="eastAsia" w:asciiTheme="minorEastAsia" w:hAnsiTheme="minorEastAsia" w:eastAsiaTheme="minorEastAsia" w:cstheme="minorEastAsia"/>
          <w:kern w:val="0"/>
          <w:sz w:val="24"/>
          <w:u w:val="single"/>
        </w:rPr>
        <w:t xml:space="preserve">   </w:t>
      </w:r>
    </w:p>
    <w:p w14:paraId="772898CC">
      <w:pPr>
        <w:autoSpaceDE w:val="0"/>
        <w:autoSpaceDN w:val="0"/>
        <w:adjustRightInd w:val="0"/>
        <w:snapToGrid w:val="0"/>
        <w:spacing w:line="360" w:lineRule="auto"/>
        <w:jc w:val="both"/>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rPr>
        <w:t>承包人：</w:t>
      </w:r>
      <w:r>
        <w:rPr>
          <w:rFonts w:hint="eastAsia" w:asciiTheme="minorEastAsia" w:hAnsiTheme="minorEastAsia" w:eastAsiaTheme="minorEastAsia" w:cstheme="minorEastAsia"/>
          <w:kern w:val="0"/>
          <w:sz w:val="24"/>
          <w:u w:val="single"/>
        </w:rPr>
        <w:t>（主）</w:t>
      </w:r>
      <w:r>
        <w:rPr>
          <w:rFonts w:hint="eastAsia" w:ascii="宋体" w:hAnsi="宋体" w:eastAsia="宋体" w:cs="Times New Roman"/>
          <w:kern w:val="0"/>
          <w:sz w:val="24"/>
          <w:szCs w:val="24"/>
          <w:lang w:val="en-US" w:eastAsia="zh-CN" w:bidi="ar-SA"/>
        </w:rPr>
        <w:t>中建三局第二建设工程有限责任</w:t>
      </w:r>
      <w:r>
        <w:rPr>
          <w:rFonts w:hint="eastAsia" w:asciiTheme="minorEastAsia" w:hAnsiTheme="minorEastAsia" w:eastAsiaTheme="minorEastAsia" w:cstheme="minorEastAsia"/>
          <w:kern w:val="0"/>
          <w:sz w:val="24"/>
          <w:u w:val="single"/>
        </w:rPr>
        <w:t>公司（成）</w:t>
      </w:r>
      <w:bookmarkStart w:id="20" w:name="_Hlk180512805"/>
      <w:r>
        <w:rPr>
          <w:rFonts w:hint="eastAsia" w:ascii="宋体" w:hAnsi="宋体" w:eastAsia="宋体" w:cs="Times New Roman"/>
          <w:kern w:val="0"/>
          <w:sz w:val="24"/>
          <w:szCs w:val="24"/>
          <w:lang w:val="en-US" w:eastAsia="zh-CN" w:bidi="ar-SA"/>
        </w:rPr>
        <w:t>中建三局第二建设工程（广州）有限</w:t>
      </w:r>
      <w:r>
        <w:rPr>
          <w:rFonts w:hint="eastAsia" w:asciiTheme="minorEastAsia" w:hAnsiTheme="minorEastAsia" w:eastAsiaTheme="minorEastAsia" w:cstheme="minorEastAsia"/>
          <w:kern w:val="0"/>
          <w:sz w:val="24"/>
          <w:u w:val="single"/>
        </w:rPr>
        <w:t>公司</w:t>
      </w:r>
      <w:bookmarkEnd w:id="20"/>
      <w:r>
        <w:rPr>
          <w:rFonts w:hint="eastAsia" w:asciiTheme="minorEastAsia" w:hAnsiTheme="minorEastAsia" w:eastAsiaTheme="minorEastAsia" w:cstheme="minorEastAsia"/>
          <w:kern w:val="0"/>
          <w:sz w:val="24"/>
          <w:u w:val="single"/>
        </w:rPr>
        <w:t xml:space="preserve">   </w:t>
      </w:r>
    </w:p>
    <w:p w14:paraId="6B7AC357">
      <w:pPr>
        <w:autoSpaceDE w:val="0"/>
        <w:autoSpaceDN w:val="0"/>
        <w:adjustRightInd w:val="0"/>
        <w:snapToGrid w:val="0"/>
        <w:spacing w:line="360" w:lineRule="auto"/>
        <w:jc w:val="both"/>
        <w:rPr>
          <w:rFonts w:hint="eastAsia" w:asciiTheme="minorEastAsia" w:hAnsiTheme="minorEastAsia" w:eastAsiaTheme="minorEastAsia" w:cstheme="minorEastAsia"/>
          <w:kern w:val="0"/>
          <w:sz w:val="24"/>
          <w:u w:val="single"/>
        </w:rPr>
      </w:pPr>
      <w:r>
        <w:rPr>
          <w:rFonts w:hint="eastAsia" w:asciiTheme="minorEastAsia" w:hAnsiTheme="minorEastAsia" w:eastAsiaTheme="minorEastAsia" w:cstheme="minorEastAsia"/>
          <w:kern w:val="0"/>
          <w:sz w:val="24"/>
        </w:rPr>
        <w:t>分包人：</w:t>
      </w:r>
      <w:r>
        <w:rPr>
          <w:rFonts w:hint="eastAsia" w:asciiTheme="minorEastAsia" w:hAnsiTheme="minorEastAsia" w:eastAsiaTheme="minorEastAsia" w:cstheme="minorEastAsia"/>
          <w:kern w:val="0"/>
          <w:sz w:val="24"/>
          <w:u w:val="single"/>
        </w:rPr>
        <w:t xml:space="preserve">                      </w:t>
      </w:r>
    </w:p>
    <w:p w14:paraId="5FA4DCE9">
      <w:pPr>
        <w:autoSpaceDE w:val="0"/>
        <w:autoSpaceDN w:val="0"/>
        <w:adjustRightInd w:val="0"/>
        <w:snapToGrid w:val="0"/>
        <w:spacing w:line="360" w:lineRule="auto"/>
        <w:ind w:firstLine="480" w:firstLineChars="200"/>
        <w:jc w:val="both"/>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鉴于：</w:t>
      </w:r>
    </w:p>
    <w:p w14:paraId="52BBBDAC">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1、发包人与承包人签订了《</w:t>
      </w:r>
      <w:bookmarkStart w:id="21" w:name="_Hlk180512933"/>
      <w:r>
        <w:rPr>
          <w:rFonts w:hint="eastAsia" w:ascii="宋体" w:hAnsi="宋体"/>
          <w:kern w:val="0"/>
          <w:sz w:val="24"/>
        </w:rPr>
        <w:t>琶洲</w:t>
      </w:r>
      <w:r>
        <w:rPr>
          <w:rFonts w:hint="eastAsia" w:ascii="宋体" w:hAnsi="宋体" w:eastAsia="宋体" w:cs="Times New Roman"/>
          <w:kern w:val="0"/>
          <w:sz w:val="24"/>
          <w:szCs w:val="24"/>
          <w:u w:val="none"/>
        </w:rPr>
        <w:t>南区AH090633地块项目</w:t>
      </w:r>
      <w:r>
        <w:rPr>
          <w:rFonts w:hint="eastAsia" w:ascii="宋体" w:hAnsi="宋体"/>
          <w:kern w:val="0"/>
          <w:sz w:val="24"/>
        </w:rPr>
        <w:t>施工总承包工程合同</w:t>
      </w:r>
      <w:bookmarkEnd w:id="21"/>
      <w:r>
        <w:rPr>
          <w:rFonts w:hint="eastAsia" w:asciiTheme="minorEastAsia" w:hAnsiTheme="minorEastAsia" w:eastAsiaTheme="minorEastAsia" w:cstheme="minorEastAsia"/>
          <w:kern w:val="0"/>
          <w:sz w:val="24"/>
        </w:rPr>
        <w:t>》（以下简称“总承包合同”），承包人负责主体施工总承包工程，建设单位负责按总承包合同约定支付工程款。</w:t>
      </w:r>
    </w:p>
    <w:p w14:paraId="07683FF6">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宋体" w:hAnsi="宋体"/>
          <w:kern w:val="0"/>
          <w:sz w:val="24"/>
        </w:rPr>
        <w:t>琶洲</w:t>
      </w:r>
      <w:r>
        <w:rPr>
          <w:rFonts w:hint="eastAsia" w:ascii="宋体" w:hAnsi="宋体" w:eastAsia="宋体" w:cs="Times New Roman"/>
          <w:kern w:val="0"/>
          <w:sz w:val="24"/>
          <w:szCs w:val="24"/>
          <w:u w:val="none"/>
        </w:rPr>
        <w:t>南区AH090633地块项目</w:t>
      </w:r>
      <w:r>
        <w:rPr>
          <w:rFonts w:hint="eastAsia" w:ascii="宋体" w:hAnsi="宋体"/>
          <w:kern w:val="0"/>
          <w:sz w:val="24"/>
        </w:rPr>
        <w:t>精装修专业承包</w:t>
      </w:r>
      <w:r>
        <w:rPr>
          <w:rFonts w:hint="eastAsia" w:asciiTheme="minorEastAsia" w:hAnsiTheme="minorEastAsia" w:eastAsiaTheme="minorEastAsia" w:cstheme="minorEastAsia"/>
          <w:kern w:val="0"/>
          <w:sz w:val="24"/>
        </w:rPr>
        <w:t>（以下简称“本工程”）为总承包合同项下暂估价工程，承包人按总承包合同约定招标采购分包人承担本工程施工工作。</w:t>
      </w:r>
    </w:p>
    <w:p w14:paraId="456A76FD">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依照《中华人民共和国民法典》、《中华人民共和国建筑法》及其他有关法律、行政法规，遵循平等、自愿、公平和诚实信用的原则，各方就下列建设工程施工事项协商一致，订立本合同。</w:t>
      </w:r>
    </w:p>
    <w:p w14:paraId="2063B1B6">
      <w:pPr>
        <w:pStyle w:val="3"/>
        <w:autoSpaceDE w:val="0"/>
        <w:autoSpaceDN w:val="0"/>
        <w:adjustRightInd w:val="0"/>
        <w:snapToGrid w:val="0"/>
        <w:spacing w:line="360" w:lineRule="auto"/>
        <w:jc w:val="both"/>
        <w:outlineLvl w:val="2"/>
        <w:rPr>
          <w:rFonts w:hint="eastAsia" w:asciiTheme="minorEastAsia" w:hAnsiTheme="minorEastAsia" w:eastAsiaTheme="minorEastAsia" w:cstheme="minorEastAsia"/>
          <w:kern w:val="0"/>
          <w:sz w:val="24"/>
        </w:rPr>
      </w:pPr>
      <w:bookmarkStart w:id="22" w:name="_Toc200394204"/>
      <w:r>
        <w:rPr>
          <w:rFonts w:hint="eastAsia" w:asciiTheme="minorEastAsia" w:hAnsiTheme="minorEastAsia" w:eastAsiaTheme="minorEastAsia" w:cstheme="minorEastAsia"/>
          <w:kern w:val="0"/>
          <w:sz w:val="24"/>
        </w:rPr>
        <w:t>一、工程概况：</w:t>
      </w:r>
      <w:bookmarkEnd w:id="22"/>
    </w:p>
    <w:p w14:paraId="2BA558E1">
      <w:pPr>
        <w:numPr>
          <w:ilvl w:val="0"/>
          <w:numId w:val="0"/>
        </w:numPr>
        <w:snapToGrid/>
        <w:spacing w:line="360" w:lineRule="auto"/>
        <w:ind w:left="0" w:firstLine="480" w:firstLineChars="200"/>
        <w:outlineLvl w:val="9"/>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kern w:val="0"/>
          <w:sz w:val="24"/>
        </w:rPr>
        <w:t>工程名称：</w:t>
      </w:r>
      <w:r>
        <w:rPr>
          <w:rFonts w:hint="eastAsia" w:ascii="宋体" w:hAnsi="宋体"/>
          <w:kern w:val="0"/>
          <w:sz w:val="24"/>
        </w:rPr>
        <w:t>琶洲</w:t>
      </w:r>
      <w:r>
        <w:rPr>
          <w:rFonts w:hint="eastAsia" w:ascii="宋体" w:hAnsi="宋体" w:eastAsia="宋体" w:cs="Times New Roman"/>
          <w:kern w:val="0"/>
          <w:sz w:val="24"/>
          <w:szCs w:val="24"/>
          <w:u w:val="none"/>
        </w:rPr>
        <w:t>南区AH090633地块项目</w:t>
      </w:r>
      <w:r>
        <w:rPr>
          <w:rFonts w:hint="eastAsia" w:ascii="宋体" w:hAnsi="宋体" w:eastAsia="宋体" w:cs="Times New Roman"/>
          <w:kern w:val="0"/>
          <w:sz w:val="24"/>
          <w:szCs w:val="24"/>
          <w:u w:val="none"/>
          <w:lang w:val="en-US" w:eastAsia="zh-CN"/>
        </w:rPr>
        <w:t>精装修</w:t>
      </w:r>
      <w:r>
        <w:rPr>
          <w:rFonts w:hint="eastAsia" w:ascii="宋体" w:hAnsi="宋体" w:eastAsia="宋体" w:cs="Times New Roman"/>
          <w:kern w:val="0"/>
          <w:sz w:val="24"/>
          <w:szCs w:val="24"/>
          <w:u w:val="none"/>
        </w:rPr>
        <w:t>施工专业承包</w:t>
      </w:r>
    </w:p>
    <w:p w14:paraId="014F6757">
      <w:pPr>
        <w:numPr>
          <w:ilvl w:val="0"/>
          <w:numId w:val="0"/>
        </w:numPr>
        <w:snapToGrid/>
        <w:spacing w:line="360" w:lineRule="auto"/>
        <w:ind w:left="0" w:firstLine="480" w:firstLineChars="200"/>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工程地点：</w:t>
      </w:r>
      <w:r>
        <w:rPr>
          <w:rFonts w:hint="eastAsia" w:asciiTheme="minorEastAsia" w:hAnsiTheme="minorEastAsia" w:eastAsiaTheme="minorEastAsia" w:cstheme="minorEastAsia"/>
          <w:sz w:val="24"/>
          <w:u w:val="single"/>
        </w:rPr>
        <w:t xml:space="preserve"> </w:t>
      </w:r>
      <w:r>
        <w:rPr>
          <w:rFonts w:hint="eastAsia" w:ascii="宋体" w:hAnsi="宋体"/>
          <w:kern w:val="0"/>
          <w:sz w:val="24"/>
        </w:rPr>
        <w:t>琶洲</w:t>
      </w:r>
      <w:r>
        <w:rPr>
          <w:rFonts w:hint="eastAsia" w:ascii="宋体" w:hAnsi="宋体" w:eastAsia="宋体" w:cs="Times New Roman"/>
          <w:kern w:val="0"/>
          <w:sz w:val="24"/>
          <w:szCs w:val="24"/>
          <w:u w:val="none"/>
        </w:rPr>
        <w:t>南区AH090633</w:t>
      </w:r>
      <w:r>
        <w:rPr>
          <w:rFonts w:hint="eastAsia" w:ascii="宋体" w:hAnsi="宋体"/>
          <w:kern w:val="0"/>
          <w:sz w:val="24"/>
        </w:rPr>
        <w:t>地块</w:t>
      </w:r>
      <w:r>
        <w:rPr>
          <w:rFonts w:hint="eastAsia" w:asciiTheme="minorEastAsia" w:hAnsiTheme="minorEastAsia" w:eastAsiaTheme="minorEastAsia" w:cstheme="minorEastAsia"/>
          <w:sz w:val="24"/>
          <w:u w:val="single"/>
        </w:rPr>
        <w:t xml:space="preserve"> </w:t>
      </w:r>
    </w:p>
    <w:p w14:paraId="5E3C1F8A">
      <w:pPr>
        <w:snapToGri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工程规模：</w:t>
      </w:r>
      <w:r>
        <w:rPr>
          <w:rFonts w:hint="eastAsia" w:ascii="宋体" w:hAnsi="宋体" w:eastAsia="宋体" w:cs="Times New Roman"/>
          <w:i w:val="0"/>
          <w:iCs w:val="0"/>
          <w:caps w:val="0"/>
          <w:spacing w:val="0"/>
          <w:kern w:val="0"/>
          <w:sz w:val="24"/>
          <w:szCs w:val="24"/>
          <w:u w:val="none"/>
          <w:lang w:val="en-US" w:eastAsia="zh-CN"/>
        </w:rPr>
        <w:t>项目宗地总面积为29838平方米,其中出让宗地面积为16582平方米，配建道路面积10870平方米，配建绿地面积2386平方米总建筑面积约46690平方米。项目用于机器人等人工智能装备的研发用房、展示用房、生产厂房，建设内容包括项目主体建筑安装工程及相关附属工程、配建工程等。</w:t>
      </w:r>
      <w:r>
        <w:rPr>
          <w:rFonts w:hint="eastAsia" w:ascii="宋体" w:hAnsi="宋体"/>
          <w:kern w:val="0"/>
          <w:sz w:val="24"/>
        </w:rPr>
        <w:t>(具体内容以实际图纸为准)。</w:t>
      </w:r>
    </w:p>
    <w:p w14:paraId="4392CE0C">
      <w:pPr>
        <w:pStyle w:val="3"/>
        <w:autoSpaceDE w:val="0"/>
        <w:autoSpaceDN w:val="0"/>
        <w:adjustRightInd w:val="0"/>
        <w:snapToGrid w:val="0"/>
        <w:spacing w:line="360" w:lineRule="auto"/>
        <w:jc w:val="both"/>
        <w:outlineLvl w:val="2"/>
        <w:rPr>
          <w:rFonts w:hint="eastAsia" w:asciiTheme="minorEastAsia" w:hAnsiTheme="minorEastAsia" w:eastAsiaTheme="minorEastAsia" w:cstheme="minorEastAsia"/>
          <w:kern w:val="0"/>
          <w:sz w:val="24"/>
        </w:rPr>
      </w:pPr>
      <w:bookmarkStart w:id="23" w:name="_Toc200394205"/>
      <w:r>
        <w:rPr>
          <w:rFonts w:hint="eastAsia" w:asciiTheme="minorEastAsia" w:hAnsiTheme="minorEastAsia" w:eastAsiaTheme="minorEastAsia" w:cstheme="minorEastAsia"/>
          <w:kern w:val="0"/>
          <w:sz w:val="24"/>
        </w:rPr>
        <w:t>二、工程承包范围：</w:t>
      </w:r>
      <w:bookmarkEnd w:id="23"/>
    </w:p>
    <w:p w14:paraId="183F3CC4">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本工程承包</w:t>
      </w:r>
      <w:r>
        <w:rPr>
          <w:rFonts w:hint="eastAsia" w:ascii="宋体" w:hAnsi="宋体"/>
          <w:sz w:val="24"/>
          <w:highlight w:val="none"/>
        </w:rPr>
        <w:t>范围包括但不限于：大堂、门厅、电梯厅、电梯厅走道、电梯轿厢等，具体以确认的精装修图为准</w:t>
      </w:r>
      <w:r>
        <w:rPr>
          <w:rFonts w:hint="eastAsia" w:ascii="宋体" w:hAnsi="宋体"/>
          <w:sz w:val="24"/>
          <w:highlight w:val="none"/>
          <w:lang w:eastAsia="zh-CN"/>
        </w:rPr>
        <w:t>。</w:t>
      </w:r>
    </w:p>
    <w:p w14:paraId="5DCC9807">
      <w:pPr>
        <w:spacing w:line="360" w:lineRule="auto"/>
        <w:ind w:firstLine="480" w:firstLineChars="200"/>
        <w:rPr>
          <w:rFonts w:hint="default" w:ascii="宋体" w:hAnsi="宋体" w:eastAsia="宋体"/>
          <w:sz w:val="24"/>
          <w:lang w:val="en-US" w:eastAsia="zh-CN"/>
        </w:rPr>
      </w:pPr>
      <w:r>
        <w:rPr>
          <w:rFonts w:hint="eastAsia" w:ascii="宋体" w:hAnsi="宋体"/>
          <w:sz w:val="24"/>
        </w:rPr>
        <w:t>工作内容包括但不限于以下内容：地面、墙面、天花装饰装修；机电工程施工（包括但不限于装修水电、照明、消防、插座、管线施工等）；服务台、洗手台、室内门、玻璃门、电器、灯具、洁具、龙头、五金供货及安装；给排水系统支管采购安装及相关配套工作；</w:t>
      </w:r>
    </w:p>
    <w:p w14:paraId="26110B63">
      <w:pPr>
        <w:spacing w:line="360" w:lineRule="auto"/>
        <w:ind w:firstLine="480" w:firstLineChars="200"/>
        <w:rPr>
          <w:rFonts w:ascii="宋体" w:hAnsi="宋体"/>
          <w:sz w:val="24"/>
        </w:rPr>
      </w:pPr>
      <w:r>
        <w:rPr>
          <w:rFonts w:hint="eastAsia" w:ascii="宋体" w:hAnsi="宋体"/>
          <w:sz w:val="24"/>
        </w:rPr>
        <w:t>所有楼层室内及公共区域已完工部分（包括但不限于铝合金门窗、玻璃、栏杆、天花、地面和墙身等）的成品保护，材料运输通道及电梯轿厢的成品保护；负责施工成品破坏后的材料后补和饰面、天花的修补及复原施工；整个施工过程中产生的垃圾清理运输至现场指定地点并外运至正规的消纳场所；负责施工过程中及清洁过程中的排水清理工作；专业工程管理和配合服务的工作：负责工程范围内的所有各项其他专业工程施工的协调及配合，完成本工程各项专业工程的调试、试验、验收工作；配合和满足本项目发包人、监理现场施工管理要求，配合和满足本项目监理的各项管理要求；负责施工运输而提前使用的电梯的内部保护、电梯门保护及电梯门槛保护；上述施工内容涉及的所有深化设计工作；发包人委托的其他工程。发包人有权增减承包范围，分包人无条件接受。</w:t>
      </w:r>
    </w:p>
    <w:p w14:paraId="3BB5811C">
      <w:pPr>
        <w:pStyle w:val="3"/>
        <w:autoSpaceDE w:val="0"/>
        <w:autoSpaceDN w:val="0"/>
        <w:adjustRightInd w:val="0"/>
        <w:snapToGrid w:val="0"/>
        <w:spacing w:line="360" w:lineRule="auto"/>
        <w:jc w:val="both"/>
        <w:outlineLvl w:val="2"/>
        <w:rPr>
          <w:rFonts w:hint="eastAsia" w:asciiTheme="minorEastAsia" w:hAnsiTheme="minorEastAsia" w:eastAsiaTheme="minorEastAsia" w:cstheme="minorEastAsia"/>
          <w:kern w:val="0"/>
          <w:sz w:val="24"/>
        </w:rPr>
      </w:pPr>
      <w:bookmarkStart w:id="24" w:name="_Toc200394206"/>
      <w:r>
        <w:rPr>
          <w:rFonts w:hint="eastAsia" w:asciiTheme="minorEastAsia" w:hAnsiTheme="minorEastAsia" w:eastAsiaTheme="minorEastAsia" w:cstheme="minorEastAsia"/>
          <w:kern w:val="0"/>
          <w:sz w:val="24"/>
        </w:rPr>
        <w:t>三、合同工期：</w:t>
      </w:r>
      <w:bookmarkEnd w:id="24"/>
    </w:p>
    <w:p w14:paraId="3C5BF607">
      <w:pPr>
        <w:autoSpaceDE w:val="0"/>
        <w:autoSpaceDN w:val="0"/>
        <w:adjustRightInd w:val="0"/>
        <w:spacing w:line="360" w:lineRule="auto"/>
        <w:ind w:firstLine="480"/>
        <w:jc w:val="left"/>
        <w:rPr>
          <w:rFonts w:ascii="宋体" w:hAnsi="宋体"/>
          <w:kern w:val="0"/>
          <w:sz w:val="24"/>
          <w:highlight w:val="none"/>
          <w:u w:val="single"/>
        </w:rPr>
      </w:pPr>
      <w:r>
        <w:rPr>
          <w:rFonts w:hint="eastAsia" w:ascii="宋体" w:hAnsi="宋体"/>
          <w:kern w:val="0"/>
          <w:sz w:val="24"/>
          <w:highlight w:val="none"/>
        </w:rPr>
        <w:t>本项目合同总工期为</w:t>
      </w:r>
      <w:r>
        <w:rPr>
          <w:rFonts w:hint="eastAsia" w:ascii="宋体" w:hAnsi="宋体"/>
          <w:kern w:val="0"/>
          <w:sz w:val="24"/>
          <w:highlight w:val="none"/>
          <w:u w:val="single"/>
        </w:rPr>
        <w:t xml:space="preserve"> </w:t>
      </w:r>
      <w:r>
        <w:rPr>
          <w:rFonts w:hint="eastAsia" w:ascii="宋体" w:hAnsi="宋体"/>
          <w:kern w:val="0"/>
          <w:sz w:val="24"/>
          <w:highlight w:val="none"/>
          <w:u w:val="single"/>
          <w:lang w:val="en-US" w:eastAsia="zh-CN"/>
        </w:rPr>
        <w:t>120</w:t>
      </w:r>
      <w:r>
        <w:rPr>
          <w:rFonts w:hint="eastAsia" w:ascii="宋体" w:hAnsi="宋体"/>
          <w:kern w:val="0"/>
          <w:sz w:val="24"/>
          <w:highlight w:val="none"/>
          <w:u w:val="single"/>
        </w:rPr>
        <w:t xml:space="preserve"> </w:t>
      </w:r>
      <w:r>
        <w:rPr>
          <w:rFonts w:hint="eastAsia" w:ascii="宋体" w:hAnsi="宋体"/>
          <w:kern w:val="0"/>
          <w:sz w:val="24"/>
          <w:highlight w:val="none"/>
        </w:rPr>
        <w:t>日历天，暂定开工日期：</w:t>
      </w:r>
      <w:r>
        <w:rPr>
          <w:rFonts w:hint="eastAsia" w:ascii="宋体" w:hAnsi="宋体"/>
          <w:szCs w:val="21"/>
          <w:highlight w:val="none"/>
        </w:rPr>
        <w:t>2025年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w:t>
      </w:r>
      <w:r>
        <w:rPr>
          <w:rFonts w:hint="eastAsia" w:ascii="宋体" w:hAnsi="宋体"/>
          <w:kern w:val="0"/>
          <w:sz w:val="24"/>
          <w:highlight w:val="none"/>
        </w:rPr>
        <w:t>，暂定完工日期：</w:t>
      </w:r>
      <w:r>
        <w:rPr>
          <w:rFonts w:hint="eastAsia" w:ascii="宋体" w:hAnsi="宋体"/>
          <w:szCs w:val="21"/>
          <w:highlight w:val="none"/>
        </w:rPr>
        <w:t>202</w:t>
      </w:r>
      <w:r>
        <w:rPr>
          <w:rFonts w:hint="eastAsia" w:ascii="宋体" w:hAnsi="宋体"/>
          <w:szCs w:val="21"/>
          <w:highlight w:val="none"/>
          <w:lang w:val="en-US" w:eastAsia="zh-CN"/>
        </w:rPr>
        <w:t>5</w:t>
      </w:r>
      <w:r>
        <w:rPr>
          <w:rFonts w:hint="eastAsia" w:ascii="宋体" w:hAnsi="宋体"/>
          <w:szCs w:val="21"/>
          <w:highlight w:val="none"/>
        </w:rPr>
        <w:t xml:space="preserve">年 </w:t>
      </w:r>
      <w:r>
        <w:rPr>
          <w:rFonts w:hint="eastAsia" w:ascii="宋体" w:hAnsi="宋体"/>
          <w:szCs w:val="21"/>
          <w:highlight w:val="none"/>
          <w:lang w:val="en-US" w:eastAsia="zh-CN"/>
        </w:rPr>
        <w:t>12</w:t>
      </w:r>
      <w:r>
        <w:rPr>
          <w:rFonts w:hint="eastAsia" w:ascii="宋体" w:hAnsi="宋体"/>
          <w:szCs w:val="21"/>
          <w:highlight w:val="none"/>
        </w:rPr>
        <w:t xml:space="preserve">月 </w:t>
      </w:r>
      <w:r>
        <w:rPr>
          <w:rFonts w:hint="eastAsia" w:ascii="宋体" w:hAnsi="宋体"/>
          <w:szCs w:val="21"/>
          <w:highlight w:val="none"/>
          <w:lang w:val="en-US" w:eastAsia="zh-CN"/>
        </w:rPr>
        <w:t>1</w:t>
      </w:r>
      <w:r>
        <w:rPr>
          <w:rFonts w:hint="eastAsia" w:ascii="宋体" w:hAnsi="宋体"/>
          <w:szCs w:val="21"/>
          <w:highlight w:val="none"/>
        </w:rPr>
        <w:t>日</w:t>
      </w:r>
      <w:r>
        <w:rPr>
          <w:rFonts w:hint="eastAsia" w:ascii="宋体" w:hAnsi="宋体"/>
          <w:kern w:val="0"/>
          <w:sz w:val="24"/>
          <w:highlight w:val="none"/>
        </w:rPr>
        <w:t>；</w:t>
      </w:r>
    </w:p>
    <w:p w14:paraId="2EFA3FE3">
      <w:pPr>
        <w:autoSpaceDE w:val="0"/>
        <w:autoSpaceDN w:val="0"/>
        <w:adjustRightInd w:val="0"/>
        <w:spacing w:line="360" w:lineRule="auto"/>
        <w:ind w:firstLine="480" w:firstLineChars="200"/>
        <w:jc w:val="left"/>
        <w:rPr>
          <w:rFonts w:hint="eastAsia" w:ascii="宋体" w:hAnsi="宋体"/>
          <w:kern w:val="0"/>
          <w:sz w:val="24"/>
          <w:highlight w:val="yellow"/>
        </w:rPr>
      </w:pPr>
      <w:r>
        <w:rPr>
          <w:rFonts w:hint="eastAsia" w:ascii="宋体" w:hAnsi="宋体"/>
          <w:kern w:val="0"/>
          <w:sz w:val="24"/>
          <w:highlight w:val="none"/>
        </w:rPr>
        <w:t>暂定</w:t>
      </w:r>
      <w:r>
        <w:rPr>
          <w:rFonts w:hint="eastAsia" w:ascii="宋体" w:hAnsi="宋体"/>
          <w:kern w:val="0"/>
          <w:sz w:val="24"/>
          <w:highlight w:val="none"/>
          <w:lang w:val="en-US" w:eastAsia="zh-CN"/>
        </w:rPr>
        <w:t>项目</w:t>
      </w:r>
      <w:r>
        <w:rPr>
          <w:rFonts w:hint="eastAsia" w:ascii="宋体" w:hAnsi="宋体"/>
          <w:kern w:val="0"/>
          <w:sz w:val="24"/>
          <w:highlight w:val="none"/>
        </w:rPr>
        <w:t>竣工验收</w:t>
      </w:r>
      <w:r>
        <w:rPr>
          <w:rFonts w:hint="eastAsia" w:ascii="宋体" w:hAnsi="宋体"/>
          <w:kern w:val="0"/>
          <w:sz w:val="24"/>
          <w:highlight w:val="none"/>
          <w:u w:val="none"/>
        </w:rPr>
        <w:t>日期：</w:t>
      </w:r>
      <w:r>
        <w:rPr>
          <w:rFonts w:hint="eastAsia" w:ascii="宋体" w:hAnsi="宋体"/>
          <w:kern w:val="0"/>
          <w:sz w:val="24"/>
          <w:szCs w:val="24"/>
          <w:highlight w:val="none"/>
          <w:u w:val="none"/>
        </w:rPr>
        <w:t>202</w:t>
      </w:r>
      <w:r>
        <w:rPr>
          <w:rFonts w:hint="eastAsia" w:ascii="宋体" w:hAnsi="宋体"/>
          <w:kern w:val="0"/>
          <w:sz w:val="24"/>
          <w:szCs w:val="24"/>
          <w:highlight w:val="none"/>
          <w:u w:val="none"/>
          <w:lang w:val="en-US" w:eastAsia="zh-CN"/>
        </w:rPr>
        <w:t>5</w:t>
      </w:r>
      <w:r>
        <w:rPr>
          <w:rFonts w:hint="eastAsia" w:ascii="宋体" w:hAnsi="宋体"/>
          <w:kern w:val="0"/>
          <w:sz w:val="24"/>
          <w:szCs w:val="24"/>
          <w:highlight w:val="none"/>
          <w:u w:val="none"/>
        </w:rPr>
        <w:t>年</w:t>
      </w:r>
      <w:r>
        <w:rPr>
          <w:rFonts w:hint="eastAsia" w:ascii="宋体" w:hAnsi="宋体"/>
          <w:kern w:val="0"/>
          <w:sz w:val="24"/>
          <w:szCs w:val="24"/>
          <w:highlight w:val="none"/>
          <w:u w:val="none"/>
          <w:lang w:val="en-US" w:eastAsia="zh-CN"/>
        </w:rPr>
        <w:t>12</w:t>
      </w:r>
      <w:r>
        <w:rPr>
          <w:rFonts w:hint="eastAsia" w:ascii="宋体" w:hAnsi="宋体"/>
          <w:kern w:val="0"/>
          <w:sz w:val="24"/>
          <w:szCs w:val="24"/>
          <w:highlight w:val="none"/>
          <w:u w:val="none"/>
        </w:rPr>
        <w:t>月</w:t>
      </w:r>
      <w:r>
        <w:rPr>
          <w:rFonts w:hint="eastAsia" w:ascii="宋体" w:hAnsi="宋体"/>
          <w:kern w:val="0"/>
          <w:sz w:val="24"/>
          <w:szCs w:val="24"/>
          <w:highlight w:val="none"/>
          <w:u w:val="none"/>
          <w:lang w:val="en-US" w:eastAsia="zh-CN"/>
        </w:rPr>
        <w:t>1</w:t>
      </w:r>
      <w:r>
        <w:rPr>
          <w:rFonts w:hint="eastAsia" w:ascii="宋体" w:hAnsi="宋体"/>
          <w:kern w:val="0"/>
          <w:sz w:val="24"/>
          <w:szCs w:val="24"/>
          <w:highlight w:val="none"/>
          <w:u w:val="none"/>
        </w:rPr>
        <w:t>日</w:t>
      </w:r>
      <w:r>
        <w:rPr>
          <w:rFonts w:hint="eastAsia" w:ascii="宋体" w:hAnsi="宋体"/>
          <w:kern w:val="0"/>
          <w:sz w:val="24"/>
          <w:highlight w:val="none"/>
          <w:u w:val="none"/>
        </w:rPr>
        <w:t>，在合</w:t>
      </w:r>
      <w:r>
        <w:rPr>
          <w:rFonts w:hint="eastAsia" w:ascii="宋体" w:hAnsi="宋体"/>
          <w:kern w:val="0"/>
          <w:sz w:val="24"/>
          <w:highlight w:val="none"/>
        </w:rPr>
        <w:t>同专用条款内另外约定关键节点工期。</w:t>
      </w:r>
    </w:p>
    <w:p w14:paraId="5171BD08">
      <w:pPr>
        <w:autoSpaceDE w:val="0"/>
        <w:autoSpaceDN w:val="0"/>
        <w:adjustRightInd w:val="0"/>
        <w:spacing w:line="360" w:lineRule="auto"/>
        <w:ind w:firstLine="424" w:firstLineChars="177"/>
        <w:jc w:val="left"/>
        <w:rPr>
          <w:rFonts w:hint="eastAsia" w:ascii="宋体" w:hAnsi="宋体"/>
          <w:sz w:val="24"/>
        </w:rPr>
      </w:pPr>
      <w:r>
        <w:rPr>
          <w:rFonts w:hint="eastAsia" w:ascii="宋体" w:hAnsi="宋体"/>
          <w:kern w:val="0"/>
          <w:sz w:val="24"/>
        </w:rPr>
        <w:t>实际开工日</w:t>
      </w:r>
      <w:r>
        <w:rPr>
          <w:rFonts w:hint="eastAsia" w:ascii="宋体" w:hAnsi="宋体"/>
          <w:sz w:val="24"/>
        </w:rPr>
        <w:t>期以发包方和监理工程师发出的开工令为准。如暂定开工日期与开工通知书日期有出入，竣工日在总工期不变情况下顺延或提前。</w:t>
      </w:r>
      <w:bookmarkStart w:id="1011" w:name="_GoBack"/>
      <w:bookmarkEnd w:id="1011"/>
    </w:p>
    <w:p w14:paraId="6BF73639">
      <w:pPr>
        <w:pStyle w:val="3"/>
        <w:autoSpaceDE w:val="0"/>
        <w:autoSpaceDN w:val="0"/>
        <w:adjustRightInd w:val="0"/>
        <w:snapToGrid w:val="0"/>
        <w:ind w:left="510"/>
        <w:jc w:val="left"/>
        <w:outlineLvl w:val="2"/>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四、合同价款：</w:t>
      </w:r>
    </w:p>
    <w:p w14:paraId="2AA80BAE">
      <w:pPr>
        <w:autoSpaceDE/>
        <w:autoSpaceDN/>
        <w:adjustRightInd/>
        <w:snapToGrid/>
        <w:spacing w:line="360" w:lineRule="auto"/>
        <w:ind w:firstLine="480" w:firstLineChars="200"/>
        <w:jc w:val="both"/>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4.1 本工程</w:t>
      </w:r>
      <w:r>
        <w:rPr>
          <w:rFonts w:hint="eastAsia" w:asciiTheme="minorEastAsia" w:hAnsiTheme="minorEastAsia" w:eastAsiaTheme="minorEastAsia" w:cstheme="minorEastAsia"/>
          <w:kern w:val="0"/>
          <w:sz w:val="24"/>
          <w:lang w:eastAsia="zh"/>
        </w:rPr>
        <w:t>暂定</w:t>
      </w:r>
      <w:r>
        <w:rPr>
          <w:rFonts w:hint="eastAsia" w:asciiTheme="minorEastAsia" w:hAnsiTheme="minorEastAsia" w:eastAsiaTheme="minorEastAsia" w:cstheme="minorEastAsia"/>
          <w:kern w:val="0"/>
          <w:sz w:val="24"/>
        </w:rPr>
        <w:t>含税合同总价：人民币小写：</w:t>
      </w:r>
      <w:r>
        <w:rPr>
          <w:rFonts w:hint="eastAsia" w:asciiTheme="minorEastAsia" w:hAnsiTheme="minorEastAsia" w:eastAsiaTheme="minorEastAsia" w:cstheme="minorEastAsia"/>
          <w:b/>
          <w:sz w:val="24"/>
          <w:u w:val="single"/>
        </w:rPr>
        <w:t>¥</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元（大写：</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元）。</w:t>
      </w:r>
      <w:r>
        <w:rPr>
          <w:rFonts w:hint="eastAsia" w:asciiTheme="minorEastAsia" w:hAnsiTheme="minorEastAsia" w:eastAsiaTheme="minorEastAsia" w:cstheme="minorEastAsia"/>
          <w:sz w:val="24"/>
        </w:rPr>
        <w:t>其中税金：</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sz w:val="24"/>
        </w:rPr>
        <w:t>元，不含税总价：</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sz w:val="24"/>
        </w:rPr>
        <w:t>元，税率：</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，具体明详见合同附件清单。</w:t>
      </w:r>
    </w:p>
    <w:p w14:paraId="0BB71692">
      <w:pPr>
        <w:tabs>
          <w:tab w:val="left" w:pos="0"/>
        </w:tabs>
        <w:spacing w:line="360" w:lineRule="auto"/>
        <w:ind w:left="1" w:firstLine="424" w:firstLineChars="177"/>
        <w:rPr>
          <w:rFonts w:hint="eastAsia" w:ascii="宋体" w:hAnsi="宋体"/>
          <w:kern w:val="0"/>
          <w:sz w:val="24"/>
        </w:rPr>
      </w:pPr>
      <w:r>
        <w:rPr>
          <w:rFonts w:hint="eastAsia" w:ascii="宋体" w:hAnsi="宋体"/>
          <w:kern w:val="0"/>
          <w:sz w:val="24"/>
        </w:rPr>
        <w:t>报价为含税</w:t>
      </w:r>
      <w:r>
        <w:rPr>
          <w:rFonts w:hint="eastAsia" w:ascii="宋体" w:hAnsi="宋体"/>
          <w:kern w:val="0"/>
          <w:sz w:val="24"/>
          <w:lang w:val="en-US" w:eastAsia="zh-CN"/>
        </w:rPr>
        <w:t>综合单价包干</w:t>
      </w:r>
      <w:r>
        <w:rPr>
          <w:rFonts w:hint="eastAsia" w:ascii="宋体" w:hAnsi="宋体"/>
          <w:kern w:val="0"/>
          <w:sz w:val="24"/>
        </w:rPr>
        <w:t>，工程量按实结算</w:t>
      </w:r>
      <w:r>
        <w:rPr>
          <w:rFonts w:hint="eastAsia" w:ascii="宋体" w:hAnsi="宋体"/>
          <w:kern w:val="0"/>
          <w:sz w:val="24"/>
          <w:lang w:eastAsia="zh-CN"/>
        </w:rPr>
        <w:t>，</w:t>
      </w:r>
      <w:r>
        <w:rPr>
          <w:rFonts w:hint="eastAsia" w:ascii="宋体" w:hAnsi="宋体"/>
          <w:kern w:val="0"/>
          <w:sz w:val="24"/>
          <w:lang w:val="en-US" w:eastAsia="zh-CN"/>
        </w:rPr>
        <w:t>结算不超暂定含税合同总价</w:t>
      </w:r>
      <w:r>
        <w:rPr>
          <w:rFonts w:hint="eastAsia" w:ascii="宋体" w:hAnsi="宋体"/>
          <w:kern w:val="0"/>
          <w:sz w:val="24"/>
        </w:rPr>
        <w:t>。</w:t>
      </w:r>
      <w:r>
        <w:rPr>
          <w:rFonts w:hint="eastAsia" w:ascii="宋体" w:hAnsi="宋体"/>
          <w:kern w:val="0"/>
          <w:sz w:val="24"/>
          <w:highlight w:val="none"/>
        </w:rPr>
        <w:t>措施费单价项目（如有模板工程）工程量据实计量；措施费总价项目【不含模板工程（如有）】合价包干，其他项目费【预算包干费等】合价包干。包括但不限于完成本工程内容及接受合同文件所有条款所需的深化设计费、验收费用及政府部门相关各项收费、涉及本工程的知识产权费、各系统设备的采购、运输/保险、安装/调试、培训、人工、材料（包括主材、辅助材料、周转性材料）、机械、管理费、水电费、装卸、储运、包装、材料保险费、</w:t>
      </w:r>
      <w:r>
        <w:rPr>
          <w:rFonts w:hint="eastAsia" w:ascii="宋体" w:hAnsi="宋体"/>
          <w:kern w:val="0"/>
          <w:sz w:val="24"/>
        </w:rPr>
        <w:t>保险费、养护、收口费用、运输费、各类措施费、超高增加费、垂直运输费、文明施工、本工程范围内检验检测费、材料送检费、与其它工种的配合费用、利润、税金及不可预见费、各种应由承包商缴纳的规费、其它费等的所有费用、包缴纳首次委托维护费、其他一切费等费用。分包方应充分考虑各种风险后作出报价。本工程的施工措施项目发生的全部费用在本合同中是一项固定的费用，无论因工程变更或其它原因是否变化，该费用不进行调整。（含环境保护费、文明施工费、安全施工措施费、技术措施费、夜间施工费、冬雨季施工费、运输机械使用费、扬尘控制费、临时设施费、扰民费、二次搬运费（包含甲供设备材料的卸车搬运）、机械进出场及安拆费、已完工程保护费、保险等费用）、各种试验检验费、系统调试费、联合调试配合费、规费、赶工费、风险费、市场价格波动引起的各项差价、发生意外后的修补、恢复费用、专项设计、竣工图费用、企业管理费、利润、税金、建筑行业劳动保险统筹基金、农民工保证金政府各项收费、各种手续报批费等一切费用。同时，本工程措施项目费用适用于本合同内的所有工作内容，即分包方措施项目所填报的价格被视为已包含所有为完成合同范围内工程（包括工程变更）所需的一切工程措施工作。包含所有费用（包括广州市当地政府规定需要收取的一切费用）；</w:t>
      </w:r>
    </w:p>
    <w:p w14:paraId="28F9350B">
      <w:pPr>
        <w:widowControl w:val="0"/>
        <w:autoSpaceDE w:val="0"/>
        <w:autoSpaceDN w:val="0"/>
        <w:adjustRightInd w:val="0"/>
        <w:snapToGrid/>
        <w:spacing w:before="0" w:beforeAutospacing="0" w:after="0" w:afterAutospacing="0" w:line="360" w:lineRule="auto"/>
        <w:ind w:firstLine="0" w:firstLineChars="0"/>
        <w:outlineLvl w:val="2"/>
        <w:rPr>
          <w:rFonts w:hint="eastAsia" w:asciiTheme="minorEastAsia" w:hAnsiTheme="minorEastAsia" w:eastAsiaTheme="minorEastAsia" w:cstheme="minorEastAsia"/>
        </w:rPr>
      </w:pPr>
      <w:bookmarkStart w:id="25" w:name="_Toc200394208"/>
      <w:r>
        <w:rPr>
          <w:rFonts w:hint="eastAsia" w:asciiTheme="minorEastAsia" w:hAnsiTheme="minorEastAsia" w:eastAsiaTheme="minorEastAsia" w:cstheme="minorEastAsia"/>
          <w:b/>
          <w:bCs/>
          <w:kern w:val="0"/>
          <w:sz w:val="24"/>
        </w:rPr>
        <w:t>五、本协议书中有关词语含义与本合同第三部分《通用条款》中分别赋予它们的定义相同。</w:t>
      </w:r>
      <w:bookmarkEnd w:id="25"/>
    </w:p>
    <w:p w14:paraId="5657F2A1">
      <w:pPr>
        <w:pStyle w:val="3"/>
        <w:autoSpaceDE w:val="0"/>
        <w:autoSpaceDN w:val="0"/>
        <w:adjustRightInd w:val="0"/>
        <w:snapToGrid w:val="0"/>
        <w:spacing w:line="360" w:lineRule="auto"/>
        <w:jc w:val="both"/>
        <w:outlineLvl w:val="2"/>
        <w:rPr>
          <w:rFonts w:hint="eastAsia" w:asciiTheme="minorEastAsia" w:hAnsiTheme="minorEastAsia" w:eastAsiaTheme="minorEastAsia" w:cstheme="minorEastAsia"/>
          <w:kern w:val="0"/>
          <w:sz w:val="24"/>
        </w:rPr>
      </w:pPr>
      <w:bookmarkStart w:id="26" w:name="_Toc200394209"/>
      <w:r>
        <w:rPr>
          <w:rFonts w:hint="eastAsia" w:asciiTheme="minorEastAsia" w:hAnsiTheme="minorEastAsia" w:eastAsiaTheme="minorEastAsia" w:cstheme="minorEastAsia"/>
          <w:kern w:val="0"/>
          <w:sz w:val="24"/>
        </w:rPr>
        <w:t>六、承包方向分包方承诺按照合同约定的期限和方式支付合同价款及其他应当支付的款项。</w:t>
      </w:r>
      <w:bookmarkEnd w:id="26"/>
    </w:p>
    <w:p w14:paraId="7D2B985F">
      <w:pPr>
        <w:pStyle w:val="3"/>
        <w:autoSpaceDE w:val="0"/>
        <w:autoSpaceDN w:val="0"/>
        <w:adjustRightInd w:val="0"/>
        <w:snapToGrid w:val="0"/>
        <w:spacing w:line="360" w:lineRule="auto"/>
        <w:jc w:val="both"/>
        <w:outlineLvl w:val="2"/>
        <w:rPr>
          <w:rFonts w:hint="eastAsia" w:asciiTheme="minorEastAsia" w:hAnsiTheme="minorEastAsia" w:eastAsiaTheme="minorEastAsia" w:cstheme="minorEastAsia"/>
          <w:kern w:val="0"/>
          <w:sz w:val="24"/>
        </w:rPr>
      </w:pPr>
      <w:bookmarkStart w:id="27" w:name="_Toc301605259"/>
      <w:bookmarkStart w:id="28" w:name="_Toc302485449"/>
      <w:bookmarkStart w:id="29" w:name="_Toc431391285"/>
      <w:bookmarkStart w:id="30" w:name="_Toc301905941"/>
      <w:bookmarkStart w:id="31" w:name="_Toc302133373"/>
      <w:bookmarkStart w:id="32" w:name="_Toc302136756"/>
      <w:bookmarkStart w:id="33" w:name="_Toc302548647"/>
      <w:bookmarkStart w:id="34" w:name="_Toc301619576"/>
      <w:bookmarkStart w:id="35" w:name="_Toc431388935"/>
      <w:bookmarkStart w:id="36" w:name="_Toc302404113"/>
      <w:bookmarkStart w:id="37" w:name="_Toc299552305"/>
      <w:bookmarkStart w:id="38" w:name="_Toc402442041"/>
      <w:bookmarkStart w:id="39" w:name="_Toc403632769"/>
      <w:bookmarkStart w:id="40" w:name="_Toc298942914"/>
      <w:bookmarkStart w:id="41" w:name="_Toc456866716"/>
      <w:bookmarkStart w:id="42" w:name="_Toc302059129"/>
      <w:bookmarkStart w:id="43" w:name="_Toc431389161"/>
      <w:bookmarkStart w:id="44" w:name="_Toc311736508"/>
      <w:bookmarkStart w:id="45" w:name="_Toc200394210"/>
      <w:bookmarkStart w:id="46" w:name="_Toc517273205"/>
      <w:r>
        <w:rPr>
          <w:rFonts w:hint="eastAsia" w:asciiTheme="minorEastAsia" w:hAnsiTheme="minorEastAsia" w:eastAsiaTheme="minorEastAsia" w:cstheme="minorEastAsia"/>
          <w:kern w:val="0"/>
          <w:sz w:val="24"/>
        </w:rPr>
        <w:t>七、组成合同的文件</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Theme="minorEastAsia" w:hAnsiTheme="minorEastAsia" w:eastAsiaTheme="minorEastAsia" w:cstheme="minorEastAsia"/>
          <w:kern w:val="0"/>
          <w:sz w:val="24"/>
        </w:rPr>
        <w:t>：</w:t>
      </w:r>
      <w:bookmarkEnd w:id="45"/>
      <w:bookmarkEnd w:id="46"/>
    </w:p>
    <w:p w14:paraId="0C816150">
      <w:pPr>
        <w:autoSpaceDE/>
        <w:autoSpaceDN/>
        <w:adjustRightInd/>
        <w:snapToGrid/>
        <w:spacing w:line="360" w:lineRule="auto"/>
        <w:ind w:firstLine="480" w:firstLineChars="200"/>
        <w:jc w:val="both"/>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7.1 合同文件应能相互解释，互为说明。组成本合同的文件及优先解释顺序如下：</w:t>
      </w:r>
    </w:p>
    <w:p w14:paraId="5A7EE3A5">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（1）本合同签订后双方新签订的补充协议；</w:t>
      </w:r>
    </w:p>
    <w:p w14:paraId="50F029E0">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（2）本合同第一部分的协议书；</w:t>
      </w:r>
    </w:p>
    <w:p w14:paraId="288356A9">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（3）中标通知书及其附件； </w:t>
      </w:r>
    </w:p>
    <w:p w14:paraId="51A05488">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（4）本合同第四部分的补充条款；</w:t>
      </w:r>
    </w:p>
    <w:p w14:paraId="0ED7B5A8">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（5）本合同第二部分的专用条款；</w:t>
      </w:r>
    </w:p>
    <w:p w14:paraId="0460B61E">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（6）本合同附件；</w:t>
      </w:r>
    </w:p>
    <w:p w14:paraId="0D374656">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（7）本合同第三部分的通用条款；</w:t>
      </w:r>
    </w:p>
    <w:p w14:paraId="1C9215E1">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（8）本工程招标文件中的技术要求和投标报价规定及招标过程中的澄清、修改、答疑或补遗文件（如有）；</w:t>
      </w:r>
    </w:p>
    <w:p w14:paraId="2B5E1AE7">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（9）投标文件(包括承包人在评标期间和合同谈判过程中递交和确认并经发包人同意的对有关问题的补充资料和澄清文件等)；</w:t>
      </w:r>
    </w:p>
    <w:p w14:paraId="543AD24E">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(10)现行的标准、规范、规定及有关技术文件；</w:t>
      </w:r>
    </w:p>
    <w:p w14:paraId="6FA2D1A0">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(11)图纸和技术规格书；</w:t>
      </w:r>
    </w:p>
    <w:p w14:paraId="5450D86A">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(12)已标价工程量清单；</w:t>
      </w:r>
    </w:p>
    <w:p w14:paraId="3C8B4CED">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(13)发包人和承包人双方有关本工程的变更、洽商等书面文件及组成合同的其他文件。</w:t>
      </w:r>
    </w:p>
    <w:p w14:paraId="3A6507E4">
      <w:pPr>
        <w:autoSpaceDE/>
        <w:autoSpaceDN/>
        <w:adjustRightInd/>
        <w:snapToGrid/>
        <w:spacing w:line="360" w:lineRule="auto"/>
        <w:ind w:firstLine="480" w:firstLineChars="200"/>
        <w:jc w:val="both"/>
        <w:outlineLvl w:val="9"/>
        <w:rPr>
          <w:rFonts w:hint="eastAsia" w:asciiTheme="minorEastAsia" w:hAnsiTheme="minorEastAsia" w:eastAsiaTheme="minorEastAsia" w:cstheme="minorEastAsia"/>
          <w:b w:val="0"/>
          <w:kern w:val="0"/>
          <w:sz w:val="24"/>
        </w:rPr>
      </w:pPr>
      <w:r>
        <w:rPr>
          <w:rFonts w:hint="eastAsia" w:asciiTheme="minorEastAsia" w:hAnsiTheme="minorEastAsia" w:eastAsiaTheme="minorEastAsia" w:cstheme="minorEastAsia"/>
          <w:kern w:val="0"/>
          <w:sz w:val="24"/>
        </w:rPr>
        <w:t>7.2 通过上述顺序解释仍无法明确的事项，由承包方和分包方各方协商解决；如协商不成，由承包方按照公平合理和有利于本合同工程建设的原则作出决定，如分包方对此决定不服的，应在接到承包方决定之日起三日内提出书面异议。如期满不提出书面异议的，视为同意承包方的决定。承包方收到分包方的书面异议后应作出进一步的决定。如分包方还不同意的，各方按专用协议条款关于争议的约定处理。</w:t>
      </w:r>
    </w:p>
    <w:p w14:paraId="50EC8BD8">
      <w:pPr>
        <w:pStyle w:val="3"/>
        <w:autoSpaceDE w:val="0"/>
        <w:autoSpaceDN w:val="0"/>
        <w:adjustRightInd w:val="0"/>
        <w:snapToGrid w:val="0"/>
        <w:spacing w:line="360" w:lineRule="auto"/>
        <w:jc w:val="both"/>
        <w:outlineLvl w:val="2"/>
        <w:rPr>
          <w:rFonts w:hint="eastAsia" w:asciiTheme="minorEastAsia" w:hAnsiTheme="minorEastAsia" w:eastAsiaTheme="minorEastAsia" w:cstheme="minorEastAsia"/>
          <w:kern w:val="0"/>
          <w:sz w:val="24"/>
        </w:rPr>
      </w:pPr>
      <w:bookmarkStart w:id="47" w:name="_Toc431389163"/>
      <w:bookmarkStart w:id="48" w:name="_Toc301605261"/>
      <w:bookmarkStart w:id="49" w:name="_Toc302136758"/>
      <w:bookmarkStart w:id="50" w:name="_Toc311736510"/>
      <w:bookmarkStart w:id="51" w:name="_Toc302133375"/>
      <w:bookmarkStart w:id="52" w:name="_Toc298942916"/>
      <w:bookmarkStart w:id="53" w:name="_Toc302485451"/>
      <w:bookmarkStart w:id="54" w:name="_Toc302059131"/>
      <w:bookmarkStart w:id="55" w:name="_Toc302548649"/>
      <w:bookmarkStart w:id="56" w:name="_Toc302404115"/>
      <w:bookmarkStart w:id="57" w:name="_Toc403632771"/>
      <w:bookmarkStart w:id="58" w:name="_Toc402442043"/>
      <w:bookmarkStart w:id="59" w:name="_Toc431391287"/>
      <w:bookmarkStart w:id="60" w:name="_Toc301905943"/>
      <w:bookmarkStart w:id="61" w:name="_Toc431388937"/>
      <w:bookmarkStart w:id="62" w:name="_Toc299552307"/>
      <w:bookmarkStart w:id="63" w:name="_Toc456866718"/>
      <w:bookmarkStart w:id="64" w:name="_Toc301619578"/>
      <w:bookmarkStart w:id="65" w:name="_Toc200394211"/>
      <w:bookmarkStart w:id="66" w:name="_Toc517273206"/>
      <w:r>
        <w:rPr>
          <w:rFonts w:hint="eastAsia" w:asciiTheme="minorEastAsia" w:hAnsiTheme="minorEastAsia" w:eastAsiaTheme="minorEastAsia" w:cstheme="minorEastAsia"/>
          <w:kern w:val="0"/>
          <w:sz w:val="24"/>
        </w:rPr>
        <w:t>八、分包方承诺</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Theme="minorEastAsia" w:hAnsiTheme="minorEastAsia" w:eastAsiaTheme="minorEastAsia" w:cstheme="minorEastAsia"/>
          <w:kern w:val="0"/>
          <w:sz w:val="24"/>
        </w:rPr>
        <w:t>：</w:t>
      </w:r>
      <w:bookmarkEnd w:id="65"/>
      <w:bookmarkEnd w:id="66"/>
    </w:p>
    <w:p w14:paraId="1DBDCB64">
      <w:pPr>
        <w:snapToGrid/>
        <w:spacing w:line="360" w:lineRule="auto"/>
        <w:ind w:firstLine="480" w:firstLineChars="200"/>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8.1分包方向承包方及发包方承诺，按照本合同约定实施、完成并保修本工程，履行本合同所约定的全部义务。分包方向承包方及发包方承诺按照合同约定进行施工、竣工并在质量保修期内承担工程质量保修责任。</w:t>
      </w:r>
    </w:p>
    <w:p w14:paraId="153080B7">
      <w:pPr>
        <w:snapToGrid/>
        <w:spacing w:line="360" w:lineRule="auto"/>
        <w:ind w:firstLine="480" w:firstLineChars="200"/>
        <w:jc w:val="both"/>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8.2 工程承包范围内</w:t>
      </w:r>
      <w:r>
        <w:rPr>
          <w:rFonts w:hint="eastAsia" w:asciiTheme="minorEastAsia" w:hAnsiTheme="minorEastAsia" w:eastAsiaTheme="minorEastAsia" w:cstheme="minorEastAsia"/>
          <w:kern w:val="0"/>
          <w:sz w:val="24"/>
          <w:lang w:val="en-US" w:eastAsia="zh-CN"/>
        </w:rPr>
        <w:t>装修</w:t>
      </w:r>
      <w:r>
        <w:rPr>
          <w:rFonts w:hint="eastAsia" w:asciiTheme="minorEastAsia" w:hAnsiTheme="minorEastAsia" w:eastAsiaTheme="minorEastAsia" w:cstheme="minorEastAsia"/>
          <w:kern w:val="0"/>
          <w:sz w:val="24"/>
        </w:rPr>
        <w:t>工程深化优化设计、施工及验收通过；</w:t>
      </w:r>
    </w:p>
    <w:p w14:paraId="00C6A79A">
      <w:pPr>
        <w:snapToGrid/>
        <w:spacing w:line="360" w:lineRule="auto"/>
        <w:ind w:firstLine="480" w:firstLineChars="200"/>
        <w:jc w:val="both"/>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8.3 工程施工界面不清楚或有争议部分以发包方书面通知为准；</w:t>
      </w:r>
    </w:p>
    <w:p w14:paraId="60187E7C">
      <w:pPr>
        <w:snapToGrid/>
        <w:spacing w:line="360" w:lineRule="auto"/>
        <w:ind w:firstLine="480" w:firstLineChars="200"/>
        <w:jc w:val="both"/>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8.4 建筑环保标准设计按照中国绿色建筑</w:t>
      </w:r>
      <w:r>
        <w:rPr>
          <w:rFonts w:hint="eastAsia" w:asciiTheme="minorEastAsia" w:hAnsiTheme="minorEastAsia" w:eastAsiaTheme="minorEastAsia" w:cstheme="minorEastAsia"/>
          <w:kern w:val="0"/>
          <w:sz w:val="24"/>
          <w:lang w:val="en-US" w:eastAsia="zh-CN"/>
        </w:rPr>
        <w:t>二</w:t>
      </w:r>
      <w:r>
        <w:rPr>
          <w:rFonts w:hint="eastAsia" w:asciiTheme="minorEastAsia" w:hAnsiTheme="minorEastAsia" w:eastAsiaTheme="minorEastAsia" w:cstheme="minorEastAsia"/>
          <w:kern w:val="0"/>
          <w:sz w:val="24"/>
        </w:rPr>
        <w:t>星标准（需分包方充分考虑并包括在服务范围之内）。</w:t>
      </w:r>
    </w:p>
    <w:p w14:paraId="26B93616">
      <w:pPr>
        <w:pStyle w:val="3"/>
        <w:autoSpaceDE w:val="0"/>
        <w:autoSpaceDN w:val="0"/>
        <w:adjustRightInd w:val="0"/>
        <w:snapToGrid w:val="0"/>
        <w:spacing w:line="360" w:lineRule="auto"/>
        <w:contextualSpacing/>
        <w:jc w:val="both"/>
        <w:outlineLvl w:val="2"/>
        <w:rPr>
          <w:rFonts w:hint="eastAsia" w:asciiTheme="minorEastAsia" w:hAnsiTheme="minorEastAsia" w:eastAsiaTheme="minorEastAsia" w:cstheme="minorEastAsia"/>
          <w:kern w:val="0"/>
          <w:sz w:val="24"/>
        </w:rPr>
      </w:pPr>
      <w:bookmarkStart w:id="67" w:name="_Toc298942918"/>
      <w:bookmarkStart w:id="68" w:name="_Toc302133377"/>
      <w:bookmarkStart w:id="69" w:name="_Toc431389165"/>
      <w:bookmarkStart w:id="70" w:name="_Toc302485453"/>
      <w:bookmarkStart w:id="71" w:name="_Toc301619580"/>
      <w:bookmarkStart w:id="72" w:name="_Toc302059133"/>
      <w:bookmarkStart w:id="73" w:name="_Toc402442045"/>
      <w:bookmarkStart w:id="74" w:name="_Toc456866720"/>
      <w:bookmarkStart w:id="75" w:name="_Toc431391289"/>
      <w:bookmarkStart w:id="76" w:name="_Toc403632773"/>
      <w:bookmarkStart w:id="77" w:name="_Toc311736512"/>
      <w:bookmarkStart w:id="78" w:name="_Toc302136760"/>
      <w:bookmarkStart w:id="79" w:name="_Toc301605263"/>
      <w:bookmarkStart w:id="80" w:name="_Toc301905945"/>
      <w:bookmarkStart w:id="81" w:name="_Toc302404117"/>
      <w:bookmarkStart w:id="82" w:name="_Toc302548651"/>
      <w:bookmarkStart w:id="83" w:name="_Toc431388939"/>
      <w:bookmarkStart w:id="84" w:name="_Toc299552309"/>
      <w:bookmarkStart w:id="85" w:name="_Toc517273207"/>
      <w:bookmarkStart w:id="86" w:name="_Toc200394212"/>
      <w:r>
        <w:rPr>
          <w:rFonts w:hint="eastAsia" w:asciiTheme="minorEastAsia" w:hAnsiTheme="minorEastAsia" w:eastAsiaTheme="minorEastAsia" w:cstheme="minorEastAsia"/>
          <w:kern w:val="0"/>
          <w:sz w:val="24"/>
        </w:rPr>
        <w:t>九、合同生效</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Theme="minorEastAsia" w:hAnsiTheme="minorEastAsia" w:eastAsiaTheme="minorEastAsia" w:cstheme="minorEastAsia"/>
          <w:kern w:val="0"/>
          <w:sz w:val="24"/>
        </w:rPr>
        <w:t>：</w:t>
      </w:r>
      <w:bookmarkEnd w:id="85"/>
      <w:bookmarkEnd w:id="86"/>
    </w:p>
    <w:p w14:paraId="2A5CC388">
      <w:pPr>
        <w:autoSpaceDE/>
        <w:autoSpaceDN/>
        <w:adjustRightInd/>
        <w:snapToGrid/>
        <w:spacing w:line="360" w:lineRule="auto"/>
        <w:ind w:firstLine="480" w:firstLineChars="200"/>
        <w:contextualSpacing w:val="0"/>
        <w:jc w:val="both"/>
        <w:outlineLvl w:val="9"/>
        <w:rPr>
          <w:rFonts w:hint="eastAsia" w:asciiTheme="minorEastAsia" w:hAnsiTheme="minorEastAsia" w:eastAsiaTheme="minorEastAsia" w:cstheme="minorEastAsia"/>
          <w:kern w:val="0"/>
          <w:sz w:val="24"/>
          <w:lang w:eastAsia="zh"/>
        </w:rPr>
      </w:pPr>
      <w:r>
        <w:rPr>
          <w:rFonts w:hint="eastAsia" w:asciiTheme="minorEastAsia" w:hAnsiTheme="minorEastAsia" w:eastAsiaTheme="minorEastAsia" w:cstheme="minorEastAsia"/>
          <w:kern w:val="0"/>
          <w:sz w:val="24"/>
        </w:rPr>
        <w:t xml:space="preserve">9.1 订立合同时间： </w:t>
      </w:r>
      <w:r>
        <w:rPr>
          <w:rFonts w:hint="eastAsia" w:asciiTheme="minorEastAsia" w:hAnsiTheme="minorEastAsia" w:eastAsiaTheme="minorEastAsia" w:cstheme="minorEastAsia"/>
          <w:kern w:val="0"/>
          <w:sz w:val="24"/>
          <w:u w:val="single"/>
        </w:rPr>
        <w:t xml:space="preserve">2025 </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日</w:t>
      </w:r>
    </w:p>
    <w:p w14:paraId="43C61491">
      <w:pPr>
        <w:autoSpaceDE/>
        <w:autoSpaceDN/>
        <w:adjustRightInd/>
        <w:snapToGrid/>
        <w:spacing w:line="360" w:lineRule="auto"/>
        <w:ind w:firstLine="480" w:firstLineChars="200"/>
        <w:jc w:val="both"/>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9.2 订立合同地点：</w:t>
      </w:r>
      <w:r>
        <w:rPr>
          <w:rFonts w:hint="eastAsia" w:asciiTheme="minorEastAsia" w:hAnsiTheme="minorEastAsia" w:eastAsiaTheme="minorEastAsia" w:cstheme="minorEastAsia"/>
          <w:kern w:val="0"/>
          <w:sz w:val="24"/>
          <w:u w:val="single"/>
        </w:rPr>
        <w:t>广州</w:t>
      </w:r>
      <w:r>
        <w:rPr>
          <w:rFonts w:hint="eastAsia" w:asciiTheme="minorEastAsia" w:hAnsiTheme="minorEastAsia" w:eastAsiaTheme="minorEastAsia" w:cstheme="minorEastAsia"/>
          <w:kern w:val="0"/>
          <w:sz w:val="24"/>
        </w:rPr>
        <w:t>市。</w:t>
      </w:r>
    </w:p>
    <w:p w14:paraId="210FE88D">
      <w:pPr>
        <w:autoSpaceDE/>
        <w:autoSpaceDN/>
        <w:adjustRightInd/>
        <w:snapToGrid/>
        <w:spacing w:line="360" w:lineRule="auto"/>
        <w:ind w:firstLine="480" w:firstLineChars="200"/>
        <w:jc w:val="both"/>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9.3 本合同经发包人、承包人、分包人各方法定代表人（或授权代表）签名及加盖公章后生效。至本工程竣工结算满60日且质量保修期满并同时各方的责任、义务履行完毕时终止。</w:t>
      </w:r>
    </w:p>
    <w:p w14:paraId="7A5935F2">
      <w:pPr>
        <w:autoSpaceDE/>
        <w:autoSpaceDN/>
        <w:adjustRightInd/>
        <w:snapToGrid/>
        <w:spacing w:line="360" w:lineRule="auto"/>
        <w:ind w:firstLine="480" w:firstLineChars="200"/>
        <w:jc w:val="both"/>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9.4 本合同未尽事宜，一旦在合同履行过程中出现，各方可协商解决或签订补充合同或协议。</w:t>
      </w:r>
    </w:p>
    <w:p w14:paraId="4B77851E">
      <w:pPr>
        <w:pStyle w:val="3"/>
        <w:autoSpaceDE w:val="0"/>
        <w:autoSpaceDN w:val="0"/>
        <w:adjustRightInd w:val="0"/>
        <w:snapToGrid w:val="0"/>
        <w:spacing w:line="360" w:lineRule="auto"/>
        <w:contextualSpacing/>
        <w:jc w:val="both"/>
        <w:outlineLvl w:val="2"/>
        <w:rPr>
          <w:rFonts w:hint="eastAsia" w:asciiTheme="minorEastAsia" w:hAnsiTheme="minorEastAsia" w:eastAsiaTheme="minorEastAsia" w:cstheme="minorEastAsia"/>
          <w:kern w:val="0"/>
          <w:sz w:val="24"/>
        </w:rPr>
      </w:pPr>
      <w:bookmarkStart w:id="87" w:name="_Toc302059134"/>
      <w:bookmarkStart w:id="88" w:name="_Toc302136761"/>
      <w:bookmarkStart w:id="89" w:name="_Toc302548652"/>
      <w:bookmarkStart w:id="90" w:name="_Toc301605264"/>
      <w:bookmarkStart w:id="91" w:name="_Toc431391290"/>
      <w:bookmarkStart w:id="92" w:name="_Toc456866721"/>
      <w:bookmarkStart w:id="93" w:name="_Toc431388940"/>
      <w:bookmarkStart w:id="94" w:name="_Toc403632774"/>
      <w:bookmarkStart w:id="95" w:name="_Toc302133378"/>
      <w:bookmarkStart w:id="96" w:name="_Toc302404118"/>
      <w:bookmarkStart w:id="97" w:name="_Toc311736513"/>
      <w:bookmarkStart w:id="98" w:name="_Toc301619581"/>
      <w:bookmarkStart w:id="99" w:name="_Toc402442046"/>
      <w:bookmarkStart w:id="100" w:name="_Toc298942919"/>
      <w:bookmarkStart w:id="101" w:name="_Toc301905946"/>
      <w:bookmarkStart w:id="102" w:name="_Toc299552310"/>
      <w:bookmarkStart w:id="103" w:name="_Toc431389166"/>
      <w:bookmarkStart w:id="104" w:name="_Toc302485454"/>
      <w:bookmarkStart w:id="105" w:name="_Toc200394213"/>
      <w:bookmarkStart w:id="106" w:name="_Toc517273208"/>
      <w:r>
        <w:rPr>
          <w:rFonts w:hint="eastAsia" w:asciiTheme="minorEastAsia" w:hAnsiTheme="minorEastAsia" w:eastAsiaTheme="minorEastAsia" w:cstheme="minorEastAsia"/>
          <w:kern w:val="0"/>
          <w:sz w:val="24"/>
        </w:rPr>
        <w:t>十、合同份数</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asciiTheme="minorEastAsia" w:hAnsiTheme="minorEastAsia" w:eastAsiaTheme="minorEastAsia" w:cstheme="minorEastAsia"/>
          <w:kern w:val="0"/>
          <w:sz w:val="24"/>
        </w:rPr>
        <w:t>：</w:t>
      </w:r>
      <w:bookmarkEnd w:id="105"/>
      <w:bookmarkEnd w:id="106"/>
    </w:p>
    <w:p w14:paraId="3D82AF1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本合同一式</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sz w:val="24"/>
          <w:u w:val="single"/>
        </w:rPr>
        <w:t>壹拾贰</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份，发包方执</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sz w:val="24"/>
          <w:u w:val="single"/>
        </w:rPr>
        <w:t>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份、承包方执</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sz w:val="24"/>
          <w:u w:val="single"/>
        </w:rPr>
        <w:t>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份、分包方执</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sz w:val="24"/>
          <w:u w:val="single"/>
        </w:rPr>
        <w:t>肆</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份，均具有相同法律效力</w:t>
      </w:r>
      <w:r>
        <w:rPr>
          <w:rFonts w:hint="eastAsia" w:asciiTheme="minorEastAsia" w:hAnsiTheme="minorEastAsia" w:eastAsiaTheme="minorEastAsia" w:cstheme="minorEastAsia"/>
          <w:sz w:val="24"/>
        </w:rPr>
        <w:t>。</w:t>
      </w:r>
    </w:p>
    <w:p w14:paraId="59835E64">
      <w:pPr>
        <w:spacing w:line="360" w:lineRule="auto"/>
        <w:rPr>
          <w:rFonts w:hint="eastAsia" w:asciiTheme="minorEastAsia" w:hAnsiTheme="minorEastAsia" w:eastAsiaTheme="minorEastAsia" w:cstheme="minorEastAsia"/>
        </w:rPr>
        <w:sectPr>
          <w:headerReference r:id="rId3" w:type="default"/>
          <w:footerReference r:id="rId4" w:type="default"/>
          <w:pgSz w:w="11906" w:h="16838"/>
          <w:pgMar w:top="1440" w:right="1133" w:bottom="1440" w:left="1418" w:header="851" w:footer="992" w:gutter="0"/>
          <w:cols w:space="720" w:num="1"/>
          <w:docGrid w:type="lines" w:linePitch="312" w:charSpace="0"/>
        </w:sectPr>
      </w:pPr>
    </w:p>
    <w:p w14:paraId="1FC9112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（本页为签署页，无正文）</w:t>
      </w:r>
    </w:p>
    <w:p w14:paraId="7FA3AB14">
      <w:pPr>
        <w:pStyle w:val="91"/>
        <w:spacing w:line="360" w:lineRule="auto"/>
        <w:ind w:firstLine="0" w:firstLineChars="0"/>
        <w:jc w:val="both"/>
        <w:rPr>
          <w:rFonts w:hint="eastAsia" w:asciiTheme="minorEastAsia" w:hAnsiTheme="minorEastAsia" w:eastAsiaTheme="minorEastAsia" w:cstheme="minorEastAsia"/>
          <w:color w:val="auto"/>
        </w:rPr>
      </w:pPr>
    </w:p>
    <w:p w14:paraId="44E71B05">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 xml:space="preserve">发包人（公章）：                     </w:t>
      </w:r>
    </w:p>
    <w:p w14:paraId="71047949">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 xml:space="preserve">地  址：                      </w:t>
      </w:r>
    </w:p>
    <w:p w14:paraId="53ADE9FE">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 xml:space="preserve">法定代表人或委托代理人：                                     </w:t>
      </w:r>
    </w:p>
    <w:p w14:paraId="51F69482">
      <w:pPr>
        <w:pStyle w:val="73"/>
        <w:snapToGrid w:val="0"/>
        <w:spacing w:before="0" w:after="0" w:line="360" w:lineRule="auto"/>
        <w:ind w:left="0" w:right="0"/>
        <w:jc w:val="both"/>
        <w:rPr>
          <w:rFonts w:hint="eastAsia" w:asciiTheme="minorEastAsia" w:hAnsiTheme="minorEastAsia" w:eastAsiaTheme="minorEastAsia" w:cstheme="minorEastAsia"/>
          <w:snapToGrid w:val="0"/>
          <w:sz w:val="21"/>
          <w:szCs w:val="21"/>
        </w:rPr>
      </w:pPr>
      <w:r>
        <w:rPr>
          <w:rFonts w:hint="eastAsia" w:asciiTheme="minorEastAsia" w:hAnsiTheme="minorEastAsia" w:eastAsiaTheme="minorEastAsia" w:cstheme="minorEastAsia"/>
          <w:kern w:val="2"/>
          <w:szCs w:val="24"/>
        </w:rPr>
        <w:t xml:space="preserve">电  话：   </w:t>
      </w:r>
      <w:r>
        <w:rPr>
          <w:rFonts w:hint="eastAsia" w:asciiTheme="minorEastAsia" w:hAnsiTheme="minorEastAsia" w:eastAsiaTheme="minorEastAsia" w:cstheme="minorEastAsia"/>
          <w:snapToGrid w:val="0"/>
          <w:sz w:val="21"/>
          <w:szCs w:val="21"/>
        </w:rPr>
        <w:t xml:space="preserve">                              </w:t>
      </w:r>
    </w:p>
    <w:p w14:paraId="7BAC13E4">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开户银行：</w:t>
      </w:r>
    </w:p>
    <w:p w14:paraId="13841BC6">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账   号：</w:t>
      </w:r>
    </w:p>
    <w:p w14:paraId="4E2A3DD7">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p>
    <w:p w14:paraId="459342D0">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 xml:space="preserve">签订日期：     年    月   日 </w:t>
      </w:r>
    </w:p>
    <w:p w14:paraId="3D76FA02">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p>
    <w:p w14:paraId="1861ED67">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p>
    <w:p w14:paraId="7FDD579D">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 xml:space="preserve">承包人（公章）：                     </w:t>
      </w:r>
    </w:p>
    <w:p w14:paraId="69772203">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 xml:space="preserve">地  址：                      </w:t>
      </w:r>
    </w:p>
    <w:p w14:paraId="1A60B039">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 xml:space="preserve">法定代表人或委托代理人：                                     </w:t>
      </w:r>
    </w:p>
    <w:p w14:paraId="0A553A1A">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 xml:space="preserve">电  话：                                 </w:t>
      </w:r>
    </w:p>
    <w:p w14:paraId="02A29E30">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开户银行：</w:t>
      </w:r>
    </w:p>
    <w:p w14:paraId="339B4765">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账   号：</w:t>
      </w:r>
    </w:p>
    <w:p w14:paraId="670EAAC2">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p>
    <w:p w14:paraId="38B9C6BE">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 xml:space="preserve">签订日期：     年    月   日 </w:t>
      </w:r>
    </w:p>
    <w:p w14:paraId="4A0A40F0">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p>
    <w:p w14:paraId="066A0FD5">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p>
    <w:p w14:paraId="2DEE0D49">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 xml:space="preserve">分包人（公章）： </w:t>
      </w:r>
    </w:p>
    <w:p w14:paraId="2080781F">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地   址：</w:t>
      </w:r>
    </w:p>
    <w:p w14:paraId="7B8D057D">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法定代表人或委托代理人：</w:t>
      </w:r>
    </w:p>
    <w:p w14:paraId="6C189082">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电  话：</w:t>
      </w:r>
    </w:p>
    <w:p w14:paraId="056CAE10">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开 户 银 行：</w:t>
      </w:r>
    </w:p>
    <w:p w14:paraId="355E3F68">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账  号：</w:t>
      </w:r>
    </w:p>
    <w:p w14:paraId="7BB336F8">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p>
    <w:p w14:paraId="2550BF28">
      <w:pPr>
        <w:pStyle w:val="73"/>
        <w:snapToGrid w:val="0"/>
        <w:spacing w:before="0" w:after="0" w:line="360" w:lineRule="auto"/>
        <w:ind w:left="0" w:right="0"/>
        <w:jc w:val="both"/>
        <w:rPr>
          <w:rFonts w:hint="eastAsia"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签订日期：     年    月   日</w:t>
      </w:r>
    </w:p>
    <w:p w14:paraId="25C22D23">
      <w:pPr>
        <w:pStyle w:val="8"/>
        <w:spacing w:line="360" w:lineRule="auto"/>
        <w:rPr>
          <w:rFonts w:hint="eastAsia" w:asciiTheme="minorEastAsia" w:hAnsiTheme="minorEastAsia" w:eastAsiaTheme="minorEastAsia" w:cstheme="minorEastAsia"/>
        </w:rPr>
        <w:sectPr>
          <w:pgSz w:w="11906" w:h="16838"/>
          <w:pgMar w:top="1440" w:right="1133" w:bottom="1440" w:left="1418" w:header="851" w:footer="992" w:gutter="0"/>
          <w:cols w:space="720" w:num="1"/>
          <w:docGrid w:type="lines" w:linePitch="312" w:charSpace="0"/>
        </w:sectPr>
      </w:pPr>
    </w:p>
    <w:p w14:paraId="254A55C2">
      <w:pPr>
        <w:pStyle w:val="82"/>
        <w:spacing w:line="360" w:lineRule="auto"/>
        <w:rPr>
          <w:rFonts w:hint="eastAsia" w:ascii="黑体" w:hAnsi="黑体" w:cs="黑体"/>
          <w:b/>
          <w:szCs w:val="32"/>
        </w:rPr>
      </w:pPr>
      <w:bookmarkStart w:id="107" w:name="_Toc8790"/>
      <w:bookmarkStart w:id="108" w:name="_Toc6544"/>
      <w:bookmarkStart w:id="109" w:name="_Toc7693"/>
      <w:bookmarkStart w:id="110" w:name="_Toc200394214"/>
      <w:bookmarkStart w:id="111" w:name="_Toc20357"/>
      <w:bookmarkStart w:id="112" w:name="_Toc18123"/>
      <w:bookmarkStart w:id="113" w:name="_Toc11567"/>
      <w:bookmarkStart w:id="114" w:name="_Toc10966"/>
      <w:bookmarkStart w:id="115" w:name="_Toc4971"/>
      <w:bookmarkStart w:id="116" w:name="_Toc29299"/>
      <w:bookmarkStart w:id="117" w:name="_Toc27594"/>
      <w:bookmarkStart w:id="118" w:name="_Toc17662"/>
      <w:bookmarkStart w:id="119" w:name="_Toc22271"/>
      <w:bookmarkStart w:id="120" w:name="_Toc517273209"/>
      <w:bookmarkStart w:id="121" w:name="_Toc28789"/>
      <w:bookmarkStart w:id="122" w:name="_Toc5971"/>
      <w:bookmarkStart w:id="123" w:name="_Toc439"/>
      <w:r>
        <w:rPr>
          <w:rFonts w:hint="eastAsia" w:ascii="黑体" w:hAnsi="黑体" w:cs="黑体"/>
          <w:b/>
          <w:szCs w:val="32"/>
        </w:rPr>
        <w:t>第二部分  专用条款</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FC8B63D">
      <w:pPr>
        <w:pStyle w:val="75"/>
        <w:numPr>
          <w:ilvl w:val="0"/>
          <w:numId w:val="0"/>
        </w:numPr>
        <w:tabs>
          <w:tab w:val="left" w:pos="720"/>
        </w:tabs>
        <w:spacing w:before="120" w:beforeLines="50" w:line="360" w:lineRule="auto"/>
        <w:ind w:left="0" w:firstLine="0"/>
        <w:rPr>
          <w:rFonts w:hint="eastAsia" w:asciiTheme="minorEastAsia" w:hAnsiTheme="minorEastAsia" w:eastAsiaTheme="minorEastAsia" w:cstheme="minorEastAsia"/>
          <w:sz w:val="24"/>
          <w:szCs w:val="24"/>
        </w:rPr>
      </w:pPr>
      <w:bookmarkStart w:id="124" w:name="_Toc26876"/>
      <w:bookmarkStart w:id="125" w:name="_Toc10676"/>
      <w:bookmarkStart w:id="126" w:name="_Toc18183"/>
      <w:bookmarkStart w:id="127" w:name="_Toc517273210"/>
      <w:bookmarkStart w:id="128" w:name="_Toc200394215"/>
      <w:bookmarkStart w:id="129" w:name="_Toc9915"/>
      <w:bookmarkStart w:id="130" w:name="_Toc24638"/>
      <w:bookmarkStart w:id="131" w:name="_Toc7293"/>
      <w:bookmarkStart w:id="132" w:name="_Toc305"/>
      <w:bookmarkStart w:id="133" w:name="_Toc7855"/>
      <w:bookmarkStart w:id="134" w:name="_Toc5480"/>
      <w:bookmarkStart w:id="135" w:name="_Toc15411"/>
      <w:bookmarkStart w:id="136" w:name="_Toc2902"/>
      <w:bookmarkStart w:id="137" w:name="_Toc27171"/>
      <w:bookmarkStart w:id="138" w:name="_Toc21387"/>
      <w:bookmarkStart w:id="139" w:name="_Toc16786"/>
      <w:bookmarkStart w:id="140" w:name="_Toc28714"/>
      <w:r>
        <w:rPr>
          <w:rFonts w:hint="eastAsia" w:asciiTheme="minorEastAsia" w:hAnsiTheme="minorEastAsia" w:eastAsiaTheme="minorEastAsia" w:cstheme="minorEastAsia"/>
          <w:sz w:val="24"/>
          <w:szCs w:val="24"/>
        </w:rPr>
        <w:t>一、词语定义及合同文件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2025B04B">
      <w:pPr>
        <w:pStyle w:val="4"/>
        <w:spacing w:before="0" w:after="0" w:line="360" w:lineRule="auto"/>
        <w:ind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1.词语定义</w:t>
      </w:r>
    </w:p>
    <w:p w14:paraId="420415EE">
      <w:pPr>
        <w:numPr>
          <w:ilvl w:val="0"/>
          <w:numId w:val="0"/>
        </w:numPr>
        <w:autoSpaceDE/>
        <w:autoSpaceDN/>
        <w:adjustRightInd/>
        <w:spacing w:before="0" w:beforeLines="-2147483648" w:line="360" w:lineRule="auto"/>
        <w:ind w:firstLine="480" w:firstLineChars="200"/>
        <w:jc w:val="both"/>
        <w:outlineLvl w:val="9"/>
        <w:rPr>
          <w:rFonts w:hint="eastAsia" w:asciiTheme="minorEastAsia" w:hAnsiTheme="minorEastAsia" w:eastAsiaTheme="minorEastAsia" w:cstheme="minorEastAsia"/>
          <w:b w:val="0"/>
          <w:bCs/>
          <w:kern w:val="0"/>
          <w:sz w:val="24"/>
        </w:rPr>
      </w:pPr>
      <w:r>
        <w:rPr>
          <w:rFonts w:hint="eastAsia" w:asciiTheme="minorEastAsia" w:hAnsiTheme="minorEastAsia" w:eastAsiaTheme="minorEastAsia" w:cstheme="minorEastAsia"/>
          <w:b w:val="0"/>
          <w:bCs/>
          <w:kern w:val="0"/>
          <w:sz w:val="24"/>
        </w:rPr>
        <w:t>本专用条款中的词语，除另有定义，均与通用条款的定义相同。</w:t>
      </w:r>
    </w:p>
    <w:p w14:paraId="31CA2826">
      <w:pPr>
        <w:pStyle w:val="4"/>
        <w:keepNext/>
        <w:keepLines/>
        <w:widowControl w:val="0"/>
        <w:snapToGrid w:val="0"/>
        <w:spacing w:before="0" w:beforeLines="50" w:beforeAutospacing="0" w:after="0" w:line="360" w:lineRule="auto"/>
        <w:jc w:val="both"/>
        <w:outlineLvl w:val="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Cs/>
          <w:kern w:val="0"/>
          <w:sz w:val="24"/>
        </w:rPr>
        <w:t>2.</w:t>
      </w:r>
      <w:r>
        <w:rPr>
          <w:rFonts w:hint="eastAsia" w:asciiTheme="minorEastAsia" w:hAnsiTheme="minorEastAsia" w:eastAsiaTheme="minorEastAsia" w:cstheme="minorEastAsia"/>
          <w:kern w:val="0"/>
          <w:sz w:val="24"/>
          <w:lang w:bidi="ar"/>
        </w:rPr>
        <w:t>合同文件及解释顺序：</w:t>
      </w:r>
    </w:p>
    <w:p w14:paraId="337307BB">
      <w:pPr>
        <w:autoSpaceDE/>
        <w:autoSpaceDN/>
        <w:adjustRightInd/>
        <w:spacing w:before="0" w:beforeLines="-2147483648" w:line="360" w:lineRule="auto"/>
        <w:ind w:firstLine="480" w:firstLineChars="200"/>
        <w:jc w:val="both"/>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合同包含的文件包括但不仅限于以下内容，并且其优先解释顺序如下：</w:t>
      </w:r>
    </w:p>
    <w:p w14:paraId="5EFC672D">
      <w:pPr>
        <w:autoSpaceDE/>
        <w:autoSpaceDN/>
        <w:adjustRightInd/>
        <w:spacing w:before="0" w:beforeLines="-2147483648" w:line="360" w:lineRule="auto"/>
        <w:ind w:firstLine="480" w:firstLineChars="200"/>
        <w:jc w:val="both"/>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lang w:bidi="ar"/>
        </w:rPr>
        <w:t>合同文件及解释顺序按协议书第</w:t>
      </w:r>
      <w:r>
        <w:rPr>
          <w:rFonts w:hint="eastAsia" w:asciiTheme="minorEastAsia" w:hAnsiTheme="minorEastAsia" w:eastAsiaTheme="minorEastAsia" w:cstheme="minorEastAsia"/>
          <w:sz w:val="24"/>
          <w:lang w:eastAsia="zh" w:bidi="ar"/>
        </w:rPr>
        <w:t>七</w:t>
      </w:r>
      <w:r>
        <w:rPr>
          <w:rFonts w:hint="eastAsia" w:asciiTheme="minorEastAsia" w:hAnsiTheme="minorEastAsia" w:eastAsiaTheme="minorEastAsia" w:cstheme="minorEastAsia"/>
          <w:sz w:val="24"/>
          <w:lang w:bidi="ar"/>
        </w:rPr>
        <w:t>条执行。</w:t>
      </w:r>
    </w:p>
    <w:p w14:paraId="1F5EB596">
      <w:pPr>
        <w:pStyle w:val="4"/>
        <w:spacing w:before="0" w:after="0" w:line="360" w:lineRule="auto"/>
        <w:jc w:val="left"/>
        <w:outlineLvl w:val="4"/>
        <w:rPr>
          <w:rFonts w:hint="eastAsia" w:asciiTheme="minorEastAsia" w:hAnsiTheme="minorEastAsia" w:eastAsiaTheme="minorEastAsia" w:cstheme="minorEastAsia"/>
          <w:b w:val="0"/>
          <w:kern w:val="0"/>
          <w:sz w:val="24"/>
        </w:rPr>
      </w:pPr>
      <w:r>
        <w:rPr>
          <w:rFonts w:hint="eastAsia" w:asciiTheme="minorEastAsia" w:hAnsiTheme="minorEastAsia" w:eastAsiaTheme="minorEastAsia" w:cstheme="minorEastAsia"/>
          <w:bCs/>
          <w:kern w:val="0"/>
          <w:sz w:val="24"/>
        </w:rPr>
        <w:t>3.适用法律法规、标准、规范及管理规定</w:t>
      </w:r>
    </w:p>
    <w:p w14:paraId="0F68F7BD">
      <w:pPr>
        <w:numPr>
          <w:ilvl w:val="0"/>
          <w:numId w:val="0"/>
        </w:numPr>
        <w:spacing w:line="360" w:lineRule="auto"/>
        <w:ind w:firstLine="480" w:firstLineChars="200"/>
        <w:jc w:val="both"/>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
        </w:rPr>
        <w:t>3.1</w:t>
      </w:r>
      <w:r>
        <w:rPr>
          <w:rFonts w:hint="eastAsia" w:asciiTheme="minorEastAsia" w:hAnsiTheme="minorEastAsia" w:eastAsiaTheme="minorEastAsia" w:cstheme="minorEastAsia"/>
          <w:sz w:val="24"/>
        </w:rPr>
        <w:t xml:space="preserve">需要明示的法律、行政法规：《中华人民共和国建筑法》、《中华人民共和国民法典》、《建设工程质量管理条例》、《房屋建筑工程质量保修办法》，国家及本地区现行有关法律、法规。 </w:t>
      </w:r>
    </w:p>
    <w:p w14:paraId="48F4C2A2">
      <w:pPr>
        <w:numPr>
          <w:ilvl w:val="0"/>
          <w:numId w:val="0"/>
        </w:numPr>
        <w:spacing w:line="360" w:lineRule="auto"/>
        <w:ind w:firstLine="480" w:firstLineChars="200"/>
        <w:jc w:val="both"/>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
        </w:rPr>
        <w:t>3.2</w:t>
      </w:r>
      <w:r>
        <w:rPr>
          <w:rFonts w:hint="eastAsia" w:asciiTheme="minorEastAsia" w:hAnsiTheme="minorEastAsia" w:eastAsiaTheme="minorEastAsia" w:cstheme="minorEastAsia"/>
          <w:sz w:val="24"/>
        </w:rPr>
        <w:t>适用标准、规范的名称：《工程建设标准强制性条文》、《建筑工程施工质量验收统一标准》及建筑工程各专业工程施工质量验收规范、相关行业规范及各相关主管部门颁布的法律、法规、条例和办法。</w:t>
      </w:r>
    </w:p>
    <w:p w14:paraId="70DBAACC">
      <w:pPr>
        <w:numPr>
          <w:ilvl w:val="0"/>
          <w:numId w:val="0"/>
        </w:numPr>
        <w:spacing w:line="360" w:lineRule="auto"/>
        <w:ind w:firstLine="480" w:firstLineChars="200"/>
        <w:jc w:val="both"/>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
        </w:rPr>
        <w:t>3.3</w:t>
      </w:r>
      <w:r>
        <w:rPr>
          <w:rFonts w:hint="eastAsia" w:asciiTheme="minorEastAsia" w:hAnsiTheme="minorEastAsia" w:eastAsiaTheme="minorEastAsia" w:cstheme="minorEastAsia"/>
          <w:sz w:val="24"/>
        </w:rPr>
        <w:t>适用的发包人相关管理规定。</w:t>
      </w:r>
    </w:p>
    <w:p w14:paraId="36344E2B">
      <w:pPr>
        <w:pStyle w:val="4"/>
        <w:spacing w:before="0" w:beforeLines="50" w:after="0" w:line="360" w:lineRule="auto"/>
        <w:rPr>
          <w:rFonts w:hint="eastAsia" w:asciiTheme="minorEastAsia" w:hAnsiTheme="minorEastAsia" w:eastAsiaTheme="minorEastAsia" w:cstheme="minorEastAsia"/>
          <w:sz w:val="24"/>
        </w:rPr>
      </w:pPr>
      <w:bookmarkStart w:id="141" w:name="_Toc517273211"/>
      <w:bookmarkStart w:id="142" w:name="_Toc1950"/>
      <w:bookmarkStart w:id="143" w:name="_Toc18813"/>
      <w:bookmarkStart w:id="144" w:name="_Toc821"/>
      <w:bookmarkStart w:id="145" w:name="_Toc12648"/>
      <w:r>
        <w:rPr>
          <w:rFonts w:hint="eastAsia" w:asciiTheme="minorEastAsia" w:hAnsiTheme="minorEastAsia" w:eastAsiaTheme="minorEastAsia" w:cstheme="minorEastAsia"/>
          <w:kern w:val="0"/>
          <w:sz w:val="24"/>
          <w:szCs w:val="24"/>
        </w:rPr>
        <w:t>4.图纸和资料</w:t>
      </w:r>
      <w:bookmarkEnd w:id="141"/>
      <w:r>
        <w:rPr>
          <w:rFonts w:hint="eastAsia" w:asciiTheme="minorEastAsia" w:hAnsiTheme="minorEastAsia" w:eastAsiaTheme="minorEastAsia" w:cstheme="minorEastAsia"/>
          <w:kern w:val="0"/>
          <w:sz w:val="24"/>
          <w:szCs w:val="24"/>
        </w:rPr>
        <w:t>：</w:t>
      </w:r>
      <w:bookmarkEnd w:id="142"/>
      <w:bookmarkEnd w:id="143"/>
      <w:bookmarkEnd w:id="144"/>
      <w:bookmarkEnd w:id="145"/>
    </w:p>
    <w:p w14:paraId="0FA79D6B">
      <w:pPr>
        <w:numPr>
          <w:ilvl w:val="255"/>
          <w:numId w:val="0"/>
        </w:numPr>
        <w:tabs>
          <w:tab w:val="left" w:pos="720"/>
        </w:tabs>
        <w:spacing w:line="360" w:lineRule="auto"/>
        <w:ind w:firstLine="482" w:firstLineChars="200"/>
        <w:jc w:val="both"/>
        <w:outlineLvl w:val="9"/>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
        </w:rPr>
        <w:t>4.1</w:t>
      </w:r>
      <w:r>
        <w:rPr>
          <w:rFonts w:hint="eastAsia" w:asciiTheme="minorEastAsia" w:hAnsiTheme="minorEastAsia" w:eastAsiaTheme="minorEastAsia" w:cstheme="minorEastAsia"/>
          <w:b/>
          <w:bCs/>
          <w:kern w:val="0"/>
          <w:sz w:val="24"/>
        </w:rPr>
        <w:t>承包人提供的图纸：</w:t>
      </w:r>
    </w:p>
    <w:p w14:paraId="2C4EC486">
      <w:pPr>
        <w:pStyle w:val="8"/>
        <w:spacing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color w:val="auto"/>
          <w:kern w:val="0"/>
          <w:sz w:val="24"/>
          <w:szCs w:val="24"/>
        </w:rPr>
        <w:t>发包人通过承包人在工程开工前向分包人提供</w:t>
      </w:r>
      <w:r>
        <w:rPr>
          <w:rFonts w:hint="eastAsia" w:asciiTheme="minorEastAsia" w:hAnsiTheme="minorEastAsia" w:eastAsiaTheme="minorEastAsia" w:cstheme="minorEastAsia"/>
          <w:color w:val="auto"/>
          <w:kern w:val="0"/>
          <w:sz w:val="24"/>
          <w:szCs w:val="24"/>
          <w:u w:val="single"/>
        </w:rPr>
        <w:t xml:space="preserve"> 施工图纸 </w:t>
      </w:r>
      <w:r>
        <w:rPr>
          <w:rFonts w:hint="eastAsia" w:asciiTheme="minorEastAsia" w:hAnsiTheme="minorEastAsia" w:eastAsiaTheme="minorEastAsia" w:cstheme="minorEastAsia"/>
          <w:color w:val="auto"/>
          <w:kern w:val="0"/>
          <w:sz w:val="24"/>
          <w:szCs w:val="24"/>
        </w:rPr>
        <w:t>一式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auto"/>
          <w:kern w:val="0"/>
          <w:sz w:val="24"/>
          <w:szCs w:val="24"/>
          <w:u w:val="single"/>
        </w:rPr>
        <w:t>肆</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auto"/>
          <w:kern w:val="0"/>
          <w:sz w:val="24"/>
          <w:szCs w:val="24"/>
        </w:rPr>
        <w:t>份</w:t>
      </w:r>
    </w:p>
    <w:p w14:paraId="64D61A6D">
      <w:pPr>
        <w:numPr>
          <w:ilvl w:val="255"/>
          <w:numId w:val="0"/>
        </w:numPr>
        <w:tabs>
          <w:tab w:val="left" w:pos="720"/>
        </w:tabs>
        <w:spacing w:line="360" w:lineRule="auto"/>
        <w:ind w:firstLine="482" w:firstLineChars="200"/>
        <w:jc w:val="both"/>
        <w:outlineLvl w:val="9"/>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lang w:eastAsia="zh"/>
        </w:rPr>
        <w:t>4.2</w:t>
      </w:r>
      <w:r>
        <w:rPr>
          <w:rFonts w:hint="eastAsia" w:asciiTheme="minorEastAsia" w:hAnsiTheme="minorEastAsia" w:eastAsiaTheme="minorEastAsia" w:cstheme="minorEastAsia"/>
          <w:b/>
          <w:bCs/>
          <w:kern w:val="0"/>
          <w:sz w:val="24"/>
        </w:rPr>
        <w:t>分包人提供的图纸：</w:t>
      </w:r>
    </w:p>
    <w:p w14:paraId="04C0A7F6">
      <w:pPr>
        <w:pStyle w:val="91"/>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1）分包人需提交的深化设计图纸：</w:t>
      </w:r>
    </w:p>
    <w:p w14:paraId="6DF82C1B">
      <w:pPr>
        <w:pStyle w:val="91"/>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提交的数量为：一式捌份。所提交的资料需同时包括纸质版与电子版（CAD文档与PDF文档）。</w:t>
      </w:r>
    </w:p>
    <w:p w14:paraId="64C0FA4C">
      <w:pPr>
        <w:pStyle w:val="91"/>
        <w:spacing w:line="360" w:lineRule="auto"/>
        <w:ind w:firstLine="480" w:firstLineChars="200"/>
        <w:jc w:val="both"/>
        <w:rPr>
          <w:rFonts w:hint="eastAsia" w:asciiTheme="minorEastAsia" w:hAnsiTheme="minorEastAsia" w:eastAsiaTheme="minorEastAsia" w:cstheme="minorEastAsia"/>
          <w:color w:val="auto"/>
          <w:sz w:val="24"/>
          <w:szCs w:val="24"/>
        </w:rPr>
      </w:pPr>
      <w:bookmarkStart w:id="146" w:name="_Toc495653031"/>
      <w:bookmarkStart w:id="147" w:name="_Toc496532146"/>
      <w:bookmarkStart w:id="148" w:name="_Toc495652728"/>
      <w:bookmarkStart w:id="149" w:name="_Toc496531120"/>
      <w:bookmarkStart w:id="150" w:name="_Toc498960541"/>
      <w:bookmarkStart w:id="151" w:name="_Toc495916046"/>
      <w:r>
        <w:rPr>
          <w:rFonts w:hint="eastAsia" w:asciiTheme="minorEastAsia" w:hAnsiTheme="minorEastAsia" w:eastAsiaTheme="minorEastAsia" w:cstheme="minorEastAsia"/>
          <w:color w:val="auto"/>
          <w:sz w:val="24"/>
          <w:szCs w:val="24"/>
        </w:rPr>
        <w:t>深化设计的相关费用、施工期间因各方原因导致深化设计修改费用、深化设计图审核费及深化设计出图费用视以为在</w:t>
      </w:r>
      <w:r>
        <w:rPr>
          <w:rFonts w:hint="eastAsia" w:asciiTheme="minorEastAsia" w:hAnsiTheme="minorEastAsia" w:eastAsiaTheme="minorEastAsia" w:cstheme="minorEastAsia"/>
          <w:color w:val="auto"/>
          <w:sz w:val="24"/>
          <w:szCs w:val="24"/>
          <w:lang w:eastAsia="zh"/>
        </w:rPr>
        <w:t>暂定含税总价</w:t>
      </w:r>
      <w:r>
        <w:rPr>
          <w:rFonts w:hint="eastAsia" w:asciiTheme="minorEastAsia" w:hAnsiTheme="minorEastAsia" w:eastAsiaTheme="minorEastAsia" w:cstheme="minorEastAsia"/>
          <w:color w:val="auto"/>
          <w:sz w:val="24"/>
          <w:szCs w:val="24"/>
        </w:rPr>
        <w:t>报价已考虑，由分包人承担，发包人不再另行支付。</w:t>
      </w:r>
      <w:bookmarkEnd w:id="146"/>
      <w:bookmarkEnd w:id="147"/>
      <w:bookmarkEnd w:id="148"/>
      <w:bookmarkEnd w:id="149"/>
      <w:bookmarkEnd w:id="150"/>
      <w:bookmarkEnd w:id="151"/>
    </w:p>
    <w:p w14:paraId="5A4F246D">
      <w:pPr>
        <w:pStyle w:val="91"/>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分包人提供的竣工图的份数：竣工图纸一式捌份及相应的电子磁盘资料捌套。</w:t>
      </w:r>
    </w:p>
    <w:p w14:paraId="29355C3D">
      <w:pPr>
        <w:pStyle w:val="91"/>
        <w:spacing w:line="360" w:lineRule="auto"/>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其他需分包人提供的图级及其要求：竣工资料及竣工图纸必须准确真实的反映实际施工情况（含电子版文件捌套）。竣工图由分包人编制，相关费用（包括但不限于编制费及出图费（如需）由分包人承担）在</w:t>
      </w:r>
      <w:r>
        <w:rPr>
          <w:rFonts w:hint="eastAsia" w:asciiTheme="minorEastAsia" w:hAnsiTheme="minorEastAsia" w:eastAsiaTheme="minorEastAsia" w:cstheme="minorEastAsia"/>
          <w:color w:val="auto"/>
          <w:sz w:val="24"/>
          <w:szCs w:val="24"/>
          <w:lang w:eastAsia="zh"/>
        </w:rPr>
        <w:t>暂定含税总价报价</w:t>
      </w:r>
      <w:r>
        <w:rPr>
          <w:rFonts w:hint="eastAsia" w:asciiTheme="minorEastAsia" w:hAnsiTheme="minorEastAsia" w:eastAsiaTheme="minorEastAsia" w:cstheme="minorEastAsia"/>
          <w:color w:val="auto"/>
          <w:sz w:val="24"/>
          <w:szCs w:val="24"/>
        </w:rPr>
        <w:t>中综合考虑。</w:t>
      </w:r>
    </w:p>
    <w:p w14:paraId="7F20668D">
      <w:pPr>
        <w:pStyle w:val="75"/>
        <w:numPr>
          <w:ilvl w:val="0"/>
          <w:numId w:val="0"/>
        </w:numPr>
        <w:tabs>
          <w:tab w:val="left" w:pos="720"/>
        </w:tabs>
        <w:spacing w:before="120" w:beforeLines="50" w:line="360" w:lineRule="auto"/>
        <w:ind w:left="0" w:firstLine="0"/>
        <w:rPr>
          <w:rFonts w:hint="eastAsia" w:asciiTheme="minorEastAsia" w:hAnsiTheme="minorEastAsia" w:eastAsiaTheme="minorEastAsia" w:cstheme="minorEastAsia"/>
          <w:sz w:val="24"/>
          <w:szCs w:val="24"/>
        </w:rPr>
      </w:pPr>
      <w:bookmarkStart w:id="152" w:name="_Toc32701"/>
      <w:bookmarkStart w:id="153" w:name="_Toc1251"/>
      <w:bookmarkStart w:id="154" w:name="_Toc25343"/>
      <w:bookmarkStart w:id="155" w:name="_Toc27240"/>
      <w:bookmarkStart w:id="156" w:name="_Toc27207"/>
      <w:bookmarkStart w:id="157" w:name="_Toc11002"/>
      <w:bookmarkStart w:id="158" w:name="_Toc7022"/>
      <w:bookmarkStart w:id="159" w:name="_Toc25145"/>
      <w:bookmarkStart w:id="160" w:name="_Toc200394216"/>
      <w:bookmarkStart w:id="161" w:name="_Toc18529"/>
      <w:bookmarkStart w:id="162" w:name="_Toc29016"/>
      <w:bookmarkStart w:id="163" w:name="_Toc25596"/>
      <w:bookmarkStart w:id="164" w:name="_Toc13490"/>
      <w:bookmarkStart w:id="165" w:name="_Toc7033"/>
      <w:bookmarkStart w:id="166" w:name="_Toc517273212"/>
      <w:bookmarkStart w:id="167" w:name="_Toc15081"/>
      <w:bookmarkStart w:id="168" w:name="_Toc15547"/>
      <w:r>
        <w:rPr>
          <w:rFonts w:hint="eastAsia" w:asciiTheme="minorEastAsia" w:hAnsiTheme="minorEastAsia" w:eastAsiaTheme="minorEastAsia" w:cstheme="minorEastAsia"/>
          <w:sz w:val="24"/>
          <w:szCs w:val="24"/>
        </w:rPr>
        <w:t>二、各方一般权利和义务</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90B19A0">
      <w:pPr>
        <w:pStyle w:val="4"/>
        <w:spacing w:before="0" w:beforeLines="50" w:after="0" w:line="360" w:lineRule="auto"/>
        <w:rPr>
          <w:rFonts w:hint="eastAsia" w:asciiTheme="minorEastAsia" w:hAnsiTheme="minorEastAsia" w:eastAsiaTheme="minorEastAsia" w:cstheme="minorEastAsia"/>
          <w:sz w:val="24"/>
        </w:rPr>
      </w:pPr>
      <w:bookmarkStart w:id="169" w:name="_Toc517273213"/>
      <w:bookmarkStart w:id="170" w:name="_Toc30582"/>
      <w:bookmarkStart w:id="171" w:name="_Toc18382"/>
      <w:bookmarkStart w:id="172" w:name="_Toc18350"/>
      <w:bookmarkStart w:id="173" w:name="_Toc13907"/>
      <w:r>
        <w:rPr>
          <w:rFonts w:hint="eastAsia" w:asciiTheme="minorEastAsia" w:hAnsiTheme="minorEastAsia" w:eastAsiaTheme="minorEastAsia" w:cstheme="minorEastAsia"/>
          <w:kern w:val="0"/>
          <w:sz w:val="24"/>
        </w:rPr>
        <w:t>5.</w:t>
      </w:r>
      <w:r>
        <w:rPr>
          <w:rFonts w:hint="eastAsia" w:asciiTheme="minorEastAsia" w:hAnsiTheme="minorEastAsia" w:eastAsiaTheme="minorEastAsia" w:cstheme="minorEastAsia"/>
          <w:kern w:val="0"/>
          <w:sz w:val="24"/>
          <w:szCs w:val="24"/>
        </w:rPr>
        <w:t>发包人项目负责人</w:t>
      </w:r>
      <w:bookmarkEnd w:id="169"/>
      <w:r>
        <w:rPr>
          <w:rFonts w:hint="eastAsia" w:asciiTheme="minorEastAsia" w:hAnsiTheme="minorEastAsia" w:eastAsiaTheme="minorEastAsia" w:cstheme="minorEastAsia"/>
          <w:kern w:val="0"/>
          <w:sz w:val="24"/>
          <w:szCs w:val="24"/>
        </w:rPr>
        <w:t>：</w:t>
      </w:r>
      <w:bookmarkEnd w:id="170"/>
      <w:bookmarkEnd w:id="171"/>
      <w:bookmarkEnd w:id="172"/>
      <w:bookmarkEnd w:id="173"/>
    </w:p>
    <w:p w14:paraId="59E2BFE7">
      <w:pPr>
        <w:numPr>
          <w:ilvl w:val="255"/>
          <w:numId w:val="0"/>
        </w:numPr>
        <w:tabs>
          <w:tab w:val="left" w:pos="720"/>
        </w:tabs>
        <w:spacing w:line="360" w:lineRule="auto"/>
        <w:ind w:firstLine="480" w:firstLineChars="200"/>
        <w:jc w:val="both"/>
        <w:outlineLvl w:val="9"/>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
        </w:rPr>
        <w:t>5.1</w:t>
      </w:r>
      <w:r>
        <w:rPr>
          <w:rFonts w:hint="eastAsia" w:asciiTheme="minorEastAsia" w:hAnsiTheme="minorEastAsia" w:eastAsiaTheme="minorEastAsia" w:cstheme="minorEastAsia"/>
          <w:kern w:val="0"/>
          <w:sz w:val="24"/>
        </w:rPr>
        <w:t>发包人指派</w:t>
      </w:r>
      <w:r>
        <w:rPr>
          <w:rFonts w:hint="eastAsia" w:asciiTheme="minorEastAsia" w:hAnsiTheme="minorEastAsia" w:eastAsiaTheme="minorEastAsia" w:cstheme="minorEastAsia"/>
          <w:kern w:val="0"/>
          <w:sz w:val="24"/>
          <w:u w:val="single"/>
        </w:rPr>
        <w:t xml:space="preserve">    </w:t>
      </w:r>
      <w:r>
        <w:rPr>
          <w:rFonts w:hint="eastAsia" w:asciiTheme="minorEastAsia" w:hAnsiTheme="minorEastAsia" w:eastAsiaTheme="minorEastAsia" w:cstheme="minorEastAsia"/>
          <w:kern w:val="0"/>
          <w:sz w:val="24"/>
        </w:rPr>
        <w:t>为本工程的项目负责人。</w:t>
      </w:r>
    </w:p>
    <w:p w14:paraId="6AE8E445">
      <w:pPr>
        <w:pStyle w:val="4"/>
        <w:spacing w:before="0" w:beforeLines="50" w:after="0" w:line="360" w:lineRule="auto"/>
        <w:rPr>
          <w:rFonts w:hint="eastAsia" w:asciiTheme="minorEastAsia" w:hAnsiTheme="minorEastAsia" w:eastAsiaTheme="minorEastAsia" w:cstheme="minorEastAsia"/>
          <w:sz w:val="24"/>
        </w:rPr>
      </w:pPr>
      <w:bookmarkStart w:id="174" w:name="_Toc517273214"/>
      <w:bookmarkStart w:id="175" w:name="_Toc10025"/>
      <w:bookmarkStart w:id="176" w:name="_Toc22657"/>
      <w:bookmarkStart w:id="177" w:name="_Toc17476"/>
      <w:bookmarkStart w:id="178" w:name="_Toc24072"/>
      <w:r>
        <w:rPr>
          <w:rFonts w:hint="eastAsia" w:asciiTheme="minorEastAsia" w:hAnsiTheme="minorEastAsia" w:eastAsiaTheme="minorEastAsia" w:cstheme="minorEastAsia"/>
          <w:kern w:val="0"/>
          <w:sz w:val="24"/>
        </w:rPr>
        <w:t>6.</w:t>
      </w:r>
      <w:bookmarkEnd w:id="174"/>
      <w:r>
        <w:rPr>
          <w:rFonts w:hint="eastAsia" w:asciiTheme="minorEastAsia" w:hAnsiTheme="minorEastAsia" w:eastAsiaTheme="minorEastAsia" w:cstheme="minorEastAsia"/>
          <w:kern w:val="0"/>
          <w:sz w:val="24"/>
        </w:rPr>
        <w:t>监理人</w:t>
      </w:r>
      <w:r>
        <w:rPr>
          <w:rFonts w:hint="eastAsia" w:asciiTheme="minorEastAsia" w:hAnsiTheme="minorEastAsia" w:eastAsiaTheme="minorEastAsia" w:cstheme="minorEastAsia"/>
          <w:kern w:val="0"/>
          <w:sz w:val="24"/>
          <w:szCs w:val="24"/>
        </w:rPr>
        <w:t>：</w:t>
      </w:r>
      <w:bookmarkEnd w:id="175"/>
      <w:bookmarkEnd w:id="176"/>
      <w:bookmarkEnd w:id="177"/>
      <w:bookmarkEnd w:id="178"/>
    </w:p>
    <w:p w14:paraId="101B538C">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eastAsia="zh" w:bidi="ar"/>
        </w:rPr>
        <w:t>6.1</w:t>
      </w:r>
      <w:r>
        <w:rPr>
          <w:rFonts w:hint="eastAsia" w:asciiTheme="minorEastAsia" w:hAnsiTheme="minorEastAsia" w:eastAsiaTheme="minorEastAsia" w:cstheme="minorEastAsia"/>
          <w:color w:val="000000"/>
          <w:lang w:bidi="ar"/>
        </w:rPr>
        <w:t xml:space="preserve"> 监理人</w:t>
      </w:r>
    </w:p>
    <w:p w14:paraId="038A25BA">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6.1.1监理人的姓名：</w:t>
      </w:r>
      <w:r>
        <w:rPr>
          <w:rFonts w:hint="eastAsia" w:asciiTheme="minorEastAsia" w:hAnsiTheme="minorEastAsia" w:eastAsiaTheme="minorEastAsia" w:cstheme="minorEastAsia"/>
          <w:color w:val="000000"/>
          <w:u w:val="single"/>
          <w:lang w:bidi="ar"/>
        </w:rPr>
        <w:t xml:space="preserve">       </w:t>
      </w:r>
      <w:r>
        <w:rPr>
          <w:rFonts w:hint="eastAsia" w:asciiTheme="minorEastAsia" w:hAnsiTheme="minorEastAsia" w:eastAsiaTheme="minorEastAsia" w:cstheme="minorEastAsia"/>
          <w:color w:val="000000"/>
          <w:lang w:bidi="ar"/>
        </w:rPr>
        <w:t>，职务：</w:t>
      </w:r>
      <w:r>
        <w:rPr>
          <w:rFonts w:hint="eastAsia" w:asciiTheme="minorEastAsia" w:hAnsiTheme="minorEastAsia" w:eastAsiaTheme="minorEastAsia" w:cstheme="minorEastAsia"/>
          <w:color w:val="000000"/>
          <w:u w:val="single"/>
          <w:lang w:bidi="ar"/>
        </w:rPr>
        <w:t>总监</w:t>
      </w:r>
      <w:r>
        <w:rPr>
          <w:rFonts w:hint="eastAsia" w:asciiTheme="minorEastAsia" w:hAnsiTheme="minorEastAsia" w:eastAsiaTheme="minorEastAsia" w:cstheme="minorEastAsia"/>
          <w:color w:val="000000"/>
          <w:lang w:bidi="ar"/>
        </w:rPr>
        <w:t>，联系电话：</w:t>
      </w:r>
      <w:r>
        <w:rPr>
          <w:rFonts w:hint="eastAsia" w:asciiTheme="minorEastAsia" w:hAnsiTheme="minorEastAsia" w:eastAsiaTheme="minorEastAsia" w:cstheme="minorEastAsia"/>
          <w:color w:val="000000"/>
          <w:u w:val="single"/>
          <w:lang w:bidi="ar"/>
        </w:rPr>
        <w:t xml:space="preserve">      </w:t>
      </w:r>
      <w:r>
        <w:rPr>
          <w:rFonts w:hint="eastAsia" w:asciiTheme="minorEastAsia" w:hAnsiTheme="minorEastAsia" w:eastAsiaTheme="minorEastAsia" w:cstheme="minorEastAsia"/>
          <w:color w:val="000000"/>
          <w:lang w:bidi="ar"/>
        </w:rPr>
        <w:t>。</w:t>
      </w:r>
    </w:p>
    <w:p w14:paraId="65D61162">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eastAsia="zh" w:bidi="ar"/>
        </w:rPr>
        <w:t xml:space="preserve">6.2 </w:t>
      </w:r>
      <w:r>
        <w:rPr>
          <w:rFonts w:hint="eastAsia" w:asciiTheme="minorEastAsia" w:hAnsiTheme="minorEastAsia" w:eastAsiaTheme="minorEastAsia" w:cstheme="minorEastAsia"/>
          <w:color w:val="000000"/>
          <w:lang w:bidi="ar"/>
        </w:rPr>
        <w:t>发包人另行委托的职权：</w:t>
      </w:r>
      <w:r>
        <w:rPr>
          <w:rFonts w:hint="eastAsia" w:asciiTheme="minorEastAsia" w:hAnsiTheme="minorEastAsia" w:eastAsiaTheme="minorEastAsia" w:cstheme="minorEastAsia"/>
          <w:color w:val="000000"/>
          <w:u w:val="single"/>
          <w:lang w:bidi="ar"/>
        </w:rPr>
        <w:t xml:space="preserve">  无   </w:t>
      </w:r>
      <w:r>
        <w:rPr>
          <w:rFonts w:hint="eastAsia" w:asciiTheme="minorEastAsia" w:hAnsiTheme="minorEastAsia" w:eastAsiaTheme="minorEastAsia" w:cstheme="minorEastAsia"/>
          <w:color w:val="000000"/>
          <w:lang w:bidi="ar"/>
        </w:rPr>
        <w:t xml:space="preserve">。 </w:t>
      </w:r>
    </w:p>
    <w:p w14:paraId="6065BB02">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eastAsia="zh" w:bidi="ar"/>
        </w:rPr>
        <w:t xml:space="preserve">6.3 </w:t>
      </w:r>
      <w:r>
        <w:rPr>
          <w:rFonts w:hint="eastAsia" w:asciiTheme="minorEastAsia" w:hAnsiTheme="minorEastAsia" w:eastAsiaTheme="minorEastAsia" w:cstheme="minorEastAsia"/>
          <w:color w:val="000000"/>
          <w:lang w:bidi="ar"/>
        </w:rPr>
        <w:t>监理人需要取得发包人批准才能行使的其他职权为：</w:t>
      </w:r>
      <w:r>
        <w:rPr>
          <w:rFonts w:hint="eastAsia" w:asciiTheme="minorEastAsia" w:hAnsiTheme="minorEastAsia" w:eastAsiaTheme="minorEastAsia" w:cstheme="minorEastAsia"/>
          <w:color w:val="000000"/>
          <w:u w:val="single"/>
          <w:lang w:bidi="ar"/>
        </w:rPr>
        <w:t xml:space="preserve"> 按监理委托合同约定执行 </w:t>
      </w:r>
      <w:r>
        <w:rPr>
          <w:rFonts w:hint="eastAsia" w:asciiTheme="minorEastAsia" w:hAnsiTheme="minorEastAsia" w:eastAsiaTheme="minorEastAsia" w:cstheme="minorEastAsia"/>
          <w:color w:val="000000"/>
          <w:lang w:bidi="ar"/>
        </w:rPr>
        <w:t>。</w:t>
      </w:r>
    </w:p>
    <w:p w14:paraId="39C436D6">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eastAsia="zh" w:bidi="ar"/>
        </w:rPr>
        <w:t xml:space="preserve">6.4 </w:t>
      </w:r>
      <w:r>
        <w:rPr>
          <w:rFonts w:hint="eastAsia" w:asciiTheme="minorEastAsia" w:hAnsiTheme="minorEastAsia" w:eastAsiaTheme="minorEastAsia" w:cstheme="minorEastAsia"/>
          <w:color w:val="000000"/>
          <w:lang w:bidi="ar"/>
        </w:rPr>
        <w:t>监理人管理要求：</w:t>
      </w:r>
    </w:p>
    <w:p w14:paraId="377873E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1）分包人应服从监理人在进度控制、质量控制和安全管理的要求。按时参加监理人主持召开的监理例会和专题会，严格按照承包人、监理人批准的施工方案进行施工，并按照监理人的要求对方案进行必要的修改或修正。按时参加由监理人组织的工程质量抽查和质量管理考评，对施工中出现的重大质量问题进行会审和制定解决方案。</w:t>
      </w:r>
    </w:p>
    <w:p w14:paraId="2304302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（2）按时参加由监理人组织的安全生产检查和安全管理考评，对发现的重大安全隐患、重大危险源及时制定整改措施。执行监理人提出的整改、返工、停工指令，充分履行责任，全面贯彻和执行监理人的指令。</w:t>
      </w:r>
    </w:p>
    <w:p w14:paraId="72B90975">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（4）分包人的质量保证体系，专职管理人员和特种作业人员的资格证、上岗证以及分包队伍的资质报发包人、承包人、监理人审核确认。</w:t>
      </w:r>
    </w:p>
    <w:p w14:paraId="3FACC8E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（5）分包人的施工组织设计、施工进度计划及专项施工方案应报承包人、监理人审核确认。</w:t>
      </w:r>
    </w:p>
    <w:p w14:paraId="62A472C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（6）分包人使用材料的品牌资料应报发包人、承包人、监理人确认：</w:t>
      </w:r>
    </w:p>
    <w:p w14:paraId="38A4050D">
      <w:pPr>
        <w:numPr>
          <w:ilvl w:val="0"/>
          <w:numId w:val="0"/>
        </w:numPr>
        <w:autoSpaceDE/>
        <w:autoSpaceDN/>
        <w:adjustRightInd/>
        <w:spacing w:before="0" w:beforeLines="-2147483648" w:line="360" w:lineRule="auto"/>
        <w:ind w:firstLine="480" w:firstLineChars="200"/>
        <w:jc w:val="both"/>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（7）分包人施工完成并自检合格后，应及时填写分部 (子分部)工程报验申请表，并附子分部验收记录表、报承包人、监理人单位确认。</w:t>
      </w:r>
    </w:p>
    <w:p w14:paraId="07628B0F">
      <w:pPr>
        <w:pStyle w:val="4"/>
        <w:spacing w:before="0" w:after="0" w:line="360" w:lineRule="auto"/>
        <w:jc w:val="left"/>
        <w:rPr>
          <w:rStyle w:val="36"/>
          <w:rFonts w:hint="eastAsia" w:asciiTheme="minorEastAsia" w:hAnsiTheme="minorEastAsia" w:eastAsiaTheme="minorEastAsia" w:cstheme="minorEastAsia"/>
          <w:kern w:val="0"/>
          <w:sz w:val="24"/>
          <w:lang w:eastAsia="zh"/>
        </w:rPr>
      </w:pPr>
      <w:r>
        <w:rPr>
          <w:rFonts w:hint="eastAsia" w:asciiTheme="minorEastAsia" w:hAnsiTheme="minorEastAsia" w:eastAsiaTheme="minorEastAsia" w:cstheme="minorEastAsia"/>
          <w:kern w:val="0"/>
          <w:sz w:val="24"/>
        </w:rPr>
        <w:t>7.承包人</w:t>
      </w:r>
      <w:r>
        <w:rPr>
          <w:rStyle w:val="36"/>
          <w:rFonts w:hint="eastAsia" w:asciiTheme="minorEastAsia" w:hAnsiTheme="minorEastAsia" w:eastAsiaTheme="minorEastAsia" w:cstheme="minorEastAsia"/>
          <w:b/>
          <w:bCs/>
          <w:kern w:val="0"/>
          <w:sz w:val="24"/>
          <w:lang w:eastAsia="zh"/>
        </w:rPr>
        <w:t>：</w:t>
      </w:r>
    </w:p>
    <w:p w14:paraId="6A7D6EED">
      <w:pPr>
        <w:pStyle w:val="95"/>
        <w:widowControl/>
        <w:spacing w:before="0" w:after="0"/>
        <w:ind w:firstLine="480"/>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
        </w:rPr>
        <w:t xml:space="preserve">7.1 </w:t>
      </w:r>
      <w:r>
        <w:rPr>
          <w:rFonts w:hint="eastAsia" w:asciiTheme="minorEastAsia" w:hAnsiTheme="minorEastAsia" w:eastAsiaTheme="minorEastAsia" w:cstheme="minorEastAsia"/>
        </w:rPr>
        <w:t>承包人代表</w:t>
      </w:r>
    </w:p>
    <w:p w14:paraId="691567F1">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eastAsia="zh" w:bidi="ar"/>
        </w:rPr>
        <w:t>7.1.1</w:t>
      </w:r>
      <w:r>
        <w:rPr>
          <w:rFonts w:hint="eastAsia" w:asciiTheme="minorEastAsia" w:hAnsiTheme="minorEastAsia" w:eastAsiaTheme="minorEastAsia" w:cstheme="minorEastAsia"/>
          <w:color w:val="000000"/>
          <w:lang w:bidi="ar"/>
        </w:rPr>
        <w:t xml:space="preserve"> 承包人代表的姓名：</w:t>
      </w:r>
      <w:r>
        <w:rPr>
          <w:rFonts w:hint="eastAsia" w:asciiTheme="minorEastAsia" w:hAnsiTheme="minorEastAsia" w:eastAsiaTheme="minorEastAsia" w:cstheme="minorEastAsia"/>
          <w:color w:val="000000"/>
          <w:u w:val="single"/>
          <w:lang w:bidi="ar"/>
        </w:rPr>
        <w:t xml:space="preserve">    </w:t>
      </w:r>
      <w:r>
        <w:rPr>
          <w:rFonts w:hint="eastAsia" w:asciiTheme="minorEastAsia" w:hAnsiTheme="minorEastAsia" w:eastAsiaTheme="minorEastAsia" w:cstheme="minorEastAsia"/>
          <w:color w:val="000000"/>
          <w:lang w:bidi="ar"/>
        </w:rPr>
        <w:t>，职务：</w:t>
      </w:r>
      <w:r>
        <w:rPr>
          <w:rFonts w:hint="eastAsia" w:asciiTheme="minorEastAsia" w:hAnsiTheme="minorEastAsia" w:eastAsiaTheme="minorEastAsia" w:cstheme="minorEastAsia"/>
          <w:color w:val="000000"/>
          <w:u w:val="single"/>
          <w:lang w:bidi="ar"/>
        </w:rPr>
        <w:t xml:space="preserve">  </w:t>
      </w:r>
      <w:r>
        <w:rPr>
          <w:rFonts w:hint="eastAsia" w:asciiTheme="minorEastAsia" w:hAnsiTheme="minorEastAsia" w:eastAsiaTheme="minorEastAsia" w:cstheme="minorEastAsia"/>
          <w:color w:val="000000"/>
          <w:u w:val="single"/>
          <w:lang w:eastAsia="zh" w:bidi="ar"/>
        </w:rPr>
        <w:t xml:space="preserve">  </w:t>
      </w:r>
      <w:r>
        <w:rPr>
          <w:rFonts w:hint="eastAsia" w:asciiTheme="minorEastAsia" w:hAnsiTheme="minorEastAsia" w:eastAsiaTheme="minorEastAsia" w:cstheme="minorEastAsia"/>
          <w:color w:val="000000"/>
          <w:u w:val="single"/>
          <w:lang w:bidi="ar"/>
        </w:rPr>
        <w:t xml:space="preserve"> </w:t>
      </w:r>
      <w:r>
        <w:rPr>
          <w:rFonts w:hint="eastAsia" w:asciiTheme="minorEastAsia" w:hAnsiTheme="minorEastAsia" w:eastAsiaTheme="minorEastAsia" w:cstheme="minorEastAsia"/>
          <w:color w:val="000000"/>
          <w:lang w:bidi="ar"/>
        </w:rPr>
        <w:t>，联系电话：</w:t>
      </w:r>
      <w:r>
        <w:rPr>
          <w:rFonts w:hint="eastAsia" w:asciiTheme="minorEastAsia" w:hAnsiTheme="minorEastAsia" w:eastAsiaTheme="minorEastAsia" w:cstheme="minorEastAsia"/>
          <w:color w:val="000000"/>
          <w:u w:val="single"/>
          <w:lang w:bidi="ar"/>
        </w:rPr>
        <w:t xml:space="preserve">        </w:t>
      </w:r>
      <w:r>
        <w:rPr>
          <w:rFonts w:hint="eastAsia" w:asciiTheme="minorEastAsia" w:hAnsiTheme="minorEastAsia" w:eastAsiaTheme="minorEastAsia" w:cstheme="minorEastAsia"/>
          <w:color w:val="000000"/>
          <w:lang w:bidi="ar"/>
        </w:rPr>
        <w:t>。</w:t>
      </w:r>
    </w:p>
    <w:p w14:paraId="75416D54">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eastAsia="zh" w:bidi="ar"/>
        </w:rPr>
        <w:t>7.1.2</w:t>
      </w:r>
      <w:r>
        <w:rPr>
          <w:rFonts w:hint="eastAsia" w:asciiTheme="minorEastAsia" w:hAnsiTheme="minorEastAsia" w:eastAsiaTheme="minorEastAsia" w:cstheme="minorEastAsia"/>
          <w:color w:val="000000"/>
          <w:lang w:bidi="ar"/>
        </w:rPr>
        <w:t>承包人赋予承包人代表的其他权限：</w:t>
      </w:r>
      <w:r>
        <w:rPr>
          <w:rFonts w:hint="eastAsia" w:asciiTheme="minorEastAsia" w:hAnsiTheme="minorEastAsia" w:eastAsiaTheme="minorEastAsia" w:cstheme="minorEastAsia"/>
          <w:color w:val="000000"/>
          <w:u w:val="single"/>
          <w:lang w:bidi="ar"/>
        </w:rPr>
        <w:t xml:space="preserve">  无   </w:t>
      </w:r>
      <w:r>
        <w:rPr>
          <w:rFonts w:hint="eastAsia" w:asciiTheme="minorEastAsia" w:hAnsiTheme="minorEastAsia" w:eastAsiaTheme="minorEastAsia" w:cstheme="minorEastAsia"/>
          <w:color w:val="000000"/>
          <w:lang w:bidi="ar"/>
        </w:rPr>
        <w:t xml:space="preserve">。 </w:t>
      </w:r>
    </w:p>
    <w:p w14:paraId="6A0C151E">
      <w:pPr>
        <w:pStyle w:val="96"/>
        <w:widowControl/>
        <w:ind w:firstLine="482"/>
        <w:jc w:val="both"/>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
        </w:rPr>
        <w:t>7.2</w:t>
      </w:r>
      <w:r>
        <w:rPr>
          <w:rFonts w:hint="eastAsia" w:asciiTheme="minorEastAsia" w:hAnsiTheme="minorEastAsia" w:eastAsiaTheme="minorEastAsia" w:cstheme="minorEastAsia"/>
        </w:rPr>
        <w:t xml:space="preserve"> 承包人一般权利义务</w:t>
      </w:r>
    </w:p>
    <w:p w14:paraId="6C93056D">
      <w:pPr>
        <w:pStyle w:val="96"/>
        <w:widowControl/>
        <w:ind w:firstLine="480"/>
        <w:jc w:val="both"/>
        <w:outlineLvl w:val="9"/>
        <w:rPr>
          <w:rFonts w:hint="eastAsia" w:asciiTheme="minorEastAsia" w:hAnsiTheme="minorEastAsia" w:eastAsiaTheme="minorEastAsia" w:cstheme="minorEastAsia"/>
          <w:b w:val="0"/>
        </w:rPr>
      </w:pPr>
      <w:r>
        <w:rPr>
          <w:rFonts w:hint="eastAsia" w:asciiTheme="minorEastAsia" w:hAnsiTheme="minorEastAsia" w:eastAsiaTheme="minorEastAsia" w:cstheme="minorEastAsia"/>
          <w:b w:val="0"/>
          <w:lang w:eastAsia="zh"/>
        </w:rPr>
        <w:t>7.2.1</w:t>
      </w:r>
      <w:r>
        <w:rPr>
          <w:rFonts w:hint="eastAsia" w:asciiTheme="minorEastAsia" w:hAnsiTheme="minorEastAsia" w:eastAsiaTheme="minorEastAsia" w:cstheme="minorEastAsia"/>
          <w:b w:val="0"/>
        </w:rPr>
        <w:t>经发包人书面同意，承包人在实施过程中根据本工程实际情况需要有权增减部分内容。</w:t>
      </w:r>
    </w:p>
    <w:p w14:paraId="5F440528">
      <w:pPr>
        <w:pStyle w:val="96"/>
        <w:widowControl/>
        <w:ind w:firstLine="480"/>
        <w:jc w:val="both"/>
        <w:outlineLvl w:val="9"/>
        <w:rPr>
          <w:rFonts w:hint="eastAsia" w:asciiTheme="minorEastAsia" w:hAnsiTheme="minorEastAsia" w:eastAsiaTheme="minorEastAsia" w:cstheme="minorEastAsia"/>
          <w:b w:val="0"/>
        </w:rPr>
      </w:pPr>
      <w:r>
        <w:rPr>
          <w:rFonts w:hint="eastAsia" w:asciiTheme="minorEastAsia" w:hAnsiTheme="minorEastAsia" w:eastAsiaTheme="minorEastAsia" w:cstheme="minorEastAsia"/>
          <w:b w:val="0"/>
          <w:lang w:eastAsia="zh"/>
        </w:rPr>
        <w:t>7.2.1</w:t>
      </w:r>
      <w:r>
        <w:rPr>
          <w:rFonts w:hint="eastAsia" w:asciiTheme="minorEastAsia" w:hAnsiTheme="minorEastAsia" w:eastAsiaTheme="minorEastAsia" w:cstheme="minorEastAsia"/>
          <w:b w:val="0"/>
        </w:rPr>
        <w:t>承包人完成以下工作：</w:t>
      </w:r>
    </w:p>
    <w:p w14:paraId="4F86B25C">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1)设计交底后，分包人应当继续审查相关图纸中可能存在的不符合法律规定、适用标准、施工规范的任何错误、冲突，并在设计交底之日起</w:t>
      </w:r>
      <w:r>
        <w:rPr>
          <w:rFonts w:hint="eastAsia" w:asciiTheme="minorEastAsia" w:hAnsiTheme="minorEastAsia" w:eastAsiaTheme="minorEastAsia" w:cstheme="minorEastAsia"/>
          <w:color w:val="000000"/>
          <w:u w:val="single"/>
          <w:lang w:bidi="ar"/>
        </w:rPr>
        <w:t>7</w:t>
      </w:r>
      <w:r>
        <w:rPr>
          <w:rFonts w:hint="eastAsia" w:asciiTheme="minorEastAsia" w:hAnsiTheme="minorEastAsia" w:eastAsiaTheme="minorEastAsia" w:cstheme="minorEastAsia"/>
          <w:color w:val="000000"/>
          <w:lang w:bidi="ar"/>
        </w:rPr>
        <w:t>天内以书面方式报承包人、发包人及监理人。分包人后续在施工过程中发现相关图纸中存在前述情形的，请及时书面呈报承包人、发包人及监理人。</w:t>
      </w:r>
    </w:p>
    <w:p w14:paraId="7D7563A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w:t>
      </w:r>
      <w:r>
        <w:rPr>
          <w:rFonts w:hint="eastAsia" w:asciiTheme="minorEastAsia" w:hAnsiTheme="minorEastAsia" w:eastAsiaTheme="minorEastAsia" w:cstheme="minorEastAsia"/>
          <w:sz w:val="24"/>
          <w:lang w:bidi="ar"/>
        </w:rPr>
        <w:tab/>
      </w:r>
      <w:r>
        <w:rPr>
          <w:rFonts w:hint="eastAsia" w:asciiTheme="minorEastAsia" w:hAnsiTheme="minorEastAsia" w:eastAsiaTheme="minorEastAsia" w:cstheme="minorEastAsia"/>
          <w:sz w:val="24"/>
          <w:lang w:bidi="ar"/>
        </w:rPr>
        <w:t>其他由承包人完成的工作：</w:t>
      </w:r>
    </w:p>
    <w:p w14:paraId="1B7D4E59">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color w:val="000000"/>
          <w:u w:val="single"/>
          <w:lang w:bidi="ar"/>
        </w:rPr>
        <w:t>分包人进场后，承包人提供水平控制线，进行现场交验。</w:t>
      </w:r>
    </w:p>
    <w:p w14:paraId="31335ADD">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color w:val="000000"/>
          <w:u w:val="single"/>
          <w:lang w:bidi="ar"/>
        </w:rPr>
        <w:t>分包人进场后，承包人向分包人提供施工场地的工程地质和地上（下）管线资料。分包人对地上（下）管线负有保护责任，如因分包人原因造成损坏，由分包人负责维修并承担费用。</w:t>
      </w:r>
    </w:p>
    <w:p w14:paraId="1A31A269">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eastAsia="zh" w:bidi="ar"/>
        </w:rPr>
        <w:t xml:space="preserve">7.2.2 </w:t>
      </w:r>
      <w:r>
        <w:rPr>
          <w:rFonts w:hint="eastAsia" w:asciiTheme="minorEastAsia" w:hAnsiTheme="minorEastAsia" w:eastAsiaTheme="minorEastAsia" w:cstheme="minorEastAsia"/>
          <w:color w:val="000000"/>
          <w:lang w:bidi="ar"/>
        </w:rPr>
        <w:t>施工所需水、电、电讯线路说明：</w:t>
      </w:r>
    </w:p>
    <w:p w14:paraId="7D304C9D">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1）关于施工所需水、电费用的具体约定：</w:t>
      </w:r>
      <w:r>
        <w:rPr>
          <w:rFonts w:hint="eastAsia" w:asciiTheme="minorEastAsia" w:hAnsiTheme="minorEastAsia" w:eastAsiaTheme="minorEastAsia" w:cstheme="minorEastAsia"/>
          <w:color w:val="000000"/>
          <w:u w:val="single"/>
          <w:lang w:bidi="ar"/>
        </w:rPr>
        <w:t>施工所需、生活区等用水、电费已包含在合同暂定总价中</w:t>
      </w:r>
      <w:r>
        <w:rPr>
          <w:rFonts w:hint="eastAsia" w:asciiTheme="minorEastAsia" w:hAnsiTheme="minorEastAsia" w:eastAsiaTheme="minorEastAsia" w:cstheme="minorEastAsia"/>
          <w:color w:val="000000"/>
          <w:lang w:bidi="ar"/>
        </w:rPr>
        <w:t>。</w:t>
      </w:r>
    </w:p>
    <w:p w14:paraId="40F82543">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2）施工场地内施工所需用水、用电、通讯的接驳地点：</w:t>
      </w:r>
    </w:p>
    <w:p w14:paraId="0ABA497E">
      <w:pPr>
        <w:pStyle w:val="98"/>
        <w:widowControl/>
        <w:snapToGrid w:val="0"/>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a）施工场地内施工所需水的接驳地点：发包人已将施工所需用水接驳点提供给承包人，承包人负责提供施工所需用水接驳口，由分包人自行负责从接驳口接出水表、阀门及管道设备等；如现有施工用水指标无法满足施工要求，由分包人自行解决。</w:t>
      </w:r>
    </w:p>
    <w:p w14:paraId="27A22B8F">
      <w:pPr>
        <w:pStyle w:val="98"/>
        <w:widowControl/>
        <w:snapToGrid w:val="0"/>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（b）施工场地内所需雨污水接驳地点：发包人已将施工所需雨污水接驳点提供给承包人，承包人负责提供施工所需雨污水接驳口，由分包人自行负责从接驳口接出管道设备等。</w:t>
      </w:r>
    </w:p>
    <w:p w14:paraId="136DDD0D">
      <w:pPr>
        <w:pStyle w:val="98"/>
        <w:widowControl/>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c）施工场地内施工所需电的接驳地点：发包人已将施工所需用电接驳点提供给承包人，承包人负责提供施工所需用电接驳口，由分包人自行负责从接驳口接出电表、电箱及电缆设备等；分包人自行考虑备用的发电机组设备，以保证偶然停电或承包人未能及时提供接驳口情况下施工能正常进行（承包人不另行额外支付）。如因施工高峰期或者抢工中，临时施工用电容量不够，则增容由承包人自行解决。</w:t>
      </w:r>
    </w:p>
    <w:p w14:paraId="78C5F5DD">
      <w:pPr>
        <w:pStyle w:val="98"/>
        <w:widowControl/>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（d）施工场地内施工所需通讯的接驳地点：承包人负责施工场内通讯条件，分包人自行协商解决通讯设施使用、费用相关问题。</w:t>
      </w:r>
    </w:p>
    <w:p w14:paraId="5D761DB0">
      <w:pPr>
        <w:pStyle w:val="98"/>
        <w:widowControl/>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（e）现场发生的施工及生活等一切用水、用电费用由分包人向承包人交纳；分包人如建设食堂，排污相关费用自行负责与水务环保部门沟通；上述有关费用已包含在合同暂定总价中，发包人不另行计价支付。</w:t>
      </w:r>
    </w:p>
    <w:p w14:paraId="175DD343">
      <w:pPr>
        <w:pStyle w:val="29"/>
        <w:widowControl w:val="0"/>
        <w:autoSpaceDE w:val="0"/>
        <w:autoSpaceDN w:val="0"/>
        <w:adjustRightInd w:val="0"/>
        <w:spacing w:before="0" w:beforeAutospacing="0" w:after="0" w:afterAutospacing="0" w:line="360" w:lineRule="auto"/>
        <w:ind w:firstLine="482"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lang w:eastAsia="zh" w:bidi="ar"/>
        </w:rPr>
        <w:t>7.2.3</w:t>
      </w:r>
      <w:r>
        <w:rPr>
          <w:rFonts w:hint="eastAsia" w:asciiTheme="minorEastAsia" w:hAnsiTheme="minorEastAsia" w:eastAsiaTheme="minorEastAsia" w:cstheme="minorEastAsia"/>
          <w:b/>
          <w:color w:val="000000"/>
          <w:lang w:bidi="ar"/>
        </w:rPr>
        <w:t xml:space="preserve"> 承包人委托分包人办理的工作</w:t>
      </w:r>
      <w:r>
        <w:rPr>
          <w:rFonts w:hint="eastAsia" w:asciiTheme="minorEastAsia" w:hAnsiTheme="minorEastAsia" w:eastAsiaTheme="minorEastAsia" w:cstheme="minorEastAsia"/>
          <w:color w:val="000000"/>
          <w:lang w:bidi="ar"/>
        </w:rPr>
        <w:t>（包括但不限于）</w:t>
      </w:r>
      <w:r>
        <w:rPr>
          <w:rFonts w:hint="eastAsia" w:asciiTheme="minorEastAsia" w:hAnsiTheme="minorEastAsia" w:eastAsiaTheme="minorEastAsia" w:cstheme="minorEastAsia"/>
          <w:b/>
          <w:color w:val="000000"/>
          <w:lang w:bidi="ar"/>
        </w:rPr>
        <w:t>：</w:t>
      </w:r>
    </w:p>
    <w:p w14:paraId="057E8184">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1）负责办理本合同范围内工程开工至竣工验收所必须的行政许可、报审、报批、报备等手续（如需）。</w:t>
      </w:r>
    </w:p>
    <w:p w14:paraId="613B6610">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2）与承包人协助发包人办理相关设计图纸的审核、审查、备案及项目的报批、报建、验收等相关手续。</w:t>
      </w:r>
    </w:p>
    <w:p w14:paraId="3EC76E19">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3）负责协调本工程施工相关的职能部门、单位及周边在建其他工程，包括且不限于：街道居委、公安派出所、建设管理部门、城管部门、交通部门、质量安全监督等；协调事项包括不限于：环境清理、市容维护、交通、噪音、民扰调停等工作。</w:t>
      </w:r>
    </w:p>
    <w:p w14:paraId="03D77959">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4）分包人完成以上工作内容所需的一切费用均包含在合同暂定总价中，与前述工作有关的任何费用发包人不再另行计付。</w:t>
      </w:r>
    </w:p>
    <w:p w14:paraId="7C56EAA6">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eastAsia="zh" w:bidi="ar"/>
        </w:rPr>
        <w:t xml:space="preserve">7.2.4 </w:t>
      </w:r>
      <w:r>
        <w:rPr>
          <w:rFonts w:hint="eastAsia" w:asciiTheme="minorEastAsia" w:hAnsiTheme="minorEastAsia" w:eastAsiaTheme="minorEastAsia" w:cstheme="minorEastAsia"/>
          <w:color w:val="000000"/>
          <w:lang w:bidi="ar"/>
        </w:rPr>
        <w:t>除本合同条款另有约定，分包人应履行并承担总包合同中与分包工程有关的分包人的所有义务与责任，同时应避免因分包人自身行为或疏漏造成承包人违反总包合同中约定的承包人义务的情况发生。</w:t>
      </w:r>
    </w:p>
    <w:p w14:paraId="2D74DFA9">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eastAsia="zh" w:bidi="ar"/>
        </w:rPr>
        <w:t xml:space="preserve">7.2.5 </w:t>
      </w:r>
      <w:r>
        <w:rPr>
          <w:rFonts w:hint="eastAsia" w:asciiTheme="minorEastAsia" w:hAnsiTheme="minorEastAsia" w:eastAsiaTheme="minorEastAsia" w:cstheme="minorEastAsia"/>
          <w:color w:val="000000"/>
          <w:lang w:bidi="ar"/>
        </w:rPr>
        <w:t>分包人须服从承包人、发包人有关的指令。分包人提交文件、资料原则上应先由承包人审核后（3个工作日内），再由承包人报送发包人。</w:t>
      </w:r>
    </w:p>
    <w:p w14:paraId="77B52BE2">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color w:val="000000"/>
          <w:lang w:eastAsia="zh" w:bidi="ar"/>
        </w:rPr>
      </w:pPr>
      <w:r>
        <w:rPr>
          <w:rFonts w:hint="eastAsia" w:asciiTheme="minorEastAsia" w:hAnsiTheme="minorEastAsia" w:eastAsiaTheme="minorEastAsia" w:cstheme="minorEastAsia"/>
          <w:b w:val="0"/>
          <w:bCs w:val="0"/>
          <w:color w:val="000000"/>
          <w:lang w:eastAsia="zh" w:bidi="ar"/>
        </w:rPr>
        <w:t>7.2.6 检查配合工作</w:t>
      </w:r>
    </w:p>
    <w:p w14:paraId="4483BA53">
      <w:pPr>
        <w:pStyle w:val="29"/>
        <w:widowControl w:val="0"/>
        <w:autoSpaceDE w:val="0"/>
        <w:autoSpaceDN w:val="0"/>
        <w:adjustRightInd w:val="0"/>
        <w:spacing w:before="0" w:beforeAutospacing="0" w:after="0" w:afterAutospacing="0" w:line="360" w:lineRule="auto"/>
        <w:ind w:firstLine="480" w:firstLineChars="200"/>
        <w:jc w:val="both"/>
        <w:rPr>
          <w:rStyle w:val="41"/>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eastAsia="zh" w:bidi="ar"/>
        </w:rPr>
        <w:t>7.2.6.1 发包人将根据合同情况自主或引入第三方质量、安全等评估单位进行现场检查，检查内容包括但不限于现场实测实量、质量及安全风险、现场管理行为、安全文明、资料、人员等。承包人、分包人需对发包人下发的评价体系充分掌握、内部宣讲，并配合现场检查；发包人将按需对检查结果进行公布、下发整改单、排名及通报批评；必要时根据发包人的管理需要，可在通报栏处增加分包人董事长相片及姓名信息。</w:t>
      </w:r>
    </w:p>
    <w:p w14:paraId="0C8FE117">
      <w:pPr>
        <w:pStyle w:val="4"/>
        <w:spacing w:before="0" w:beforeLines="50" w:after="0" w:line="360" w:lineRule="auto"/>
        <w:rPr>
          <w:rFonts w:hint="eastAsia" w:asciiTheme="minorEastAsia" w:hAnsiTheme="minorEastAsia" w:eastAsiaTheme="minorEastAsia" w:cstheme="minorEastAsia"/>
          <w:sz w:val="24"/>
        </w:rPr>
      </w:pPr>
      <w:bookmarkStart w:id="179" w:name="_Toc517273217"/>
      <w:bookmarkStart w:id="180" w:name="_Toc5521"/>
      <w:bookmarkStart w:id="181" w:name="_Toc19952"/>
      <w:bookmarkStart w:id="182" w:name="_Toc20710"/>
      <w:bookmarkStart w:id="183" w:name="_Toc31903"/>
      <w:r>
        <w:rPr>
          <w:rFonts w:hint="eastAsia" w:asciiTheme="minorEastAsia" w:hAnsiTheme="minorEastAsia" w:eastAsiaTheme="minorEastAsia" w:cstheme="minorEastAsia"/>
          <w:kern w:val="0"/>
          <w:sz w:val="24"/>
        </w:rPr>
        <w:t>8.</w:t>
      </w:r>
      <w:r>
        <w:rPr>
          <w:rFonts w:hint="eastAsia" w:asciiTheme="minorEastAsia" w:hAnsiTheme="minorEastAsia" w:eastAsiaTheme="minorEastAsia" w:cstheme="minorEastAsia"/>
          <w:kern w:val="0"/>
          <w:sz w:val="24"/>
          <w:szCs w:val="24"/>
        </w:rPr>
        <w:t>分包人</w:t>
      </w:r>
      <w:bookmarkEnd w:id="179"/>
      <w:r>
        <w:rPr>
          <w:rFonts w:hint="eastAsia" w:asciiTheme="minorEastAsia" w:hAnsiTheme="minorEastAsia" w:eastAsiaTheme="minorEastAsia" w:cstheme="minorEastAsia"/>
          <w:kern w:val="0"/>
          <w:sz w:val="24"/>
          <w:szCs w:val="24"/>
        </w:rPr>
        <w:t>：</w:t>
      </w:r>
      <w:bookmarkEnd w:id="180"/>
      <w:bookmarkEnd w:id="181"/>
      <w:bookmarkEnd w:id="182"/>
      <w:bookmarkEnd w:id="183"/>
    </w:p>
    <w:p w14:paraId="463905C4">
      <w:pPr>
        <w:pStyle w:val="29"/>
        <w:widowControl w:val="0"/>
        <w:autoSpaceDE w:val="0"/>
        <w:autoSpaceDN w:val="0"/>
        <w:adjustRightInd w:val="0"/>
        <w:spacing w:before="0" w:beforeAutospacing="0" w:after="0" w:afterAutospacing="0" w:line="360" w:lineRule="auto"/>
        <w:ind w:firstLine="482" w:firstLineChars="200"/>
        <w:jc w:val="both"/>
        <w:outlineLvl w:val="9"/>
        <w:rPr>
          <w:rFonts w:hint="eastAsia" w:asciiTheme="minorEastAsia" w:hAnsiTheme="minorEastAsia" w:eastAsiaTheme="minorEastAsia" w:cstheme="minorEastAsia"/>
          <w:b/>
          <w:color w:val="000000"/>
          <w:lang w:bidi="ar"/>
        </w:rPr>
      </w:pPr>
      <w:r>
        <w:rPr>
          <w:rFonts w:hint="eastAsia" w:asciiTheme="minorEastAsia" w:hAnsiTheme="minorEastAsia" w:eastAsiaTheme="minorEastAsia" w:cstheme="minorEastAsia"/>
          <w:b/>
          <w:color w:val="000000"/>
          <w:lang w:eastAsia="zh" w:bidi="ar"/>
        </w:rPr>
        <w:t>8.1</w:t>
      </w:r>
      <w:r>
        <w:rPr>
          <w:rFonts w:hint="eastAsia" w:asciiTheme="minorEastAsia" w:hAnsiTheme="minorEastAsia" w:eastAsiaTheme="minorEastAsia" w:cstheme="minorEastAsia"/>
          <w:b/>
          <w:color w:val="000000"/>
          <w:lang w:bidi="ar"/>
        </w:rPr>
        <w:t xml:space="preserve"> </w:t>
      </w:r>
      <w:r>
        <w:rPr>
          <w:rFonts w:hint="eastAsia" w:asciiTheme="minorEastAsia" w:hAnsiTheme="minorEastAsia" w:eastAsiaTheme="minorEastAsia" w:cstheme="minorEastAsia"/>
          <w:b/>
          <w:color w:val="000000"/>
          <w:lang w:eastAsia="zh" w:bidi="ar"/>
        </w:rPr>
        <w:t>分包人项目负责人</w:t>
      </w:r>
    </w:p>
    <w:p w14:paraId="0355722A">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b w:val="0"/>
          <w:color w:val="000000"/>
          <w:lang w:eastAsia="zh" w:bidi="ar"/>
        </w:rPr>
        <w:t>8.1.1 分包人项目负责人的姓名：</w:t>
      </w:r>
      <w:r>
        <w:rPr>
          <w:rFonts w:hint="eastAsia" w:asciiTheme="minorEastAsia" w:hAnsiTheme="minorEastAsia" w:eastAsiaTheme="minorEastAsia" w:cstheme="minorEastAsia"/>
          <w:color w:val="000000"/>
          <w:u w:val="single"/>
          <w:lang w:bidi="ar"/>
        </w:rPr>
        <w:t xml:space="preserve">   </w:t>
      </w:r>
      <w:r>
        <w:rPr>
          <w:rFonts w:hint="eastAsia" w:asciiTheme="minorEastAsia" w:hAnsiTheme="minorEastAsia" w:eastAsiaTheme="minorEastAsia" w:cstheme="minorEastAsia"/>
          <w:b w:val="0"/>
          <w:color w:val="000000"/>
          <w:u w:val="single"/>
          <w:lang w:eastAsia="zh" w:bidi="ar"/>
        </w:rPr>
        <w:t xml:space="preserve"> </w:t>
      </w:r>
      <w:r>
        <w:rPr>
          <w:rFonts w:hint="eastAsia" w:asciiTheme="minorEastAsia" w:hAnsiTheme="minorEastAsia" w:eastAsiaTheme="minorEastAsia" w:cstheme="minorEastAsia"/>
          <w:b w:val="0"/>
          <w:color w:val="000000"/>
          <w:lang w:eastAsia="zh" w:bidi="ar"/>
        </w:rPr>
        <w:t>，职务：</w:t>
      </w:r>
      <w:r>
        <w:rPr>
          <w:rFonts w:hint="eastAsia" w:asciiTheme="minorEastAsia" w:hAnsiTheme="minorEastAsia" w:eastAsiaTheme="minorEastAsia" w:cstheme="minorEastAsia"/>
          <w:b w:val="0"/>
          <w:color w:val="000000"/>
          <w:u w:val="single"/>
          <w:lang w:eastAsia="zh" w:bidi="ar"/>
        </w:rPr>
        <w:t xml:space="preserve"> 项目经理 </w:t>
      </w:r>
      <w:r>
        <w:rPr>
          <w:rFonts w:hint="eastAsia" w:asciiTheme="minorEastAsia" w:hAnsiTheme="minorEastAsia" w:eastAsiaTheme="minorEastAsia" w:cstheme="minorEastAsia"/>
          <w:b w:val="0"/>
          <w:color w:val="000000"/>
          <w:lang w:eastAsia="zh" w:bidi="ar"/>
        </w:rPr>
        <w:t>，联系电话：</w:t>
      </w:r>
      <w:r>
        <w:rPr>
          <w:rFonts w:hint="eastAsia" w:asciiTheme="minorEastAsia" w:hAnsiTheme="minorEastAsia" w:eastAsiaTheme="minorEastAsia" w:cstheme="minorEastAsia"/>
          <w:color w:val="000000"/>
          <w:u w:val="single"/>
          <w:lang w:bidi="ar"/>
        </w:rPr>
        <w:t xml:space="preserve">   </w:t>
      </w:r>
      <w:r>
        <w:rPr>
          <w:rFonts w:hint="eastAsia" w:asciiTheme="minorEastAsia" w:hAnsiTheme="minorEastAsia" w:eastAsiaTheme="minorEastAsia" w:cstheme="minorEastAsia"/>
          <w:color w:val="000000"/>
          <w:lang w:bidi="ar"/>
        </w:rPr>
        <w:t>。</w:t>
      </w:r>
    </w:p>
    <w:p w14:paraId="17FDB6DF">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8.1.2 对分包人项目负责人的管理要求：</w:t>
      </w:r>
    </w:p>
    <w:p w14:paraId="34E6B59E">
      <w:pPr>
        <w:pStyle w:val="29"/>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本合同中明确的项目负责人，不得擅自变更，开工时或施工过程中若有擅自变更，则发包人、承包人有权按本合同补充条款约定要求分包人支付违约金。</w:t>
      </w:r>
    </w:p>
    <w:p w14:paraId="27EC508D">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对分包人项目负责人的其他管理要求：</w:t>
      </w:r>
      <w:r>
        <w:rPr>
          <w:rFonts w:hint="eastAsia" w:asciiTheme="minorEastAsia" w:hAnsiTheme="minorEastAsia" w:eastAsiaTheme="minorEastAsia" w:cstheme="minorEastAsia"/>
          <w:color w:val="000000"/>
          <w:u w:val="single"/>
          <w:lang w:bidi="ar"/>
        </w:rPr>
        <w:t xml:space="preserve"> / </w:t>
      </w:r>
      <w:r>
        <w:rPr>
          <w:rFonts w:hint="eastAsia" w:asciiTheme="minorEastAsia" w:hAnsiTheme="minorEastAsia" w:eastAsiaTheme="minorEastAsia" w:cstheme="minorEastAsia"/>
          <w:color w:val="000000"/>
          <w:lang w:bidi="ar"/>
        </w:rPr>
        <w:t>。</w:t>
      </w:r>
    </w:p>
    <w:p w14:paraId="6BED9C87">
      <w:pPr>
        <w:pStyle w:val="29"/>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b w:val="0"/>
          <w:color w:val="000000"/>
          <w:lang w:bidi="ar"/>
        </w:rPr>
      </w:pPr>
      <w:r>
        <w:rPr>
          <w:rFonts w:hint="eastAsia" w:asciiTheme="minorEastAsia" w:hAnsiTheme="minorEastAsia" w:eastAsiaTheme="minorEastAsia" w:cstheme="minorEastAsia"/>
          <w:color w:val="000000"/>
          <w:lang w:bidi="ar"/>
        </w:rPr>
        <w:t>8.1.3 分包人如需更换项目主要管理人员的，项目负责人、技术负责人、项目副经理应至少提前30天，其他主要管理人员应至少提前15天将备选人员资料通过承包人报发包人，备选人员的资历、职称等级、过往业绩应与合同约定的要求达到同等或以上，征得承包人及发包人同意后方可更换。后任继续行使合同文件约定的前任的职权，履行前任的义务。</w:t>
      </w:r>
    </w:p>
    <w:p w14:paraId="06BAE828">
      <w:pPr>
        <w:pStyle w:val="29"/>
        <w:widowControl w:val="0"/>
        <w:autoSpaceDE w:val="0"/>
        <w:autoSpaceDN w:val="0"/>
        <w:adjustRightInd w:val="0"/>
        <w:spacing w:before="0" w:beforeAutospacing="0" w:after="0" w:afterAutospacing="0" w:line="360" w:lineRule="auto"/>
        <w:ind w:firstLine="482" w:firstLineChars="200"/>
        <w:jc w:val="both"/>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color w:val="000000"/>
          <w:lang w:bidi="ar"/>
        </w:rPr>
        <w:t>8.2 完成以下各项承包工作：</w:t>
      </w:r>
    </w:p>
    <w:p w14:paraId="4B68EDDE">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对分包人工作的补充约定如下：</w:t>
      </w:r>
    </w:p>
    <w:p w14:paraId="137A455A">
      <w:pPr>
        <w:spacing w:line="360" w:lineRule="auto"/>
        <w:ind w:firstLine="482" w:firstLineChars="200"/>
        <w:rPr>
          <w:rFonts w:hint="eastAsia" w:asciiTheme="minorEastAsia" w:hAnsiTheme="minorEastAsia" w:eastAsiaTheme="minorEastAsia" w:cstheme="minorEastAsia"/>
          <w:b/>
          <w:kern w:val="0"/>
          <w:sz w:val="24"/>
          <w:lang w:eastAsia="zh"/>
        </w:rPr>
      </w:pPr>
      <w:r>
        <w:rPr>
          <w:rFonts w:hint="eastAsia" w:asciiTheme="minorEastAsia" w:hAnsiTheme="minorEastAsia" w:eastAsiaTheme="minorEastAsia" w:cstheme="minorEastAsia"/>
          <w:b/>
          <w:kern w:val="0"/>
          <w:sz w:val="24"/>
          <w:lang w:bidi="ar"/>
        </w:rPr>
        <w:t>A.</w:t>
      </w:r>
      <w:r>
        <w:rPr>
          <w:rFonts w:hint="eastAsia" w:asciiTheme="minorEastAsia" w:hAnsiTheme="minorEastAsia" w:eastAsiaTheme="minorEastAsia" w:cstheme="minorEastAsia"/>
          <w:b/>
          <w:kern w:val="0"/>
          <w:sz w:val="24"/>
          <w:lang w:val="en-US" w:eastAsia="zh-CN" w:bidi="ar"/>
        </w:rPr>
        <w:t>精装修工程</w:t>
      </w:r>
      <w:r>
        <w:rPr>
          <w:rFonts w:hint="eastAsia" w:asciiTheme="minorEastAsia" w:hAnsiTheme="minorEastAsia" w:eastAsiaTheme="minorEastAsia" w:cstheme="minorEastAsia"/>
          <w:b/>
          <w:kern w:val="0"/>
          <w:sz w:val="24"/>
          <w:lang w:eastAsia="zh" w:bidi="ar"/>
        </w:rPr>
        <w:t>内容</w:t>
      </w:r>
    </w:p>
    <w:p w14:paraId="170066DE">
      <w:pPr>
        <w:spacing w:line="360" w:lineRule="auto"/>
        <w:ind w:firstLine="480" w:firstLineChars="200"/>
        <w:rPr>
          <w:rFonts w:hint="default" w:ascii="宋体" w:hAnsi="宋体" w:eastAsia="宋体"/>
          <w:sz w:val="24"/>
          <w:lang w:val="en-US" w:eastAsia="zh-CN"/>
        </w:rPr>
      </w:pPr>
      <w:r>
        <w:rPr>
          <w:rFonts w:hint="eastAsia" w:ascii="宋体" w:hAnsi="宋体"/>
          <w:sz w:val="24"/>
        </w:rPr>
        <w:t>工作内容包括但不限于以下内容：地面、墙面、天花装饰装修；机电工程施工（包括但不限于装修水电、照明、消防、插座、管线施工等）；服务台、洗手台、室内门、玻璃门、电器、灯具、洁具、龙头、五金供货及安装；给排水系统支管采购安装及相关配套工作；</w:t>
      </w:r>
    </w:p>
    <w:p w14:paraId="54C35028">
      <w:pPr>
        <w:spacing w:line="360" w:lineRule="auto"/>
        <w:ind w:firstLine="480" w:firstLineChars="200"/>
        <w:rPr>
          <w:rFonts w:hint="eastAsia" w:asciiTheme="minorEastAsia" w:hAnsiTheme="minorEastAsia" w:eastAsiaTheme="minorEastAsia" w:cstheme="minorEastAsia"/>
          <w:kern w:val="0"/>
          <w:sz w:val="24"/>
        </w:rPr>
      </w:pPr>
      <w:r>
        <w:rPr>
          <w:rFonts w:hint="eastAsia" w:ascii="宋体" w:hAnsi="宋体"/>
          <w:sz w:val="24"/>
        </w:rPr>
        <w:t>所有楼层室内及公共区域已完工部分（包括但不限于铝合金门窗、玻璃、栏杆、天花、地面和墙身等）的成品保护，材料运输通道及电梯轿厢的成品保护；负责施工成品破坏后的材料后补和饰面、天花的修补及复原施工；整个施工过程中产生的垃圾清理运输至现场指定地点并外运至正规的消纳场所；负责施工过程中及清洁过程中的排水清理工作；专业工程管理和配合服务的工作：负责工程范围内的所有各项其他专业工程施工的协调及配合，完成本工程各项专业工程的调试、试验、验收工作；配合和满足本项目发包人、监理现场施工管理要求，配合和满足本项目监理的各项管理要求；负责施工运输而提前使用的电梯的内部保护、电梯门保护及电梯门槛保护；上述施工内容涉及的所有深化设计工作；发包人委托的其他工程。发包人有权增减承包范围，分包人无条件接受。</w:t>
      </w:r>
    </w:p>
    <w:p w14:paraId="63E6ECCA">
      <w:pPr>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lang w:bidi="ar"/>
        </w:rPr>
        <w:t>B.项目组织架构申报</w:t>
      </w:r>
    </w:p>
    <w:p w14:paraId="2D16EE8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分包人在中标通知书下发之日起15日内完成项目人员组织架构组建，且主要施工管理人员必须到场，同时向发包人、承包人、监理人提供主要施工管理人员职称证书、执业证书、业绩证明、单位社保等证件复印件（加盖公章，验原件收复印件），其余管理人员根据承包人提出需求之日起7日内全部到场。</w:t>
      </w:r>
    </w:p>
    <w:p w14:paraId="63CA8A03">
      <w:pPr>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lang w:eastAsia="zh" w:bidi="ar"/>
        </w:rPr>
        <w:t>C</w:t>
      </w:r>
      <w:r>
        <w:rPr>
          <w:rFonts w:hint="eastAsia" w:asciiTheme="minorEastAsia" w:hAnsiTheme="minorEastAsia" w:eastAsiaTheme="minorEastAsia" w:cstheme="minorEastAsia"/>
          <w:b/>
          <w:kern w:val="0"/>
          <w:sz w:val="24"/>
          <w:lang w:bidi="ar"/>
        </w:rPr>
        <w:t>.现场材料加工及存储</w:t>
      </w:r>
    </w:p>
    <w:p w14:paraId="6C1D796B">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分包人材料现场加工、堆放根据现场实际情况由承包人统一协调安排，分包人应在相应部位施工前提出场地需求，由分包人自行负责区域内的清理工作并承担一切费用。</w:t>
      </w:r>
    </w:p>
    <w:p w14:paraId="41C7E007">
      <w:pPr>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lang w:eastAsia="zh" w:bidi="ar"/>
        </w:rPr>
        <w:t>D</w:t>
      </w:r>
      <w:r>
        <w:rPr>
          <w:rFonts w:hint="eastAsia" w:asciiTheme="minorEastAsia" w:hAnsiTheme="minorEastAsia" w:eastAsiaTheme="minorEastAsia" w:cstheme="minorEastAsia"/>
          <w:b/>
          <w:kern w:val="0"/>
          <w:sz w:val="24"/>
          <w:lang w:bidi="ar"/>
        </w:rPr>
        <w:t>.施工工作面协调管理</w:t>
      </w:r>
    </w:p>
    <w:p w14:paraId="2BEA4496">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施工工作面由承包人根据现场实际情况统一协调安排，分包人负责自身工作范围内的工作面交接及管理，分包人接受工作面后自行复核坐标、高程、已完工程定位、结构垂直度、图纸与现场实际对比等相关事项，因分包人原因导致的工作面移交延迟、质量问题、安全问题等造成的返工责任、自身损失及发包人、承包人损失由分包人承担。</w:t>
      </w:r>
    </w:p>
    <w:p w14:paraId="5555F260">
      <w:pPr>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lang w:eastAsia="zh" w:bidi="ar"/>
        </w:rPr>
        <w:t>E</w:t>
      </w:r>
      <w:r>
        <w:rPr>
          <w:rFonts w:hint="eastAsia" w:asciiTheme="minorEastAsia" w:hAnsiTheme="minorEastAsia" w:eastAsiaTheme="minorEastAsia" w:cstheme="minorEastAsia"/>
          <w:b/>
          <w:kern w:val="0"/>
          <w:sz w:val="24"/>
          <w:lang w:bidi="ar"/>
        </w:rPr>
        <w:t>.资料管理</w:t>
      </w:r>
    </w:p>
    <w:p w14:paraId="5D403C71">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分包人应负责与本工程有关的资料接收、整理和交接、归档工作，须完成本工程所有的验收与交接工作，配合与本工程相关的其他工程的验收与交接工作，完成本工程竣工资料的备案、提交。同时分包人应按承包人要求提交评优资料，分包人不得拒绝该类要求或指令；若分包人未按时交付相关资料的，承包人有权暂不予支付工程进度款或结算款。</w:t>
      </w:r>
    </w:p>
    <w:p w14:paraId="045BA6A7">
      <w:pPr>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lang w:eastAsia="zh" w:bidi="ar"/>
        </w:rPr>
        <w:t>F</w:t>
      </w:r>
      <w:r>
        <w:rPr>
          <w:rFonts w:hint="eastAsia" w:asciiTheme="minorEastAsia" w:hAnsiTheme="minorEastAsia" w:eastAsiaTheme="minorEastAsia" w:cstheme="minorEastAsia"/>
          <w:b/>
          <w:kern w:val="0"/>
          <w:sz w:val="24"/>
          <w:lang w:bidi="ar"/>
        </w:rPr>
        <w:t>.分包人应完成工作的要求还包括：</w:t>
      </w:r>
    </w:p>
    <w:p w14:paraId="4B1501D9">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lang w:bidi="ar"/>
        </w:rPr>
        <w:t>a</w:t>
      </w:r>
      <w:r>
        <w:rPr>
          <w:rFonts w:hint="eastAsia" w:asciiTheme="minorEastAsia" w:hAnsiTheme="minorEastAsia" w:eastAsiaTheme="minorEastAsia" w:cstheme="minorEastAsia"/>
          <w:kern w:val="0"/>
          <w:sz w:val="24"/>
          <w:lang w:bidi="ar"/>
        </w:rPr>
        <w:t>分包人应保证按照国家、地方、行业的有关规定及承包人的使用要求，准确、及时做好日常工程技术资料的记录、整理和归档工作，保证记录中原始数据的完整性、真实性和及时性，准确反映施工的实际情况，承包人、监理人有权抽查分包人日常工程技术资料的整理工作。若发现分包人日常工程技术资料不完整、不真实的，经发包人同意，承包人、监理人有权不计量或暂缓计量相关工程量，承包人有权暂缓支付或不支付工程进度款，直到分包人补足和完善。</w:t>
      </w:r>
    </w:p>
    <w:p w14:paraId="7FF4CFF9">
      <w:pPr>
        <w:spacing w:line="360" w:lineRule="auto"/>
        <w:ind w:firstLine="482" w:firstLineChars="200"/>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b/>
          <w:kern w:val="0"/>
          <w:sz w:val="24"/>
          <w:lang w:bidi="ar"/>
        </w:rPr>
        <w:t>b</w:t>
      </w:r>
      <w:r>
        <w:rPr>
          <w:rFonts w:hint="eastAsia" w:asciiTheme="minorEastAsia" w:hAnsiTheme="minorEastAsia" w:eastAsiaTheme="minorEastAsia" w:cstheme="minorEastAsia"/>
          <w:kern w:val="0"/>
          <w:sz w:val="24"/>
          <w:lang w:bidi="ar"/>
        </w:rPr>
        <w:t>分包人应按图纸及技术要求进行施工。图纸尺寸应以图纸上标明的为准，任何矛盾、不一致的地方须立即书面通知承包人、监理人。若所完成工程不符合图纸、技术要求的要求时，监理人、承包人可要求分包人无条件进行返工、修改，并承担一切所需额外工程的费用，工期不予延长，承包人不给予任何费用补偿，分包人按补充条款中对应相关约定承担违约责任，由此给发包人和承包人带来的损失由分包人承担。</w:t>
      </w:r>
    </w:p>
    <w:p w14:paraId="6DDB841B">
      <w:pPr>
        <w:pStyle w:val="29"/>
        <w:widowControl w:val="0"/>
        <w:autoSpaceDE w:val="0"/>
        <w:autoSpaceDN w:val="0"/>
        <w:adjustRightInd w:val="0"/>
        <w:spacing w:before="0" w:beforeAutospacing="0" w:after="0" w:afterAutospacing="0" w:line="360" w:lineRule="auto"/>
        <w:ind w:firstLine="482" w:firstLineChars="200"/>
        <w:jc w:val="both"/>
        <w:outlineLvl w:val="9"/>
        <w:rPr>
          <w:rFonts w:hint="eastAsia" w:asciiTheme="minorEastAsia" w:hAnsiTheme="minorEastAsia" w:eastAsiaTheme="minorEastAsia" w:cstheme="minorEastAsia"/>
          <w:b/>
        </w:rPr>
      </w:pPr>
      <w:r>
        <w:rPr>
          <w:rFonts w:hint="eastAsia" w:asciiTheme="minorEastAsia" w:hAnsiTheme="minorEastAsia" w:eastAsiaTheme="minorEastAsia" w:cstheme="minorEastAsia"/>
          <w:b/>
          <w:color w:val="000000"/>
          <w:lang w:eastAsia="zh" w:bidi="ar"/>
        </w:rPr>
        <w:t>8.</w:t>
      </w:r>
      <w:r>
        <w:rPr>
          <w:rFonts w:hint="eastAsia" w:asciiTheme="minorEastAsia" w:hAnsiTheme="minorEastAsia" w:eastAsiaTheme="minorEastAsia" w:cstheme="minorEastAsia"/>
          <w:b/>
          <w:color w:val="000000"/>
          <w:lang w:bidi="ar"/>
        </w:rPr>
        <w:t>3</w:t>
      </w:r>
      <w:r>
        <w:rPr>
          <w:rFonts w:hint="eastAsia" w:asciiTheme="minorEastAsia" w:hAnsiTheme="minorEastAsia" w:eastAsiaTheme="minorEastAsia" w:cstheme="minorEastAsia"/>
          <w:b/>
          <w:color w:val="000000"/>
          <w:lang w:eastAsia="zh" w:bidi="ar"/>
        </w:rPr>
        <w:t xml:space="preserve"> </w:t>
      </w:r>
      <w:r>
        <w:rPr>
          <w:rFonts w:hint="eastAsia" w:asciiTheme="minorEastAsia" w:hAnsiTheme="minorEastAsia" w:eastAsiaTheme="minorEastAsia" w:cstheme="minorEastAsia"/>
          <w:b/>
          <w:color w:val="000000"/>
          <w:lang w:bidi="ar"/>
        </w:rPr>
        <w:t>负责施工场地及其周边环境与生态的保护工作</w:t>
      </w:r>
    </w:p>
    <w:p w14:paraId="1967FB5E">
      <w:pPr>
        <w:spacing w:before="0" w:after="0"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 w:bidi="ar"/>
        </w:rPr>
        <w:t>8.</w:t>
      </w:r>
      <w:r>
        <w:rPr>
          <w:rFonts w:hint="eastAsia" w:asciiTheme="minorEastAsia" w:hAnsiTheme="minorEastAsia" w:eastAsiaTheme="minorEastAsia" w:cstheme="minorEastAsia"/>
          <w:kern w:val="0"/>
          <w:sz w:val="24"/>
          <w:lang w:bidi="ar"/>
        </w:rPr>
        <w:t>3</w:t>
      </w:r>
      <w:r>
        <w:rPr>
          <w:rFonts w:hint="eastAsia" w:asciiTheme="minorEastAsia" w:hAnsiTheme="minorEastAsia" w:eastAsiaTheme="minorEastAsia" w:cstheme="minorEastAsia"/>
          <w:kern w:val="0"/>
          <w:sz w:val="24"/>
          <w:lang w:eastAsia="zh" w:bidi="ar"/>
        </w:rPr>
        <w:t>.1</w:t>
      </w:r>
      <w:r>
        <w:rPr>
          <w:rFonts w:hint="eastAsia" w:asciiTheme="minorEastAsia" w:hAnsiTheme="minorEastAsia" w:eastAsiaTheme="minorEastAsia" w:cstheme="minorEastAsia"/>
          <w:kern w:val="0"/>
          <w:sz w:val="24"/>
          <w:lang w:bidi="ar"/>
        </w:rPr>
        <w:t>对分包人的补充约定：</w:t>
      </w:r>
      <w:r>
        <w:rPr>
          <w:rFonts w:hint="eastAsia" w:asciiTheme="minorEastAsia" w:hAnsiTheme="minorEastAsia" w:eastAsiaTheme="minorEastAsia" w:cstheme="minorEastAsia"/>
          <w:kern w:val="0"/>
          <w:sz w:val="24"/>
          <w:u w:val="single"/>
          <w:lang w:bidi="ar"/>
        </w:rPr>
        <w:t xml:space="preserve"> 分包人应保证其施工范围内的场地清洁符合环境卫生管理的有关要求，做到工完场清，即建筑垃圾须及时清运至承包人指定堆放地点；需服从承包人相关现场统一管理要求。分包人现场垃圾清理不及时、不合格且经催告不及时改正的，监理人或承包人有权要求分包人委托第三方进行清理，同时分包人应按本合同补充条款规定承担第三方清理费用并承担违约责任</w:t>
      </w:r>
      <w:r>
        <w:rPr>
          <w:rFonts w:hint="eastAsia" w:asciiTheme="minorEastAsia" w:hAnsiTheme="minorEastAsia" w:eastAsiaTheme="minorEastAsia" w:cstheme="minorEastAsia"/>
          <w:kern w:val="0"/>
          <w:sz w:val="24"/>
          <w:lang w:bidi="ar"/>
        </w:rPr>
        <w:t>。</w:t>
      </w:r>
    </w:p>
    <w:p w14:paraId="45230CDB">
      <w:pPr>
        <w:adjustRightInd w:val="0"/>
        <w:snapToGrid w:val="0"/>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lang w:eastAsia="zh" w:bidi="ar"/>
        </w:rPr>
        <w:t>8.</w:t>
      </w:r>
      <w:r>
        <w:rPr>
          <w:rFonts w:hint="eastAsia" w:asciiTheme="minorEastAsia" w:hAnsiTheme="minorEastAsia" w:eastAsiaTheme="minorEastAsia" w:cstheme="minorEastAsia"/>
          <w:b/>
          <w:kern w:val="0"/>
          <w:sz w:val="24"/>
          <w:lang w:bidi="ar"/>
        </w:rPr>
        <w:t>3</w:t>
      </w:r>
      <w:r>
        <w:rPr>
          <w:rFonts w:hint="eastAsia" w:asciiTheme="minorEastAsia" w:hAnsiTheme="minorEastAsia" w:eastAsiaTheme="minorEastAsia" w:cstheme="minorEastAsia"/>
          <w:b/>
          <w:kern w:val="0"/>
          <w:sz w:val="24"/>
          <w:lang w:eastAsia="zh" w:bidi="ar"/>
        </w:rPr>
        <w:t>.2</w:t>
      </w:r>
      <w:r>
        <w:rPr>
          <w:rFonts w:hint="eastAsia" w:asciiTheme="minorEastAsia" w:hAnsiTheme="minorEastAsia" w:eastAsiaTheme="minorEastAsia" w:cstheme="minorEastAsia"/>
          <w:b/>
          <w:kern w:val="0"/>
          <w:sz w:val="24"/>
          <w:lang w:bidi="ar"/>
        </w:rPr>
        <w:t>为他人提供方便</w:t>
      </w:r>
    </w:p>
    <w:p w14:paraId="6CB100E0">
      <w:pPr>
        <w:adjustRightInd w:val="0"/>
        <w:snapToGri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 w:bidi="ar"/>
        </w:rPr>
        <w:t>1</w:t>
      </w:r>
      <w:r>
        <w:rPr>
          <w:rFonts w:hint="eastAsia" w:asciiTheme="minorEastAsia" w:hAnsiTheme="minorEastAsia" w:eastAsiaTheme="minorEastAsia" w:cstheme="minorEastAsia"/>
          <w:kern w:val="0"/>
          <w:sz w:val="24"/>
          <w:lang w:bidi="ar"/>
        </w:rPr>
        <w:t>）对分包人补充约定：本工程验收且移交后，分包人的施工人员、材料、设备必须在移交完毕之日起15 天内全部退出现场，分包人每延迟一天退场应按本合同</w:t>
      </w:r>
      <w:r>
        <w:rPr>
          <w:rFonts w:hint="eastAsia" w:asciiTheme="minorEastAsia" w:hAnsiTheme="minorEastAsia" w:eastAsiaTheme="minorEastAsia" w:cstheme="minorEastAsia"/>
          <w:kern w:val="0"/>
          <w:sz w:val="24"/>
          <w:u w:val="single"/>
          <w:lang w:bidi="ar"/>
        </w:rPr>
        <w:t>专用条款</w:t>
      </w:r>
      <w:r>
        <w:rPr>
          <w:rFonts w:hint="eastAsia" w:asciiTheme="minorEastAsia" w:hAnsiTheme="minorEastAsia" w:eastAsiaTheme="minorEastAsia" w:cstheme="minorEastAsia"/>
          <w:kern w:val="0"/>
          <w:sz w:val="24"/>
          <w:lang w:bidi="ar"/>
        </w:rPr>
        <w:t>约定缴纳违约金。</w:t>
      </w:r>
    </w:p>
    <w:p w14:paraId="5D7B90FA">
      <w:pPr>
        <w:spacing w:before="0" w:after="0"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2）双方协议终止合同或任何一方解除合同的，分包人的施工人员、材料、设备必须在合同解除之日起 7 天内全部退出现场，分包人每延迟一天退场应按本合同</w:t>
      </w:r>
      <w:r>
        <w:rPr>
          <w:rFonts w:hint="eastAsia" w:asciiTheme="minorEastAsia" w:hAnsiTheme="minorEastAsia" w:eastAsiaTheme="minorEastAsia" w:cstheme="minorEastAsia"/>
          <w:kern w:val="0"/>
          <w:sz w:val="24"/>
          <w:u w:val="single"/>
          <w:lang w:bidi="ar"/>
        </w:rPr>
        <w:t>专用条款</w:t>
      </w:r>
      <w:r>
        <w:rPr>
          <w:rFonts w:hint="eastAsia" w:asciiTheme="minorEastAsia" w:hAnsiTheme="minorEastAsia" w:eastAsiaTheme="minorEastAsia" w:cstheme="minorEastAsia"/>
          <w:kern w:val="0"/>
          <w:sz w:val="24"/>
          <w:lang w:bidi="ar"/>
        </w:rPr>
        <w:t>约定缴纳违约金。</w:t>
      </w:r>
    </w:p>
    <w:p w14:paraId="6875AD8B">
      <w:pPr>
        <w:pStyle w:val="29"/>
        <w:widowControl w:val="0"/>
        <w:autoSpaceDE w:val="0"/>
        <w:autoSpaceDN w:val="0"/>
        <w:adjustRightInd w:val="0"/>
        <w:spacing w:before="0" w:beforeAutospacing="0" w:after="0" w:afterAutospacing="0" w:line="360" w:lineRule="auto"/>
        <w:ind w:firstLine="482" w:firstLineChars="200"/>
        <w:jc w:val="both"/>
        <w:rPr>
          <w:rFonts w:hint="eastAsia" w:asciiTheme="minorEastAsia" w:hAnsiTheme="minorEastAsia" w:eastAsiaTheme="minorEastAsia" w:cstheme="minorEastAsia"/>
          <w:b/>
        </w:rPr>
      </w:pPr>
      <w:bookmarkStart w:id="184" w:name="_Toc29178"/>
      <w:bookmarkEnd w:id="184"/>
      <w:r>
        <w:rPr>
          <w:rFonts w:hint="eastAsia" w:asciiTheme="minorEastAsia" w:hAnsiTheme="minorEastAsia" w:eastAsiaTheme="minorEastAsia" w:cstheme="minorEastAsia"/>
          <w:b/>
          <w:color w:val="000000"/>
          <w:lang w:eastAsia="zh" w:bidi="ar"/>
        </w:rPr>
        <w:t>8.</w:t>
      </w:r>
      <w:r>
        <w:rPr>
          <w:rFonts w:hint="eastAsia" w:asciiTheme="minorEastAsia" w:hAnsiTheme="minorEastAsia" w:eastAsiaTheme="minorEastAsia" w:cstheme="minorEastAsia"/>
          <w:b/>
          <w:color w:val="000000"/>
          <w:lang w:bidi="ar"/>
        </w:rPr>
        <w:t>3</w:t>
      </w:r>
      <w:r>
        <w:rPr>
          <w:rFonts w:hint="eastAsia" w:asciiTheme="minorEastAsia" w:hAnsiTheme="minorEastAsia" w:eastAsiaTheme="minorEastAsia" w:cstheme="minorEastAsia"/>
          <w:b/>
          <w:color w:val="000000"/>
          <w:lang w:eastAsia="zh" w:bidi="ar"/>
        </w:rPr>
        <w:t xml:space="preserve">.3 </w:t>
      </w:r>
      <w:r>
        <w:rPr>
          <w:rFonts w:hint="eastAsia" w:asciiTheme="minorEastAsia" w:hAnsiTheme="minorEastAsia" w:eastAsiaTheme="minorEastAsia" w:cstheme="minorEastAsia"/>
          <w:b/>
          <w:color w:val="000000"/>
          <w:lang w:bidi="ar"/>
        </w:rPr>
        <w:t>工程的维护和照管</w:t>
      </w:r>
    </w:p>
    <w:p w14:paraId="058FAED4">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1）场地移交前完工工程成品保护的特殊要求及费用承担，该条通用条款对应内容修订为：本</w:t>
      </w:r>
      <w:r>
        <w:rPr>
          <w:rFonts w:hint="eastAsia" w:asciiTheme="minorEastAsia" w:hAnsiTheme="minorEastAsia" w:eastAsiaTheme="minorEastAsia" w:cstheme="minorEastAsia"/>
          <w:color w:val="000000"/>
          <w:u w:val="single"/>
          <w:lang w:bidi="ar"/>
        </w:rPr>
        <w:t>工程验收合格及场地移交前，分包人负责本工程相关的照管和维护工作。保护期间发生损坏，分包人自费予以修复。</w:t>
      </w:r>
    </w:p>
    <w:p w14:paraId="74329BC2">
      <w:pPr>
        <w:pStyle w:val="29"/>
        <w:widowControl w:val="0"/>
        <w:autoSpaceDE w:val="0"/>
        <w:autoSpaceDN w:val="0"/>
        <w:adjustRightInd w:val="0"/>
        <w:spacing w:before="0" w:beforeAutospacing="0" w:after="0" w:afterAutospacing="0" w:line="360" w:lineRule="auto"/>
        <w:ind w:firstLine="482" w:firstLineChars="20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color w:val="000000"/>
          <w:lang w:eastAsia="zh" w:bidi="ar"/>
        </w:rPr>
        <w:t>8.</w:t>
      </w:r>
      <w:r>
        <w:rPr>
          <w:rFonts w:hint="eastAsia" w:asciiTheme="minorEastAsia" w:hAnsiTheme="minorEastAsia" w:eastAsiaTheme="minorEastAsia" w:cstheme="minorEastAsia"/>
          <w:b/>
          <w:color w:val="000000"/>
          <w:lang w:bidi="ar"/>
        </w:rPr>
        <w:t>3</w:t>
      </w:r>
      <w:r>
        <w:rPr>
          <w:rFonts w:hint="eastAsia" w:asciiTheme="minorEastAsia" w:hAnsiTheme="minorEastAsia" w:eastAsiaTheme="minorEastAsia" w:cstheme="minorEastAsia"/>
          <w:b/>
          <w:color w:val="000000"/>
          <w:lang w:eastAsia="zh" w:bidi="ar"/>
        </w:rPr>
        <w:t xml:space="preserve">.4 </w:t>
      </w:r>
      <w:r>
        <w:rPr>
          <w:rFonts w:hint="eastAsia" w:asciiTheme="minorEastAsia" w:hAnsiTheme="minorEastAsia" w:eastAsiaTheme="minorEastAsia" w:cstheme="minorEastAsia"/>
          <w:b/>
          <w:color w:val="000000"/>
          <w:lang w:bidi="ar"/>
        </w:rPr>
        <w:t>分包人的其它义务</w:t>
      </w:r>
    </w:p>
    <w:p w14:paraId="548E49C7">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eastAsia="zh" w:bidi="ar"/>
        </w:rPr>
        <w:t>1</w:t>
      </w:r>
      <w:r>
        <w:rPr>
          <w:rFonts w:hint="eastAsia" w:asciiTheme="minorEastAsia" w:hAnsiTheme="minorEastAsia" w:eastAsiaTheme="minorEastAsia" w:cstheme="minorEastAsia"/>
          <w:color w:val="000000"/>
          <w:lang w:bidi="ar"/>
        </w:rPr>
        <w:t>）分包人的其它义务补充约定如下：</w:t>
      </w:r>
    </w:p>
    <w:p w14:paraId="71B12B23">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①分包人应与承包人签订施工总承包管理配合协议、安全管理协议、质量管理协议等，承包人应向分包人提供必要的施工条件与配合，分包人应服从承包人现场管理要求；若需签署分包人、承包人、发包人三方协议的，分包人应当积极配合签署；分包人应当积极配合签署农民工工资支付相关协议的；因分包人原因前述协议签署不及时而导致发包人、承包人遭受损失的，分包人应承担相应经济、工期损失。</w:t>
      </w:r>
    </w:p>
    <w:p w14:paraId="34D0C15F">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②分包人应及时支付其采购的材料、设备等款项，如因分包人拖欠支付该等款项导致影响工程进度或影响本工程正常运行，或发生供货单位向承包人或发包人或有关单位投诉的情况，承包人有权代为垫付材料、设备款项，该等垫付款项从应付合同款中抵扣，分包人同时应承担由此造成的工期、费用等违约责任。</w:t>
      </w:r>
    </w:p>
    <w:p w14:paraId="47972377">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③由于分包人原因发生安全责任事故导致的一切责任及费用均由分包人承担。对该项赔偿责任，分包人不愿承担或不向相关方支付的，承包人有权直接从工程款中直接扣取并代为向相关方支付。</w:t>
      </w:r>
    </w:p>
    <w:p w14:paraId="0C3870CA">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④分包人应执行承包人与监理人相关管理规定和指令，包括但不限于安全管理、质量管理、进度管理、成本管理等全部要求，否则应按本专用合同条款约定承担违约责任。如在分包人施工范围内安全文明施工、场区管理、场区围护、场区安保，对外协调等的工作由承包人代分包人实施，相关费用从工程款中予以扣除。</w:t>
      </w:r>
    </w:p>
    <w:p w14:paraId="6C4B9FB7">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⑤当监理人或承包人提出分包人施工作业面需增加作业工人或机械、增加临时安全防护通道的要求时，分包人应当按指令要求积极配合实施。</w:t>
      </w:r>
    </w:p>
    <w:p w14:paraId="2C3B215F">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⑥分包人应配合承包人和发包人在节假日的施工计划与安排。</w:t>
      </w:r>
    </w:p>
    <w:p w14:paraId="737C16F2">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⑦分包人承诺，在任何情况下，不得从事任何违反多边金融机构诚信合规原则的行为，包括但不限于腐败、欺诈、胁迫或共谋等可制栽行为。</w:t>
      </w:r>
    </w:p>
    <w:p w14:paraId="7A892F28">
      <w:pPr>
        <w:numPr>
          <w:ilvl w:val="255"/>
          <w:numId w:val="0"/>
        </w:numPr>
        <w:tabs>
          <w:tab w:val="left" w:pos="1260"/>
        </w:tabs>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 w:bidi="ar"/>
        </w:rPr>
        <w:t xml:space="preserve"> </w:t>
      </w:r>
    </w:p>
    <w:p w14:paraId="7BE30B70">
      <w:pPr>
        <w:pStyle w:val="75"/>
        <w:numPr>
          <w:ilvl w:val="0"/>
          <w:numId w:val="0"/>
        </w:numPr>
        <w:tabs>
          <w:tab w:val="left" w:pos="720"/>
        </w:tabs>
        <w:spacing w:before="120" w:beforeLines="50" w:line="360" w:lineRule="auto"/>
        <w:rPr>
          <w:rFonts w:hint="eastAsia" w:asciiTheme="minorEastAsia" w:hAnsiTheme="minorEastAsia" w:eastAsiaTheme="minorEastAsia" w:cstheme="minorEastAsia"/>
          <w:sz w:val="24"/>
          <w:szCs w:val="24"/>
        </w:rPr>
      </w:pPr>
      <w:bookmarkStart w:id="185" w:name="_Toc602"/>
      <w:bookmarkStart w:id="186" w:name="_Toc13722"/>
      <w:bookmarkStart w:id="187" w:name="_Toc25881"/>
      <w:bookmarkStart w:id="188" w:name="_Toc29700"/>
      <w:bookmarkStart w:id="189" w:name="_Toc26779"/>
      <w:bookmarkStart w:id="190" w:name="_Toc18945"/>
      <w:bookmarkStart w:id="191" w:name="_Toc2334"/>
      <w:bookmarkStart w:id="192" w:name="_Toc22114"/>
      <w:bookmarkStart w:id="193" w:name="_Toc517273218"/>
      <w:bookmarkStart w:id="194" w:name="_Toc11995"/>
      <w:bookmarkStart w:id="195" w:name="_Toc20279"/>
      <w:bookmarkStart w:id="196" w:name="_Toc26869"/>
      <w:bookmarkStart w:id="197" w:name="_Toc2923"/>
      <w:bookmarkStart w:id="198" w:name="_Toc12367"/>
      <w:bookmarkStart w:id="199" w:name="_Toc19249"/>
      <w:bookmarkStart w:id="200" w:name="_Toc4205"/>
      <w:bookmarkStart w:id="201" w:name="_Toc200394217"/>
      <w:r>
        <w:rPr>
          <w:rFonts w:hint="eastAsia" w:asciiTheme="minorEastAsia" w:hAnsiTheme="minorEastAsia" w:eastAsiaTheme="minorEastAsia" w:cstheme="minorEastAsia"/>
          <w:sz w:val="24"/>
          <w:szCs w:val="24"/>
        </w:rPr>
        <w:t>三、工期</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1F2ACF81">
      <w:pPr>
        <w:pStyle w:val="4"/>
        <w:spacing w:before="0" w:after="0" w:line="360" w:lineRule="auto"/>
        <w:ind w:left="480"/>
        <w:outlineLvl w:val="3"/>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  工期计划</w:t>
      </w:r>
    </w:p>
    <w:p w14:paraId="6AD37212">
      <w:pPr>
        <w:numPr>
          <w:ilvl w:val="0"/>
          <w:numId w:val="1"/>
        </w:numPr>
        <w:tabs>
          <w:tab w:val="left" w:pos="720"/>
          <w:tab w:val="clear" w:pos="425"/>
        </w:tabs>
        <w:spacing w:line="360" w:lineRule="auto"/>
        <w:ind w:left="720" w:hanging="720"/>
        <w:jc w:val="left"/>
        <w:rPr>
          <w:rFonts w:hint="eastAsia" w:ascii="宋体" w:hAnsi="宋体"/>
          <w:kern w:val="0"/>
          <w:sz w:val="24"/>
        </w:rPr>
      </w:pPr>
      <w:r>
        <w:rPr>
          <w:rFonts w:hint="eastAsia" w:asciiTheme="minorEastAsia" w:hAnsiTheme="minorEastAsia" w:eastAsiaTheme="minorEastAsia" w:cstheme="minorEastAsia"/>
          <w:color w:val="000000"/>
          <w:lang w:bidi="ar"/>
        </w:rPr>
        <w:t>9.1</w:t>
      </w:r>
      <w:r>
        <w:rPr>
          <w:rFonts w:hint="eastAsia" w:ascii="宋体" w:hAnsi="宋体"/>
          <w:kern w:val="0"/>
          <w:sz w:val="24"/>
        </w:rPr>
        <w:t>分包方应按总工期和以下关键节点工期编制工程进度计划，确保工程关键节点在约定的完成时间之前完成。</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030"/>
      </w:tblGrid>
      <w:tr w14:paraId="1132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116EC7DC">
            <w:pPr>
              <w:rPr>
                <w:rFonts w:hint="default"/>
                <w:sz w:val="24"/>
                <w:szCs w:val="24"/>
                <w:vertAlign w:val="baseline"/>
                <w:lang w:val="en-US" w:eastAsia="zh-CN"/>
              </w:rPr>
            </w:pPr>
            <w:r>
              <w:rPr>
                <w:rFonts w:hint="eastAsia"/>
                <w:sz w:val="24"/>
                <w:szCs w:val="24"/>
                <w:vertAlign w:val="baseline"/>
                <w:lang w:val="en-US" w:eastAsia="zh-CN"/>
              </w:rPr>
              <w:t>关键节点</w:t>
            </w:r>
          </w:p>
        </w:tc>
        <w:tc>
          <w:tcPr>
            <w:tcW w:w="4030" w:type="dxa"/>
          </w:tcPr>
          <w:p w14:paraId="7DC3D3BF">
            <w:pPr>
              <w:rPr>
                <w:rFonts w:hint="default"/>
                <w:sz w:val="24"/>
                <w:szCs w:val="24"/>
                <w:vertAlign w:val="baseline"/>
                <w:lang w:val="en-US" w:eastAsia="zh-CN"/>
              </w:rPr>
            </w:pPr>
            <w:r>
              <w:rPr>
                <w:rFonts w:hint="eastAsia"/>
                <w:sz w:val="24"/>
                <w:szCs w:val="24"/>
                <w:vertAlign w:val="baseline"/>
                <w:lang w:val="en-US" w:eastAsia="zh-CN"/>
              </w:rPr>
              <w:t>完成时间</w:t>
            </w:r>
          </w:p>
        </w:tc>
      </w:tr>
      <w:tr w14:paraId="066E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14A71A46">
            <w:pPr>
              <w:rPr>
                <w:rFonts w:hint="default"/>
                <w:sz w:val="24"/>
                <w:szCs w:val="24"/>
                <w:highlight w:val="yellow"/>
                <w:vertAlign w:val="baseline"/>
                <w:lang w:val="en-US" w:eastAsia="zh-CN"/>
              </w:rPr>
            </w:pPr>
            <w:r>
              <w:rPr>
                <w:rFonts w:hint="eastAsia"/>
                <w:sz w:val="24"/>
                <w:szCs w:val="24"/>
                <w:highlight w:val="none"/>
                <w:vertAlign w:val="baseline"/>
                <w:lang w:val="en-US" w:eastAsia="zh-CN"/>
              </w:rPr>
              <w:t>施工图深化设计完成</w:t>
            </w:r>
          </w:p>
        </w:tc>
        <w:tc>
          <w:tcPr>
            <w:tcW w:w="4030" w:type="dxa"/>
          </w:tcPr>
          <w:p w14:paraId="678A6B80">
            <w:pPr>
              <w:rPr>
                <w:rFonts w:hint="default"/>
                <w:sz w:val="24"/>
                <w:szCs w:val="24"/>
                <w:vertAlign w:val="baseline"/>
                <w:lang w:val="en-US" w:eastAsia="zh-CN"/>
              </w:rPr>
            </w:pPr>
            <w:r>
              <w:rPr>
                <w:rFonts w:hint="default"/>
                <w:sz w:val="24"/>
                <w:szCs w:val="24"/>
                <w:vertAlign w:val="baseline"/>
                <w:lang w:val="en-US" w:eastAsia="zh-CN"/>
              </w:rPr>
              <w:t>自开工令发出后7天内提交装修深化图及针对施工版装修图的提疑文件，以与业主共同推进装修图纸设计交底及答疑工作；自开工令发出后20天内完成装修深化图纸确认。</w:t>
            </w:r>
          </w:p>
        </w:tc>
      </w:tr>
      <w:tr w14:paraId="613A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2C854C09">
            <w:pPr>
              <w:rPr>
                <w:rFonts w:hint="default"/>
                <w:sz w:val="24"/>
                <w:szCs w:val="24"/>
                <w:highlight w:val="yellow"/>
                <w:vertAlign w:val="baseline"/>
                <w:lang w:val="en-US" w:eastAsia="zh-CN"/>
              </w:rPr>
            </w:pPr>
            <w:r>
              <w:rPr>
                <w:rFonts w:hint="eastAsia"/>
                <w:sz w:val="24"/>
                <w:szCs w:val="24"/>
                <w:highlight w:val="none"/>
                <w:vertAlign w:val="baseline"/>
                <w:lang w:val="en-US" w:eastAsia="zh-CN"/>
              </w:rPr>
              <w:t>实体样板（或工艺样板）完成，需包含但不限于门厅，电梯厅，卫生间，公共走道楼梯，水电样板等5个样板段，具体要求以甲方后期确认为准。</w:t>
            </w:r>
          </w:p>
        </w:tc>
        <w:tc>
          <w:tcPr>
            <w:tcW w:w="4030" w:type="dxa"/>
          </w:tcPr>
          <w:p w14:paraId="4D4A609B">
            <w:pPr>
              <w:rPr>
                <w:rFonts w:hint="default"/>
                <w:sz w:val="24"/>
                <w:szCs w:val="24"/>
                <w:vertAlign w:val="baseline"/>
                <w:lang w:val="en-US" w:eastAsia="zh-CN"/>
              </w:rPr>
            </w:pPr>
            <w:r>
              <w:rPr>
                <w:rFonts w:hint="default"/>
                <w:sz w:val="24"/>
                <w:szCs w:val="24"/>
                <w:vertAlign w:val="baseline"/>
                <w:lang w:val="en-US" w:eastAsia="zh-CN"/>
              </w:rPr>
              <w:t>自开工令发出后30天内施工完成。</w:t>
            </w:r>
          </w:p>
        </w:tc>
      </w:tr>
      <w:tr w14:paraId="549C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64852056">
            <w:pPr>
              <w:rPr>
                <w:rFonts w:hint="default"/>
                <w:sz w:val="24"/>
                <w:szCs w:val="24"/>
                <w:highlight w:val="yellow"/>
                <w:vertAlign w:val="baseline"/>
                <w:lang w:val="en-US" w:eastAsia="zh-CN"/>
              </w:rPr>
            </w:pPr>
            <w:r>
              <w:rPr>
                <w:rFonts w:hint="eastAsia"/>
                <w:sz w:val="24"/>
                <w:szCs w:val="24"/>
                <w:highlight w:val="none"/>
                <w:vertAlign w:val="baseline"/>
                <w:lang w:val="en-US" w:eastAsia="zh-CN"/>
              </w:rPr>
              <w:t>水电施工完成</w:t>
            </w:r>
          </w:p>
        </w:tc>
        <w:tc>
          <w:tcPr>
            <w:tcW w:w="4030" w:type="dxa"/>
          </w:tcPr>
          <w:p w14:paraId="5A602E23">
            <w:pPr>
              <w:rPr>
                <w:rFonts w:hint="default"/>
                <w:sz w:val="24"/>
                <w:szCs w:val="24"/>
                <w:vertAlign w:val="baseline"/>
                <w:lang w:val="en-US" w:eastAsia="zh-CN"/>
              </w:rPr>
            </w:pPr>
            <w:r>
              <w:rPr>
                <w:rFonts w:hint="default"/>
                <w:sz w:val="24"/>
                <w:szCs w:val="24"/>
                <w:vertAlign w:val="baseline"/>
                <w:lang w:val="en-US" w:eastAsia="zh-CN"/>
              </w:rPr>
              <w:t>2025年9月10日</w:t>
            </w:r>
          </w:p>
        </w:tc>
      </w:tr>
      <w:tr w14:paraId="146E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0BFFE7C4">
            <w:pPr>
              <w:rPr>
                <w:rFonts w:hint="default"/>
                <w:sz w:val="24"/>
                <w:szCs w:val="24"/>
                <w:highlight w:val="yellow"/>
                <w:vertAlign w:val="baseline"/>
                <w:lang w:val="en-US" w:eastAsia="zh-CN"/>
              </w:rPr>
            </w:pPr>
            <w:r>
              <w:rPr>
                <w:rFonts w:hint="eastAsia"/>
                <w:sz w:val="24"/>
                <w:szCs w:val="24"/>
                <w:highlight w:val="none"/>
                <w:vertAlign w:val="baseline"/>
                <w:lang w:val="en-US" w:eastAsia="zh-CN"/>
              </w:rPr>
              <w:t>吊顶龙骨施工完成</w:t>
            </w:r>
          </w:p>
        </w:tc>
        <w:tc>
          <w:tcPr>
            <w:tcW w:w="4030" w:type="dxa"/>
          </w:tcPr>
          <w:p w14:paraId="7CF683D1">
            <w:pPr>
              <w:rPr>
                <w:rFonts w:hint="default"/>
                <w:sz w:val="24"/>
                <w:szCs w:val="24"/>
                <w:vertAlign w:val="baseline"/>
                <w:lang w:val="en-US" w:eastAsia="zh-CN"/>
              </w:rPr>
            </w:pPr>
            <w:r>
              <w:rPr>
                <w:rFonts w:hint="default"/>
                <w:sz w:val="24"/>
                <w:szCs w:val="24"/>
                <w:vertAlign w:val="baseline"/>
                <w:lang w:val="en-US" w:eastAsia="zh-CN"/>
              </w:rPr>
              <w:t>2025年9月30日</w:t>
            </w:r>
          </w:p>
        </w:tc>
      </w:tr>
      <w:tr w14:paraId="3A78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7CF09F7E">
            <w:pPr>
              <w:rPr>
                <w:rFonts w:hint="default"/>
                <w:sz w:val="24"/>
                <w:szCs w:val="24"/>
                <w:highlight w:val="yellow"/>
                <w:vertAlign w:val="baseline"/>
                <w:lang w:val="en-US" w:eastAsia="zh-CN"/>
              </w:rPr>
            </w:pPr>
            <w:r>
              <w:rPr>
                <w:rFonts w:hint="eastAsia"/>
                <w:sz w:val="24"/>
                <w:szCs w:val="24"/>
                <w:highlight w:val="none"/>
                <w:vertAlign w:val="baseline"/>
                <w:lang w:val="en-US" w:eastAsia="zh-CN"/>
              </w:rPr>
              <w:t>墙面，地面，吊顶施工完成</w:t>
            </w:r>
          </w:p>
        </w:tc>
        <w:tc>
          <w:tcPr>
            <w:tcW w:w="4030" w:type="dxa"/>
          </w:tcPr>
          <w:p w14:paraId="5F0CC096">
            <w:pPr>
              <w:rPr>
                <w:rFonts w:hint="default"/>
                <w:sz w:val="24"/>
                <w:szCs w:val="24"/>
                <w:vertAlign w:val="baseline"/>
                <w:lang w:val="en-US" w:eastAsia="zh-CN"/>
              </w:rPr>
            </w:pPr>
            <w:r>
              <w:rPr>
                <w:rFonts w:hint="default"/>
                <w:sz w:val="24"/>
                <w:szCs w:val="24"/>
                <w:vertAlign w:val="baseline"/>
                <w:lang w:val="en-US" w:eastAsia="zh-CN"/>
              </w:rPr>
              <w:t>2025年10月30日</w:t>
            </w:r>
          </w:p>
        </w:tc>
      </w:tr>
      <w:tr w14:paraId="0B79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2FEF5E31">
            <w:pPr>
              <w:rPr>
                <w:rFonts w:hint="default"/>
                <w:sz w:val="24"/>
                <w:szCs w:val="24"/>
                <w:highlight w:val="none"/>
                <w:vertAlign w:val="baseline"/>
                <w:lang w:val="en-US" w:eastAsia="zh-CN"/>
              </w:rPr>
            </w:pPr>
            <w:r>
              <w:rPr>
                <w:rFonts w:hint="eastAsia"/>
                <w:sz w:val="24"/>
                <w:szCs w:val="24"/>
                <w:highlight w:val="none"/>
                <w:vertAlign w:val="baseline"/>
                <w:lang w:val="en-US" w:eastAsia="zh-CN"/>
              </w:rPr>
              <w:t>部品安装完成</w:t>
            </w:r>
          </w:p>
        </w:tc>
        <w:tc>
          <w:tcPr>
            <w:tcW w:w="4030" w:type="dxa"/>
          </w:tcPr>
          <w:p w14:paraId="42EC4F2C">
            <w:pPr>
              <w:rPr>
                <w:rFonts w:hint="default"/>
                <w:sz w:val="24"/>
                <w:szCs w:val="24"/>
                <w:vertAlign w:val="baseline"/>
                <w:lang w:val="en-US" w:eastAsia="zh-CN"/>
              </w:rPr>
            </w:pPr>
            <w:r>
              <w:rPr>
                <w:rFonts w:hint="default"/>
                <w:sz w:val="24"/>
                <w:szCs w:val="24"/>
                <w:vertAlign w:val="baseline"/>
                <w:lang w:val="en-US" w:eastAsia="zh-CN"/>
              </w:rPr>
              <w:t>2025年11月20日</w:t>
            </w:r>
          </w:p>
        </w:tc>
      </w:tr>
      <w:tr w14:paraId="1E96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14:paraId="50FCDA2A">
            <w:pPr>
              <w:rPr>
                <w:rFonts w:hint="default"/>
                <w:sz w:val="24"/>
                <w:szCs w:val="24"/>
                <w:highlight w:val="none"/>
                <w:vertAlign w:val="baseline"/>
                <w:lang w:val="en-US" w:eastAsia="zh-CN"/>
              </w:rPr>
            </w:pPr>
            <w:r>
              <w:rPr>
                <w:rFonts w:hint="eastAsia"/>
                <w:sz w:val="24"/>
                <w:szCs w:val="24"/>
                <w:highlight w:val="none"/>
                <w:vertAlign w:val="baseline"/>
                <w:lang w:val="en-US" w:eastAsia="zh-CN"/>
              </w:rPr>
              <w:t>验收整改，保洁完成</w:t>
            </w:r>
          </w:p>
        </w:tc>
        <w:tc>
          <w:tcPr>
            <w:tcW w:w="4030" w:type="dxa"/>
          </w:tcPr>
          <w:p w14:paraId="0849A155">
            <w:pPr>
              <w:rPr>
                <w:rFonts w:hint="default"/>
                <w:sz w:val="24"/>
                <w:szCs w:val="24"/>
                <w:vertAlign w:val="baseline"/>
                <w:lang w:val="en-US" w:eastAsia="zh-CN"/>
              </w:rPr>
            </w:pPr>
            <w:r>
              <w:rPr>
                <w:rFonts w:hint="default"/>
                <w:sz w:val="24"/>
                <w:szCs w:val="24"/>
                <w:vertAlign w:val="baseline"/>
                <w:lang w:val="en-US" w:eastAsia="zh-CN"/>
              </w:rPr>
              <w:t>2025年12月1日</w:t>
            </w:r>
          </w:p>
        </w:tc>
      </w:tr>
    </w:tbl>
    <w:p w14:paraId="40FE541C">
      <w:pPr>
        <w:pStyle w:val="8"/>
        <w:ind w:firstLine="960" w:firstLineChars="400"/>
        <w:rPr>
          <w:rFonts w:hint="eastAsia"/>
          <w:sz w:val="24"/>
          <w:szCs w:val="24"/>
        </w:rPr>
      </w:pPr>
      <w:r>
        <w:rPr>
          <w:rFonts w:hint="eastAsia"/>
          <w:sz w:val="24"/>
          <w:szCs w:val="24"/>
        </w:rPr>
        <w:t>样板的确认形式：</w:t>
      </w:r>
    </w:p>
    <w:p w14:paraId="0704832F">
      <w:pPr>
        <w:pStyle w:val="8"/>
        <w:ind w:firstLine="720" w:firstLineChars="300"/>
        <w:rPr>
          <w:rFonts w:hint="eastAsia"/>
          <w:sz w:val="24"/>
          <w:szCs w:val="24"/>
          <w:highlight w:val="none"/>
        </w:rPr>
      </w:pPr>
      <w:r>
        <w:rPr>
          <w:rFonts w:hint="eastAsia"/>
          <w:sz w:val="24"/>
          <w:szCs w:val="24"/>
          <w:highlight w:val="none"/>
        </w:rPr>
        <w:t>（1）材料小样包括但不限于清水砼墙面饰面板，穿孔铝板，铝单板，水磨石地面，铝合金垂片吊顶，铝合金格栅，金属网，灯具，洁具，卫生间台面，开关插座面板，卫浴五金，小五金，胶合板，石膏板，不锈钢等，送样工作须与施工图深化设计工作同步分两轮进行，并于</w:t>
      </w:r>
      <w:r>
        <w:rPr>
          <w:rFonts w:ascii="宋体" w:hAnsi="宋体" w:cs="宋体"/>
          <w:sz w:val="24"/>
          <w:szCs w:val="24"/>
          <w:highlight w:val="none"/>
        </w:rPr>
        <w:t>2025</w:t>
      </w:r>
      <w:r>
        <w:rPr>
          <w:rFonts w:hint="eastAsia" w:ascii="宋体" w:hAnsi="宋体" w:cs="宋体"/>
          <w:sz w:val="24"/>
          <w:szCs w:val="24"/>
          <w:highlight w:val="none"/>
        </w:rPr>
        <w:t>年</w:t>
      </w:r>
      <w:r>
        <w:rPr>
          <w:rFonts w:hint="eastAsia"/>
          <w:sz w:val="24"/>
          <w:szCs w:val="24"/>
          <w:highlight w:val="none"/>
          <w:lang w:val="en-US" w:eastAsia="zh-CN"/>
        </w:rPr>
        <w:t>8</w:t>
      </w:r>
      <w:r>
        <w:rPr>
          <w:rFonts w:hint="eastAsia"/>
          <w:sz w:val="24"/>
          <w:szCs w:val="24"/>
          <w:highlight w:val="none"/>
        </w:rPr>
        <w:t>月20</w:t>
      </w:r>
      <w:r>
        <w:rPr>
          <w:rFonts w:hint="eastAsia" w:ascii="宋体" w:hAnsi="宋体" w:cs="宋体"/>
          <w:sz w:val="24"/>
          <w:szCs w:val="24"/>
          <w:highlight w:val="none"/>
        </w:rPr>
        <w:t>日前经发包人</w:t>
      </w:r>
      <w:r>
        <w:rPr>
          <w:rFonts w:hint="eastAsia"/>
          <w:sz w:val="24"/>
          <w:szCs w:val="24"/>
          <w:highlight w:val="none"/>
        </w:rPr>
        <w:t>确认通过</w:t>
      </w:r>
      <w:r>
        <w:rPr>
          <w:rFonts w:hint="eastAsia"/>
          <w:sz w:val="24"/>
          <w:szCs w:val="24"/>
          <w:highlight w:val="none"/>
          <w:lang w:eastAsia="zh-CN"/>
        </w:rPr>
        <w:t>（</w:t>
      </w:r>
      <w:r>
        <w:rPr>
          <w:rFonts w:hint="eastAsia"/>
          <w:sz w:val="24"/>
          <w:szCs w:val="24"/>
          <w:highlight w:val="none"/>
          <w:lang w:val="en-US" w:eastAsia="zh-CN"/>
        </w:rPr>
        <w:t>具体时间按开工令时间确定材料小样时间</w:t>
      </w:r>
      <w:r>
        <w:rPr>
          <w:rFonts w:hint="eastAsia"/>
          <w:sz w:val="24"/>
          <w:szCs w:val="24"/>
          <w:highlight w:val="none"/>
          <w:lang w:eastAsia="zh-CN"/>
        </w:rPr>
        <w:t>）</w:t>
      </w:r>
      <w:r>
        <w:rPr>
          <w:rFonts w:hint="eastAsia"/>
          <w:sz w:val="24"/>
          <w:szCs w:val="24"/>
          <w:highlight w:val="none"/>
        </w:rPr>
        <w:t>。</w:t>
      </w:r>
    </w:p>
    <w:p w14:paraId="26B52A2E">
      <w:pPr>
        <w:pStyle w:val="8"/>
        <w:spacing w:line="360" w:lineRule="auto"/>
        <w:ind w:firstLine="720" w:firstLineChars="300"/>
        <w:rPr>
          <w:rFonts w:hint="eastAsia" w:asciiTheme="minorEastAsia" w:hAnsiTheme="minorEastAsia" w:eastAsiaTheme="minorEastAsia" w:cstheme="minorEastAsia"/>
          <w:color w:val="000000"/>
          <w:highlight w:val="none"/>
          <w:lang w:bidi="ar"/>
        </w:rPr>
      </w:pPr>
      <w:r>
        <w:rPr>
          <w:rFonts w:hint="eastAsia"/>
          <w:sz w:val="24"/>
          <w:szCs w:val="24"/>
          <w:highlight w:val="none"/>
        </w:rPr>
        <w:t>（2）实体样板（或工艺样板）区域须在施工图深化设计阶段确定，实体样板段要求体现本项目所有的工艺做法，材料品质，细部构造等，实体样板段未经</w:t>
      </w:r>
      <w:r>
        <w:rPr>
          <w:rFonts w:hint="eastAsia" w:ascii="宋体" w:hAnsi="宋体" w:cs="宋体"/>
          <w:sz w:val="24"/>
          <w:szCs w:val="24"/>
          <w:highlight w:val="none"/>
        </w:rPr>
        <w:t>发包人</w:t>
      </w:r>
      <w:r>
        <w:rPr>
          <w:rFonts w:hint="eastAsia"/>
          <w:sz w:val="24"/>
          <w:szCs w:val="24"/>
          <w:highlight w:val="none"/>
        </w:rPr>
        <w:t>验收确认前严禁进行大面施工</w:t>
      </w:r>
      <w:r>
        <w:rPr>
          <w:rFonts w:hint="eastAsia" w:asciiTheme="minorEastAsia" w:hAnsiTheme="minorEastAsia" w:eastAsiaTheme="minorEastAsia" w:cstheme="minorEastAsia"/>
          <w:color w:val="000000"/>
          <w:highlight w:val="none"/>
          <w:lang w:bidi="ar"/>
        </w:rPr>
        <w:t>。</w:t>
      </w:r>
    </w:p>
    <w:p w14:paraId="12DC4490">
      <w:pPr>
        <w:pStyle w:val="29"/>
        <w:widowControl w:val="0"/>
        <w:autoSpaceDE w:val="0"/>
        <w:autoSpaceDN w:val="0"/>
        <w:adjustRightInd w:val="0"/>
        <w:spacing w:before="0" w:beforeAutospacing="0" w:after="0" w:afterAutospacing="0" w:line="360" w:lineRule="auto"/>
        <w:ind w:left="720" w:firstLine="480" w:firstLineChars="200"/>
        <w:jc w:val="both"/>
        <w:outlineLvl w:val="3"/>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highlight w:val="none"/>
          <w:lang w:bidi="ar"/>
        </w:rPr>
        <w:t>9.2各方</w:t>
      </w:r>
      <w:r>
        <w:rPr>
          <w:rFonts w:hint="eastAsia" w:ascii="宋体" w:hAnsi="宋体"/>
          <w:kern w:val="0"/>
          <w:sz w:val="24"/>
          <w:highlight w:val="none"/>
        </w:rPr>
        <w:t>约定的承包范围内精装修工程于</w:t>
      </w:r>
      <w:r>
        <w:rPr>
          <w:rFonts w:hint="eastAsia" w:ascii="宋体" w:hAnsi="宋体"/>
          <w:szCs w:val="21"/>
          <w:highlight w:val="none"/>
        </w:rPr>
        <w:t>2025年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1</w:t>
      </w:r>
      <w:r>
        <w:rPr>
          <w:rFonts w:hint="eastAsia" w:ascii="宋体" w:hAnsi="宋体"/>
          <w:szCs w:val="21"/>
          <w:highlight w:val="none"/>
        </w:rPr>
        <w:t>日</w:t>
      </w:r>
      <w:r>
        <w:rPr>
          <w:rFonts w:hint="eastAsia" w:ascii="宋体" w:hAnsi="宋体"/>
          <w:kern w:val="0"/>
          <w:sz w:val="24"/>
          <w:highlight w:val="none"/>
        </w:rPr>
        <w:t xml:space="preserve"> 之前全部竣工、取得政府相关书面许可或证书并移交发包方</w:t>
      </w:r>
      <w:r>
        <w:rPr>
          <w:rFonts w:hint="eastAsia" w:asciiTheme="minorEastAsia" w:hAnsiTheme="minorEastAsia" w:eastAsiaTheme="minorEastAsia" w:cstheme="minorEastAsia"/>
          <w:color w:val="000000"/>
          <w:lang w:bidi="ar"/>
        </w:rPr>
        <w:t>。</w:t>
      </w:r>
    </w:p>
    <w:p w14:paraId="273EF5A5">
      <w:pPr>
        <w:pStyle w:val="29"/>
        <w:widowControl w:val="0"/>
        <w:autoSpaceDE w:val="0"/>
        <w:autoSpaceDN w:val="0"/>
        <w:adjustRightInd w:val="0"/>
        <w:spacing w:before="0" w:beforeAutospacing="0" w:after="0" w:afterAutospacing="0" w:line="360" w:lineRule="auto"/>
        <w:ind w:left="720" w:firstLine="480" w:firstLineChars="200"/>
        <w:jc w:val="both"/>
        <w:outlineLvl w:val="3"/>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bidi="ar"/>
        </w:rPr>
        <w:t>9.3因发包人原因而导致的延误，则关键节点工期和总工期相应顺延。</w:t>
      </w:r>
    </w:p>
    <w:p w14:paraId="356290A9">
      <w:pPr>
        <w:pStyle w:val="29"/>
        <w:widowControl w:val="0"/>
        <w:autoSpaceDE w:val="0"/>
        <w:autoSpaceDN w:val="0"/>
        <w:adjustRightInd w:val="0"/>
        <w:spacing w:before="0" w:beforeAutospacing="0" w:after="0" w:afterAutospacing="0" w:line="360" w:lineRule="auto"/>
        <w:ind w:left="720" w:firstLine="480" w:firstLineChars="200"/>
        <w:jc w:val="both"/>
        <w:outlineLvl w:val="3"/>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bidi="ar"/>
        </w:rPr>
        <w:t>9.4发包人可根据项目的总体需要，调整关键节点工期。</w:t>
      </w:r>
    </w:p>
    <w:p w14:paraId="2FB4F7F8">
      <w:pPr>
        <w:pStyle w:val="75"/>
        <w:numPr>
          <w:ilvl w:val="0"/>
          <w:numId w:val="0"/>
        </w:numPr>
        <w:tabs>
          <w:tab w:val="left" w:pos="720"/>
        </w:tabs>
        <w:spacing w:before="120" w:beforeLines="50" w:line="360" w:lineRule="auto"/>
        <w:ind w:left="0" w:firstLine="0"/>
        <w:rPr>
          <w:rFonts w:hint="eastAsia" w:asciiTheme="minorEastAsia" w:hAnsiTheme="minorEastAsia" w:eastAsiaTheme="minorEastAsia" w:cstheme="minorEastAsia"/>
          <w:sz w:val="24"/>
          <w:szCs w:val="24"/>
        </w:rPr>
      </w:pPr>
      <w:bookmarkStart w:id="202" w:name="_Toc14132"/>
      <w:bookmarkStart w:id="203" w:name="_Toc517273219"/>
      <w:bookmarkStart w:id="204" w:name="_Toc20706"/>
      <w:bookmarkStart w:id="205" w:name="_Toc22069"/>
      <w:bookmarkStart w:id="206" w:name="_Toc25238"/>
      <w:bookmarkStart w:id="207" w:name="_Toc28483"/>
      <w:bookmarkStart w:id="208" w:name="_Toc21590"/>
      <w:bookmarkStart w:id="209" w:name="_Toc1318"/>
      <w:bookmarkStart w:id="210" w:name="_Toc200394218"/>
      <w:bookmarkStart w:id="211" w:name="_Toc29451"/>
      <w:bookmarkStart w:id="212" w:name="_Toc28002"/>
      <w:bookmarkStart w:id="213" w:name="_Toc5703"/>
      <w:bookmarkStart w:id="214" w:name="_Toc7923"/>
      <w:bookmarkStart w:id="215" w:name="_Toc2139"/>
      <w:bookmarkStart w:id="216" w:name="_Toc26868"/>
      <w:bookmarkStart w:id="217" w:name="_Toc17251"/>
      <w:bookmarkStart w:id="218" w:name="_Toc32510"/>
      <w:r>
        <w:rPr>
          <w:rFonts w:hint="eastAsia" w:asciiTheme="minorEastAsia" w:hAnsiTheme="minorEastAsia" w:eastAsiaTheme="minorEastAsia" w:cstheme="minorEastAsia"/>
          <w:sz w:val="24"/>
          <w:szCs w:val="24"/>
        </w:rPr>
        <w:t>四、安全文明施工与场地管理</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1547571">
      <w:pPr>
        <w:pStyle w:val="29"/>
        <w:widowControl w:val="0"/>
        <w:autoSpaceDE w:val="0"/>
        <w:autoSpaceDN w:val="0"/>
        <w:adjustRightInd w:val="0"/>
        <w:spacing w:before="0" w:beforeLines="50" w:beforeAutospacing="0" w:after="0" w:afterAutospacing="0" w:line="360" w:lineRule="auto"/>
        <w:ind w:firstLine="480" w:firstLineChars="200"/>
        <w:jc w:val="both"/>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b w:val="0"/>
          <w:color w:val="000000"/>
          <w:lang w:bidi="ar"/>
        </w:rPr>
        <w:t>按通用条款执行</w:t>
      </w:r>
    </w:p>
    <w:p w14:paraId="402A45EB">
      <w:pPr>
        <w:pStyle w:val="75"/>
        <w:numPr>
          <w:ilvl w:val="0"/>
          <w:numId w:val="0"/>
        </w:numPr>
        <w:tabs>
          <w:tab w:val="left" w:pos="720"/>
        </w:tabs>
        <w:spacing w:before="120" w:beforeLines="50" w:line="360" w:lineRule="auto"/>
        <w:ind w:left="0" w:firstLine="0"/>
        <w:rPr>
          <w:rFonts w:hint="eastAsia" w:asciiTheme="minorEastAsia" w:hAnsiTheme="minorEastAsia" w:eastAsiaTheme="minorEastAsia" w:cstheme="minorEastAsia"/>
          <w:sz w:val="24"/>
          <w:szCs w:val="24"/>
        </w:rPr>
      </w:pPr>
      <w:bookmarkStart w:id="219" w:name="_Toc14518"/>
      <w:bookmarkStart w:id="220" w:name="_Toc200394219"/>
      <w:r>
        <w:rPr>
          <w:rFonts w:hint="eastAsia" w:asciiTheme="minorEastAsia" w:hAnsiTheme="minorEastAsia" w:eastAsiaTheme="minorEastAsia" w:cstheme="minorEastAsia"/>
          <w:sz w:val="24"/>
          <w:szCs w:val="24"/>
        </w:rPr>
        <w:t>五、工程质量与验收</w:t>
      </w:r>
      <w:bookmarkEnd w:id="219"/>
      <w:bookmarkEnd w:id="220"/>
    </w:p>
    <w:p w14:paraId="30C9285B">
      <w:pPr>
        <w:pStyle w:val="4"/>
        <w:spacing w:before="0" w:beforeLines="50" w:after="0" w:line="360" w:lineRule="auto"/>
        <w:rPr>
          <w:rFonts w:hint="eastAsia" w:asciiTheme="minorEastAsia" w:hAnsiTheme="minorEastAsia" w:eastAsiaTheme="minorEastAsia" w:cstheme="minorEastAsia"/>
          <w:sz w:val="24"/>
        </w:rPr>
      </w:pPr>
      <w:bookmarkStart w:id="221" w:name="_Toc517273220"/>
      <w:bookmarkStart w:id="222" w:name="_Toc19772"/>
      <w:bookmarkStart w:id="223" w:name="_Toc12341"/>
      <w:bookmarkStart w:id="224" w:name="_Toc2713"/>
      <w:bookmarkStart w:id="225" w:name="_Toc25820"/>
      <w:r>
        <w:rPr>
          <w:rFonts w:hint="eastAsia" w:asciiTheme="minorEastAsia" w:hAnsiTheme="minorEastAsia" w:eastAsiaTheme="minorEastAsia" w:cstheme="minorEastAsia"/>
          <w:kern w:val="0"/>
          <w:sz w:val="24"/>
          <w:szCs w:val="24"/>
        </w:rPr>
        <w:t>10  工程质量</w:t>
      </w:r>
      <w:bookmarkEnd w:id="221"/>
      <w:r>
        <w:rPr>
          <w:rFonts w:hint="eastAsia" w:asciiTheme="minorEastAsia" w:hAnsiTheme="minorEastAsia" w:eastAsiaTheme="minorEastAsia" w:cstheme="minorEastAsia"/>
          <w:kern w:val="0"/>
          <w:sz w:val="24"/>
          <w:szCs w:val="24"/>
        </w:rPr>
        <w:t>：</w:t>
      </w:r>
      <w:bookmarkEnd w:id="222"/>
      <w:bookmarkEnd w:id="223"/>
      <w:bookmarkEnd w:id="224"/>
      <w:bookmarkEnd w:id="225"/>
    </w:p>
    <w:p w14:paraId="301DF8B0">
      <w:pPr>
        <w:pStyle w:val="29"/>
        <w:widowControl w:val="0"/>
        <w:autoSpaceDE w:val="0"/>
        <w:autoSpaceDN w:val="0"/>
        <w:adjustRightInd w:val="0"/>
        <w:spacing w:before="0" w:beforeAutospacing="0" w:after="0" w:afterAutospacing="0" w:line="360" w:lineRule="auto"/>
        <w:ind w:left="-720" w:firstLine="480" w:firstLineChars="200"/>
        <w:jc w:val="both"/>
        <w:outlineLvl w:val="3"/>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eastAsia="zh" w:bidi="ar"/>
        </w:rPr>
        <w:t xml:space="preserve">10.1 </w:t>
      </w:r>
      <w:r>
        <w:rPr>
          <w:rFonts w:hint="eastAsia" w:asciiTheme="minorEastAsia" w:hAnsiTheme="minorEastAsia" w:eastAsiaTheme="minorEastAsia" w:cstheme="minorEastAsia"/>
          <w:color w:val="000000"/>
          <w:lang w:bidi="ar"/>
        </w:rPr>
        <w:t>本工程要求的质量等级为：合格工程。</w:t>
      </w:r>
    </w:p>
    <w:p w14:paraId="08DA324F">
      <w:pPr>
        <w:pStyle w:val="29"/>
        <w:widowControl w:val="0"/>
        <w:autoSpaceDE w:val="0"/>
        <w:autoSpaceDN w:val="0"/>
        <w:adjustRightInd w:val="0"/>
        <w:spacing w:before="0" w:beforeAutospacing="0" w:after="0" w:afterAutospacing="0" w:line="360" w:lineRule="auto"/>
        <w:ind w:left="709" w:firstLine="480" w:firstLineChars="200"/>
        <w:jc w:val="both"/>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bidi="ar"/>
        </w:rPr>
        <w:t>本工程按合格工程进行施工管理，必须一次验收合格。工程质量验收标准按国家颁发的有关质量检验标准、建设主管部门批出的文件及图纸要求为验收标准执行。施工期间工程质量不符合设计要求，或达不到约定工程质量等级的，发包人可要求分包人停工和返工，返工费用由分包人单位承担，工期不予顺延。</w:t>
      </w:r>
    </w:p>
    <w:p w14:paraId="35C8C748">
      <w:pPr>
        <w:pStyle w:val="29"/>
        <w:widowControl w:val="0"/>
        <w:autoSpaceDE w:val="0"/>
        <w:autoSpaceDN w:val="0"/>
        <w:adjustRightInd w:val="0"/>
        <w:spacing w:before="0" w:beforeAutospacing="0" w:after="0" w:afterAutospacing="0" w:line="360" w:lineRule="auto"/>
        <w:ind w:left="709" w:firstLine="480" w:firstLineChars="200"/>
        <w:jc w:val="both"/>
        <w:rPr>
          <w:rFonts w:hint="eastAsia" w:asciiTheme="minorEastAsia" w:hAnsiTheme="minorEastAsia" w:eastAsiaTheme="minorEastAsia" w:cstheme="minorEastAsia"/>
          <w:color w:val="000000"/>
          <w:sz w:val="24"/>
          <w:lang w:bidi="ar"/>
        </w:rPr>
      </w:pPr>
      <w:r>
        <w:rPr>
          <w:rFonts w:hint="eastAsia" w:asciiTheme="minorEastAsia" w:hAnsiTheme="minorEastAsia" w:eastAsiaTheme="minorEastAsia" w:cstheme="minorEastAsia"/>
          <w:color w:val="000000"/>
          <w:lang w:bidi="ar"/>
        </w:rPr>
        <w:t>本工程的保修期为两年（按建设部80号令）。保修期自验收通过之日起计，在保修期内因施工质量而造成返修，其费用由分包人单位负责。分包人应在接到发包人或发包人物业管理公司通知后3天内完成维修。</w:t>
      </w:r>
    </w:p>
    <w:p w14:paraId="7291F30A">
      <w:pPr>
        <w:pStyle w:val="29"/>
        <w:widowControl w:val="0"/>
        <w:autoSpaceDE w:val="0"/>
        <w:autoSpaceDN w:val="0"/>
        <w:adjustRightInd w:val="0"/>
        <w:spacing w:before="0" w:beforeAutospacing="0" w:after="0" w:afterAutospacing="0" w:line="360" w:lineRule="auto"/>
        <w:ind w:left="709" w:firstLine="480" w:firstLineChars="200"/>
        <w:jc w:val="both"/>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分包人负责按照合同内</w:t>
      </w:r>
      <w:r>
        <w:rPr>
          <w:rFonts w:hint="eastAsia" w:asciiTheme="minorEastAsia" w:hAnsiTheme="minorEastAsia" w:eastAsiaTheme="minorEastAsia" w:cstheme="minorEastAsia"/>
          <w:color w:val="000000"/>
          <w:highlight w:val="none"/>
          <w:lang w:bidi="ar"/>
        </w:rPr>
        <w:t>参考</w:t>
      </w:r>
      <w:r>
        <w:rPr>
          <w:rFonts w:hint="eastAsia" w:asciiTheme="minorEastAsia" w:hAnsiTheme="minorEastAsia" w:eastAsiaTheme="minorEastAsia" w:cstheme="minorEastAsia"/>
          <w:color w:val="000000"/>
          <w:kern w:val="0"/>
          <w:sz w:val="24"/>
          <w:highlight w:val="none"/>
          <w:lang w:bidi="ar"/>
        </w:rPr>
        <w:t>材料品牌及材料规格参数选定施工材料，分包人知悉并确认，本工程最终施工效果需与效果图完全一致应与工程设计方案效果图完全一致。发包人及承包人有权以</w:t>
      </w:r>
      <w:r>
        <w:rPr>
          <w:rFonts w:hint="eastAsia" w:asciiTheme="minorEastAsia" w:hAnsiTheme="minorEastAsia" w:eastAsiaTheme="minorEastAsia" w:cstheme="minorEastAsia"/>
          <w:color w:val="000000"/>
          <w:kern w:val="0"/>
          <w:sz w:val="24"/>
          <w:highlight w:val="none"/>
          <w:lang w:val="en-US" w:eastAsia="zh-CN" w:bidi="ar"/>
        </w:rPr>
        <w:t>装修</w:t>
      </w:r>
      <w:r>
        <w:rPr>
          <w:rFonts w:hint="eastAsia" w:asciiTheme="minorEastAsia" w:hAnsiTheme="minorEastAsia" w:eastAsiaTheme="minorEastAsia" w:cstheme="minorEastAsia"/>
          <w:color w:val="000000"/>
          <w:kern w:val="0"/>
          <w:sz w:val="24"/>
          <w:highlight w:val="none"/>
          <w:lang w:bidi="ar"/>
        </w:rPr>
        <w:t>效果与效果图不一致为由要求分包人进行整改及/或对该部分已完工程拆除重组，分包人应予以配合，该等费用已包含在合同暂定总价中，发包人不再另行支付且工期不予顺延。</w:t>
      </w:r>
    </w:p>
    <w:p w14:paraId="6425B753">
      <w:pPr>
        <w:pStyle w:val="75"/>
        <w:numPr>
          <w:ilvl w:val="0"/>
          <w:numId w:val="0"/>
        </w:numPr>
        <w:tabs>
          <w:tab w:val="left" w:pos="720"/>
        </w:tabs>
        <w:spacing w:before="120" w:beforeLines="50" w:line="360" w:lineRule="auto"/>
        <w:rPr>
          <w:rFonts w:hint="eastAsia" w:asciiTheme="minorEastAsia" w:hAnsiTheme="minorEastAsia" w:eastAsiaTheme="minorEastAsia" w:cstheme="minorEastAsia"/>
          <w:sz w:val="24"/>
          <w:szCs w:val="24"/>
        </w:rPr>
      </w:pPr>
      <w:bookmarkStart w:id="226" w:name="_Toc9278"/>
      <w:bookmarkStart w:id="227" w:name="_Toc24069"/>
      <w:bookmarkStart w:id="228" w:name="_Toc200394220"/>
      <w:bookmarkStart w:id="229" w:name="_Toc18397"/>
      <w:bookmarkStart w:id="230" w:name="_Toc4750"/>
      <w:bookmarkStart w:id="231" w:name="_Toc8885"/>
      <w:bookmarkStart w:id="232" w:name="_Toc30592"/>
      <w:bookmarkStart w:id="233" w:name="_Toc30406"/>
      <w:bookmarkStart w:id="234" w:name="_Toc2927"/>
      <w:bookmarkStart w:id="235" w:name="_Toc517273221"/>
      <w:bookmarkStart w:id="236" w:name="_Toc3255"/>
      <w:bookmarkStart w:id="237" w:name="_Toc27451"/>
      <w:bookmarkStart w:id="238" w:name="_Toc27103"/>
      <w:bookmarkStart w:id="239" w:name="_Toc19212"/>
      <w:bookmarkStart w:id="240" w:name="_Toc16384"/>
      <w:bookmarkStart w:id="241" w:name="_Toc19158"/>
      <w:bookmarkStart w:id="242" w:name="_Toc4545"/>
      <w:r>
        <w:rPr>
          <w:rFonts w:hint="eastAsia" w:asciiTheme="minorEastAsia" w:hAnsiTheme="minorEastAsia" w:eastAsiaTheme="minorEastAsia" w:cstheme="minorEastAsia"/>
          <w:sz w:val="24"/>
          <w:szCs w:val="24"/>
        </w:rPr>
        <w:t>六、合同价款与支付</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5F6CC30">
      <w:pPr>
        <w:pStyle w:val="4"/>
        <w:spacing w:before="0" w:beforeLines="50" w:after="0" w:line="360" w:lineRule="auto"/>
        <w:rPr>
          <w:rFonts w:hint="eastAsia" w:asciiTheme="minorEastAsia" w:hAnsiTheme="minorEastAsia" w:eastAsiaTheme="minorEastAsia" w:cstheme="minorEastAsia"/>
          <w:sz w:val="24"/>
        </w:rPr>
      </w:pPr>
      <w:bookmarkStart w:id="243" w:name="_Toc517273222"/>
      <w:bookmarkStart w:id="244" w:name="_Toc21663"/>
      <w:bookmarkStart w:id="245" w:name="_Toc5550"/>
      <w:bookmarkStart w:id="246" w:name="_Toc19666"/>
      <w:bookmarkStart w:id="247" w:name="_Toc18334"/>
      <w:r>
        <w:rPr>
          <w:rFonts w:hint="eastAsia" w:asciiTheme="minorEastAsia" w:hAnsiTheme="minorEastAsia" w:eastAsiaTheme="minorEastAsia" w:cstheme="minorEastAsia"/>
          <w:kern w:val="0"/>
          <w:sz w:val="24"/>
          <w:szCs w:val="24"/>
        </w:rPr>
        <w:t>11  合同价款与调整</w:t>
      </w:r>
      <w:bookmarkEnd w:id="243"/>
      <w:r>
        <w:rPr>
          <w:rFonts w:hint="eastAsia" w:asciiTheme="minorEastAsia" w:hAnsiTheme="minorEastAsia" w:eastAsiaTheme="minorEastAsia" w:cstheme="minorEastAsia"/>
          <w:kern w:val="0"/>
          <w:sz w:val="24"/>
          <w:szCs w:val="24"/>
        </w:rPr>
        <w:t>：</w:t>
      </w:r>
      <w:bookmarkEnd w:id="244"/>
      <w:bookmarkEnd w:id="245"/>
      <w:bookmarkEnd w:id="246"/>
      <w:bookmarkEnd w:id="247"/>
    </w:p>
    <w:p w14:paraId="38040988">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sz w:val="24"/>
          <w:lang w:bidi="ar"/>
        </w:rPr>
      </w:pPr>
      <w:r>
        <w:rPr>
          <w:rFonts w:hint="eastAsia" w:asciiTheme="minorEastAsia" w:hAnsiTheme="minorEastAsia" w:eastAsiaTheme="minorEastAsia" w:cstheme="minorEastAsia"/>
          <w:color w:val="000000"/>
          <w:lang w:eastAsia="zh" w:bidi="ar"/>
        </w:rPr>
        <w:t>11.1</w:t>
      </w:r>
      <w:r>
        <w:rPr>
          <w:rFonts w:hint="eastAsia" w:asciiTheme="minorEastAsia" w:hAnsiTheme="minorEastAsia" w:eastAsiaTheme="minorEastAsia" w:cstheme="minorEastAsia"/>
          <w:color w:val="000000"/>
          <w:lang w:bidi="ar"/>
        </w:rPr>
        <w:t>本合同工程量清单中的综合单价</w:t>
      </w:r>
      <w:r>
        <w:rPr>
          <w:rFonts w:hint="eastAsia" w:asciiTheme="minorEastAsia" w:hAnsiTheme="minorEastAsia" w:eastAsiaTheme="minorEastAsia" w:cstheme="minorEastAsia"/>
          <w:color w:val="000000"/>
          <w:lang w:eastAsia="zh" w:bidi="ar"/>
        </w:rPr>
        <w:t>。</w:t>
      </w:r>
    </w:p>
    <w:p w14:paraId="0DEE73D0">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eastAsia="zh" w:bidi="ar"/>
        </w:rPr>
        <w:t>11.2</w:t>
      </w:r>
      <w:r>
        <w:rPr>
          <w:rFonts w:hint="eastAsia" w:asciiTheme="minorEastAsia" w:hAnsiTheme="minorEastAsia" w:eastAsiaTheme="minorEastAsia" w:cstheme="minorEastAsia"/>
          <w:color w:val="000000"/>
          <w:lang w:bidi="ar"/>
        </w:rPr>
        <w:t>工程履约保证金或履约保函金</w:t>
      </w:r>
      <w:r>
        <w:rPr>
          <w:rFonts w:hint="eastAsia" w:asciiTheme="minorEastAsia" w:hAnsiTheme="minorEastAsia" w:eastAsiaTheme="minorEastAsia" w:cstheme="minorEastAsia"/>
          <w:color w:val="000000"/>
          <w:highlight w:val="none"/>
          <w:lang w:bidi="ar"/>
        </w:rPr>
        <w:t>额为</w:t>
      </w:r>
      <w:r>
        <w:rPr>
          <w:rFonts w:hint="eastAsia" w:asciiTheme="minorEastAsia" w:hAnsiTheme="minorEastAsia" w:eastAsiaTheme="minorEastAsia" w:cstheme="minorEastAsia"/>
          <w:color w:val="000000"/>
          <w:highlight w:val="none"/>
          <w:lang w:eastAsia="zh" w:bidi="ar"/>
        </w:rPr>
        <w:t>暂定含税</w:t>
      </w:r>
      <w:r>
        <w:rPr>
          <w:rFonts w:hint="eastAsia" w:asciiTheme="minorEastAsia" w:hAnsiTheme="minorEastAsia" w:eastAsiaTheme="minorEastAsia" w:cstheme="minorEastAsia"/>
          <w:color w:val="000000"/>
          <w:highlight w:val="none"/>
          <w:u w:val="single"/>
          <w:lang w:bidi="ar"/>
        </w:rPr>
        <w:t>合同总价的10%</w:t>
      </w:r>
      <w:r>
        <w:rPr>
          <w:rFonts w:hint="eastAsia" w:asciiTheme="minorEastAsia" w:hAnsiTheme="minorEastAsia" w:eastAsiaTheme="minorEastAsia" w:cstheme="minorEastAsia"/>
          <w:color w:val="000000"/>
          <w:highlight w:val="none"/>
          <w:lang w:bidi="ar"/>
        </w:rPr>
        <w:t>，分包人应在合同签订后</w:t>
      </w:r>
      <w:r>
        <w:rPr>
          <w:rFonts w:hint="eastAsia" w:asciiTheme="minorEastAsia" w:hAnsiTheme="minorEastAsia" w:eastAsiaTheme="minorEastAsia" w:cstheme="minorEastAsia"/>
          <w:color w:val="000000"/>
          <w:highlight w:val="none"/>
          <w:lang w:val="en-US" w:eastAsia="zh-CN" w:bidi="ar"/>
        </w:rPr>
        <w:t>15</w:t>
      </w:r>
      <w:r>
        <w:rPr>
          <w:rFonts w:hint="eastAsia" w:asciiTheme="minorEastAsia" w:hAnsiTheme="minorEastAsia" w:eastAsiaTheme="minorEastAsia" w:cstheme="minorEastAsia"/>
          <w:color w:val="000000"/>
          <w:highlight w:val="none"/>
          <w:lang w:bidi="ar"/>
        </w:rPr>
        <w:t>天内向承包人提交履约保证金或向承包人</w:t>
      </w:r>
      <w:r>
        <w:rPr>
          <w:rFonts w:hint="eastAsia" w:asciiTheme="minorEastAsia" w:hAnsiTheme="minorEastAsia" w:eastAsiaTheme="minorEastAsia" w:cstheme="minorEastAsia"/>
          <w:color w:val="000000"/>
          <w:lang w:bidi="ar"/>
        </w:rPr>
        <w:t>提供承包人认可的符合承包人要求的无条件的不可撤消的可即提的履约保函（按附件格式）。履约保函应当承诺：在分包人履约期间，未经承包人书面同意，分包人或其他任何的第三方不得擅自转移该存款，否则即承担相应的保证责任。</w:t>
      </w:r>
    </w:p>
    <w:p w14:paraId="0FDD9808">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eastAsia="zh" w:bidi="ar"/>
        </w:rPr>
        <w:t>11.3</w:t>
      </w:r>
      <w:r>
        <w:rPr>
          <w:rFonts w:hint="eastAsia" w:asciiTheme="minorEastAsia" w:hAnsiTheme="minorEastAsia" w:eastAsiaTheme="minorEastAsia" w:cstheme="minorEastAsia"/>
          <w:color w:val="000000"/>
          <w:lang w:bidi="ar"/>
        </w:rPr>
        <w:t>履约保证金、履约保函至承包人向分包人签发工程移交证明文件之日起二十八天内退返；但如果此时存在合同争端并且未能得到解决，那么履约担保的有效期限应延长到上述争端最终解决且所有理赔完毕。</w:t>
      </w:r>
    </w:p>
    <w:p w14:paraId="431E177D">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eastAsia="zh" w:bidi="ar"/>
        </w:rPr>
        <w:t>11.4</w:t>
      </w:r>
      <w:r>
        <w:rPr>
          <w:rFonts w:hint="eastAsia" w:asciiTheme="minorEastAsia" w:hAnsiTheme="minorEastAsia" w:eastAsiaTheme="minorEastAsia" w:cstheme="minorEastAsia"/>
          <w:color w:val="000000"/>
          <w:lang w:bidi="ar"/>
        </w:rPr>
        <w:t>分包人已清楚并考虑工地现场条件，包括周围环境、交通道路、现场地质条件、施工水电、施工场地及周围地下管网、承包范围、施工图纸、施工组织设计，并已考虑施工技术措施、文明施工、安全生产维护、工期内赶工等因素。</w:t>
      </w:r>
    </w:p>
    <w:p w14:paraId="7477F32B">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eastAsia="zh" w:bidi="ar"/>
        </w:rPr>
        <w:t>11.5</w:t>
      </w:r>
      <w:r>
        <w:rPr>
          <w:rFonts w:hint="eastAsia" w:asciiTheme="minorEastAsia" w:hAnsiTheme="minorEastAsia" w:eastAsiaTheme="minorEastAsia" w:cstheme="minorEastAsia"/>
          <w:color w:val="000000"/>
          <w:lang w:bidi="ar"/>
        </w:rPr>
        <w:t>分包人为完成本合同规定的工作所需考虑的上述费用及施工组织中的所有费用均已</w:t>
      </w:r>
      <w:r>
        <w:rPr>
          <w:rFonts w:hint="eastAsia" w:asciiTheme="minorEastAsia" w:hAnsiTheme="minorEastAsia" w:eastAsiaTheme="minorEastAsia" w:cstheme="minorEastAsia"/>
          <w:color w:val="000000"/>
          <w:lang w:eastAsia="zh" w:bidi="ar"/>
        </w:rPr>
        <w:t>在各综合单价中考虑</w:t>
      </w:r>
      <w:r>
        <w:rPr>
          <w:rFonts w:hint="eastAsia" w:asciiTheme="minorEastAsia" w:hAnsiTheme="minorEastAsia" w:eastAsiaTheme="minorEastAsia" w:cstheme="minorEastAsia"/>
          <w:color w:val="000000"/>
          <w:lang w:bidi="ar"/>
        </w:rPr>
        <w:t>，不再另外计取。</w:t>
      </w:r>
    </w:p>
    <w:p w14:paraId="38B8B3E1">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eastAsia="zh" w:bidi="ar"/>
        </w:rPr>
        <w:t>11.6</w:t>
      </w:r>
      <w:r>
        <w:rPr>
          <w:rFonts w:hint="eastAsia" w:asciiTheme="minorEastAsia" w:hAnsiTheme="minorEastAsia" w:eastAsiaTheme="minorEastAsia" w:cstheme="minorEastAsia"/>
          <w:color w:val="000000"/>
          <w:lang w:bidi="ar"/>
        </w:rPr>
        <w:t>按国家规定应由分包人缴纳的各种税费已包含在本工程造价内，由分包人负责缴纳。</w:t>
      </w:r>
    </w:p>
    <w:p w14:paraId="20D990F0">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eastAsia="zh" w:bidi="ar"/>
        </w:rPr>
        <w:t>11.7</w:t>
      </w:r>
      <w:r>
        <w:rPr>
          <w:rFonts w:hint="eastAsia" w:asciiTheme="minorEastAsia" w:hAnsiTheme="minorEastAsia" w:eastAsiaTheme="minorEastAsia" w:cstheme="minorEastAsia"/>
          <w:color w:val="000000"/>
          <w:highlight w:val="none"/>
          <w:lang w:bidi="ar"/>
        </w:rPr>
        <w:t>现场签证：所有设计变更及签证，分包人要统一编号后全部通过承包人提交发包人认可为准。</w:t>
      </w:r>
    </w:p>
    <w:p w14:paraId="559A04A1">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eastAsia="zh" w:bidi="ar"/>
        </w:rPr>
        <w:t>11.8新增组价计价方式</w:t>
      </w:r>
      <w:r>
        <w:rPr>
          <w:rFonts w:hint="eastAsia" w:asciiTheme="minorEastAsia" w:hAnsiTheme="minorEastAsia" w:eastAsiaTheme="minorEastAsia" w:cstheme="minorEastAsia"/>
          <w:color w:val="000000"/>
          <w:lang w:bidi="ar"/>
        </w:rPr>
        <w:t>：</w:t>
      </w:r>
    </w:p>
    <w:p w14:paraId="10B06C3C">
      <w:pPr>
        <w:pStyle w:val="29"/>
        <w:widowControl w:val="0"/>
        <w:autoSpaceDE w:val="0"/>
        <w:autoSpaceDN w:val="0"/>
        <w:adjustRightInd w:val="0"/>
        <w:snapToGri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bidi="ar"/>
        </w:rPr>
        <w:t>A.如果工程量清单有相应项目的，按相应项目的综合单价计算；</w:t>
      </w:r>
    </w:p>
    <w:p w14:paraId="5B34E1CF">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lang w:bidi="ar"/>
        </w:rPr>
        <w:t>B.如果工程量清单只有类似项目，用清单内的单价换算。换算方法：①只是主要材料发生变更时，主要材料的确价方式按清单外变更项目计价方式中主材价格确定方式及优先次序进行确价，且只调整该材料价差，其它单价组成部分均不予调整。②工程量清单报价表中已有类似项目的综合单价，只是个别工作内容增加或调整的，按原单价分析表套取新工作内容，只在类似综合单价基础上调整该新工作内容价差，原管理费、利润保持不变。</w:t>
      </w:r>
    </w:p>
    <w:p w14:paraId="16C79BE4">
      <w:pPr>
        <w:pStyle w:val="29"/>
        <w:widowControl w:val="0"/>
        <w:autoSpaceDE w:val="0"/>
        <w:autoSpaceDN w:val="0"/>
        <w:adjustRightInd w:val="0"/>
        <w:spacing w:before="0" w:beforeAutospacing="0" w:after="0" w:afterAutospacing="0" w:line="360" w:lineRule="auto"/>
        <w:ind w:left="-2" w:leftChars="-1" w:firstLine="480" w:firstLineChars="200"/>
        <w:jc w:val="both"/>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eastAsia="zh" w:bidi="ar"/>
        </w:rPr>
        <w:t>C.如果</w:t>
      </w:r>
      <w:r>
        <w:rPr>
          <w:rFonts w:hint="eastAsia" w:asciiTheme="minorEastAsia" w:hAnsiTheme="minorEastAsia" w:eastAsiaTheme="minorEastAsia" w:cstheme="minorEastAsia"/>
          <w:color w:val="000000"/>
          <w:lang w:bidi="ar"/>
        </w:rPr>
        <w:t>工程量清单中没有类似和适用的价格，采用固定计价程序和固定的有关费率。具体计价程序和费率按清单外计价方式计算，具体方式如下：</w:t>
      </w:r>
    </w:p>
    <w:tbl>
      <w:tblPr>
        <w:tblStyle w:val="34"/>
        <w:tblW w:w="0" w:type="auto"/>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1173"/>
        <w:gridCol w:w="2256"/>
        <w:gridCol w:w="4962"/>
      </w:tblGrid>
      <w:tr w14:paraId="1630B4C0">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61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02B43D91">
            <w:pPr>
              <w:pStyle w:val="93"/>
              <w:adjustRightInd w:val="0"/>
              <w:snapToGrid w:val="0"/>
              <w:spacing w:before="0" w:after="100" w:afterAutospacing="1" w:line="240" w:lineRule="auto"/>
              <w:jc w:val="center"/>
              <w:rPr>
                <w:rFonts w:asciiTheme="minorEastAsia" w:hAnsiTheme="minorEastAsia" w:eastAsiaTheme="minorEastAsia" w:cstheme="minorEastAsia"/>
                <w:b/>
                <w:color w:val="000000"/>
                <w:sz w:val="24"/>
                <w:szCs w:val="24"/>
              </w:rPr>
            </w:pPr>
            <w:r>
              <w:rPr>
                <w:rFonts w:asciiTheme="minorEastAsia" w:hAnsiTheme="minorEastAsia" w:eastAsiaTheme="minorEastAsia" w:cstheme="minorEastAsia"/>
                <w:b/>
                <w:color w:val="000000"/>
                <w:sz w:val="24"/>
                <w:szCs w:val="24"/>
              </w:rPr>
              <w:t>序号</w:t>
            </w:r>
          </w:p>
        </w:tc>
        <w:tc>
          <w:tcPr>
            <w:tcW w:w="1173" w:type="dxa"/>
            <w:tcBorders>
              <w:top w:val="outset" w:color="000000" w:sz="6" w:space="0"/>
              <w:left w:val="nil"/>
              <w:bottom w:val="outset" w:color="000000" w:sz="6" w:space="0"/>
              <w:right w:val="outset" w:color="000000" w:sz="6" w:space="0"/>
            </w:tcBorders>
            <w:shd w:val="clear" w:color="auto" w:fill="auto"/>
            <w:vAlign w:val="center"/>
          </w:tcPr>
          <w:p w14:paraId="57AA9EF1">
            <w:pPr>
              <w:pStyle w:val="93"/>
              <w:adjustRightInd w:val="0"/>
              <w:snapToGrid w:val="0"/>
              <w:spacing w:before="0" w:after="100" w:afterAutospacing="1" w:line="240" w:lineRule="auto"/>
              <w:jc w:val="center"/>
              <w:rPr>
                <w:rFonts w:asciiTheme="minorEastAsia" w:hAnsiTheme="minorEastAsia" w:eastAsiaTheme="minorEastAsia" w:cstheme="minorEastAsia"/>
                <w:b/>
                <w:color w:val="000000"/>
                <w:sz w:val="24"/>
                <w:szCs w:val="24"/>
              </w:rPr>
            </w:pPr>
            <w:r>
              <w:rPr>
                <w:rFonts w:asciiTheme="minorEastAsia" w:hAnsiTheme="minorEastAsia" w:eastAsiaTheme="minorEastAsia" w:cstheme="minorEastAsia"/>
                <w:b/>
                <w:color w:val="000000"/>
                <w:sz w:val="24"/>
                <w:szCs w:val="24"/>
              </w:rPr>
              <w:t>名称</w:t>
            </w:r>
          </w:p>
        </w:tc>
        <w:tc>
          <w:tcPr>
            <w:tcW w:w="2256" w:type="dxa"/>
            <w:tcBorders>
              <w:top w:val="outset" w:color="000000" w:sz="6" w:space="0"/>
              <w:left w:val="nil"/>
              <w:bottom w:val="outset" w:color="000000" w:sz="6" w:space="0"/>
              <w:right w:val="outset" w:color="000000" w:sz="6" w:space="0"/>
            </w:tcBorders>
            <w:shd w:val="clear" w:color="auto" w:fill="auto"/>
            <w:vAlign w:val="center"/>
          </w:tcPr>
          <w:p w14:paraId="47A07764">
            <w:pPr>
              <w:pStyle w:val="93"/>
              <w:adjustRightInd w:val="0"/>
              <w:snapToGrid w:val="0"/>
              <w:spacing w:before="0" w:after="100" w:afterAutospacing="1" w:line="240" w:lineRule="auto"/>
              <w:jc w:val="center"/>
              <w:rPr>
                <w:rFonts w:asciiTheme="minorEastAsia" w:hAnsiTheme="minorEastAsia" w:eastAsiaTheme="minorEastAsia" w:cstheme="minorEastAsia"/>
                <w:b/>
                <w:color w:val="000000"/>
                <w:sz w:val="24"/>
                <w:szCs w:val="24"/>
              </w:rPr>
            </w:pPr>
            <w:r>
              <w:rPr>
                <w:rFonts w:asciiTheme="minorEastAsia" w:hAnsiTheme="minorEastAsia" w:eastAsiaTheme="minorEastAsia" w:cstheme="minorEastAsia"/>
                <w:b/>
                <w:color w:val="000000"/>
                <w:sz w:val="24"/>
                <w:szCs w:val="24"/>
              </w:rPr>
              <w:t>计费办法</w:t>
            </w:r>
          </w:p>
        </w:tc>
        <w:tc>
          <w:tcPr>
            <w:tcW w:w="4962" w:type="dxa"/>
            <w:tcBorders>
              <w:top w:val="outset" w:color="000000" w:sz="6" w:space="0"/>
              <w:left w:val="nil"/>
              <w:bottom w:val="outset" w:color="000000" w:sz="6" w:space="0"/>
              <w:right w:val="outset" w:color="000000" w:sz="6" w:space="0"/>
            </w:tcBorders>
            <w:shd w:val="clear" w:color="auto" w:fill="auto"/>
            <w:vAlign w:val="center"/>
          </w:tcPr>
          <w:p w14:paraId="72112120">
            <w:pPr>
              <w:pStyle w:val="93"/>
              <w:adjustRightInd w:val="0"/>
              <w:snapToGrid w:val="0"/>
              <w:spacing w:before="0" w:after="100" w:afterAutospacing="1" w:line="240" w:lineRule="auto"/>
              <w:jc w:val="center"/>
              <w:rPr>
                <w:rFonts w:asciiTheme="minorEastAsia" w:hAnsiTheme="minorEastAsia" w:eastAsiaTheme="minorEastAsia" w:cstheme="minorEastAsia"/>
                <w:b/>
                <w:color w:val="000000"/>
                <w:sz w:val="24"/>
                <w:szCs w:val="24"/>
              </w:rPr>
            </w:pPr>
            <w:r>
              <w:rPr>
                <w:rFonts w:asciiTheme="minorEastAsia" w:hAnsiTheme="minorEastAsia" w:eastAsiaTheme="minorEastAsia" w:cstheme="minorEastAsia"/>
                <w:b/>
                <w:color w:val="000000"/>
                <w:sz w:val="24"/>
                <w:szCs w:val="24"/>
              </w:rPr>
              <w:t>备注</w:t>
            </w:r>
          </w:p>
        </w:tc>
      </w:tr>
      <w:tr w14:paraId="4BAC5DB6">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47" w:hRule="atLeast"/>
          <w:jc w:val="center"/>
        </w:trPr>
        <w:tc>
          <w:tcPr>
            <w:tcW w:w="615" w:type="dxa"/>
            <w:tcBorders>
              <w:top w:val="outset" w:color="000000" w:sz="6" w:space="0"/>
              <w:left w:val="outset" w:color="000000" w:sz="6" w:space="0"/>
              <w:bottom w:val="outset" w:color="000000" w:sz="6" w:space="0"/>
              <w:right w:val="outset" w:color="000000" w:sz="6" w:space="0"/>
            </w:tcBorders>
            <w:shd w:val="clear" w:color="auto" w:fill="auto"/>
            <w:tcMar>
              <w:top w:w="57" w:type="dxa"/>
              <w:left w:w="57" w:type="dxa"/>
              <w:bottom w:w="57" w:type="dxa"/>
              <w:right w:w="57" w:type="dxa"/>
            </w:tcMar>
            <w:vAlign w:val="center"/>
          </w:tcPr>
          <w:p w14:paraId="6592E16B">
            <w:pPr>
              <w:pStyle w:val="93"/>
              <w:adjustRightInd w:val="0"/>
              <w:snapToGrid w:val="0"/>
              <w:spacing w:before="0" w:afterAutospacing="1"/>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1</w:t>
            </w:r>
          </w:p>
        </w:tc>
        <w:tc>
          <w:tcPr>
            <w:tcW w:w="1173"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4EDEC480">
            <w:pPr>
              <w:pStyle w:val="93"/>
              <w:adjustRightInd w:val="0"/>
              <w:snapToGrid w:val="0"/>
              <w:spacing w:before="0" w:afterAutospacing="1"/>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人工费</w:t>
            </w:r>
          </w:p>
        </w:tc>
        <w:tc>
          <w:tcPr>
            <w:tcW w:w="2256"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53253B4A">
            <w:pPr>
              <w:pStyle w:val="93"/>
              <w:adjustRightInd w:val="0"/>
              <w:snapToGrid w:val="0"/>
              <w:spacing w:before="0" w:afterAutospacing="1"/>
              <w:ind w:right="0" w:rightChars="0"/>
              <w:jc w:val="both"/>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000000"/>
                <w:sz w:val="24"/>
                <w:szCs w:val="24"/>
              </w:rPr>
              <w:t>按定额人工费乘以人工费调整系数</w:t>
            </w:r>
          </w:p>
        </w:tc>
        <w:tc>
          <w:tcPr>
            <w:tcW w:w="4962"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56606916">
            <w:pPr>
              <w:pStyle w:val="93"/>
              <w:adjustRightInd w:val="0"/>
              <w:snapToGrid w:val="0"/>
              <w:spacing w:before="0" w:afterAutospacing="1"/>
              <w:ind w:left="0" w:leftChars="0"/>
              <w:jc w:val="both"/>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000000"/>
                <w:sz w:val="24"/>
                <w:szCs w:val="24"/>
              </w:rPr>
              <w:t>人工费按新增或变更工程实际发生当月广州市建设工程造价管理站颁布的相应工程类别的人工调整系数调整。</w:t>
            </w:r>
          </w:p>
        </w:tc>
      </w:tr>
      <w:tr w14:paraId="2941849F">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61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E93FE76">
            <w:pPr>
              <w:pStyle w:val="93"/>
              <w:adjustRightInd w:val="0"/>
              <w:snapToGrid w:val="0"/>
              <w:spacing w:before="0" w:afterAutospacing="1"/>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2</w:t>
            </w:r>
          </w:p>
        </w:tc>
        <w:tc>
          <w:tcPr>
            <w:tcW w:w="1173" w:type="dxa"/>
            <w:tcBorders>
              <w:top w:val="outset" w:color="000000" w:sz="6" w:space="0"/>
              <w:left w:val="nil"/>
              <w:bottom w:val="outset" w:color="000000" w:sz="6" w:space="0"/>
              <w:right w:val="outset" w:color="000000" w:sz="6" w:space="0"/>
            </w:tcBorders>
            <w:shd w:val="clear" w:color="auto" w:fill="auto"/>
            <w:vAlign w:val="center"/>
          </w:tcPr>
          <w:p w14:paraId="7E95CB8E">
            <w:pPr>
              <w:pStyle w:val="93"/>
              <w:adjustRightInd w:val="0"/>
              <w:snapToGrid w:val="0"/>
              <w:spacing w:before="0" w:afterAutospacing="1"/>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材料费</w:t>
            </w:r>
          </w:p>
        </w:tc>
        <w:tc>
          <w:tcPr>
            <w:tcW w:w="2256" w:type="dxa"/>
            <w:tcBorders>
              <w:top w:val="outset" w:color="000000" w:sz="6" w:space="0"/>
              <w:left w:val="nil"/>
              <w:bottom w:val="outset" w:color="000000" w:sz="6" w:space="0"/>
              <w:right w:val="outset" w:color="000000" w:sz="6" w:space="0"/>
            </w:tcBorders>
            <w:shd w:val="clear" w:color="auto" w:fill="auto"/>
            <w:vAlign w:val="center"/>
          </w:tcPr>
          <w:p w14:paraId="53AF0CDB">
            <w:pPr>
              <w:pStyle w:val="93"/>
              <w:adjustRightInd w:val="0"/>
              <w:snapToGrid w:val="0"/>
              <w:spacing w:before="0" w:afterAutospacing="1"/>
              <w:ind w:right="0" w:rightChars="0"/>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∑（材料数量×材料单价）</w:t>
            </w:r>
          </w:p>
        </w:tc>
        <w:tc>
          <w:tcPr>
            <w:tcW w:w="4962" w:type="dxa"/>
            <w:tcBorders>
              <w:top w:val="outset" w:color="000000" w:sz="6" w:space="0"/>
              <w:left w:val="nil"/>
              <w:bottom w:val="outset" w:color="000000" w:sz="6" w:space="0"/>
              <w:right w:val="outset" w:color="000000" w:sz="6" w:space="0"/>
            </w:tcBorders>
            <w:shd w:val="clear" w:color="auto" w:fill="auto"/>
            <w:vAlign w:val="center"/>
          </w:tcPr>
          <w:p w14:paraId="7D8D1A93">
            <w:pPr>
              <w:pStyle w:val="93"/>
              <w:adjustRightInd w:val="0"/>
              <w:snapToGrid w:val="0"/>
              <w:spacing w:before="0" w:afterAutospacing="1"/>
              <w:ind w:left="0" w:leftChars="0"/>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材料数量按实际消耗量（含排版损耗等）；材料价格按备注的材料价格确定方式计算。</w:t>
            </w:r>
          </w:p>
        </w:tc>
      </w:tr>
      <w:tr w14:paraId="469B777C">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61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1898E1E">
            <w:pPr>
              <w:pStyle w:val="93"/>
              <w:adjustRightInd w:val="0"/>
              <w:snapToGrid w:val="0"/>
              <w:spacing w:before="0" w:afterAutospacing="1"/>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3</w:t>
            </w:r>
          </w:p>
        </w:tc>
        <w:tc>
          <w:tcPr>
            <w:tcW w:w="1173" w:type="dxa"/>
            <w:tcBorders>
              <w:top w:val="outset" w:color="000000" w:sz="6" w:space="0"/>
              <w:left w:val="nil"/>
              <w:bottom w:val="outset" w:color="000000" w:sz="6" w:space="0"/>
              <w:right w:val="outset" w:color="000000" w:sz="6" w:space="0"/>
            </w:tcBorders>
            <w:shd w:val="clear" w:color="auto" w:fill="auto"/>
            <w:vAlign w:val="center"/>
          </w:tcPr>
          <w:p w14:paraId="251E043E">
            <w:pPr>
              <w:pStyle w:val="93"/>
              <w:adjustRightInd w:val="0"/>
              <w:snapToGrid w:val="0"/>
              <w:spacing w:before="0" w:afterAutospacing="1"/>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机械费</w:t>
            </w:r>
          </w:p>
        </w:tc>
        <w:tc>
          <w:tcPr>
            <w:tcW w:w="2256" w:type="dxa"/>
            <w:tcBorders>
              <w:top w:val="outset" w:color="000000" w:sz="6" w:space="0"/>
              <w:left w:val="nil"/>
              <w:bottom w:val="outset" w:color="000000" w:sz="6" w:space="0"/>
              <w:right w:val="outset" w:color="000000" w:sz="6" w:space="0"/>
            </w:tcBorders>
            <w:shd w:val="clear" w:color="auto" w:fill="auto"/>
            <w:vAlign w:val="center"/>
          </w:tcPr>
          <w:p w14:paraId="0B959538">
            <w:pPr>
              <w:pStyle w:val="93"/>
              <w:adjustRightInd w:val="0"/>
              <w:snapToGrid w:val="0"/>
              <w:spacing w:before="0" w:afterAutospacing="1"/>
              <w:ind w:right="0" w:rightChars="0"/>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∑（机械台班数量×机械台班单价）</w:t>
            </w:r>
          </w:p>
        </w:tc>
        <w:tc>
          <w:tcPr>
            <w:tcW w:w="4962" w:type="dxa"/>
            <w:tcBorders>
              <w:top w:val="outset" w:color="000000" w:sz="6" w:space="0"/>
              <w:left w:val="nil"/>
              <w:bottom w:val="outset" w:color="000000" w:sz="6" w:space="0"/>
              <w:right w:val="outset" w:color="000000" w:sz="6" w:space="0"/>
            </w:tcBorders>
            <w:shd w:val="clear" w:color="auto" w:fill="auto"/>
            <w:vAlign w:val="center"/>
          </w:tcPr>
          <w:p w14:paraId="048A3EE5">
            <w:pPr>
              <w:pStyle w:val="93"/>
              <w:adjustRightInd w:val="0"/>
              <w:snapToGrid w:val="0"/>
              <w:spacing w:before="0" w:afterAutospacing="1"/>
              <w:ind w:left="0" w:leftChars="0"/>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机具台班含量按“广东省2018定额”；单价按定额中的人工和燃料动力费按当月广州市建设工程造价管理站颁布的人工调整系数和建设工程常用材料综合价格换算；定额中没有列项的机具，由承包人根据工程实际测定，报发包人审定。</w:t>
            </w:r>
          </w:p>
        </w:tc>
      </w:tr>
      <w:tr w14:paraId="3A280144">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615" w:type="dxa"/>
            <w:tcBorders>
              <w:top w:val="outset" w:color="000000" w:sz="6" w:space="0"/>
              <w:left w:val="outset" w:color="000000" w:sz="6" w:space="0"/>
              <w:bottom w:val="outset" w:color="000000" w:sz="6" w:space="0"/>
              <w:right w:val="outset" w:color="000000" w:sz="6" w:space="0"/>
            </w:tcBorders>
            <w:shd w:val="clear" w:color="auto" w:fill="auto"/>
            <w:tcMar>
              <w:top w:w="57" w:type="dxa"/>
              <w:left w:w="57" w:type="dxa"/>
              <w:bottom w:w="57" w:type="dxa"/>
              <w:right w:w="57" w:type="dxa"/>
            </w:tcMar>
            <w:vAlign w:val="center"/>
          </w:tcPr>
          <w:p w14:paraId="5543B4E6">
            <w:pPr>
              <w:pStyle w:val="93"/>
              <w:adjustRightInd w:val="0"/>
              <w:snapToGrid w:val="0"/>
              <w:spacing w:before="0" w:afterAutospacing="1"/>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4</w:t>
            </w:r>
          </w:p>
        </w:tc>
        <w:tc>
          <w:tcPr>
            <w:tcW w:w="1173"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217FC821">
            <w:pPr>
              <w:pStyle w:val="93"/>
              <w:adjustRightInd w:val="0"/>
              <w:snapToGrid w:val="0"/>
              <w:spacing w:before="0" w:afterAutospacing="1"/>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管理费</w:t>
            </w:r>
          </w:p>
        </w:tc>
        <w:tc>
          <w:tcPr>
            <w:tcW w:w="2256"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3E2D5508">
            <w:pPr>
              <w:pStyle w:val="93"/>
              <w:adjustRightInd w:val="0"/>
              <w:snapToGrid w:val="0"/>
              <w:spacing w:before="0" w:afterAutospacing="1"/>
              <w:ind w:right="0" w:rightChars="0"/>
              <w:jc w:val="both"/>
              <w:rPr>
                <w:rFonts w:asciiTheme="minorEastAsia" w:hAnsiTheme="minorEastAsia" w:eastAsiaTheme="minorEastAsia" w:cstheme="minorEastAsia"/>
                <w:color w:val="000000"/>
                <w:sz w:val="24"/>
                <w:szCs w:val="24"/>
              </w:rPr>
            </w:pPr>
            <w:r>
              <w:rPr>
                <w:rFonts w:asciiTheme="minorEastAsia" w:hAnsiTheme="minorEastAsia" w:eastAsiaTheme="minorEastAsia" w:cstheme="minorEastAsia"/>
                <w:color w:val="000000"/>
                <w:sz w:val="24"/>
                <w:szCs w:val="24"/>
              </w:rPr>
              <w:t>按相应定额计算</w:t>
            </w:r>
          </w:p>
        </w:tc>
        <w:tc>
          <w:tcPr>
            <w:tcW w:w="4962"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6C23F2D7">
            <w:pPr>
              <w:pStyle w:val="93"/>
              <w:adjustRightInd w:val="0"/>
              <w:snapToGrid w:val="0"/>
              <w:spacing w:before="0" w:afterAutospacing="1"/>
              <w:jc w:val="both"/>
              <w:rPr>
                <w:rFonts w:asciiTheme="minorEastAsia" w:hAnsiTheme="minorEastAsia" w:eastAsiaTheme="minorEastAsia" w:cstheme="minorEastAsia"/>
                <w:color w:val="000000"/>
                <w:sz w:val="24"/>
                <w:szCs w:val="24"/>
              </w:rPr>
            </w:pPr>
          </w:p>
        </w:tc>
      </w:tr>
      <w:tr w14:paraId="63802923">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46" w:hRule="atLeast"/>
          <w:jc w:val="center"/>
        </w:trPr>
        <w:tc>
          <w:tcPr>
            <w:tcW w:w="615" w:type="dxa"/>
            <w:tcBorders>
              <w:top w:val="outset" w:color="000000" w:sz="6" w:space="0"/>
              <w:left w:val="outset" w:color="000000" w:sz="6" w:space="0"/>
              <w:bottom w:val="outset" w:color="000000" w:sz="6" w:space="0"/>
              <w:right w:val="outset" w:color="000000" w:sz="6" w:space="0"/>
            </w:tcBorders>
            <w:shd w:val="clear" w:color="auto" w:fill="auto"/>
            <w:tcMar>
              <w:top w:w="57" w:type="dxa"/>
              <w:left w:w="57" w:type="dxa"/>
              <w:bottom w:w="57" w:type="dxa"/>
              <w:right w:w="57" w:type="dxa"/>
            </w:tcMar>
            <w:vAlign w:val="center"/>
          </w:tcPr>
          <w:p w14:paraId="2BC55B8E">
            <w:pPr>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w:t>
            </w:r>
          </w:p>
        </w:tc>
        <w:tc>
          <w:tcPr>
            <w:tcW w:w="1173"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4D5625DC">
            <w:pPr>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利润</w:t>
            </w:r>
          </w:p>
        </w:tc>
        <w:tc>
          <w:tcPr>
            <w:tcW w:w="2256"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7CF74980">
            <w:pPr>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按相应定额计算</w:t>
            </w:r>
          </w:p>
        </w:tc>
        <w:tc>
          <w:tcPr>
            <w:tcW w:w="4962"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35CBB8E0">
            <w:pPr>
              <w:spacing w:line="360" w:lineRule="auto"/>
              <w:jc w:val="both"/>
              <w:rPr>
                <w:rFonts w:hint="eastAsia" w:asciiTheme="minorEastAsia" w:hAnsiTheme="minorEastAsia" w:eastAsiaTheme="minorEastAsia" w:cstheme="minorEastAsia"/>
                <w:sz w:val="24"/>
              </w:rPr>
            </w:pPr>
          </w:p>
        </w:tc>
      </w:tr>
      <w:tr w14:paraId="67D59F8E">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68" w:hRule="atLeast"/>
          <w:jc w:val="center"/>
        </w:trPr>
        <w:tc>
          <w:tcPr>
            <w:tcW w:w="615" w:type="dxa"/>
            <w:tcBorders>
              <w:top w:val="outset" w:color="000000" w:sz="6" w:space="0"/>
              <w:left w:val="outset" w:color="000000" w:sz="6" w:space="0"/>
              <w:bottom w:val="outset" w:color="000000" w:sz="6" w:space="0"/>
              <w:right w:val="outset" w:color="000000" w:sz="6" w:space="0"/>
            </w:tcBorders>
            <w:shd w:val="clear" w:color="auto" w:fill="auto"/>
            <w:tcMar>
              <w:top w:w="57" w:type="dxa"/>
              <w:left w:w="57" w:type="dxa"/>
              <w:bottom w:w="57" w:type="dxa"/>
              <w:right w:w="57" w:type="dxa"/>
            </w:tcMar>
            <w:vAlign w:val="center"/>
          </w:tcPr>
          <w:p w14:paraId="46B713A8">
            <w:pPr>
              <w:spacing w:line="360" w:lineRule="auto"/>
              <w:jc w:val="both"/>
              <w:rPr>
                <w:rFonts w:hint="eastAsia" w:asciiTheme="minorEastAsia" w:hAnsiTheme="minorEastAsia" w:eastAsiaTheme="minorEastAsia" w:cstheme="minorEastAsia"/>
                <w:sz w:val="24"/>
              </w:rPr>
            </w:pPr>
            <w:bookmarkStart w:id="248" w:name="_Toc168415951"/>
            <w:r>
              <w:rPr>
                <w:rFonts w:hint="eastAsia" w:asciiTheme="minorEastAsia" w:hAnsiTheme="minorEastAsia" w:eastAsiaTheme="minorEastAsia" w:cstheme="minorEastAsia"/>
                <w:sz w:val="24"/>
                <w:lang w:bidi="ar"/>
              </w:rPr>
              <w:t>6</w:t>
            </w:r>
            <w:bookmarkEnd w:id="248"/>
          </w:p>
        </w:tc>
        <w:tc>
          <w:tcPr>
            <w:tcW w:w="1173"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7879FC1B">
            <w:pPr>
              <w:spacing w:line="360" w:lineRule="auto"/>
              <w:jc w:val="both"/>
              <w:rPr>
                <w:rFonts w:hint="eastAsia" w:asciiTheme="minorEastAsia" w:hAnsiTheme="minorEastAsia" w:eastAsiaTheme="minorEastAsia" w:cstheme="minorEastAsia"/>
                <w:sz w:val="24"/>
              </w:rPr>
            </w:pPr>
            <w:bookmarkStart w:id="249" w:name="_Toc7843"/>
            <w:r>
              <w:rPr>
                <w:rFonts w:hint="eastAsia" w:asciiTheme="minorEastAsia" w:hAnsiTheme="minorEastAsia" w:eastAsiaTheme="minorEastAsia" w:cstheme="minorEastAsia"/>
                <w:sz w:val="24"/>
                <w:lang w:bidi="ar"/>
              </w:rPr>
              <w:t>下浮</w:t>
            </w:r>
            <w:bookmarkEnd w:id="249"/>
          </w:p>
        </w:tc>
        <w:tc>
          <w:tcPr>
            <w:tcW w:w="2256"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7AC97D1C">
            <w:pPr>
              <w:spacing w:line="360" w:lineRule="auto"/>
              <w:jc w:val="both"/>
              <w:rPr>
                <w:rFonts w:hint="eastAsia" w:asciiTheme="minorEastAsia" w:hAnsiTheme="minorEastAsia" w:eastAsiaTheme="minorEastAsia" w:cstheme="minorEastAsia"/>
                <w:sz w:val="24"/>
              </w:rPr>
            </w:pPr>
            <w:bookmarkStart w:id="250" w:name="_Toc530499511"/>
            <w:r>
              <w:rPr>
                <w:rFonts w:hint="eastAsia" w:asciiTheme="minorEastAsia" w:hAnsiTheme="minorEastAsia" w:eastAsiaTheme="minorEastAsia" w:cstheme="minorEastAsia"/>
                <w:sz w:val="24"/>
                <w:lang w:bidi="ar"/>
              </w:rPr>
              <w:t>（1+～5）×（－</w:t>
            </w:r>
            <w:bookmarkEnd w:id="250"/>
            <w:r>
              <w:rPr>
                <w:rFonts w:hint="eastAsia" w:asciiTheme="minorEastAsia" w:hAnsiTheme="minorEastAsia" w:eastAsiaTheme="minorEastAsia" w:cstheme="minorEastAsia"/>
                <w:sz w:val="24"/>
                <w:lang w:bidi="ar"/>
              </w:rPr>
              <w:t>5%）</w:t>
            </w:r>
          </w:p>
        </w:tc>
        <w:tc>
          <w:tcPr>
            <w:tcW w:w="4962"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1ED18B31">
            <w:pPr>
              <w:spacing w:line="360" w:lineRule="auto"/>
              <w:jc w:val="both"/>
              <w:rPr>
                <w:rFonts w:hint="eastAsia" w:asciiTheme="minorEastAsia" w:hAnsiTheme="minorEastAsia" w:eastAsiaTheme="minorEastAsia" w:cstheme="minorEastAsia"/>
                <w:sz w:val="24"/>
              </w:rPr>
            </w:pPr>
            <w:bookmarkStart w:id="251" w:name="_Toc797"/>
            <w:r>
              <w:rPr>
                <w:rFonts w:hint="eastAsia" w:asciiTheme="minorEastAsia" w:hAnsiTheme="minorEastAsia" w:eastAsiaTheme="minorEastAsia" w:cstheme="minorEastAsia"/>
                <w:sz w:val="24"/>
                <w:lang w:bidi="ar"/>
              </w:rPr>
              <w:t>综合单价下浮</w:t>
            </w:r>
            <w:bookmarkEnd w:id="251"/>
            <w:r>
              <w:rPr>
                <w:rFonts w:hint="eastAsia" w:asciiTheme="minorEastAsia" w:hAnsiTheme="minorEastAsia" w:eastAsiaTheme="minorEastAsia" w:cstheme="minorEastAsia"/>
                <w:sz w:val="24"/>
                <w:lang w:bidi="ar"/>
              </w:rPr>
              <w:t>5%</w:t>
            </w:r>
          </w:p>
        </w:tc>
      </w:tr>
      <w:tr w14:paraId="244D562B">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361" w:hRule="atLeast"/>
          <w:jc w:val="center"/>
        </w:trPr>
        <w:tc>
          <w:tcPr>
            <w:tcW w:w="615" w:type="dxa"/>
            <w:tcBorders>
              <w:top w:val="outset" w:color="000000" w:sz="6" w:space="0"/>
              <w:left w:val="outset" w:color="000000" w:sz="6" w:space="0"/>
              <w:bottom w:val="outset" w:color="000000" w:sz="6" w:space="0"/>
              <w:right w:val="outset" w:color="000000" w:sz="6" w:space="0"/>
            </w:tcBorders>
            <w:shd w:val="clear" w:color="auto" w:fill="auto"/>
            <w:tcMar>
              <w:top w:w="57" w:type="dxa"/>
              <w:left w:w="57" w:type="dxa"/>
              <w:bottom w:w="57" w:type="dxa"/>
              <w:right w:w="57" w:type="dxa"/>
            </w:tcMar>
            <w:vAlign w:val="center"/>
          </w:tcPr>
          <w:p w14:paraId="0956F2BD">
            <w:pPr>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7</w:t>
            </w:r>
          </w:p>
        </w:tc>
        <w:tc>
          <w:tcPr>
            <w:tcW w:w="1173"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67AB0291">
            <w:pPr>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综合单价</w:t>
            </w:r>
          </w:p>
        </w:tc>
        <w:tc>
          <w:tcPr>
            <w:tcW w:w="2256"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268E6093">
            <w:pPr>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（1+……+6）</w:t>
            </w:r>
          </w:p>
        </w:tc>
        <w:tc>
          <w:tcPr>
            <w:tcW w:w="4962" w:type="dxa"/>
            <w:tcBorders>
              <w:top w:val="outset" w:color="000000" w:sz="6" w:space="0"/>
              <w:left w:val="nil"/>
              <w:bottom w:val="outset" w:color="000000" w:sz="6" w:space="0"/>
              <w:right w:val="outset" w:color="000000" w:sz="6" w:space="0"/>
            </w:tcBorders>
            <w:shd w:val="clear" w:color="auto" w:fill="auto"/>
            <w:tcMar>
              <w:top w:w="57" w:type="dxa"/>
              <w:left w:w="57" w:type="dxa"/>
              <w:bottom w:w="57" w:type="dxa"/>
              <w:right w:w="57" w:type="dxa"/>
            </w:tcMar>
            <w:vAlign w:val="center"/>
          </w:tcPr>
          <w:p w14:paraId="3F1BB075">
            <w:pPr>
              <w:spacing w:line="360" w:lineRule="auto"/>
              <w:jc w:val="both"/>
              <w:rPr>
                <w:rFonts w:hint="eastAsia" w:asciiTheme="minorEastAsia" w:hAnsiTheme="minorEastAsia" w:eastAsiaTheme="minorEastAsia" w:cstheme="minorEastAsia"/>
                <w:sz w:val="24"/>
              </w:rPr>
            </w:pPr>
          </w:p>
        </w:tc>
      </w:tr>
    </w:tbl>
    <w:p w14:paraId="45EF650C">
      <w:pPr>
        <w:spacing w:line="360" w:lineRule="auto"/>
        <w:ind w:left="0" w:leftChars="0" w:firstLine="568" w:firstLineChars="237"/>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备注：</w:t>
      </w:r>
    </w:p>
    <w:p w14:paraId="0C044465">
      <w:pPr>
        <w:spacing w:line="360" w:lineRule="auto"/>
        <w:ind w:left="0" w:leftChars="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1.上表中的“定额”是指《广东省房屋建筑与装饰工程综合定额（2018）》、《广东省通用安装工程综合定额（2018）》、《广东省市政工程综合定额（2018）》及施工期间施行的广东其它专业定额；</w:t>
      </w:r>
    </w:p>
    <w:p w14:paraId="1AC091AA">
      <w:pPr>
        <w:spacing w:line="360" w:lineRule="auto"/>
        <w:ind w:left="0" w:leftChars="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2.材料价格按下述变更工程和新增工程材料价格确定方式确定。</w:t>
      </w:r>
    </w:p>
    <w:p w14:paraId="68A0D85C">
      <w:pPr>
        <w:spacing w:line="360" w:lineRule="auto"/>
        <w:ind w:left="0" w:leftChars="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3.材料价格确定方式及优先次序：</w:t>
      </w:r>
    </w:p>
    <w:p w14:paraId="7D9924B3">
      <w:pPr>
        <w:spacing w:line="360" w:lineRule="auto"/>
        <w:ind w:left="0" w:leftChars="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1）①合同中有适用的价格按已有价格计入。②合同中没有适用材料、有相同类型但规格（或型号、标号等）不同的材料，参照合同已有最接近规格（或型号、标号等）材料的价格（若为约定可调价的材料应按招标文件相关条款确定材料价格），采用插值法换算新增主材价格。</w:t>
      </w:r>
    </w:p>
    <w:p w14:paraId="7721DAB7">
      <w:pPr>
        <w:spacing w:line="360" w:lineRule="auto"/>
        <w:ind w:left="0" w:leftChars="0" w:firstLine="568" w:firstLineChars="237"/>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（2）报价文件中没有适用或类似的材料，而变更或新增工程发生该月由</w:t>
      </w:r>
      <w:r>
        <w:rPr>
          <w:rFonts w:hint="eastAsia" w:asciiTheme="minorEastAsia" w:hAnsiTheme="minorEastAsia" w:eastAsiaTheme="minorEastAsia" w:cstheme="minorEastAsia"/>
          <w:kern w:val="0"/>
          <w:sz w:val="24"/>
          <w:u w:val="single"/>
          <w:lang w:bidi="ar"/>
        </w:rPr>
        <w:t xml:space="preserve"> 广州 </w:t>
      </w:r>
      <w:r>
        <w:rPr>
          <w:rFonts w:hint="eastAsia" w:asciiTheme="minorEastAsia" w:hAnsiTheme="minorEastAsia" w:eastAsiaTheme="minorEastAsia" w:cstheme="minorEastAsia"/>
          <w:kern w:val="0"/>
          <w:sz w:val="24"/>
          <w:lang w:bidi="ar"/>
        </w:rPr>
        <w:t>市建设工程造价管理站发布的《</w:t>
      </w:r>
      <w:r>
        <w:rPr>
          <w:rFonts w:hint="eastAsia" w:asciiTheme="minorEastAsia" w:hAnsiTheme="minorEastAsia" w:eastAsiaTheme="minorEastAsia" w:cstheme="minorEastAsia"/>
          <w:kern w:val="0"/>
          <w:sz w:val="24"/>
          <w:u w:val="single"/>
          <w:lang w:bidi="ar"/>
        </w:rPr>
        <w:t xml:space="preserve"> 广州 </w:t>
      </w:r>
      <w:r>
        <w:rPr>
          <w:rFonts w:hint="eastAsia" w:asciiTheme="minorEastAsia" w:hAnsiTheme="minorEastAsia" w:eastAsiaTheme="minorEastAsia" w:cstheme="minorEastAsia"/>
          <w:kern w:val="0"/>
          <w:sz w:val="24"/>
          <w:lang w:bidi="ar"/>
        </w:rPr>
        <w:t>建设工程造价信息》（税前价格，若该项材料综合价格存在区间价时，则取区间价的中间价）税前综合价有适用或类似的材料。</w:t>
      </w:r>
    </w:p>
    <w:p w14:paraId="68D089B3">
      <w:pPr>
        <w:spacing w:line="360" w:lineRule="auto"/>
        <w:ind w:left="0" w:leftChars="0" w:firstLine="568" w:firstLineChars="237"/>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（3）报价文件中没有适用或类似的材料，且同期《</w:t>
      </w:r>
      <w:r>
        <w:rPr>
          <w:rFonts w:hint="eastAsia" w:asciiTheme="minorEastAsia" w:hAnsiTheme="minorEastAsia" w:eastAsiaTheme="minorEastAsia" w:cstheme="minorEastAsia"/>
          <w:kern w:val="0"/>
          <w:sz w:val="24"/>
          <w:u w:val="single"/>
          <w:lang w:bidi="ar"/>
        </w:rPr>
        <w:t xml:space="preserve"> 广州 </w:t>
      </w:r>
      <w:r>
        <w:rPr>
          <w:rFonts w:hint="eastAsia" w:asciiTheme="minorEastAsia" w:hAnsiTheme="minorEastAsia" w:eastAsiaTheme="minorEastAsia" w:cstheme="minorEastAsia"/>
          <w:kern w:val="0"/>
          <w:sz w:val="24"/>
          <w:lang w:bidi="ar"/>
        </w:rPr>
        <w:t>建设工程造价信息》（税前价格，若该项材料综合价格存在区间价时，则取区间价的中间价）税前综合价也没有适用或类似的材料，则由发包方、承包人及发包方咨询单位共同市场询价三家或以上的价格进行比较，以最低价价格作为计算依据（招标文件有要求品牌的按招标文件执行，若无则不低于招标文件要求的品牌档次）。</w:t>
      </w:r>
    </w:p>
    <w:p w14:paraId="233F9589">
      <w:pPr>
        <w:spacing w:line="360" w:lineRule="auto"/>
        <w:ind w:left="0" w:leftChars="0"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（4）所有的新增、变更项目主材均要由发包人定板后确定价格。</w:t>
      </w:r>
    </w:p>
    <w:p w14:paraId="2F44BE23">
      <w:pPr>
        <w:autoSpaceDE/>
        <w:autoSpaceDN/>
        <w:adjustRightInd/>
        <w:snapToGri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（5）若政府主管部门对“</w:t>
      </w:r>
      <w:r>
        <w:rPr>
          <w:rFonts w:hint="eastAsia" w:asciiTheme="minorEastAsia" w:hAnsiTheme="minorEastAsia" w:eastAsiaTheme="minorEastAsia" w:cstheme="minorEastAsia"/>
          <w:kern w:val="0"/>
          <w:sz w:val="24"/>
          <w:u w:val="none"/>
          <w:lang w:bidi="ar"/>
        </w:rPr>
        <w:t>广州</w:t>
      </w:r>
      <w:r>
        <w:rPr>
          <w:rFonts w:hint="eastAsia" w:asciiTheme="minorEastAsia" w:hAnsiTheme="minorEastAsia" w:eastAsiaTheme="minorEastAsia" w:cstheme="minorEastAsia"/>
          <w:kern w:val="0"/>
          <w:sz w:val="24"/>
          <w:lang w:bidi="ar"/>
        </w:rPr>
        <w:t>地区建设工程常用材料税前综合价格”政策进行调整，根据调整后的“</w:t>
      </w:r>
      <w:r>
        <w:rPr>
          <w:rFonts w:hint="eastAsia" w:asciiTheme="minorEastAsia" w:hAnsiTheme="minorEastAsia" w:eastAsiaTheme="minorEastAsia" w:cstheme="minorEastAsia"/>
          <w:kern w:val="0"/>
          <w:sz w:val="24"/>
          <w:u w:val="none"/>
          <w:lang w:bidi="ar"/>
        </w:rPr>
        <w:t>广州</w:t>
      </w:r>
      <w:r>
        <w:rPr>
          <w:rFonts w:hint="eastAsia" w:asciiTheme="minorEastAsia" w:hAnsiTheme="minorEastAsia" w:eastAsiaTheme="minorEastAsia" w:cstheme="minorEastAsia"/>
          <w:kern w:val="0"/>
          <w:sz w:val="24"/>
          <w:lang w:bidi="ar"/>
        </w:rPr>
        <w:t>地区建设工程常用材料税前综合价格”的政策按上述原则执行。</w:t>
      </w:r>
    </w:p>
    <w:p w14:paraId="7B3F0573">
      <w:pPr>
        <w:spacing w:before="120" w:beforeLines="50" w:line="360" w:lineRule="auto"/>
        <w:ind w:left="480" w:firstLine="568" w:firstLineChars="237"/>
        <w:outlineLvl w:val="3"/>
        <w:rPr>
          <w:rFonts w:hint="eastAsia" w:asciiTheme="minorEastAsia" w:hAnsiTheme="minorEastAsia" w:eastAsiaTheme="minorEastAsia" w:cstheme="minorEastAsia"/>
          <w:sz w:val="24"/>
          <w:lang w:bidi="ar"/>
        </w:rPr>
      </w:pPr>
      <w:bookmarkStart w:id="252" w:name="_Toc517273223"/>
      <w:bookmarkStart w:id="253" w:name="_Toc29400"/>
      <w:bookmarkStart w:id="254" w:name="_Toc21380"/>
      <w:bookmarkStart w:id="255" w:name="_Toc29229"/>
      <w:bookmarkStart w:id="256" w:name="_Toc3732"/>
      <w:r>
        <w:rPr>
          <w:rFonts w:hint="eastAsia" w:asciiTheme="minorEastAsia" w:hAnsiTheme="minorEastAsia" w:eastAsiaTheme="minorEastAsia" w:cstheme="minorEastAsia"/>
          <w:kern w:val="0"/>
          <w:sz w:val="24"/>
          <w:lang w:eastAsia="zh" w:bidi="ar"/>
        </w:rPr>
        <w:t>11.9</w:t>
      </w:r>
      <w:r>
        <w:rPr>
          <w:rFonts w:hint="eastAsia" w:asciiTheme="minorEastAsia" w:hAnsiTheme="minorEastAsia" w:eastAsiaTheme="minorEastAsia" w:cstheme="minorEastAsia"/>
          <w:kern w:val="0"/>
          <w:sz w:val="24"/>
          <w:lang w:bidi="ar"/>
        </w:rPr>
        <w:t xml:space="preserve"> 价款支付</w:t>
      </w:r>
      <w:bookmarkEnd w:id="252"/>
      <w:r>
        <w:rPr>
          <w:rFonts w:hint="eastAsia" w:asciiTheme="minorEastAsia" w:hAnsiTheme="minorEastAsia" w:eastAsiaTheme="minorEastAsia" w:cstheme="minorEastAsia"/>
          <w:kern w:val="0"/>
          <w:sz w:val="24"/>
          <w:lang w:bidi="ar"/>
        </w:rPr>
        <w:t>：</w:t>
      </w:r>
      <w:bookmarkEnd w:id="253"/>
      <w:bookmarkEnd w:id="254"/>
      <w:bookmarkEnd w:id="255"/>
      <w:bookmarkEnd w:id="256"/>
      <w:r>
        <w:rPr>
          <w:rFonts w:hint="eastAsia" w:asciiTheme="minorEastAsia" w:hAnsiTheme="minorEastAsia" w:eastAsiaTheme="minorEastAsia" w:cstheme="minorEastAsia"/>
          <w:kern w:val="0"/>
          <w:sz w:val="24"/>
          <w:lang w:bidi="ar"/>
        </w:rPr>
        <w:t>依据总包合同，本项目专业分包工程费用由发包方付款至承包方，由承包方向分包方支付。</w:t>
      </w:r>
    </w:p>
    <w:p w14:paraId="3BC10A95">
      <w:pPr>
        <w:numPr>
          <w:ilvl w:val="0"/>
          <w:numId w:val="0"/>
        </w:numPr>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eastAsia="zh-CN" w:bidi="ar"/>
        </w:rPr>
        <w:t>11.9.1</w:t>
      </w:r>
      <w:r>
        <w:rPr>
          <w:rFonts w:hint="eastAsia" w:asciiTheme="minorEastAsia" w:hAnsiTheme="minorEastAsia" w:eastAsiaTheme="minorEastAsia" w:cstheme="minorEastAsia"/>
          <w:kern w:val="0"/>
          <w:sz w:val="24"/>
          <w:lang w:bidi="ar"/>
        </w:rPr>
        <w:t>工程款支付：</w:t>
      </w:r>
    </w:p>
    <w:p w14:paraId="77BFCF11">
      <w:pPr>
        <w:numPr>
          <w:ilvl w:val="0"/>
          <w:numId w:val="0"/>
        </w:numPr>
        <w:spacing w:line="360" w:lineRule="auto"/>
        <w:ind w:left="0"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1）分包人在本合同签订后30天内，按合同要求向承包人提交履约保函(保函金额为暂定含税合同总价的10%）后可申请支付暂定含税合同总价(不含暂估价及暂列金)的10%为工程预付款。；</w:t>
      </w:r>
    </w:p>
    <w:p w14:paraId="1477B052">
      <w:pPr>
        <w:adjustRightInd/>
        <w:snapToGrid/>
        <w:spacing w:line="360" w:lineRule="auto"/>
        <w:ind w:firstLine="568" w:firstLineChars="237"/>
        <w:jc w:val="both"/>
        <w:rPr>
          <w:rFonts w:hint="eastAsia" w:asciiTheme="minorEastAsia" w:hAnsiTheme="minorEastAsia" w:eastAsiaTheme="minorEastAsia" w:cstheme="minorEastAsia"/>
          <w:kern w:val="0"/>
          <w:sz w:val="24"/>
          <w:u w:val="none"/>
          <w:lang w:bidi="ar"/>
        </w:rPr>
      </w:pPr>
      <w:r>
        <w:rPr>
          <w:rFonts w:hint="eastAsia" w:asciiTheme="minorEastAsia" w:hAnsiTheme="minorEastAsia" w:eastAsiaTheme="minorEastAsia" w:cstheme="minorEastAsia"/>
          <w:kern w:val="0"/>
          <w:sz w:val="24"/>
          <w:u w:val="none"/>
          <w:lang w:bidi="ar"/>
        </w:rPr>
        <w:t>预付款扣回的时间和比例为：</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410"/>
        <w:gridCol w:w="1985"/>
      </w:tblGrid>
      <w:tr w14:paraId="0B07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4EB3F80E">
            <w:pPr>
              <w:snapToGrid w:val="0"/>
              <w:spacing w:line="240" w:lineRule="exact"/>
              <w:ind w:left="360" w:hanging="360" w:hangingChars="15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已完工作量与承包合同价之比</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94008C0">
            <w:pPr>
              <w:snapToGrid w:val="0"/>
              <w:spacing w:line="240" w:lineRule="exact"/>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扣回预付款的比例</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89C9B85">
            <w:pPr>
              <w:snapToGrid w:val="0"/>
              <w:spacing w:line="240" w:lineRule="exact"/>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累计扣回比例</w:t>
            </w:r>
          </w:p>
        </w:tc>
      </w:tr>
      <w:tr w14:paraId="13BB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2AA8845A">
            <w:pPr>
              <w:snapToGrid w:val="0"/>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10%≤a＜20%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1DEA2F7D">
            <w:pPr>
              <w:snapToGrid w:val="0"/>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C2C8A21">
            <w:pPr>
              <w:snapToGrid w:val="0"/>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w:t>
            </w:r>
          </w:p>
        </w:tc>
      </w:tr>
      <w:tr w14:paraId="492D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2A499F14">
            <w:pPr>
              <w:snapToGrid w:val="0"/>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20%≤a＜30%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5689356">
            <w:pPr>
              <w:snapToGrid w:val="0"/>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7E9389C">
            <w:pPr>
              <w:snapToGrid w:val="0"/>
              <w:spacing w:line="2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w:t>
            </w:r>
          </w:p>
        </w:tc>
      </w:tr>
      <w:tr w14:paraId="3F84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27DD127B">
            <w:pPr>
              <w:snapToGrid w:val="0"/>
              <w:spacing w:line="240" w:lineRule="exact"/>
              <w:jc w:val="center"/>
              <w:rPr>
                <w:rFonts w:hint="eastAsia" w:asciiTheme="minorEastAsia" w:hAnsiTheme="minorEastAsia" w:eastAsiaTheme="minorEastAsia" w:cstheme="minorEastAsia"/>
                <w:sz w:val="24"/>
                <w:lang w:bidi="ar"/>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76185A6">
            <w:pPr>
              <w:snapToGrid w:val="0"/>
              <w:spacing w:line="240" w:lineRule="exact"/>
              <w:jc w:val="center"/>
              <w:rPr>
                <w:rFonts w:hint="eastAsia" w:asciiTheme="minorEastAsia" w:hAnsiTheme="minorEastAsia" w:eastAsiaTheme="minorEastAsia" w:cstheme="minorEastAsia"/>
                <w:sz w:val="24"/>
                <w:lang w:bidi="ar"/>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8FC58C2">
            <w:pPr>
              <w:snapToGrid w:val="0"/>
              <w:spacing w:line="240" w:lineRule="exact"/>
              <w:jc w:val="center"/>
              <w:rPr>
                <w:rFonts w:hint="eastAsia" w:asciiTheme="minorEastAsia" w:hAnsiTheme="minorEastAsia" w:eastAsiaTheme="minorEastAsia" w:cstheme="minorEastAsia"/>
                <w:sz w:val="24"/>
                <w:lang w:bidi="ar"/>
              </w:rPr>
            </w:pPr>
          </w:p>
        </w:tc>
      </w:tr>
    </w:tbl>
    <w:p w14:paraId="2F44DFFB">
      <w:pPr>
        <w:numPr>
          <w:ilvl w:val="255"/>
          <w:numId w:val="0"/>
        </w:numPr>
        <w:tabs>
          <w:tab w:val="left" w:pos="426"/>
          <w:tab w:val="left" w:pos="1260"/>
        </w:tabs>
        <w:spacing w:line="360" w:lineRule="auto"/>
        <w:rPr>
          <w:rFonts w:hint="eastAsia" w:asciiTheme="minorEastAsia" w:hAnsiTheme="minorEastAsia" w:eastAsiaTheme="minorEastAsia" w:cstheme="minorEastAsia"/>
          <w:kern w:val="0"/>
          <w:sz w:val="24"/>
          <w:highlight w:val="yellow"/>
        </w:rPr>
      </w:pPr>
    </w:p>
    <w:p w14:paraId="12E82F92">
      <w:pPr>
        <w:numPr>
          <w:ilvl w:val="0"/>
          <w:numId w:val="0"/>
        </w:numPr>
        <w:spacing w:line="360" w:lineRule="auto"/>
        <w:ind w:left="0"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w:t>
      </w:r>
      <w:r>
        <w:rPr>
          <w:rFonts w:hint="eastAsia" w:asciiTheme="minorEastAsia" w:hAnsiTheme="minorEastAsia" w:eastAsiaTheme="minorEastAsia" w:cstheme="minorEastAsia"/>
          <w:kern w:val="0"/>
          <w:sz w:val="24"/>
          <w:lang w:val="en-US" w:eastAsia="zh-CN" w:bidi="ar"/>
        </w:rPr>
        <w:t>在</w:t>
      </w:r>
      <w:r>
        <w:rPr>
          <w:rFonts w:hint="eastAsia" w:ascii="宋体" w:hAnsi="宋体"/>
          <w:color w:val="auto"/>
          <w:kern w:val="0"/>
          <w:sz w:val="24"/>
          <w:highlight w:val="none"/>
        </w:rPr>
        <w:t>合同修正价款确定之前：工程进度款按照造价咨询单位编制的施工图预算进行计价、支付，工程进度款按经审核每个月完成工程量价款的</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0%支付</w:t>
      </w:r>
      <w:r>
        <w:rPr>
          <w:rFonts w:hint="eastAsia" w:asciiTheme="minorEastAsia" w:hAnsiTheme="minorEastAsia" w:eastAsiaTheme="minorEastAsia" w:cstheme="minorEastAsia"/>
          <w:kern w:val="0"/>
          <w:sz w:val="24"/>
          <w:lang w:bidi="ar"/>
        </w:rPr>
        <w:t>；</w:t>
      </w:r>
    </w:p>
    <w:p w14:paraId="7075BA18">
      <w:pPr>
        <w:numPr>
          <w:ilvl w:val="0"/>
          <w:numId w:val="0"/>
        </w:numPr>
        <w:spacing w:line="360" w:lineRule="auto"/>
        <w:ind w:left="0"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3）工程竣工备案后支付至经审核累计实际完成工程量价款的85%；</w:t>
      </w:r>
    </w:p>
    <w:p w14:paraId="6F71248D">
      <w:pPr>
        <w:numPr>
          <w:ilvl w:val="0"/>
          <w:numId w:val="0"/>
        </w:numPr>
        <w:spacing w:line="360" w:lineRule="auto"/>
        <w:ind w:left="0" w:firstLine="568" w:firstLineChars="237"/>
        <w:rPr>
          <w:rFonts w:hint="eastAsia" w:asciiTheme="minorEastAsia" w:hAnsiTheme="minorEastAsia" w:eastAsiaTheme="minorEastAsia" w:cstheme="minorEastAsia"/>
          <w:kern w:val="0"/>
          <w:sz w:val="24"/>
          <w:lang w:eastAsia="zh-CN" w:bidi="ar"/>
        </w:rPr>
      </w:pPr>
      <w:r>
        <w:rPr>
          <w:rFonts w:hint="eastAsia" w:asciiTheme="minorEastAsia" w:hAnsiTheme="minorEastAsia" w:eastAsiaTheme="minorEastAsia" w:cstheme="minorEastAsia"/>
          <w:kern w:val="0"/>
          <w:sz w:val="24"/>
          <w:lang w:eastAsia="zh-CN" w:bidi="ar"/>
        </w:rPr>
        <w:t>4）承包方完成竣工验收备案且工程竣工结算完成并移交物业后30个工作日内，支付到本工程结算价的97%，剩余结算金额的3%作为质保金。</w:t>
      </w:r>
    </w:p>
    <w:p w14:paraId="62941C8C">
      <w:pPr>
        <w:widowControl w:val="0"/>
        <w:spacing w:line="360" w:lineRule="auto"/>
        <w:ind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11.10总承包服务费包括总承包管理费和总承包配合费。</w:t>
      </w:r>
    </w:p>
    <w:p w14:paraId="67181347">
      <w:pPr>
        <w:widowControl w:val="0"/>
        <w:spacing w:line="360" w:lineRule="auto"/>
        <w:ind w:firstLine="568" w:firstLineChars="237"/>
        <w:jc w:val="both"/>
        <w:rPr>
          <w:rFonts w:hint="eastAsia" w:asciiTheme="minorEastAsia" w:hAnsiTheme="minorEastAsia" w:eastAsiaTheme="minorEastAsia" w:cstheme="minorEastAsia"/>
          <w:kern w:val="0"/>
          <w:sz w:val="24"/>
          <w:highlight w:val="none"/>
          <w:lang w:bidi="ar"/>
        </w:rPr>
      </w:pPr>
      <w:r>
        <w:rPr>
          <w:rFonts w:hint="eastAsia" w:asciiTheme="minorEastAsia" w:hAnsiTheme="minorEastAsia" w:eastAsiaTheme="minorEastAsia" w:cstheme="minorEastAsia"/>
          <w:kern w:val="0"/>
          <w:sz w:val="24"/>
          <w:lang w:bidi="ar"/>
        </w:rPr>
        <w:t>11.10.1</w:t>
      </w:r>
      <w:r>
        <w:rPr>
          <w:rFonts w:hint="eastAsia" w:asciiTheme="minorEastAsia" w:hAnsiTheme="minorEastAsia" w:eastAsiaTheme="minorEastAsia" w:cstheme="minorEastAsia"/>
          <w:kern w:val="0"/>
          <w:sz w:val="24"/>
          <w:highlight w:val="none"/>
          <w:lang w:bidi="ar"/>
        </w:rPr>
        <w:t>总承包管理费已由发包人支付给承包人，承包人不得向专业工程承包人再收取任何管理费用。</w:t>
      </w:r>
    </w:p>
    <w:p w14:paraId="21A884A1">
      <w:pPr>
        <w:widowControl w:val="0"/>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11.10.2总承包配合费包括但不限于：承包人为分包人提供红线内生产、生活用设施搭建场地费；提供红线内现有运输道路和通道使用费；提供红线内施工用水、用电的接驳点的费用；提供红线内现有公共临时设施使用费</w:t>
      </w:r>
      <w:r>
        <w:rPr>
          <w:rFonts w:hint="eastAsia" w:asciiTheme="minorEastAsia" w:hAnsiTheme="minorEastAsia" w:eastAsiaTheme="minorEastAsia" w:cstheme="minorEastAsia"/>
          <w:kern w:val="0"/>
          <w:sz w:val="24"/>
          <w:highlight w:val="none"/>
          <w:lang w:bidi="ar"/>
        </w:rPr>
        <w:t>；提供现有垂直运输设施使用费；提供现有外排栅、外脚手架使用费</w:t>
      </w:r>
      <w:r>
        <w:rPr>
          <w:rFonts w:hint="eastAsia"/>
          <w:kern w:val="0"/>
          <w:sz w:val="24"/>
          <w:highlight w:val="none"/>
        </w:rPr>
        <w:t>，并保证上述设施使用过程的安全</w:t>
      </w:r>
      <w:r>
        <w:rPr>
          <w:rFonts w:hint="eastAsia" w:asciiTheme="minorEastAsia" w:hAnsiTheme="minorEastAsia" w:eastAsiaTheme="minorEastAsia" w:cstheme="minorEastAsia"/>
          <w:kern w:val="0"/>
          <w:sz w:val="24"/>
          <w:highlight w:val="none"/>
          <w:lang w:bidi="ar"/>
        </w:rPr>
        <w:t>。</w:t>
      </w:r>
    </w:p>
    <w:p w14:paraId="58F4D54D">
      <w:pPr>
        <w:widowControl w:val="0"/>
        <w:adjustRightInd/>
        <w:snapToGri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11.11在确认计量结果和价款后，发包人通过承包人向分包人支付工程进度款。保修期满后14天内，发包人在扣除分包人应支付承包人的违约金、赔偿金等款项后支付剩余的质保金，质保金不计利息。</w:t>
      </w:r>
    </w:p>
    <w:p w14:paraId="43A7C962">
      <w:pPr>
        <w:widowControl w:val="0"/>
        <w:autoSpaceDE/>
        <w:autoSpaceDN/>
        <w:adjustRightInd/>
        <w:spacing w:line="360" w:lineRule="auto"/>
        <w:ind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11.12 增值税发票的要求：</w:t>
      </w:r>
    </w:p>
    <w:p w14:paraId="16E58959">
      <w:pPr>
        <w:widowControl w:val="0"/>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 xml:space="preserve">1）支付预付款及支付工程进度款之日7个工作日前，分包人应向承包人开具满足承包人及主管税务机关要求且与收款金额一致的合法增值税专用发票，承包人应根据总承包合同的约定，向发包人开具满足发包人及主管税务机关要求且与收款金额一致的合法增值税专用发票。 </w:t>
      </w:r>
    </w:p>
    <w:p w14:paraId="7ED2DF83">
      <w:pPr>
        <w:widowControl w:val="0"/>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2）发票由分包人按承包人要求提供，发票未足额提供给承包人前或不按承包人的要求提供的，承包人有权拒付工程款，承包人不因此承担违约责任。上述增值税专用发票必须符合国家《增值税专用发票使用规定》的相关要求，如分包人开具的增值税专用发票是无效或虚假发票，或者发生延迟开具增值税专用发票的情况，分包人应负责赔偿承包人因为分包人开具虚假发票或延迟开具发票所造成的一切损失或损害（包括但不限于税金、附加费、罚金、滞纳金等）。</w:t>
      </w:r>
    </w:p>
    <w:p w14:paraId="7AD5B007">
      <w:pPr>
        <w:widowControl w:val="0"/>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3）分包人开具的增值税专用发票（发票联及抵扣联）在送达承包人前如发生丢失、灭失或被盗等情况，导致相应票据未顺利送达承包人，或送达并经承包人签收后，发生丢失、灭失或被盗等情况的，分包人应向承包人提供丢失发票的记账联复印件（加盖发票专用章）等税收法规规定及主管税务机关要求提供的相关资料，并确保承包人顺利抵扣该增值税专用发票，否则，承包人因此遭受的经济损失由分包人负责赔偿。</w:t>
      </w:r>
    </w:p>
    <w:p w14:paraId="72CEFE17">
      <w:pPr>
        <w:adjustRightInd/>
        <w:snapToGrid/>
        <w:spacing w:line="360" w:lineRule="auto"/>
        <w:ind w:firstLine="568" w:firstLineChars="237"/>
        <w:rPr>
          <w:rFonts w:hint="eastAsia" w:asciiTheme="minorEastAsia" w:hAnsiTheme="minorEastAsia" w:eastAsiaTheme="minorEastAsia" w:cstheme="minorEastAsia"/>
          <w:snapToGrid/>
          <w:kern w:val="0"/>
          <w:sz w:val="24"/>
          <w:lang w:bidi="ar"/>
        </w:rPr>
      </w:pPr>
      <w:r>
        <w:rPr>
          <w:rFonts w:hint="eastAsia" w:asciiTheme="minorEastAsia" w:hAnsiTheme="minorEastAsia" w:eastAsiaTheme="minorEastAsia" w:cstheme="minorEastAsia"/>
          <w:color w:val="auto"/>
          <w:kern w:val="0"/>
          <w:sz w:val="24"/>
          <w:lang w:bidi="ar"/>
        </w:rPr>
        <w:t>4）若遇政策性调整增值税税率的，分包人提供增值税专用发票的增值税税率按当期国家税务总局政策性调整后的增值税税率执行；承包人按当次应付金额对应的不含增值税价款及调整后的增值税税率计算的增值税税费进行支付。</w:t>
      </w:r>
    </w:p>
    <w:p w14:paraId="09F6BACF">
      <w:pPr>
        <w:numPr>
          <w:ilvl w:val="0"/>
          <w:numId w:val="0"/>
        </w:numPr>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11.13进度款支付要求：</w:t>
      </w:r>
    </w:p>
    <w:p w14:paraId="596953D1">
      <w:pPr>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工程款的计量及申请统一纳入承包人的工程款报审中，每期工程款由工人工资款项和其他工程款项两部分组成；工人工资款项由建设单位支付给承包人工人工资账户，再由承包人支付给分包人；其他工程款项建设单位支付至承包人的账户，再由承包人支付给分包人。</w:t>
      </w:r>
    </w:p>
    <w:p w14:paraId="38C150BE">
      <w:pPr>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w:t>
      </w:r>
      <w:r>
        <w:rPr>
          <w:rFonts w:hint="eastAsia" w:asciiTheme="minorEastAsia" w:hAnsiTheme="minorEastAsia" w:eastAsiaTheme="minorEastAsia" w:cstheme="minorEastAsia"/>
          <w:kern w:val="0"/>
          <w:sz w:val="24"/>
          <w:highlight w:val="none"/>
          <w:lang w:bidi="ar"/>
        </w:rPr>
        <w:t>承包人收到发包人支付的</w:t>
      </w:r>
      <w:r>
        <w:rPr>
          <w:rFonts w:hint="eastAsia" w:asciiTheme="minorEastAsia" w:hAnsiTheme="minorEastAsia" w:eastAsiaTheme="minorEastAsia" w:cstheme="minorEastAsia"/>
          <w:kern w:val="0"/>
          <w:sz w:val="24"/>
          <w:lang w:bidi="ar"/>
        </w:rPr>
        <w:t>本工程对应</w:t>
      </w:r>
      <w:r>
        <w:rPr>
          <w:rFonts w:hint="eastAsia" w:asciiTheme="minorEastAsia" w:hAnsiTheme="minorEastAsia" w:eastAsiaTheme="minorEastAsia" w:cstheme="minorEastAsia"/>
          <w:kern w:val="0"/>
          <w:sz w:val="24"/>
          <w:highlight w:val="none"/>
          <w:lang w:bidi="ar"/>
        </w:rPr>
        <w:t>工程款（含工人工资款）之日起14个日</w:t>
      </w:r>
      <w:r>
        <w:rPr>
          <w:rFonts w:hint="eastAsia" w:asciiTheme="minorEastAsia" w:hAnsiTheme="minorEastAsia" w:eastAsiaTheme="minorEastAsia" w:cstheme="minorEastAsia"/>
          <w:kern w:val="0"/>
          <w:sz w:val="24"/>
          <w:lang w:bidi="ar"/>
        </w:rPr>
        <w:t>工作日</w:t>
      </w:r>
      <w:r>
        <w:rPr>
          <w:rFonts w:hint="eastAsia" w:asciiTheme="minorEastAsia" w:hAnsiTheme="minorEastAsia" w:eastAsiaTheme="minorEastAsia" w:cstheme="minorEastAsia"/>
          <w:kern w:val="0"/>
          <w:sz w:val="24"/>
          <w:highlight w:val="none"/>
          <w:lang w:bidi="ar"/>
        </w:rPr>
        <w:t>内，应将款项支付给相应的分包人。承包人未按上述时间要求支付分包工程款的，视为一次违约且按总承包合同约定向发包人支付违约金。</w:t>
      </w:r>
    </w:p>
    <w:p w14:paraId="6B435E5D">
      <w:pPr>
        <w:spacing w:line="360" w:lineRule="auto"/>
        <w:ind w:firstLine="568" w:firstLineChars="237"/>
        <w:jc w:val="both"/>
        <w:rPr>
          <w:rStyle w:val="36"/>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3）因承包人原因未按本合同约定支付工程款的，分包人应自承包人应支付期限届满之日起第20天后向承包人发出要求付款的通知，承包人在收到付款通知之日起30日历天内仍未按要求支付的，分包人有权按照中国人民银行公布的同期一年期存款基准利率向承包人要求支付利息（该利息的计算基数为应付未付工程款）。计息时间从款项应支付期限届满之日起第31日算起计至实际支付之日止。</w:t>
      </w:r>
    </w:p>
    <w:p w14:paraId="091C841B">
      <w:pPr>
        <w:spacing w:line="360" w:lineRule="auto"/>
        <w:ind w:firstLine="568" w:firstLineChars="237"/>
        <w:jc w:val="both"/>
        <w:rPr>
          <w:rStyle w:val="41"/>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lang w:bidi="ar"/>
        </w:rPr>
        <w:t>11.14 因分包人原因形成的所有质量保修、赔偿费用及分包人质量保修违约处罚均从工程质保金中抵扣。如质保金余额不足以支付工程保修及赔偿等费用，分包人应在接到承包人、发包人通知后30天内将差额补齐。</w:t>
      </w:r>
    </w:p>
    <w:p w14:paraId="2604C57E">
      <w:pPr>
        <w:pStyle w:val="75"/>
        <w:tabs>
          <w:tab w:val="left" w:pos="720"/>
        </w:tabs>
        <w:spacing w:before="120" w:beforeLines="50" w:line="360" w:lineRule="auto"/>
        <w:rPr>
          <w:rFonts w:hint="eastAsia" w:asciiTheme="minorEastAsia" w:hAnsiTheme="minorEastAsia" w:eastAsiaTheme="minorEastAsia" w:cstheme="minorEastAsia"/>
          <w:sz w:val="24"/>
          <w:szCs w:val="24"/>
        </w:rPr>
      </w:pPr>
      <w:bookmarkStart w:id="257" w:name="_Toc19353"/>
      <w:bookmarkStart w:id="258" w:name="_Toc32103"/>
      <w:bookmarkStart w:id="259" w:name="_Toc13027"/>
      <w:bookmarkStart w:id="260" w:name="_Toc3092"/>
      <w:bookmarkStart w:id="261" w:name="_Toc24691"/>
      <w:bookmarkStart w:id="262" w:name="_Toc22549"/>
      <w:bookmarkStart w:id="263" w:name="_Toc24362"/>
      <w:bookmarkStart w:id="264" w:name="_Toc16534"/>
      <w:bookmarkStart w:id="265" w:name="_Toc19191"/>
      <w:bookmarkStart w:id="266" w:name="_Toc18876"/>
      <w:bookmarkStart w:id="267" w:name="_Toc24227"/>
      <w:bookmarkStart w:id="268" w:name="_Toc200394221"/>
      <w:bookmarkStart w:id="269" w:name="_Toc17423"/>
      <w:bookmarkStart w:id="270" w:name="_Toc8967"/>
      <w:bookmarkStart w:id="271" w:name="_Toc4723"/>
      <w:bookmarkStart w:id="272" w:name="_Toc17154"/>
      <w:r>
        <w:rPr>
          <w:rFonts w:hint="eastAsia" w:asciiTheme="minorEastAsia" w:hAnsiTheme="minorEastAsia" w:eastAsiaTheme="minorEastAsia" w:cstheme="minorEastAsia"/>
          <w:sz w:val="24"/>
          <w:szCs w:val="24"/>
        </w:rPr>
        <w:t>七、材料和工程设备</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8A07BFD">
      <w:pPr>
        <w:pStyle w:val="4"/>
        <w:spacing w:before="0" w:after="0" w:line="360" w:lineRule="auto"/>
        <w:rPr>
          <w:rFonts w:hint="eastAsia" w:asciiTheme="minorEastAsia" w:hAnsiTheme="minorEastAsia" w:eastAsiaTheme="minorEastAsia" w:cstheme="minorEastAsia"/>
          <w:kern w:val="0"/>
          <w:sz w:val="24"/>
        </w:rPr>
      </w:pPr>
      <w:bookmarkStart w:id="273" w:name="_Toc5792"/>
      <w:bookmarkStart w:id="274" w:name="_Toc13047"/>
      <w:bookmarkStart w:id="275" w:name="_Toc2880"/>
      <w:bookmarkStart w:id="276" w:name="_Toc6922"/>
      <w:bookmarkStart w:id="277" w:name="_Toc11009"/>
      <w:bookmarkStart w:id="278" w:name="_Toc14380"/>
      <w:bookmarkStart w:id="279" w:name="_Toc32614"/>
      <w:bookmarkStart w:id="280" w:name="_Toc7017"/>
      <w:bookmarkStart w:id="281" w:name="_Toc640"/>
      <w:bookmarkStart w:id="282" w:name="_Toc17375"/>
      <w:bookmarkStart w:id="283" w:name="_Toc2402"/>
      <w:bookmarkStart w:id="284" w:name="_Toc29987"/>
      <w:bookmarkStart w:id="285" w:name="_Toc29963"/>
      <w:r>
        <w:rPr>
          <w:rFonts w:hint="eastAsia" w:asciiTheme="minorEastAsia" w:hAnsiTheme="minorEastAsia" w:eastAsiaTheme="minorEastAsia" w:cstheme="minorEastAsia"/>
          <w:kern w:val="0"/>
          <w:sz w:val="24"/>
        </w:rPr>
        <w:t>12 材料和工程设备的提供</w:t>
      </w:r>
    </w:p>
    <w:p w14:paraId="3DB13AF7">
      <w:pPr>
        <w:spacing w:before="0" w:after="0"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12.1 分包人提供的材料和工程设备</w:t>
      </w:r>
    </w:p>
    <w:p w14:paraId="7A873D07">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12.1.1 本工程使用的材料和工程设备参考品牌详见合同附件《材料设备品牌</w:t>
      </w:r>
      <w:r>
        <w:rPr>
          <w:rFonts w:hint="eastAsia" w:asciiTheme="minorEastAsia" w:hAnsiTheme="minorEastAsia" w:eastAsiaTheme="minorEastAsia" w:cstheme="minorEastAsia"/>
          <w:kern w:val="0"/>
          <w:sz w:val="24"/>
          <w:lang w:val="en-US" w:eastAsia="zh-CN" w:bidi="ar"/>
        </w:rPr>
        <w:t>参考</w:t>
      </w:r>
      <w:r>
        <w:rPr>
          <w:rFonts w:hint="eastAsia" w:asciiTheme="minorEastAsia" w:hAnsiTheme="minorEastAsia" w:eastAsiaTheme="minorEastAsia" w:cstheme="minorEastAsia"/>
          <w:kern w:val="0"/>
          <w:sz w:val="24"/>
          <w:lang w:bidi="ar"/>
        </w:rPr>
        <w:t>表》。分包人进场后不晚于样品送样前7天完成材料设备品牌、系列型号的报审工作，包括：清单内的所有主材、设备、合同约定品牌的材料设备，有技术文件约定参数的材料设备，其他需要报审的材料设备。品牌报审同时完成以下计划申报工作：《材料设备进场计划》、《材料设备排产计划》</w:t>
      </w:r>
    </w:p>
    <w:bookmarkEnd w:id="273"/>
    <w:bookmarkEnd w:id="274"/>
    <w:bookmarkEnd w:id="275"/>
    <w:bookmarkEnd w:id="276"/>
    <w:bookmarkEnd w:id="277"/>
    <w:bookmarkEnd w:id="278"/>
    <w:bookmarkEnd w:id="279"/>
    <w:bookmarkEnd w:id="280"/>
    <w:bookmarkEnd w:id="281"/>
    <w:bookmarkEnd w:id="282"/>
    <w:bookmarkEnd w:id="283"/>
    <w:bookmarkEnd w:id="284"/>
    <w:bookmarkEnd w:id="285"/>
    <w:p w14:paraId="632312C6">
      <w:pPr>
        <w:spacing w:line="360" w:lineRule="auto"/>
        <w:ind w:firstLine="568" w:firstLineChars="237"/>
        <w:rPr>
          <w:rFonts w:asciiTheme="minorEastAsia" w:hAnsiTheme="minorEastAsia" w:eastAsiaTheme="minorEastAsia" w:cstheme="minorEastAsia"/>
          <w:color w:val="000000"/>
          <w:kern w:val="0"/>
          <w:sz w:val="24"/>
          <w:lang w:bidi="ar"/>
        </w:rPr>
      </w:pPr>
      <w:r>
        <w:rPr>
          <w:rFonts w:asciiTheme="minorEastAsia" w:hAnsiTheme="minorEastAsia" w:eastAsiaTheme="minorEastAsia" w:cstheme="minorEastAsia"/>
          <w:kern w:val="0"/>
          <w:sz w:val="24"/>
          <w:lang w:bidi="ar"/>
        </w:rPr>
        <w:t>12.</w:t>
      </w:r>
      <w:r>
        <w:rPr>
          <w:rFonts w:hint="eastAsia" w:asciiTheme="minorEastAsia" w:hAnsiTheme="minorEastAsia" w:eastAsiaTheme="minorEastAsia" w:cstheme="minorEastAsia"/>
          <w:kern w:val="0"/>
          <w:sz w:val="24"/>
          <w:lang w:bidi="ar"/>
        </w:rPr>
        <w:t>1.</w:t>
      </w:r>
      <w:r>
        <w:rPr>
          <w:rFonts w:asciiTheme="minorEastAsia" w:hAnsiTheme="minorEastAsia" w:eastAsiaTheme="minorEastAsia" w:cstheme="minorEastAsia"/>
          <w:kern w:val="0"/>
          <w:sz w:val="24"/>
          <w:lang w:bidi="ar"/>
        </w:rPr>
        <w:t xml:space="preserve">2 </w:t>
      </w:r>
      <w:r>
        <w:rPr>
          <w:rFonts w:hint="eastAsia" w:asciiTheme="minorEastAsia" w:hAnsiTheme="minorEastAsia" w:eastAsiaTheme="minorEastAsia" w:cstheme="minorEastAsia"/>
          <w:color w:val="000000"/>
          <w:kern w:val="0"/>
          <w:sz w:val="24"/>
          <w:lang w:bidi="ar"/>
        </w:rPr>
        <w:t>发包人、承包人对分包人提供材料和工程设备的另行约定为：分包人原</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则上必须选用工程材料设备品牌推荐表中明确的材料设备品牌，并经承包人及发包人审批同意后方可用于本合同工程；招标文件未列明品牌及供货厂家的，</w:t>
      </w:r>
      <w:r>
        <w:rPr>
          <w:rFonts w:hint="eastAsia" w:asciiTheme="minorEastAsia" w:hAnsiTheme="minorEastAsia" w:eastAsiaTheme="minorEastAsia" w:cstheme="minorEastAsia"/>
          <w:kern w:val="0"/>
          <w:sz w:val="24"/>
          <w:lang w:bidi="ar"/>
        </w:rPr>
        <w:t>分</w:t>
      </w:r>
      <w:r>
        <w:rPr>
          <w:rFonts w:hint="eastAsia" w:asciiTheme="minorEastAsia" w:hAnsiTheme="minorEastAsia" w:eastAsiaTheme="minorEastAsia" w:cstheme="minorEastAsia"/>
          <w:color w:val="000000"/>
          <w:kern w:val="0"/>
          <w:sz w:val="24"/>
          <w:lang w:bidi="ar"/>
        </w:rPr>
        <w:t>包人必须注明所选用材料设备的品牌产地、规格、等级，应在国优、省优、行业知名产品中，择优选择3家或以上的候选品牌、厂家，</w:t>
      </w:r>
      <w:r>
        <w:rPr>
          <w:rFonts w:hint="eastAsia" w:asciiTheme="minorEastAsia" w:hAnsiTheme="minorEastAsia" w:eastAsiaTheme="minorEastAsia" w:cstheme="minorEastAsia"/>
          <w:kern w:val="0"/>
          <w:sz w:val="24"/>
          <w:lang w:bidi="ar"/>
        </w:rPr>
        <w:t>通过承包人报</w:t>
      </w:r>
      <w:r>
        <w:rPr>
          <w:rFonts w:hint="eastAsia" w:asciiTheme="minorEastAsia" w:hAnsiTheme="minorEastAsia" w:eastAsiaTheme="minorEastAsia" w:cstheme="minorEastAsia"/>
          <w:color w:val="000000"/>
          <w:kern w:val="0"/>
          <w:sz w:val="24"/>
          <w:lang w:bidi="ar"/>
        </w:rPr>
        <w:t>监理人、发包人审批后采用。</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主材应由承包人选定厂家和品牌后报发包人批准，且承包人选用主材不应低于投标文件中的技术标准。同时应符合本项目绿建</w:t>
      </w:r>
      <w:r>
        <w:rPr>
          <w:rFonts w:hint="eastAsia" w:asciiTheme="minorEastAsia" w:hAnsiTheme="minorEastAsia" w:eastAsiaTheme="minorEastAsia" w:cstheme="minorEastAsia"/>
          <w:color w:val="000000"/>
          <w:kern w:val="0"/>
          <w:sz w:val="24"/>
          <w:lang w:val="en-US" w:eastAsia="zh-CN" w:bidi="ar"/>
        </w:rPr>
        <w:t>二</w:t>
      </w:r>
      <w:r>
        <w:rPr>
          <w:rFonts w:hint="eastAsia" w:asciiTheme="minorEastAsia" w:hAnsiTheme="minorEastAsia" w:eastAsiaTheme="minorEastAsia" w:cstheme="minorEastAsia"/>
          <w:color w:val="000000"/>
          <w:kern w:val="0"/>
          <w:sz w:val="24"/>
          <w:lang w:bidi="ar"/>
        </w:rPr>
        <w:t>星认证的要求。半成品加工厂应由承包人择优选择3-家或以上满足现场质量及产能需求的候选加工厂家，经发包人</w:t>
      </w:r>
      <w:r>
        <w:rPr>
          <w:rFonts w:hint="eastAsia" w:asciiTheme="minorEastAsia" w:hAnsiTheme="minorEastAsia" w:eastAsiaTheme="minorEastAsia" w:cstheme="minorEastAsia"/>
          <w:kern w:val="0"/>
          <w:sz w:val="24"/>
          <w:lang w:bidi="ar"/>
        </w:rPr>
        <w:t>、</w:t>
      </w:r>
      <w:r>
        <w:rPr>
          <w:rFonts w:hint="eastAsia" w:asciiTheme="minorEastAsia" w:hAnsiTheme="minorEastAsia" w:eastAsiaTheme="minorEastAsia" w:cstheme="minorEastAsia"/>
          <w:color w:val="000000"/>
          <w:kern w:val="0"/>
          <w:sz w:val="24"/>
          <w:lang w:bidi="ar"/>
        </w:rPr>
        <w:t>监理人考察确认，由承包人报监理人、发包人审批后采用。对于投标书中已承诺并经承包人、发包人确认的材料（设备），经监理人和发包人、承包人核实，在施工当时已停产或施工当时有生产但市场上的数量不能满足施工需要的，分包人应及时向监理人和发包人提供相关佐证资料，申请更换</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相关材料设备品牌。若招标时材料设备品牌推荐表已提供参考品牌的，由分包人</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在推荐品牌中选择与投标书中已承诺材料同一档次或高一档次的品牌材料，主材或设备价格按原投标材料（设备）单价；若招标时材料设备品牌推荐表未明确参考品牌的，且分包人在其投标书中亦未对相关材料（设备）品牌进行承诺的，须采购满足相关技术要求且承包人、发包人认可的材料（设备），价格按原投标单价；</w:t>
      </w:r>
    </w:p>
    <w:p w14:paraId="5BE28465">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以上要求也包括材料或设备部分参数、效果不满足技术要求及品控要求，以及在施工过程中已使用的厂家出现产能不足或参数、效果不满足技术要求及品控要求的情形；分包人应按照本合同约定的参考品牌、技术要求、现场施工需要更换或增加相应材料品牌或加工厂家，发包人、承包人有权要求分包人组织调研、提供样板进行评审确认。</w:t>
      </w:r>
    </w:p>
    <w:p w14:paraId="232362B0">
      <w:pPr>
        <w:spacing w:line="360" w:lineRule="auto"/>
        <w:ind w:firstLine="568" w:firstLineChars="237"/>
        <w:rPr>
          <w:rFonts w:asciiTheme="minorEastAsia" w:hAnsiTheme="minorEastAsia" w:eastAsiaTheme="minorEastAsia" w:cstheme="minorEastAsia"/>
          <w:color w:val="000000"/>
          <w:kern w:val="0"/>
          <w:sz w:val="24"/>
          <w:lang w:bidi="ar"/>
        </w:rPr>
      </w:pPr>
      <w:r>
        <w:rPr>
          <w:rFonts w:asciiTheme="minorEastAsia" w:hAnsiTheme="minorEastAsia" w:eastAsiaTheme="minorEastAsia" w:cstheme="minorEastAsia"/>
          <w:kern w:val="0"/>
          <w:sz w:val="24"/>
          <w:lang w:bidi="ar"/>
        </w:rPr>
        <w:t>12.</w:t>
      </w:r>
      <w:r>
        <w:rPr>
          <w:rFonts w:hint="eastAsia" w:asciiTheme="minorEastAsia" w:hAnsiTheme="minorEastAsia" w:eastAsiaTheme="minorEastAsia" w:cstheme="minorEastAsia"/>
          <w:kern w:val="0"/>
          <w:sz w:val="24"/>
          <w:lang w:bidi="ar"/>
        </w:rPr>
        <w:t>1.</w:t>
      </w:r>
      <w:r>
        <w:rPr>
          <w:rFonts w:asciiTheme="minorEastAsia" w:hAnsiTheme="minorEastAsia" w:eastAsiaTheme="minorEastAsia" w:cstheme="minorEastAsia"/>
          <w:kern w:val="0"/>
          <w:sz w:val="24"/>
          <w:lang w:bidi="ar"/>
        </w:rPr>
        <w:t>3</w:t>
      </w:r>
      <w:r>
        <w:rPr>
          <w:rFonts w:hint="eastAsia" w:asciiTheme="minorEastAsia" w:hAnsiTheme="minorEastAsia" w:eastAsiaTheme="minorEastAsia" w:cstheme="minorEastAsia"/>
          <w:kern w:val="0"/>
          <w:sz w:val="24"/>
          <w:lang w:bidi="ar"/>
        </w:rPr>
        <w:t xml:space="preserve"> </w:t>
      </w:r>
      <w:r>
        <w:rPr>
          <w:rFonts w:hint="eastAsia" w:asciiTheme="minorEastAsia" w:hAnsiTheme="minorEastAsia" w:eastAsiaTheme="minorEastAsia" w:cstheme="minorEastAsia"/>
          <w:color w:val="000000"/>
          <w:kern w:val="0"/>
          <w:sz w:val="24"/>
          <w:lang w:bidi="ar"/>
        </w:rPr>
        <w:t>分包人自行采购的材料设备，订货前至少5天（属监造设备的订货前至少10天）通过承包人审核后，由承包人向监理人及发包人提供相关的材料、设备文件（包括但不限于品牌、产地、规格、等级、技术性能指标检测检验报告等证明材料、设备满足招标图纸及技术文件要求，且与发包人推荐品牌相当档次的文件、资料），报承包人及发包人审批同意后方可采购；并对需要封样的产品进行三方封样,作为进场验收和施工复核的依据。分包人所购材料设备必须是原厂、正品、全新的产品。</w:t>
      </w:r>
    </w:p>
    <w:p w14:paraId="02D99864">
      <w:pPr>
        <w:spacing w:line="360" w:lineRule="auto"/>
        <w:ind w:firstLine="568" w:firstLineChars="237"/>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材料、设备所配套申报的生产及加工厂家、代理商需要满足招标文件中相关要求，并配合发包人进行相关考察，考察结果不能满足项目需求的，承包人或发包人有权拒绝使用该项产品。材料、设备进场前7天，需要向承包人和发包人提供分包人或其经发包人审批的相关厂家、授权代理商签订的供货合同、出厂合格证、各种产品质量认证证书、出厂试验报告、型式试验报告、第三方检测报告、相关保证函、厂家联系方式、验证方式、厂家确认的出货单等相关正规渠道出货证明，进口材料设备还需要提供报关单、原产地证明、商检证明文件。授权代理商须提供项目授权或年度授权证明。材料、设备、辅材的采购不得由劳务分包代购。材料、设备未附相关采购合同的，进度款中承包人不予支付相关材料、设备费用。分包人需要根据承包人及发包人要求制定材料设备的进场计划并与厂家制定材料设备排产计划和监造大纲。按监造大纲组织到厂监造。监造材料设备的相关费用由分包人承担，并在投标报价中综合考虑。分包人自行采购的材料、设备（或元件）未按合同约定报承包人及发包人审批同意的，分包人应按合同约定支付违约金。承包人有权要求分包人拆除、退场或重新采购，并承担由此发生的费用，工期不予顺延。若承包人及发包人同意验收的，分包人应支付上述违约金并采取以下处理方法：若该批材料、设备（或元件）市场价低于合同材料、设备（或元件）价格的，则分包人按照材料、设备市 场价计价并再以价差计算违约金；若该批材料、设备（或元件）市场价高于合同材料、设备（或元件）价格的，则按合同材料、设备（或元件）价格计价。发包人有权对原《材料设备品牌推荐表》的部分品牌进行更换或取消，对新增的材料设备品牌价格由三方协商确定。对于垄断性（消防、电力、防雷、市政给水、排污、环保、燃气、网络通讯 等）部门要求验收的材料，分包人必须使用在工程所在地有相关工程业绩的材料并提交相关工程业绩的证明。</w:t>
      </w:r>
    </w:p>
    <w:p w14:paraId="739AD024">
      <w:pPr>
        <w:spacing w:line="360" w:lineRule="auto"/>
        <w:ind w:firstLine="568" w:firstLineChars="237"/>
        <w:rPr>
          <w:rFonts w:asciiTheme="minorEastAsia" w:hAnsiTheme="minorEastAsia" w:eastAsiaTheme="minorEastAsia" w:cstheme="minorEastAsia"/>
          <w:color w:val="000000"/>
          <w:kern w:val="0"/>
          <w:sz w:val="24"/>
          <w:lang w:bidi="ar"/>
        </w:rPr>
      </w:pPr>
      <w:r>
        <w:rPr>
          <w:rFonts w:asciiTheme="minorEastAsia" w:hAnsiTheme="minorEastAsia" w:eastAsiaTheme="minorEastAsia" w:cstheme="minorEastAsia"/>
          <w:kern w:val="0"/>
          <w:sz w:val="24"/>
          <w:lang w:bidi="ar"/>
        </w:rPr>
        <w:t>12.</w:t>
      </w:r>
      <w:r>
        <w:rPr>
          <w:rFonts w:hint="eastAsia" w:asciiTheme="minorEastAsia" w:hAnsiTheme="minorEastAsia" w:eastAsiaTheme="minorEastAsia" w:cstheme="minorEastAsia"/>
          <w:kern w:val="0"/>
          <w:sz w:val="24"/>
          <w:lang w:bidi="ar"/>
        </w:rPr>
        <w:t>1.</w:t>
      </w:r>
      <w:r>
        <w:rPr>
          <w:rFonts w:asciiTheme="minorEastAsia" w:hAnsiTheme="minorEastAsia" w:eastAsiaTheme="minorEastAsia" w:cstheme="minorEastAsia"/>
          <w:kern w:val="0"/>
          <w:sz w:val="24"/>
          <w:lang w:bidi="ar"/>
        </w:rPr>
        <w:t>4</w:t>
      </w:r>
      <w:r>
        <w:rPr>
          <w:rFonts w:hint="eastAsia" w:asciiTheme="minorEastAsia" w:hAnsiTheme="minorEastAsia" w:eastAsiaTheme="minorEastAsia" w:cstheme="minorEastAsia"/>
          <w:kern w:val="0"/>
          <w:sz w:val="24"/>
          <w:lang w:bidi="ar"/>
        </w:rPr>
        <w:t xml:space="preserve"> </w:t>
      </w:r>
      <w:r>
        <w:rPr>
          <w:rFonts w:hint="eastAsia" w:asciiTheme="minorEastAsia" w:hAnsiTheme="minorEastAsia" w:eastAsiaTheme="minorEastAsia" w:cstheme="minorEastAsia"/>
          <w:color w:val="000000"/>
          <w:kern w:val="0"/>
          <w:sz w:val="24"/>
          <w:lang w:bidi="ar"/>
        </w:rPr>
        <w:t>检测费用承担方式：本合同工程相关的第三方检测由发包人另行委托，不在本合同范围内，发包人只承担相应的检测费，其他一切相关费用及工作均由分包人承担且已经包含在本合同暂定总价内（包括但不限于：需提供检测所需的材料并承担材料及材料损耗及检测配合的相关费用）。除根据政策要求的第三方检测和监理相关检测外，根据工程实际情况，发包人对有疑问、高价值、对效果有重大影响、易产生不合格品的材料设备有权实施抽检，且分包人不得以该抽检工作为由提出工期索赔。检验的结果证明该项材料、设备不符合合同要求的，因此增加的费用由分包人承担；检验结果证明该项材料、设备符合合同要求的，由发包人承担因此增加的费用。各项检查中已经出现不合格品的材料、设备整改后需要加倍抽检或全检，分包人承担全额费用，工期不予顺延。不论是否通过发包人、监理人的抽查、验收，监理人及发包人对材料、设备的检验、抽查意见均不免除分包人提供的材料设备不符合合同约定的责任。</w:t>
      </w:r>
    </w:p>
    <w:p w14:paraId="37F22430">
      <w:pPr>
        <w:spacing w:line="360" w:lineRule="auto"/>
        <w:ind w:firstLine="568" w:firstLineChars="237"/>
        <w:rPr>
          <w:rFonts w:asciiTheme="minorEastAsia" w:hAnsiTheme="minorEastAsia" w:eastAsiaTheme="minorEastAsia" w:cstheme="minorEastAsia"/>
          <w:color w:val="auto"/>
          <w:kern w:val="0"/>
          <w:sz w:val="24"/>
          <w:lang w:bidi="ar"/>
        </w:rPr>
      </w:pPr>
      <w:r>
        <w:rPr>
          <w:rFonts w:asciiTheme="minorEastAsia" w:hAnsiTheme="minorEastAsia" w:eastAsiaTheme="minorEastAsia" w:cstheme="minorEastAsia"/>
          <w:kern w:val="0"/>
          <w:sz w:val="24"/>
          <w:lang w:bidi="ar"/>
        </w:rPr>
        <w:t>12.</w:t>
      </w:r>
      <w:r>
        <w:rPr>
          <w:rFonts w:hint="eastAsia" w:asciiTheme="minorEastAsia" w:hAnsiTheme="minorEastAsia" w:eastAsiaTheme="minorEastAsia" w:cstheme="minorEastAsia"/>
          <w:kern w:val="0"/>
          <w:sz w:val="24"/>
          <w:lang w:bidi="ar"/>
        </w:rPr>
        <w:t>1.</w:t>
      </w:r>
      <w:r>
        <w:rPr>
          <w:rFonts w:asciiTheme="minorEastAsia" w:hAnsiTheme="minorEastAsia" w:eastAsiaTheme="minorEastAsia" w:cstheme="minorEastAsia"/>
          <w:kern w:val="0"/>
          <w:sz w:val="24"/>
          <w:lang w:bidi="ar"/>
        </w:rPr>
        <w:t>5</w:t>
      </w:r>
      <w:r>
        <w:rPr>
          <w:rFonts w:hint="eastAsia" w:asciiTheme="minorEastAsia" w:hAnsiTheme="minorEastAsia" w:eastAsiaTheme="minorEastAsia" w:cstheme="minorEastAsia"/>
          <w:kern w:val="0"/>
          <w:sz w:val="24"/>
          <w:lang w:bidi="ar"/>
        </w:rPr>
        <w:t xml:space="preserve"> </w:t>
      </w:r>
      <w:r>
        <w:rPr>
          <w:rFonts w:hint="eastAsia" w:asciiTheme="minorEastAsia" w:hAnsiTheme="minorEastAsia" w:eastAsiaTheme="minorEastAsia" w:cstheme="minorEastAsia"/>
          <w:color w:val="auto"/>
          <w:kern w:val="0"/>
          <w:sz w:val="24"/>
          <w:lang w:bidi="ar"/>
        </w:rPr>
        <w:t>分包人采购和（或）使用不合格、质量不达标、假冒伪劣材料、设备的，应按补充条款约定支付违约金。发包人或承包人有权要求分包人拆除、退场或重新采购，并承担由此发生的费用，工期不予顺延。若发包人及承包人同意验收的，分包人应支付上述违约金并采取以下处理方法：若该批材料、设备（或元件）市场价低于合同材料、设备（或元件）价格的，则分包人按照材料、设备（或元件）市场价计价并再以价差计算违约金；若该批材料、设备（或元件）市场价高于合同材料、设备（或元件）价格的，则按合同材料、设备（或元件）价格计价。若分包人将假冒伪劣材料设备用于本工程，则每发生一例，经发包人书面通知，承包人有权要求分包人按补充条款约定承担违约责任，该款项直接从工程进 度款及工程结算款中扣除，无需经分包人同意。分包人并应无条件负责修复、拆除并将所购材料设备退场，并承担由此产生的一切费用及责任，由此延误的工期</w:t>
      </w:r>
      <w:r>
        <w:rPr>
          <w:rFonts w:asciiTheme="minorEastAsia" w:hAnsiTheme="minorEastAsia" w:eastAsiaTheme="minorEastAsia" w:cstheme="minorEastAsia"/>
          <w:color w:val="auto"/>
          <w:kern w:val="0"/>
          <w:sz w:val="24"/>
          <w:lang w:bidi="ar"/>
        </w:rPr>
        <w:t xml:space="preserve"> </w:t>
      </w:r>
      <w:r>
        <w:rPr>
          <w:rFonts w:hint="eastAsia" w:asciiTheme="minorEastAsia" w:hAnsiTheme="minorEastAsia" w:eastAsiaTheme="minorEastAsia" w:cstheme="minorEastAsia"/>
          <w:color w:val="auto"/>
          <w:kern w:val="0"/>
          <w:sz w:val="24"/>
          <w:lang w:bidi="ar"/>
        </w:rPr>
        <w:t>由分包人承担责任。</w:t>
      </w:r>
    </w:p>
    <w:p w14:paraId="7BAEE68E">
      <w:pPr>
        <w:spacing w:line="360" w:lineRule="auto"/>
        <w:ind w:firstLine="568" w:firstLineChars="237"/>
        <w:rPr>
          <w:rFonts w:hint="eastAsia" w:asciiTheme="minorEastAsia" w:hAnsiTheme="minorEastAsia" w:eastAsiaTheme="minorEastAsia" w:cstheme="minorEastAsia"/>
          <w:kern w:val="0"/>
          <w:sz w:val="24"/>
          <w:lang w:bidi="ar"/>
        </w:rPr>
      </w:pPr>
      <w:r>
        <w:rPr>
          <w:rFonts w:asciiTheme="minorEastAsia" w:hAnsiTheme="minorEastAsia" w:eastAsiaTheme="minorEastAsia" w:cstheme="minorEastAsia"/>
          <w:kern w:val="0"/>
          <w:sz w:val="24"/>
          <w:lang w:bidi="ar"/>
        </w:rPr>
        <w:t>12.</w:t>
      </w:r>
      <w:r>
        <w:rPr>
          <w:rFonts w:hint="eastAsia" w:asciiTheme="minorEastAsia" w:hAnsiTheme="minorEastAsia" w:eastAsiaTheme="minorEastAsia" w:cstheme="minorEastAsia"/>
          <w:kern w:val="0"/>
          <w:sz w:val="24"/>
          <w:lang w:bidi="ar"/>
        </w:rPr>
        <w:t>1.</w:t>
      </w:r>
      <w:r>
        <w:rPr>
          <w:rFonts w:asciiTheme="minorEastAsia" w:hAnsiTheme="minorEastAsia" w:eastAsiaTheme="minorEastAsia" w:cstheme="minorEastAsia"/>
          <w:kern w:val="0"/>
          <w:sz w:val="24"/>
          <w:lang w:bidi="ar"/>
        </w:rPr>
        <w:t>6</w:t>
      </w:r>
      <w:r>
        <w:rPr>
          <w:rFonts w:hint="eastAsia" w:asciiTheme="minorEastAsia" w:hAnsiTheme="minorEastAsia" w:eastAsiaTheme="minorEastAsia" w:cstheme="minorEastAsia"/>
          <w:color w:val="auto"/>
          <w:kern w:val="0"/>
          <w:sz w:val="24"/>
          <w:lang w:bidi="ar"/>
        </w:rPr>
        <w:t>分包人可能被要求提供下列与备品备件有关的材料、通知和资料：发包人或承包人所需的备件有：/。</w:t>
      </w:r>
    </w:p>
    <w:p w14:paraId="37A32812">
      <w:pPr>
        <w:spacing w:line="360" w:lineRule="auto"/>
        <w:ind w:firstLine="568" w:firstLineChars="237"/>
        <w:rPr>
          <w:rFonts w:hint="eastAsia" w:asciiTheme="minorEastAsia" w:hAnsiTheme="minorEastAsia" w:eastAsiaTheme="minorEastAsia" w:cstheme="minorEastAsia"/>
          <w:color w:val="000000"/>
          <w:kern w:val="0"/>
          <w:sz w:val="24"/>
          <w:lang w:bidi="ar"/>
        </w:rPr>
      </w:pPr>
      <w:r>
        <w:rPr>
          <w:rFonts w:asciiTheme="minorEastAsia" w:hAnsiTheme="minorEastAsia" w:eastAsiaTheme="minorEastAsia" w:cstheme="minorEastAsia"/>
          <w:kern w:val="0"/>
          <w:sz w:val="24"/>
          <w:lang w:bidi="ar"/>
        </w:rPr>
        <w:t>12.2</w:t>
      </w:r>
      <w:r>
        <w:rPr>
          <w:rFonts w:hint="eastAsia" w:asciiTheme="minorEastAsia" w:hAnsiTheme="minorEastAsia" w:eastAsiaTheme="minorEastAsia" w:cstheme="minorEastAsia"/>
          <w:color w:val="000000"/>
          <w:kern w:val="0"/>
          <w:sz w:val="24"/>
          <w:lang w:bidi="ar"/>
        </w:rPr>
        <w:t>发包人提供的材料和工程设备</w:t>
      </w:r>
    </w:p>
    <w:p w14:paraId="44C29B51">
      <w:pPr>
        <w:spacing w:line="360" w:lineRule="auto"/>
        <w:ind w:firstLine="568" w:firstLineChars="237"/>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本工程由分包人包工包料包工程设备，发包人不提供的材料和工程设备。</w:t>
      </w:r>
    </w:p>
    <w:p w14:paraId="6521355A">
      <w:pPr>
        <w:spacing w:line="360" w:lineRule="auto"/>
        <w:ind w:firstLine="568" w:firstLineChars="237"/>
        <w:rPr>
          <w:rFonts w:hint="eastAsia" w:asciiTheme="minorEastAsia" w:hAnsiTheme="minorEastAsia" w:eastAsiaTheme="minorEastAsia" w:cstheme="minorEastAsia"/>
          <w:color w:val="000000"/>
          <w:kern w:val="0"/>
          <w:sz w:val="24"/>
          <w:lang w:bidi="ar"/>
        </w:rPr>
      </w:pPr>
      <w:r>
        <w:rPr>
          <w:rFonts w:asciiTheme="minorEastAsia" w:hAnsiTheme="minorEastAsia" w:eastAsiaTheme="minorEastAsia" w:cstheme="minorEastAsia"/>
          <w:kern w:val="0"/>
          <w:sz w:val="24"/>
          <w:lang w:bidi="ar"/>
        </w:rPr>
        <w:t>12.3</w:t>
      </w:r>
      <w:r>
        <w:rPr>
          <w:rFonts w:hint="eastAsia" w:asciiTheme="minorEastAsia" w:hAnsiTheme="minorEastAsia" w:eastAsiaTheme="minorEastAsia" w:cstheme="minorEastAsia"/>
          <w:color w:val="000000"/>
          <w:kern w:val="0"/>
          <w:sz w:val="24"/>
          <w:lang w:bidi="ar"/>
        </w:rPr>
        <w:t>禁止使用不合格的材料和工程设备</w:t>
      </w:r>
    </w:p>
    <w:p w14:paraId="44136677">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分包人使用了不合格材料或工程设备，工程质量达不到标准要求，又拒绝清除不合格工程的，分包人应按合同补充条款约定承担违约责任。</w:t>
      </w:r>
    </w:p>
    <w:p w14:paraId="2B027061">
      <w:pPr>
        <w:spacing w:line="360" w:lineRule="auto"/>
        <w:ind w:firstLine="568" w:firstLineChars="237"/>
        <w:rPr>
          <w:rFonts w:asciiTheme="minorEastAsia" w:hAnsiTheme="minorEastAsia" w:eastAsiaTheme="minorEastAsia" w:cstheme="minorEastAsia"/>
          <w:kern w:val="0"/>
          <w:sz w:val="24"/>
          <w:lang w:bidi="ar"/>
        </w:rPr>
      </w:pPr>
      <w:r>
        <w:rPr>
          <w:rFonts w:asciiTheme="minorEastAsia" w:hAnsiTheme="minorEastAsia" w:eastAsiaTheme="minorEastAsia" w:cstheme="minorEastAsia"/>
          <w:kern w:val="0"/>
          <w:sz w:val="24"/>
          <w:lang w:bidi="ar"/>
        </w:rPr>
        <w:t xml:space="preserve">12.4 </w:t>
      </w:r>
      <w:r>
        <w:rPr>
          <w:rFonts w:hint="eastAsia" w:asciiTheme="minorEastAsia" w:hAnsiTheme="minorEastAsia" w:eastAsiaTheme="minorEastAsia" w:cstheme="minorEastAsia"/>
          <w:kern w:val="0"/>
          <w:sz w:val="24"/>
          <w:lang w:bidi="ar"/>
        </w:rPr>
        <w:t>施工设备和临时设施</w:t>
      </w:r>
    </w:p>
    <w:p w14:paraId="5B10D081">
      <w:pPr>
        <w:spacing w:line="360" w:lineRule="auto"/>
        <w:ind w:firstLine="568" w:firstLineChars="237"/>
        <w:rPr>
          <w:rFonts w:asciiTheme="minorEastAsia" w:hAnsiTheme="minorEastAsia" w:eastAsiaTheme="minorEastAsia" w:cstheme="minorEastAsia"/>
          <w:kern w:val="0"/>
          <w:sz w:val="24"/>
          <w:lang w:bidi="ar"/>
        </w:rPr>
      </w:pPr>
      <w:r>
        <w:rPr>
          <w:rFonts w:asciiTheme="minorEastAsia" w:hAnsiTheme="minorEastAsia" w:eastAsiaTheme="minorEastAsia" w:cstheme="minorEastAsia"/>
          <w:kern w:val="0"/>
          <w:sz w:val="24"/>
          <w:lang w:bidi="ar"/>
        </w:rPr>
        <w:t xml:space="preserve">12.4.1 </w:t>
      </w:r>
      <w:r>
        <w:rPr>
          <w:rFonts w:hint="eastAsia" w:asciiTheme="minorEastAsia" w:hAnsiTheme="minorEastAsia" w:eastAsiaTheme="minorEastAsia" w:cstheme="minorEastAsia"/>
          <w:kern w:val="0"/>
          <w:sz w:val="24"/>
          <w:lang w:bidi="ar"/>
        </w:rPr>
        <w:t>分包人提供的施工设备和临时设施</w:t>
      </w:r>
    </w:p>
    <w:p w14:paraId="39ED3352">
      <w:pPr>
        <w:spacing w:line="360" w:lineRule="auto"/>
        <w:ind w:firstLine="568" w:firstLineChars="237"/>
        <w:rPr>
          <w:rFonts w:asciiTheme="minorEastAsia" w:hAnsiTheme="minorEastAsia" w:eastAsiaTheme="minorEastAsia" w:cstheme="minorEastAsia"/>
          <w:color w:val="000000"/>
          <w:kern w:val="0"/>
          <w:sz w:val="24"/>
          <w:lang w:bidi="ar"/>
        </w:rPr>
      </w:pPr>
      <w:r>
        <w:rPr>
          <w:rFonts w:asciiTheme="minorEastAsia" w:hAnsiTheme="minorEastAsia" w:eastAsiaTheme="minorEastAsia" w:cstheme="minorEastAsia"/>
          <w:color w:val="000000"/>
          <w:kern w:val="0"/>
          <w:sz w:val="24"/>
          <w:lang w:bidi="ar"/>
        </w:rPr>
        <w:t>12.4.1.1</w:t>
      </w:r>
      <w:r>
        <w:rPr>
          <w:rFonts w:hint="eastAsia" w:asciiTheme="minorEastAsia" w:hAnsiTheme="minorEastAsia" w:eastAsiaTheme="minorEastAsia" w:cstheme="minorEastAsia"/>
          <w:color w:val="000000"/>
          <w:kern w:val="0"/>
          <w:sz w:val="24"/>
          <w:lang w:bidi="ar"/>
        </w:rPr>
        <w:t>分包人提供的施工设备或临时设施： 分包人提供的施工设备或临时设 施不得低于分包人投标文件中明确的数量、规格及投入时间等承诺标准，详见本</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合同附件《主要施工机械设备表》；如投标承诺中提供的施工设备或临时设施无</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法满足按约定的时间、质量标准等完成本合同工程的要求，分包人应自行增加、</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完善投入的施工设备和临时设施；如承包人认为分包人投入的施工设备或临时设</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施不足，已影响到工程进度、安全、质量，承包人有权要求分包人在48小时内增</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加及完善投入的施工设备和临时设施，否则分包人每次须向承包人按补充条款承</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担违约责任，增加及完善投入的施工设备和临时设施相关费用由分包人承担，发</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包人或承包人不再另行支付。</w:t>
      </w:r>
    </w:p>
    <w:p w14:paraId="1DC68C74">
      <w:pPr>
        <w:spacing w:line="360" w:lineRule="auto"/>
        <w:ind w:firstLine="568" w:firstLineChars="237"/>
        <w:rPr>
          <w:rFonts w:asciiTheme="minorEastAsia" w:hAnsiTheme="minorEastAsia" w:eastAsiaTheme="minorEastAsia" w:cstheme="minorEastAsia"/>
          <w:color w:val="auto"/>
          <w:kern w:val="0"/>
          <w:sz w:val="24"/>
          <w:lang w:bidi="ar"/>
        </w:rPr>
      </w:pPr>
      <w:r>
        <w:rPr>
          <w:rFonts w:asciiTheme="minorEastAsia" w:hAnsiTheme="minorEastAsia" w:eastAsiaTheme="minorEastAsia" w:cstheme="minorEastAsia"/>
          <w:kern w:val="0"/>
          <w:sz w:val="24"/>
          <w:lang w:bidi="ar"/>
        </w:rPr>
        <w:t>12.4.1.2</w:t>
      </w:r>
      <w:r>
        <w:rPr>
          <w:rFonts w:hint="eastAsia" w:asciiTheme="minorEastAsia" w:hAnsiTheme="minorEastAsia" w:eastAsiaTheme="minorEastAsia" w:cstheme="minorEastAsia"/>
          <w:color w:val="auto"/>
          <w:kern w:val="0"/>
          <w:sz w:val="24"/>
          <w:lang w:bidi="ar"/>
        </w:rPr>
        <w:t>分包人不得以任何理由中途停工，或变相减少施工组织中规定的施工设</w:t>
      </w:r>
      <w:r>
        <w:rPr>
          <w:rFonts w:asciiTheme="minorEastAsia" w:hAnsiTheme="minorEastAsia" w:eastAsiaTheme="minorEastAsia" w:cstheme="minorEastAsia"/>
          <w:color w:val="auto"/>
          <w:kern w:val="0"/>
          <w:sz w:val="24"/>
          <w:lang w:bidi="ar"/>
        </w:rPr>
        <w:t xml:space="preserve"> </w:t>
      </w:r>
      <w:r>
        <w:rPr>
          <w:rFonts w:hint="eastAsia" w:asciiTheme="minorEastAsia" w:hAnsiTheme="minorEastAsia" w:eastAsiaTheme="minorEastAsia" w:cstheme="minorEastAsia"/>
          <w:color w:val="auto"/>
          <w:kern w:val="0"/>
          <w:sz w:val="24"/>
          <w:lang w:bidi="ar"/>
        </w:rPr>
        <w:t>备，否则经承包人、发包人和监理人确认，视为分包人违约，分包人按补充条款</w:t>
      </w:r>
      <w:r>
        <w:rPr>
          <w:rFonts w:asciiTheme="minorEastAsia" w:hAnsiTheme="minorEastAsia" w:eastAsiaTheme="minorEastAsia" w:cstheme="minorEastAsia"/>
          <w:color w:val="auto"/>
          <w:kern w:val="0"/>
          <w:sz w:val="24"/>
          <w:lang w:bidi="ar"/>
        </w:rPr>
        <w:t xml:space="preserve"> </w:t>
      </w:r>
      <w:r>
        <w:rPr>
          <w:rFonts w:hint="eastAsia" w:asciiTheme="minorEastAsia" w:hAnsiTheme="minorEastAsia" w:eastAsiaTheme="minorEastAsia" w:cstheme="minorEastAsia"/>
          <w:color w:val="auto"/>
          <w:kern w:val="0"/>
          <w:sz w:val="24"/>
          <w:lang w:bidi="ar"/>
        </w:rPr>
        <w:t>约定承担违约金。</w:t>
      </w:r>
    </w:p>
    <w:p w14:paraId="47E21C46">
      <w:pPr>
        <w:spacing w:line="360" w:lineRule="auto"/>
        <w:ind w:firstLine="568" w:firstLineChars="237"/>
        <w:rPr>
          <w:rFonts w:asciiTheme="minorEastAsia" w:hAnsiTheme="minorEastAsia" w:eastAsiaTheme="minorEastAsia" w:cstheme="minorEastAsia"/>
          <w:color w:val="000000"/>
          <w:kern w:val="0"/>
          <w:sz w:val="24"/>
          <w:lang w:bidi="ar"/>
        </w:rPr>
      </w:pPr>
      <w:r>
        <w:rPr>
          <w:rFonts w:asciiTheme="minorEastAsia" w:hAnsiTheme="minorEastAsia" w:eastAsiaTheme="minorEastAsia" w:cstheme="minorEastAsia"/>
          <w:kern w:val="0"/>
          <w:sz w:val="24"/>
          <w:lang w:bidi="ar"/>
        </w:rPr>
        <w:t>12.4.1.3</w:t>
      </w:r>
      <w:r>
        <w:rPr>
          <w:rFonts w:hint="eastAsia" w:asciiTheme="minorEastAsia" w:hAnsiTheme="minorEastAsia" w:eastAsiaTheme="minorEastAsia" w:cstheme="minorEastAsia"/>
          <w:color w:val="000000"/>
          <w:kern w:val="0"/>
          <w:sz w:val="24"/>
          <w:lang w:bidi="ar"/>
        </w:rPr>
        <w:t>分包人施工所需的临时设施应全部在拟建工程占地范围内布置，承包人</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不提供额外的施工用地。如果分包人出于任何正当的理由，要求临时占用任何额 外的施工用地，承包人应尽可能协助分包人获得其所需的临时用地，但所有的费 用都应由分包人承担。承包人不承诺保证获得或提供分包人要求的任何临时用地。</w:t>
      </w:r>
    </w:p>
    <w:p w14:paraId="2E18BC99">
      <w:pPr>
        <w:spacing w:line="360" w:lineRule="auto"/>
        <w:ind w:firstLine="568" w:firstLineChars="237"/>
        <w:rPr>
          <w:rFonts w:asciiTheme="minorEastAsia" w:hAnsiTheme="minorEastAsia" w:eastAsiaTheme="minorEastAsia" w:cstheme="minorEastAsia"/>
          <w:color w:val="auto"/>
          <w:kern w:val="0"/>
          <w:sz w:val="24"/>
          <w:lang w:bidi="ar"/>
        </w:rPr>
      </w:pPr>
      <w:r>
        <w:rPr>
          <w:rFonts w:asciiTheme="minorEastAsia" w:hAnsiTheme="minorEastAsia" w:eastAsiaTheme="minorEastAsia" w:cstheme="minorEastAsia"/>
          <w:kern w:val="0"/>
          <w:sz w:val="24"/>
          <w:lang w:bidi="ar"/>
        </w:rPr>
        <w:t>12.4.1.4</w:t>
      </w:r>
      <w:r>
        <w:rPr>
          <w:rFonts w:hint="eastAsia" w:asciiTheme="minorEastAsia" w:hAnsiTheme="minorEastAsia" w:eastAsiaTheme="minorEastAsia" w:cstheme="minorEastAsia"/>
          <w:color w:val="auto"/>
          <w:kern w:val="0"/>
          <w:sz w:val="24"/>
          <w:lang w:bidi="ar"/>
        </w:rPr>
        <w:t>分包人应绘制场地平面布置图，编制施工场地布置方案报承包人、监理人审批，场地布置应满足办公、生活、施工、消防、环保、污水处理一体化等要求。</w:t>
      </w:r>
    </w:p>
    <w:p w14:paraId="13E14274">
      <w:pPr>
        <w:spacing w:line="360" w:lineRule="auto"/>
        <w:ind w:firstLine="568" w:firstLineChars="237"/>
        <w:rPr>
          <w:rFonts w:asciiTheme="minorEastAsia" w:hAnsiTheme="minorEastAsia" w:eastAsiaTheme="minorEastAsia" w:cstheme="minorEastAsia"/>
          <w:color w:val="000000"/>
          <w:kern w:val="0"/>
          <w:sz w:val="24"/>
          <w:lang w:bidi="ar"/>
        </w:rPr>
      </w:pPr>
      <w:r>
        <w:rPr>
          <w:rFonts w:asciiTheme="minorEastAsia" w:hAnsiTheme="minorEastAsia" w:eastAsiaTheme="minorEastAsia" w:cstheme="minorEastAsia"/>
          <w:kern w:val="0"/>
          <w:sz w:val="24"/>
          <w:lang w:bidi="ar"/>
        </w:rPr>
        <w:t>12.4.1.5</w:t>
      </w:r>
      <w:r>
        <w:rPr>
          <w:rFonts w:hint="eastAsia" w:asciiTheme="minorEastAsia" w:hAnsiTheme="minorEastAsia" w:eastAsiaTheme="minorEastAsia" w:cstheme="minorEastAsia"/>
          <w:color w:val="000000"/>
          <w:kern w:val="0"/>
          <w:sz w:val="24"/>
          <w:lang w:bidi="ar"/>
        </w:rPr>
        <w:t>分包人的施工人员住宿由分包人自行于工地范围外解决并自行考虑住 宿费用。本工程场地不能保证场地内材料存放与加工布置需求，分包人应根据现 场踏勘情况及施工组织需求综合自行考虑所连带发生的相关费用。</w:t>
      </w:r>
    </w:p>
    <w:p w14:paraId="77CB2CA5">
      <w:pPr>
        <w:spacing w:line="360" w:lineRule="auto"/>
        <w:ind w:firstLine="568" w:firstLineChars="237"/>
        <w:rPr>
          <w:rFonts w:hint="eastAsia" w:asciiTheme="minorEastAsia" w:hAnsiTheme="minorEastAsia" w:eastAsiaTheme="minorEastAsia" w:cstheme="minorEastAsia"/>
          <w:b w:val="0"/>
          <w:bCs w:val="0"/>
          <w:color w:val="auto"/>
          <w:kern w:val="0"/>
          <w:sz w:val="24"/>
          <w:lang w:bidi="ar"/>
        </w:rPr>
      </w:pPr>
      <w:r>
        <w:rPr>
          <w:rFonts w:asciiTheme="minorEastAsia" w:hAnsiTheme="minorEastAsia" w:eastAsiaTheme="minorEastAsia" w:cstheme="minorEastAsia"/>
          <w:kern w:val="0"/>
          <w:sz w:val="24"/>
          <w:lang w:bidi="ar"/>
        </w:rPr>
        <w:t>12.4.2</w:t>
      </w:r>
      <w:r>
        <w:rPr>
          <w:rFonts w:hint="eastAsia" w:asciiTheme="minorEastAsia" w:hAnsiTheme="minorEastAsia" w:eastAsiaTheme="minorEastAsia" w:cstheme="minorEastAsia"/>
          <w:b w:val="0"/>
          <w:bCs w:val="0"/>
          <w:color w:val="auto"/>
          <w:kern w:val="0"/>
          <w:sz w:val="24"/>
          <w:lang w:bidi="ar"/>
        </w:rPr>
        <w:t>承包人提供的施工设备和临时设施</w:t>
      </w:r>
    </w:p>
    <w:p w14:paraId="04CFB5A1">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（1）临建使用费：本工程不设临建生活区，分包人自行解决分包工程工人的</w:t>
      </w:r>
      <w:r>
        <w:rPr>
          <w:rFonts w:asciiTheme="minorEastAsia" w:hAnsiTheme="minorEastAsia" w:eastAsiaTheme="minorEastAsia" w:cstheme="minorEastAsia"/>
          <w:color w:val="auto"/>
          <w:kern w:val="0"/>
          <w:sz w:val="24"/>
          <w:lang w:bidi="ar"/>
        </w:rPr>
        <w:t xml:space="preserve"> </w:t>
      </w:r>
      <w:r>
        <w:rPr>
          <w:rFonts w:hint="eastAsia" w:asciiTheme="minorEastAsia" w:hAnsiTheme="minorEastAsia" w:eastAsiaTheme="minorEastAsia" w:cstheme="minorEastAsia"/>
          <w:color w:val="auto"/>
          <w:kern w:val="0"/>
          <w:sz w:val="24"/>
          <w:lang w:bidi="ar"/>
        </w:rPr>
        <w:t>住宿及伙食费用。</w:t>
      </w:r>
    </w:p>
    <w:p w14:paraId="655B1EE9">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（2）临电临水费：本工程临电由承包人按照总包管理需要布设至二级箱，临水按照总包管理需要布设接驳口，二级箱及接驳口以后的临水临电布设由分包人负责并承担费用。</w:t>
      </w:r>
    </w:p>
    <w:p w14:paraId="12D3C4D4">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（3）垂直运输费：本项目承包人提供现有塔吊（如有）。</w:t>
      </w:r>
    </w:p>
    <w:p w14:paraId="72CB2C26">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（4）现场办公室：可提供板房办公。该费用由分包人自行考虑是否使用及承担，发包人不另行支付。</w:t>
      </w:r>
    </w:p>
    <w:p w14:paraId="052FB9A0">
      <w:pPr>
        <w:pStyle w:val="4"/>
        <w:spacing w:before="0" w:beforeLines="50" w:after="0" w:line="360" w:lineRule="auto"/>
        <w:rPr>
          <w:rFonts w:hint="eastAsia" w:asciiTheme="minorEastAsia" w:hAnsiTheme="minorEastAsia" w:eastAsiaTheme="minorEastAsia" w:cstheme="minorEastAsia"/>
          <w:sz w:val="24"/>
        </w:rPr>
      </w:pPr>
      <w:bookmarkStart w:id="286" w:name="_Toc7702"/>
      <w:bookmarkStart w:id="287" w:name="_Toc518"/>
      <w:bookmarkStart w:id="288" w:name="_Toc13836"/>
      <w:bookmarkStart w:id="289" w:name="_Toc11659"/>
      <w:bookmarkStart w:id="290" w:name="_Toc15221"/>
      <w:bookmarkStart w:id="291" w:name="_Toc32047"/>
      <w:bookmarkStart w:id="292" w:name="_Toc30653"/>
      <w:bookmarkStart w:id="293" w:name="_Toc517273226"/>
      <w:bookmarkStart w:id="294" w:name="_Toc25349"/>
      <w:bookmarkStart w:id="295" w:name="_Toc7891"/>
      <w:bookmarkStart w:id="296" w:name="_Toc28999"/>
      <w:bookmarkStart w:id="297" w:name="_Toc11500"/>
      <w:bookmarkStart w:id="298" w:name="_Toc29609"/>
      <w:bookmarkStart w:id="299" w:name="_Toc31338"/>
      <w:bookmarkStart w:id="300" w:name="_Toc15527"/>
      <w:r>
        <w:rPr>
          <w:rFonts w:hint="eastAsia" w:asciiTheme="minorEastAsia" w:hAnsiTheme="minorEastAsia" w:eastAsiaTheme="minorEastAsia" w:cstheme="minorEastAsia"/>
          <w:kern w:val="0"/>
          <w:sz w:val="24"/>
          <w:szCs w:val="24"/>
        </w:rPr>
        <w:t>13 材料质量</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2F0E54D">
      <w:pPr>
        <w:autoSpaceDE/>
        <w:autoSpaceDN/>
        <w:adjustRightInd/>
        <w:spacing w:before="0" w:beforeLines="-2147483648" w:line="360" w:lineRule="auto"/>
        <w:ind w:left="0" w:leftChars="0"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13.1分包人提供的设备（包含设备的品牌、型号、规格、容量、数量等参数）的生产厂家须发包人认可，产品质量合格。主要产品要求如下：灯具等。</w:t>
      </w:r>
    </w:p>
    <w:p w14:paraId="3E997AF6">
      <w:pPr>
        <w:autoSpaceDE/>
        <w:autoSpaceDN/>
        <w:adjustRightInd/>
        <w:spacing w:before="0" w:beforeLines="-2147483648" w:line="360" w:lineRule="auto"/>
        <w:ind w:left="0" w:leftChars="0"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13.2 投标人的产品单独提供以下所列产品的厂商彩页，且单独提供设备和材料的投标授权函、检测报告及认证的相关资料复印件，与技术标一起装订，作为技术标的组成部分（注：复印件均加盖公章）：</w:t>
      </w:r>
    </w:p>
    <w:p w14:paraId="210F0DDB">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13.3 需通过3C认证，并提供相关认证证书复印件、检验报告、彩页；</w:t>
      </w:r>
    </w:p>
    <w:p w14:paraId="59933FE8">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bookmarkStart w:id="301" w:name="_Toc517273225"/>
      <w:r>
        <w:rPr>
          <w:rFonts w:hint="eastAsia" w:asciiTheme="minorEastAsia" w:hAnsiTheme="minorEastAsia" w:eastAsiaTheme="minorEastAsia" w:cstheme="minorEastAsia"/>
          <w:kern w:val="0"/>
          <w:sz w:val="24"/>
          <w:lang w:bidi="ar"/>
        </w:rPr>
        <w:t>13.4 分包人进场施工前应给发包人提供完善的施工组织设计。进场后应严格按照设备、材料采购计划及时进行采购，按合同支付材料、设备款给厂家。否则发包人、承包人有权直接向厂家采购，货款从分包人工程进度款中扣除直接支付给厂家，责任分包人自负。</w:t>
      </w:r>
      <w:bookmarkEnd w:id="301"/>
    </w:p>
    <w:p w14:paraId="01078DB6">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13.5 除发包人供应的材料、设备外，工程中所需要的材料和设备均由分包人负责采购供应至工地现场，并负责保管。所有材料设备原则上由发包人选择品牌，分包人必须在发包人提供的材料及设备推荐品牌内采购。对于发包人没有提供品牌的材料设备，分包人需要在其质量满足合同、设计、规范、标准等要求的前提下选择产品，通过承包人报发包人认可后采购。</w:t>
      </w:r>
    </w:p>
    <w:p w14:paraId="19D43E36">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13.6 由分包人采购的材料、设备，分包人应在订货前提供符合设计要求的货板、资料及价格给发包人确认备案。</w:t>
      </w:r>
    </w:p>
    <w:p w14:paraId="7E634ED8">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13.7 分包人负责采购的材料设备，需按照合同约定及设计、有关标准和发包人、承包人要求采购，并提供出厂合格证明和本地区管理部门的认证，分包人对材料设备质量负责。分包人在材料设备到货前24小时通知承包人、监理人及发包人清点。</w:t>
      </w:r>
    </w:p>
    <w:p w14:paraId="42D4A6C6">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13.8 分包人采购的材料设备与合同约定所述要求不符时，分包人应按承包人、监理人或发包人要求的时间运出施工场地，由分包人按材料设备价款的三倍向承包人支付违约金,并要求分包人重新订货,按照承包人、发包人要求重新更换材料，由此造成的一切责任及费用由分包人承担，由此延误的工期不予顺延。</w:t>
      </w:r>
    </w:p>
    <w:p w14:paraId="730EC42E">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13.9 分包人采购的材料设备在使用前，分包人应按承包人、监理人或发包人的要求进行检验或试验（分包人应将检测单位报发包人批准，发包人有权指定有资质的检测单位），不合格的不得使用，检验或试验费用由分包人承担。材料的送检抽样必须在施工现场进行，且须有承包人、发包人负责人及监理人现场监督，送检合格后方能使用。</w:t>
      </w:r>
    </w:p>
    <w:p w14:paraId="18891924">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13.10分包人需要使用代用材料时，应经承包人上报设计和发包人项目负责人认可后才能使用，由此增加的价款由分包人承担。</w:t>
      </w:r>
    </w:p>
    <w:p w14:paraId="5E963A71">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13.11 分包人未按与供应商签订的采购合同中约定的条款执行或未按采购合同中约定的支付条款支付相应材料设备货款，承包人、发包人有权直接代分包人向供应商支付相应款项,并在承包人应付给分包人的工程款或者其它款项中按该批代付材料款并增加20%的违约金全额扣回。分包人应对此积极配合承包人的工作，三个工作日内给予确认。</w:t>
      </w:r>
    </w:p>
    <w:p w14:paraId="0A372B17">
      <w:pPr>
        <w:spacing w:line="360" w:lineRule="auto"/>
        <w:ind w:firstLine="568" w:firstLineChars="237"/>
        <w:rPr>
          <w:rFonts w:hint="eastAsia" w:asciiTheme="minorEastAsia" w:hAnsiTheme="minorEastAsia" w:eastAsiaTheme="minorEastAsia" w:cstheme="minorEastAsia"/>
          <w:kern w:val="0"/>
          <w:sz w:val="24"/>
          <w:lang w:bidi="ar"/>
        </w:rPr>
      </w:pPr>
      <w:r>
        <w:rPr>
          <w:rFonts w:asciiTheme="minorEastAsia" w:hAnsiTheme="minorEastAsia" w:eastAsiaTheme="minorEastAsia" w:cstheme="minorEastAsia"/>
          <w:kern w:val="0"/>
          <w:sz w:val="24"/>
          <w:lang w:bidi="ar"/>
        </w:rPr>
        <w:t>13.12</w:t>
      </w:r>
      <w:r>
        <w:rPr>
          <w:rFonts w:hint="eastAsia" w:asciiTheme="minorEastAsia" w:hAnsiTheme="minorEastAsia" w:eastAsiaTheme="minorEastAsia" w:cstheme="minorEastAsia"/>
          <w:kern w:val="0"/>
          <w:sz w:val="24"/>
          <w:lang w:bidi="ar"/>
        </w:rPr>
        <w:t xml:space="preserve"> 本工程所有材料和设备不得使用贴牌产品，如有发现，承包人、发包人有权要求分包人无条件更换并处以分包人所提供材料设备价的三倍罚款。由此造成的一切损失由分包人负责。</w:t>
      </w:r>
    </w:p>
    <w:p w14:paraId="0280B63E">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如材料设备与发包人选型板有差别，应进行检验，检验费用由分包人承担。</w:t>
      </w:r>
    </w:p>
    <w:p w14:paraId="63DF18AC">
      <w:pPr>
        <w:pStyle w:val="75"/>
        <w:numPr>
          <w:ilvl w:val="0"/>
          <w:numId w:val="0"/>
        </w:numPr>
        <w:tabs>
          <w:tab w:val="left" w:pos="720"/>
        </w:tabs>
        <w:spacing w:before="120" w:beforeLines="50" w:line="360" w:lineRule="auto"/>
        <w:ind w:left="0" w:firstLine="0"/>
        <w:rPr>
          <w:rFonts w:hint="eastAsia" w:asciiTheme="minorEastAsia" w:hAnsiTheme="minorEastAsia" w:eastAsiaTheme="minorEastAsia" w:cstheme="minorEastAsia"/>
          <w:sz w:val="24"/>
          <w:szCs w:val="24"/>
        </w:rPr>
      </w:pPr>
      <w:bookmarkStart w:id="302" w:name="_Toc25092"/>
      <w:bookmarkStart w:id="303" w:name="_Toc200394222"/>
      <w:bookmarkStart w:id="304" w:name="_Toc30533"/>
      <w:bookmarkStart w:id="305" w:name="_Toc22332"/>
      <w:bookmarkStart w:id="306" w:name="_Toc14989"/>
      <w:bookmarkStart w:id="307" w:name="_Toc31923"/>
      <w:bookmarkStart w:id="308" w:name="_Toc18158"/>
      <w:bookmarkStart w:id="309" w:name="_Toc24118"/>
      <w:bookmarkStart w:id="310" w:name="_Toc19600"/>
      <w:bookmarkStart w:id="311" w:name="_Toc10305"/>
      <w:bookmarkStart w:id="312" w:name="_Toc24123"/>
      <w:bookmarkStart w:id="313" w:name="_Toc517273227"/>
      <w:bookmarkStart w:id="314" w:name="_Toc20712"/>
      <w:bookmarkStart w:id="315" w:name="_Toc11747"/>
      <w:bookmarkStart w:id="316" w:name="_Toc7640"/>
      <w:bookmarkStart w:id="317" w:name="_Toc7941"/>
      <w:bookmarkStart w:id="318" w:name="_Toc29337"/>
      <w:bookmarkStart w:id="319" w:name="_Toc517273229"/>
      <w:r>
        <w:rPr>
          <w:rFonts w:hint="eastAsia" w:asciiTheme="minorEastAsia" w:hAnsiTheme="minorEastAsia" w:eastAsiaTheme="minorEastAsia" w:cstheme="minorEastAsia"/>
          <w:sz w:val="24"/>
          <w:szCs w:val="24"/>
        </w:rPr>
        <w:t>八、工程变更</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0C27566">
      <w:pPr>
        <w:pStyle w:val="4"/>
        <w:spacing w:before="0" w:beforeLines="50" w:after="0" w:line="360" w:lineRule="auto"/>
        <w:rPr>
          <w:rFonts w:hint="eastAsia" w:asciiTheme="minorEastAsia" w:hAnsiTheme="minorEastAsia" w:eastAsiaTheme="minorEastAsia" w:cstheme="minorEastAsia"/>
          <w:sz w:val="24"/>
        </w:rPr>
      </w:pPr>
      <w:bookmarkStart w:id="320" w:name="_Toc517273228"/>
      <w:bookmarkStart w:id="321" w:name="_Toc11533"/>
      <w:bookmarkStart w:id="322" w:name="_Toc9808"/>
      <w:bookmarkStart w:id="323" w:name="_Toc13391"/>
      <w:bookmarkStart w:id="324" w:name="_Toc32362"/>
      <w:r>
        <w:rPr>
          <w:rFonts w:hint="eastAsia" w:asciiTheme="minorEastAsia" w:hAnsiTheme="minorEastAsia" w:eastAsiaTheme="minorEastAsia" w:cstheme="minorEastAsia"/>
          <w:kern w:val="0"/>
          <w:sz w:val="24"/>
          <w:szCs w:val="24"/>
        </w:rPr>
        <w:t>14 变更价款</w:t>
      </w:r>
      <w:bookmarkEnd w:id="320"/>
      <w:r>
        <w:rPr>
          <w:rFonts w:hint="eastAsia" w:asciiTheme="minorEastAsia" w:hAnsiTheme="minorEastAsia" w:eastAsiaTheme="minorEastAsia" w:cstheme="minorEastAsia"/>
          <w:kern w:val="0"/>
          <w:sz w:val="24"/>
          <w:szCs w:val="24"/>
        </w:rPr>
        <w:t>：</w:t>
      </w:r>
      <w:bookmarkEnd w:id="321"/>
      <w:bookmarkEnd w:id="322"/>
      <w:bookmarkEnd w:id="323"/>
      <w:bookmarkEnd w:id="324"/>
    </w:p>
    <w:p w14:paraId="3F1E87A5">
      <w:pPr>
        <w:spacing w:line="360" w:lineRule="auto"/>
        <w:ind w:firstLine="568" w:firstLineChars="237"/>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kern w:val="0"/>
          <w:sz w:val="24"/>
          <w:lang w:bidi="ar"/>
        </w:rPr>
        <w:t xml:space="preserve">14.1 </w:t>
      </w:r>
      <w:r>
        <w:rPr>
          <w:rFonts w:hint="eastAsia" w:asciiTheme="minorEastAsia" w:hAnsiTheme="minorEastAsia" w:eastAsiaTheme="minorEastAsia" w:cstheme="minorEastAsia"/>
          <w:color w:val="auto"/>
          <w:kern w:val="0"/>
          <w:sz w:val="24"/>
          <w:lang w:bidi="ar"/>
        </w:rPr>
        <w:t>严格控制工程变更，确需变更的，承包人、分包人需按照发包人最新 版工程变更管理办法执行。分部分项工程项目费由分包人按以下规定提出变更价格，经承包人审核后由承包人报造价工程师核实、发包人核定后计价</w:t>
      </w:r>
      <w:r>
        <w:rPr>
          <w:rFonts w:asciiTheme="minorEastAsia" w:hAnsiTheme="minorEastAsia" w:eastAsiaTheme="minorEastAsia" w:cstheme="minorEastAsia"/>
          <w:color w:val="auto"/>
          <w:kern w:val="0"/>
          <w:sz w:val="24"/>
          <w:lang w:bidi="ar"/>
        </w:rPr>
        <w:t>.</w:t>
      </w:r>
    </w:p>
    <w:p w14:paraId="1146AAA0">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14.2 工程变更及合同外工程产生的费用，计价方式参考第11.8条款新增组价方式计算。</w:t>
      </w:r>
    </w:p>
    <w:p w14:paraId="79E606D7">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14.3</w:t>
      </w:r>
      <w:r>
        <w:rPr>
          <w:rFonts w:hint="eastAsia" w:asciiTheme="minorEastAsia" w:hAnsiTheme="minorEastAsia" w:eastAsiaTheme="minorEastAsia" w:cstheme="minorEastAsia"/>
          <w:b w:val="0"/>
          <w:bCs w:val="0"/>
          <w:color w:val="auto"/>
          <w:kern w:val="0"/>
          <w:sz w:val="24"/>
          <w:lang w:bidi="ar"/>
        </w:rPr>
        <w:t>在发包人未回复具体的审核价前，分包人不得以任何理由停工或拖延施工，若由此导致的工期延误，由分包人自行承担。</w:t>
      </w:r>
    </w:p>
    <w:p w14:paraId="31BF4361">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14.4</w:t>
      </w:r>
      <w:r>
        <w:rPr>
          <w:rFonts w:hint="eastAsia" w:asciiTheme="minorEastAsia" w:hAnsiTheme="minorEastAsia" w:eastAsiaTheme="minorEastAsia" w:cstheme="minorEastAsia"/>
          <w:color w:val="auto"/>
          <w:kern w:val="0"/>
          <w:sz w:val="24"/>
          <w:lang w:bidi="ar"/>
        </w:rPr>
        <w:t>不予办理变更的情形</w:t>
      </w:r>
    </w:p>
    <w:p w14:paraId="1188B6B5">
      <w:pPr>
        <w:spacing w:line="360" w:lineRule="auto"/>
        <w:ind w:firstLine="568" w:firstLineChars="237"/>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工程变更不应使合同作废或无效。工程变更导致合同价款的增减，按上述规 定执行。但是，如果变更是由于下列原因导致或引起的，则分包人无权要求任何 额外或附加的费用，工期不予顺延：</w:t>
      </w:r>
    </w:p>
    <w:p w14:paraId="44D608C2">
      <w:pPr>
        <w:spacing w:line="360" w:lineRule="auto"/>
        <w:ind w:firstLine="568" w:firstLineChars="237"/>
        <w:rPr>
          <w:rFonts w:asciiTheme="minorEastAsia" w:hAnsiTheme="minorEastAsia" w:eastAsiaTheme="minorEastAsia" w:cstheme="minorEastAsia"/>
          <w:color w:val="auto"/>
          <w:kern w:val="0"/>
          <w:sz w:val="24"/>
          <w:lang w:bidi="ar"/>
        </w:rPr>
      </w:pPr>
      <w:r>
        <w:rPr>
          <w:rFonts w:asciiTheme="minorEastAsia" w:hAnsiTheme="minorEastAsia" w:eastAsiaTheme="minorEastAsia" w:cstheme="minorEastAsia"/>
          <w:color w:val="auto"/>
          <w:kern w:val="0"/>
          <w:sz w:val="24"/>
          <w:lang w:bidi="ar"/>
        </w:rPr>
        <w:t>1</w:t>
      </w:r>
      <w:r>
        <w:rPr>
          <w:rFonts w:hint="eastAsia" w:asciiTheme="minorEastAsia" w:hAnsiTheme="minorEastAsia" w:eastAsiaTheme="minorEastAsia" w:cstheme="minorEastAsia"/>
          <w:color w:val="auto"/>
          <w:kern w:val="0"/>
          <w:sz w:val="24"/>
          <w:lang w:bidi="ar"/>
        </w:rPr>
        <w:t>）招标文件及施工合同约定或已包括在合同价款内应由分包人自行承担的；</w:t>
      </w:r>
    </w:p>
    <w:p w14:paraId="621ACD7F">
      <w:pPr>
        <w:spacing w:line="360" w:lineRule="auto"/>
        <w:ind w:firstLine="568" w:firstLineChars="237"/>
        <w:rPr>
          <w:rFonts w:asciiTheme="minorEastAsia" w:hAnsiTheme="minorEastAsia" w:eastAsiaTheme="minorEastAsia" w:cstheme="minorEastAsia"/>
          <w:color w:val="auto"/>
          <w:kern w:val="0"/>
          <w:sz w:val="24"/>
          <w:lang w:bidi="ar"/>
        </w:rPr>
      </w:pPr>
      <w:r>
        <w:rPr>
          <w:rFonts w:asciiTheme="minorEastAsia" w:hAnsiTheme="minorEastAsia" w:eastAsiaTheme="minorEastAsia" w:cstheme="minorEastAsia"/>
          <w:color w:val="auto"/>
          <w:kern w:val="0"/>
          <w:sz w:val="24"/>
          <w:lang w:bidi="ar"/>
        </w:rPr>
        <w:t>2</w:t>
      </w:r>
      <w:r>
        <w:rPr>
          <w:rFonts w:hint="eastAsia" w:asciiTheme="minorEastAsia" w:hAnsiTheme="minorEastAsia" w:eastAsiaTheme="minorEastAsia" w:cstheme="minorEastAsia"/>
          <w:color w:val="auto"/>
          <w:kern w:val="0"/>
          <w:sz w:val="24"/>
          <w:lang w:bidi="ar"/>
        </w:rPr>
        <w:t>）分包人在投标文件中承诺自行承担的或投标时应预见的风险；</w:t>
      </w:r>
    </w:p>
    <w:p w14:paraId="394A64DE">
      <w:pPr>
        <w:spacing w:line="360" w:lineRule="auto"/>
        <w:ind w:firstLine="568" w:firstLineChars="237"/>
        <w:rPr>
          <w:rFonts w:asciiTheme="minorEastAsia" w:hAnsiTheme="minorEastAsia" w:eastAsiaTheme="minorEastAsia" w:cstheme="minorEastAsia"/>
          <w:color w:val="auto"/>
          <w:kern w:val="0"/>
          <w:sz w:val="24"/>
          <w:lang w:bidi="ar"/>
        </w:rPr>
      </w:pPr>
      <w:r>
        <w:rPr>
          <w:rFonts w:asciiTheme="minorEastAsia" w:hAnsiTheme="minorEastAsia" w:eastAsiaTheme="minorEastAsia" w:cstheme="minorEastAsia"/>
          <w:color w:val="auto"/>
          <w:kern w:val="0"/>
          <w:sz w:val="24"/>
          <w:lang w:bidi="ar"/>
        </w:rPr>
        <w:t>3</w:t>
      </w:r>
      <w:r>
        <w:rPr>
          <w:rFonts w:hint="eastAsia" w:asciiTheme="minorEastAsia" w:hAnsiTheme="minorEastAsia" w:eastAsiaTheme="minorEastAsia" w:cstheme="minorEastAsia"/>
          <w:color w:val="auto"/>
          <w:kern w:val="0"/>
          <w:sz w:val="24"/>
          <w:lang w:bidi="ar"/>
        </w:rPr>
        <w:t>）非发包人原因，分包人为了便于组织施工需采取的技术措施的变更或临时</w:t>
      </w:r>
      <w:r>
        <w:rPr>
          <w:rFonts w:asciiTheme="minorEastAsia" w:hAnsiTheme="minorEastAsia" w:eastAsiaTheme="minorEastAsia" w:cstheme="minorEastAsia"/>
          <w:color w:val="auto"/>
          <w:kern w:val="0"/>
          <w:sz w:val="24"/>
          <w:lang w:bidi="ar"/>
        </w:rPr>
        <w:t xml:space="preserve"> </w:t>
      </w:r>
      <w:r>
        <w:rPr>
          <w:rFonts w:hint="eastAsia" w:asciiTheme="minorEastAsia" w:hAnsiTheme="minorEastAsia" w:eastAsiaTheme="minorEastAsia" w:cstheme="minorEastAsia"/>
          <w:color w:val="auto"/>
          <w:kern w:val="0"/>
          <w:sz w:val="24"/>
          <w:lang w:bidi="ar"/>
        </w:rPr>
        <w:t>工程变更；</w:t>
      </w:r>
    </w:p>
    <w:p w14:paraId="760C696B">
      <w:pPr>
        <w:spacing w:line="360" w:lineRule="auto"/>
        <w:ind w:firstLine="568" w:firstLineChars="237"/>
        <w:rPr>
          <w:rFonts w:asciiTheme="minorEastAsia" w:hAnsiTheme="minorEastAsia" w:eastAsiaTheme="minorEastAsia" w:cstheme="minorEastAsia"/>
          <w:color w:val="auto"/>
          <w:kern w:val="0"/>
          <w:sz w:val="24"/>
          <w:lang w:bidi="ar"/>
        </w:rPr>
      </w:pPr>
      <w:r>
        <w:rPr>
          <w:rFonts w:asciiTheme="minorEastAsia" w:hAnsiTheme="minorEastAsia" w:eastAsiaTheme="minorEastAsia" w:cstheme="minorEastAsia"/>
          <w:color w:val="auto"/>
          <w:kern w:val="0"/>
          <w:sz w:val="24"/>
          <w:lang w:bidi="ar"/>
        </w:rPr>
        <w:t>4</w:t>
      </w:r>
      <w:r>
        <w:rPr>
          <w:rFonts w:hint="eastAsia" w:asciiTheme="minorEastAsia" w:hAnsiTheme="minorEastAsia" w:eastAsiaTheme="minorEastAsia" w:cstheme="minorEastAsia"/>
          <w:color w:val="auto"/>
          <w:kern w:val="0"/>
          <w:sz w:val="24"/>
          <w:lang w:bidi="ar"/>
        </w:rPr>
        <w:t>）为了避免干扰等原因需采取的技术措施的变更或临时工程的变更；</w:t>
      </w:r>
    </w:p>
    <w:p w14:paraId="553526BB">
      <w:pPr>
        <w:spacing w:line="360" w:lineRule="auto"/>
        <w:ind w:firstLine="568" w:firstLineChars="237"/>
        <w:rPr>
          <w:rFonts w:asciiTheme="minorEastAsia" w:hAnsiTheme="minorEastAsia" w:eastAsiaTheme="minorEastAsia" w:cstheme="minorEastAsia"/>
          <w:color w:val="auto"/>
          <w:kern w:val="0"/>
          <w:sz w:val="24"/>
          <w:lang w:bidi="ar"/>
        </w:rPr>
      </w:pPr>
      <w:r>
        <w:rPr>
          <w:rFonts w:asciiTheme="minorEastAsia" w:hAnsiTheme="minorEastAsia" w:eastAsiaTheme="minorEastAsia" w:cstheme="minorEastAsia"/>
          <w:color w:val="auto"/>
          <w:kern w:val="0"/>
          <w:sz w:val="24"/>
          <w:lang w:bidi="ar"/>
        </w:rPr>
        <w:t>5</w:t>
      </w:r>
      <w:r>
        <w:rPr>
          <w:rFonts w:hint="eastAsia" w:asciiTheme="minorEastAsia" w:hAnsiTheme="minorEastAsia" w:eastAsiaTheme="minorEastAsia" w:cstheme="minorEastAsia"/>
          <w:color w:val="auto"/>
          <w:kern w:val="0"/>
          <w:sz w:val="24"/>
          <w:lang w:bidi="ar"/>
        </w:rPr>
        <w:t>）除合同另有约定外，由分包人提供设计图纸（包括深化设计等）导致工作内容、承包范围、工程量变化等；</w:t>
      </w:r>
    </w:p>
    <w:p w14:paraId="731BAD52">
      <w:pPr>
        <w:spacing w:line="360" w:lineRule="auto"/>
        <w:ind w:firstLine="568" w:firstLineChars="237"/>
        <w:rPr>
          <w:rFonts w:asciiTheme="minorEastAsia" w:hAnsiTheme="minorEastAsia" w:eastAsiaTheme="minorEastAsia" w:cstheme="minorEastAsia"/>
          <w:color w:val="auto"/>
          <w:kern w:val="0"/>
          <w:sz w:val="24"/>
          <w:lang w:bidi="ar"/>
        </w:rPr>
      </w:pPr>
      <w:r>
        <w:rPr>
          <w:rFonts w:asciiTheme="minorEastAsia" w:hAnsiTheme="minorEastAsia" w:eastAsiaTheme="minorEastAsia" w:cstheme="minorEastAsia"/>
          <w:color w:val="auto"/>
          <w:kern w:val="0"/>
          <w:sz w:val="24"/>
          <w:lang w:bidi="ar"/>
        </w:rPr>
        <w:t>6</w:t>
      </w:r>
      <w:r>
        <w:rPr>
          <w:rFonts w:hint="eastAsia" w:asciiTheme="minorEastAsia" w:hAnsiTheme="minorEastAsia" w:eastAsiaTheme="minorEastAsia" w:cstheme="minorEastAsia"/>
          <w:color w:val="auto"/>
          <w:kern w:val="0"/>
          <w:sz w:val="24"/>
          <w:lang w:bidi="ar"/>
        </w:rPr>
        <w:t>）因分包人的违约、过错或分包人负责的其他情况导致的变更。</w:t>
      </w:r>
    </w:p>
    <w:p w14:paraId="07D51762">
      <w:pPr>
        <w:numPr>
          <w:ilvl w:val="0"/>
          <w:numId w:val="0"/>
        </w:numPr>
        <w:spacing w:line="360" w:lineRule="auto"/>
        <w:ind w:left="0" w:firstLine="568" w:firstLineChars="237"/>
        <w:jc w:val="both"/>
        <w:outlineLvl w:val="9"/>
        <w:rPr>
          <w:rFonts w:hint="eastAsia" w:asciiTheme="minorEastAsia" w:hAnsiTheme="minorEastAsia" w:eastAsiaTheme="minorEastAsia" w:cstheme="minorEastAsia"/>
          <w:kern w:val="0"/>
          <w:sz w:val="24"/>
          <w:lang w:bidi="ar"/>
        </w:rPr>
      </w:pPr>
      <w:r>
        <w:rPr>
          <w:rFonts w:asciiTheme="minorEastAsia" w:hAnsiTheme="minorEastAsia" w:eastAsiaTheme="minorEastAsia" w:cstheme="minorEastAsia"/>
          <w:color w:val="auto"/>
          <w:kern w:val="0"/>
          <w:sz w:val="24"/>
          <w:lang w:bidi="ar"/>
        </w:rPr>
        <w:t>7</w:t>
      </w:r>
      <w:r>
        <w:rPr>
          <w:rFonts w:hint="eastAsia" w:asciiTheme="minorEastAsia" w:hAnsiTheme="minorEastAsia" w:eastAsiaTheme="minorEastAsia" w:cstheme="minorEastAsia"/>
          <w:color w:val="auto"/>
          <w:kern w:val="0"/>
          <w:sz w:val="24"/>
          <w:lang w:bidi="ar"/>
        </w:rPr>
        <w:t>）法律、法规、规章规定不能办理的。</w:t>
      </w:r>
    </w:p>
    <w:p w14:paraId="23E26F41">
      <w:pPr>
        <w:pStyle w:val="4"/>
        <w:spacing w:before="0" w:after="0" w:line="360" w:lineRule="auto"/>
        <w:rPr>
          <w:rFonts w:hint="eastAsia" w:asciiTheme="minorEastAsia" w:hAnsiTheme="minorEastAsia" w:eastAsiaTheme="minorEastAsia" w:cstheme="minorEastAsia"/>
          <w:kern w:val="0"/>
          <w:sz w:val="24"/>
        </w:rPr>
      </w:pPr>
      <w:bookmarkStart w:id="325" w:name="_Toc27939"/>
      <w:bookmarkStart w:id="326" w:name="_Toc25719"/>
      <w:bookmarkStart w:id="327" w:name="_Toc13203"/>
      <w:bookmarkStart w:id="328" w:name="_Toc7118"/>
      <w:r>
        <w:rPr>
          <w:rFonts w:hint="eastAsia" w:asciiTheme="minorEastAsia" w:hAnsiTheme="minorEastAsia" w:eastAsiaTheme="minorEastAsia" w:cstheme="minorEastAsia"/>
          <w:kern w:val="0"/>
          <w:sz w:val="24"/>
          <w:szCs w:val="32"/>
        </w:rPr>
        <w:t xml:space="preserve">15   </w:t>
      </w:r>
      <w:r>
        <w:rPr>
          <w:rFonts w:hint="eastAsia" w:asciiTheme="minorEastAsia" w:hAnsiTheme="minorEastAsia" w:eastAsiaTheme="minorEastAsia" w:cstheme="minorEastAsia"/>
          <w:kern w:val="0"/>
          <w:sz w:val="24"/>
        </w:rPr>
        <w:t>变更程序</w:t>
      </w:r>
      <w:r>
        <w:rPr>
          <w:rFonts w:hint="eastAsia" w:asciiTheme="minorEastAsia" w:hAnsiTheme="minorEastAsia" w:eastAsiaTheme="minorEastAsia" w:cstheme="minorEastAsia"/>
          <w:kern w:val="0"/>
          <w:sz w:val="24"/>
          <w:szCs w:val="32"/>
        </w:rPr>
        <w:t>：</w:t>
      </w:r>
      <w:bookmarkEnd w:id="325"/>
      <w:bookmarkEnd w:id="326"/>
      <w:bookmarkEnd w:id="327"/>
      <w:bookmarkEnd w:id="328"/>
    </w:p>
    <w:p w14:paraId="40D2CB22">
      <w:pPr>
        <w:spacing w:line="360" w:lineRule="auto"/>
        <w:ind w:firstLine="568" w:firstLineChars="237"/>
        <w:rPr>
          <w:rFonts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针对图纸漏项及设计变更等合同外工作，发包人下发指令后，分包人不得拒绝执行，也不得因定价未完成等原因进行拖延或拒绝执行。</w:t>
      </w:r>
    </w:p>
    <w:p w14:paraId="71C7ABDE">
      <w:pPr>
        <w:spacing w:line="360" w:lineRule="auto"/>
        <w:ind w:firstLine="568" w:firstLineChars="237"/>
        <w:rPr>
          <w:rFonts w:asciiTheme="minorEastAsia" w:hAnsiTheme="minorEastAsia" w:eastAsiaTheme="minorEastAsia" w:cstheme="minorEastAsia"/>
          <w:color w:val="000000"/>
          <w:kern w:val="0"/>
          <w:sz w:val="24"/>
          <w:lang w:bidi="ar"/>
        </w:rPr>
      </w:pPr>
      <w:r>
        <w:rPr>
          <w:rFonts w:asciiTheme="minorEastAsia" w:hAnsiTheme="minorEastAsia" w:eastAsiaTheme="minorEastAsia" w:cstheme="minorEastAsia"/>
          <w:color w:val="000000"/>
          <w:kern w:val="0"/>
          <w:sz w:val="24"/>
          <w:lang w:bidi="ar"/>
        </w:rPr>
        <w:t>15.1</w:t>
      </w:r>
      <w:r>
        <w:rPr>
          <w:rFonts w:hint="eastAsia" w:asciiTheme="minorEastAsia" w:hAnsiTheme="minorEastAsia" w:eastAsiaTheme="minorEastAsia" w:cstheme="minorEastAsia"/>
          <w:color w:val="000000"/>
          <w:kern w:val="0"/>
          <w:sz w:val="24"/>
          <w:lang w:bidi="ar"/>
        </w:rPr>
        <w:t>发包人有权发出指令要求变更，经承包人书面确认后，分包人不得拒绝，发包人通过承包人通知分包人后，分包人拒绝施工的，</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经发包人同意，承包人有权将该部分工程另行委托其它施工单位完成，分包人应</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承担该部分工程双倍费用的违约金。除得到发包人书面指令外，分包人不能擅自</w:t>
      </w:r>
      <w:r>
        <w:rPr>
          <w:rFonts w:asciiTheme="minorEastAsia" w:hAnsiTheme="minorEastAsia" w:eastAsiaTheme="minorEastAsia" w:cstheme="minorEastAsia"/>
          <w:color w:val="000000"/>
          <w:kern w:val="0"/>
          <w:sz w:val="24"/>
          <w:lang w:bidi="ar"/>
        </w:rPr>
        <w:t xml:space="preserve"> </w:t>
      </w:r>
      <w:r>
        <w:rPr>
          <w:rFonts w:hint="eastAsia" w:asciiTheme="minorEastAsia" w:hAnsiTheme="minorEastAsia" w:eastAsiaTheme="minorEastAsia" w:cstheme="minorEastAsia"/>
          <w:color w:val="000000"/>
          <w:kern w:val="0"/>
          <w:sz w:val="24"/>
          <w:lang w:bidi="ar"/>
        </w:rPr>
        <w:t>做出变更。任何发包人要求的或发包人随后追认的变更皆不会使本合同失效。</w:t>
      </w:r>
    </w:p>
    <w:p w14:paraId="14195FA8">
      <w:pPr>
        <w:spacing w:line="360" w:lineRule="auto"/>
        <w:ind w:firstLine="568" w:firstLineChars="237"/>
        <w:rPr>
          <w:rFonts w:asciiTheme="minorEastAsia" w:hAnsiTheme="minorEastAsia" w:eastAsiaTheme="minorEastAsia" w:cstheme="minorEastAsia"/>
          <w:color w:val="auto"/>
          <w:kern w:val="0"/>
          <w:sz w:val="24"/>
          <w:lang w:bidi="ar"/>
        </w:rPr>
      </w:pPr>
      <w:r>
        <w:rPr>
          <w:rFonts w:asciiTheme="minorEastAsia" w:hAnsiTheme="minorEastAsia" w:eastAsiaTheme="minorEastAsia" w:cstheme="minorEastAsia"/>
          <w:kern w:val="0"/>
          <w:sz w:val="24"/>
          <w:lang w:bidi="ar"/>
        </w:rPr>
        <w:t>15.2</w:t>
      </w:r>
      <w:r>
        <w:rPr>
          <w:rFonts w:hint="eastAsia" w:asciiTheme="minorEastAsia" w:hAnsiTheme="minorEastAsia" w:eastAsiaTheme="minorEastAsia" w:cstheme="minorEastAsia"/>
          <w:color w:val="auto"/>
          <w:kern w:val="0"/>
          <w:sz w:val="24"/>
          <w:lang w:bidi="ar"/>
        </w:rPr>
        <w:t>如分包人未经承包人、发包人和监理单位</w:t>
      </w:r>
      <w:r>
        <w:rPr>
          <w:rFonts w:asciiTheme="minorEastAsia" w:hAnsiTheme="minorEastAsia" w:eastAsiaTheme="minorEastAsia" w:cstheme="minorEastAsia"/>
          <w:color w:val="auto"/>
          <w:kern w:val="0"/>
          <w:sz w:val="24"/>
          <w:lang w:bidi="ar"/>
        </w:rPr>
        <w:t xml:space="preserve"> </w:t>
      </w:r>
      <w:r>
        <w:rPr>
          <w:rFonts w:hint="eastAsia" w:asciiTheme="minorEastAsia" w:hAnsiTheme="minorEastAsia" w:eastAsiaTheme="minorEastAsia" w:cstheme="minorEastAsia"/>
          <w:color w:val="auto"/>
          <w:kern w:val="0"/>
          <w:sz w:val="24"/>
          <w:lang w:bidi="ar"/>
        </w:rPr>
        <w:t>同意而擅自超出合同文件的要求进行施工，或者擅自变更承包范围内施工内容的，</w:t>
      </w:r>
      <w:r>
        <w:rPr>
          <w:rFonts w:asciiTheme="minorEastAsia" w:hAnsiTheme="minorEastAsia" w:eastAsiaTheme="minorEastAsia" w:cstheme="minorEastAsia"/>
          <w:color w:val="auto"/>
          <w:kern w:val="0"/>
          <w:sz w:val="24"/>
          <w:lang w:bidi="ar"/>
        </w:rPr>
        <w:t xml:space="preserve"> </w:t>
      </w:r>
      <w:r>
        <w:rPr>
          <w:rFonts w:hint="eastAsia" w:asciiTheme="minorEastAsia" w:hAnsiTheme="minorEastAsia" w:eastAsiaTheme="minorEastAsia" w:cstheme="minorEastAsia"/>
          <w:color w:val="auto"/>
          <w:kern w:val="0"/>
          <w:sz w:val="24"/>
          <w:lang w:bidi="ar"/>
        </w:rPr>
        <w:t>则无论本工程是否通过了竣工验收，均不视为变更且发包人不支付该等擅自施工</w:t>
      </w:r>
      <w:r>
        <w:rPr>
          <w:rFonts w:asciiTheme="minorEastAsia" w:hAnsiTheme="minorEastAsia" w:eastAsiaTheme="minorEastAsia" w:cstheme="minorEastAsia"/>
          <w:color w:val="auto"/>
          <w:kern w:val="0"/>
          <w:sz w:val="24"/>
          <w:lang w:bidi="ar"/>
        </w:rPr>
        <w:t xml:space="preserve"> </w:t>
      </w:r>
      <w:r>
        <w:rPr>
          <w:rFonts w:hint="eastAsia" w:asciiTheme="minorEastAsia" w:hAnsiTheme="minorEastAsia" w:eastAsiaTheme="minorEastAsia" w:cstheme="minorEastAsia"/>
          <w:color w:val="auto"/>
          <w:kern w:val="0"/>
          <w:sz w:val="24"/>
          <w:lang w:bidi="ar"/>
        </w:rPr>
        <w:t>所发生的费用，由此增加的费用和延误的工期均由分包人承担。</w:t>
      </w:r>
    </w:p>
    <w:p w14:paraId="2C777B30">
      <w:pPr>
        <w:spacing w:line="360" w:lineRule="auto"/>
        <w:ind w:firstLine="568" w:firstLineChars="237"/>
        <w:rPr>
          <w:rFonts w:hint="eastAsia" w:asciiTheme="minorEastAsia" w:hAnsiTheme="minorEastAsia" w:eastAsiaTheme="minorEastAsia" w:cstheme="minorEastAsia"/>
          <w:kern w:val="0"/>
          <w:sz w:val="24"/>
          <w:lang w:bidi="ar"/>
        </w:rPr>
      </w:pPr>
      <w:r>
        <w:rPr>
          <w:rFonts w:asciiTheme="minorEastAsia" w:hAnsiTheme="minorEastAsia" w:eastAsiaTheme="minorEastAsia" w:cstheme="minorEastAsia"/>
          <w:kern w:val="0"/>
          <w:sz w:val="24"/>
          <w:lang w:bidi="ar"/>
        </w:rPr>
        <w:t>15.3</w:t>
      </w:r>
      <w:r>
        <w:rPr>
          <w:rFonts w:hint="eastAsia" w:asciiTheme="minorEastAsia" w:hAnsiTheme="minorEastAsia" w:eastAsiaTheme="minorEastAsia" w:cstheme="minorEastAsia"/>
          <w:color w:val="auto"/>
          <w:kern w:val="0"/>
          <w:sz w:val="24"/>
          <w:lang w:bidi="ar"/>
        </w:rPr>
        <w:t>设计人提出的设计变更，必须经发包人书面批准及承包人书面确认后，</w:t>
      </w:r>
      <w:r>
        <w:rPr>
          <w:rFonts w:asciiTheme="minorEastAsia" w:hAnsiTheme="minorEastAsia" w:eastAsiaTheme="minorEastAsia" w:cstheme="minorEastAsia"/>
          <w:color w:val="auto"/>
          <w:kern w:val="0"/>
          <w:sz w:val="24"/>
          <w:lang w:bidi="ar"/>
        </w:rPr>
        <w:t xml:space="preserve"> </w:t>
      </w:r>
      <w:r>
        <w:rPr>
          <w:rFonts w:hint="eastAsia" w:asciiTheme="minorEastAsia" w:hAnsiTheme="minorEastAsia" w:eastAsiaTheme="minorEastAsia" w:cstheme="minorEastAsia"/>
          <w:color w:val="auto"/>
          <w:kern w:val="0"/>
          <w:sz w:val="24"/>
          <w:lang w:bidi="ar"/>
        </w:rPr>
        <w:t>分包人才能按图进行施工，如设计变更未经发包人批准或承包人书面确认的，分</w:t>
      </w:r>
      <w:r>
        <w:rPr>
          <w:rFonts w:asciiTheme="minorEastAsia" w:hAnsiTheme="minorEastAsia" w:eastAsiaTheme="minorEastAsia" w:cstheme="minorEastAsia"/>
          <w:color w:val="auto"/>
          <w:kern w:val="0"/>
          <w:sz w:val="24"/>
          <w:lang w:bidi="ar"/>
        </w:rPr>
        <w:t xml:space="preserve"> </w:t>
      </w:r>
      <w:r>
        <w:rPr>
          <w:rFonts w:hint="eastAsia" w:asciiTheme="minorEastAsia" w:hAnsiTheme="minorEastAsia" w:eastAsiaTheme="minorEastAsia" w:cstheme="minorEastAsia"/>
          <w:color w:val="auto"/>
          <w:kern w:val="0"/>
          <w:sz w:val="24"/>
          <w:lang w:bidi="ar"/>
        </w:rPr>
        <w:t>包人安排施工，所需费用由分包人承担，且发包人有权要求承包人提出拆除及恢 复，分包人承担由此造成的费用；如设计变更未经发包人批准或承包人书面确认 的，分包人安排施工，且设计变更不合理，其施工费用、恢复费用、延误工期及 由此造成的损失由分包人承担，同时分包人承担相应违约责任。</w:t>
      </w:r>
    </w:p>
    <w:p w14:paraId="7EBD9B07">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15.4所有图纸需报发包人确认，如未经发包人书面确认擅自施工造成的损失由分包人负完全责任，工期不顺延。</w:t>
      </w:r>
    </w:p>
    <w:p w14:paraId="4AF15D65">
      <w:pPr>
        <w:spacing w:before="120" w:beforeLines="50" w:line="360" w:lineRule="auto"/>
        <w:ind w:firstLine="568" w:firstLineChars="237"/>
        <w:rPr>
          <w:rFonts w:hint="eastAsia" w:asciiTheme="minorEastAsia" w:hAnsiTheme="minorEastAsia" w:eastAsiaTheme="minorEastAsia" w:cstheme="minorEastAsia"/>
          <w:sz w:val="24"/>
          <w:lang w:bidi="ar"/>
        </w:rPr>
      </w:pPr>
      <w:r>
        <w:rPr>
          <w:rFonts w:asciiTheme="minorEastAsia" w:hAnsiTheme="minorEastAsia" w:eastAsiaTheme="minorEastAsia" w:cstheme="minorEastAsia"/>
          <w:b w:val="0"/>
          <w:bCs w:val="0"/>
          <w:kern w:val="0"/>
          <w:sz w:val="24"/>
          <w:lang w:bidi="ar"/>
        </w:rPr>
        <w:t>15.</w:t>
      </w:r>
      <w:r>
        <w:rPr>
          <w:rFonts w:hint="eastAsia" w:asciiTheme="minorEastAsia" w:hAnsiTheme="minorEastAsia" w:eastAsiaTheme="minorEastAsia" w:cstheme="minorEastAsia"/>
          <w:kern w:val="0"/>
          <w:sz w:val="24"/>
          <w:lang w:bidi="ar"/>
        </w:rPr>
        <w:t>5</w:t>
      </w:r>
      <w:r>
        <w:rPr>
          <w:rFonts w:hint="eastAsia" w:asciiTheme="minorEastAsia" w:hAnsiTheme="minorEastAsia" w:eastAsiaTheme="minorEastAsia" w:cstheme="minorEastAsia"/>
          <w:b w:val="0"/>
          <w:bCs w:val="0"/>
          <w:color w:val="000000"/>
          <w:kern w:val="0"/>
          <w:sz w:val="24"/>
          <w:lang w:bidi="ar"/>
        </w:rPr>
        <w:t>发包人有权对材料设备的品牌、规格、型号进行变更。</w:t>
      </w:r>
    </w:p>
    <w:p w14:paraId="0148BBE2">
      <w:pPr>
        <w:pStyle w:val="75"/>
        <w:tabs>
          <w:tab w:val="left" w:pos="720"/>
        </w:tabs>
        <w:spacing w:before="120" w:beforeLines="50" w:line="360" w:lineRule="auto"/>
        <w:rPr>
          <w:rFonts w:hint="eastAsia" w:asciiTheme="minorEastAsia" w:hAnsiTheme="minorEastAsia" w:eastAsiaTheme="minorEastAsia" w:cstheme="minorEastAsia"/>
          <w:sz w:val="24"/>
          <w:szCs w:val="24"/>
        </w:rPr>
      </w:pPr>
      <w:bookmarkStart w:id="329" w:name="_Toc200394223"/>
      <w:bookmarkStart w:id="330" w:name="_Toc3503"/>
      <w:bookmarkStart w:id="331" w:name="_Toc26850"/>
      <w:bookmarkStart w:id="332" w:name="_Toc13316"/>
      <w:bookmarkStart w:id="333" w:name="_Toc25283"/>
      <w:bookmarkStart w:id="334" w:name="_Toc23106"/>
      <w:r>
        <w:rPr>
          <w:rFonts w:hint="eastAsia" w:asciiTheme="minorEastAsia" w:hAnsiTheme="minorEastAsia" w:eastAsiaTheme="minorEastAsia" w:cstheme="minorEastAsia"/>
          <w:sz w:val="24"/>
          <w:szCs w:val="24"/>
        </w:rPr>
        <w:t>九、</w:t>
      </w:r>
      <w:bookmarkEnd w:id="329"/>
      <w:bookmarkEnd w:id="330"/>
      <w:bookmarkEnd w:id="331"/>
      <w:bookmarkEnd w:id="332"/>
      <w:bookmarkEnd w:id="333"/>
      <w:bookmarkStart w:id="335" w:name="_Toc200394224"/>
      <w:bookmarkStart w:id="336" w:name="_Toc29378"/>
      <w:bookmarkStart w:id="337" w:name="_Toc24253"/>
      <w:bookmarkStart w:id="338" w:name="_Toc31629"/>
      <w:bookmarkStart w:id="339" w:name="_Toc13290"/>
      <w:bookmarkStart w:id="340" w:name="_Toc31138"/>
      <w:bookmarkStart w:id="341" w:name="_Toc1511"/>
      <w:bookmarkStart w:id="342" w:name="_Toc31386"/>
      <w:bookmarkStart w:id="343" w:name="_Toc27968"/>
      <w:bookmarkStart w:id="344" w:name="_Toc20810"/>
      <w:bookmarkStart w:id="345" w:name="_Toc14711"/>
      <w:bookmarkStart w:id="346" w:name="_Toc29188"/>
      <w:bookmarkStart w:id="347" w:name="_Toc23350"/>
      <w:bookmarkStart w:id="348" w:name="_Toc13956"/>
      <w:bookmarkStart w:id="349" w:name="_Toc22943"/>
      <w:r>
        <w:rPr>
          <w:rFonts w:hint="eastAsia" w:asciiTheme="minorEastAsia" w:hAnsiTheme="minorEastAsia" w:eastAsiaTheme="minorEastAsia" w:cstheme="minorEastAsia"/>
          <w:sz w:val="24"/>
          <w:szCs w:val="24"/>
        </w:rPr>
        <w:t>工程分包管理</w:t>
      </w:r>
      <w:bookmarkEnd w:id="319"/>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5E5C8F43">
      <w:pPr>
        <w:pStyle w:val="4"/>
        <w:spacing w:before="0" w:beforeLines="50" w:after="0" w:line="360" w:lineRule="auto"/>
        <w:rPr>
          <w:rFonts w:hint="eastAsia" w:asciiTheme="minorEastAsia" w:hAnsiTheme="minorEastAsia" w:eastAsiaTheme="minorEastAsia" w:cstheme="minorEastAsia"/>
          <w:sz w:val="24"/>
        </w:rPr>
      </w:pPr>
      <w:bookmarkStart w:id="350" w:name="_Toc517273230"/>
      <w:bookmarkStart w:id="351" w:name="_Toc19870"/>
      <w:bookmarkStart w:id="352" w:name="_Toc30539"/>
      <w:bookmarkStart w:id="353" w:name="_Toc2487"/>
      <w:bookmarkStart w:id="354" w:name="_Toc30630"/>
      <w:r>
        <w:rPr>
          <w:rFonts w:hint="eastAsia" w:asciiTheme="minorEastAsia" w:hAnsiTheme="minorEastAsia" w:eastAsiaTheme="minorEastAsia" w:cstheme="minorEastAsia"/>
          <w:kern w:val="0"/>
          <w:sz w:val="24"/>
          <w:szCs w:val="24"/>
        </w:rPr>
        <w:t>16、工程分包</w:t>
      </w:r>
      <w:bookmarkEnd w:id="350"/>
      <w:r>
        <w:rPr>
          <w:rFonts w:hint="eastAsia" w:asciiTheme="minorEastAsia" w:hAnsiTheme="minorEastAsia" w:eastAsiaTheme="minorEastAsia" w:cstheme="minorEastAsia"/>
          <w:kern w:val="0"/>
          <w:sz w:val="24"/>
          <w:szCs w:val="24"/>
        </w:rPr>
        <w:t>：</w:t>
      </w:r>
      <w:bookmarkEnd w:id="351"/>
      <w:bookmarkEnd w:id="352"/>
      <w:bookmarkEnd w:id="353"/>
      <w:bookmarkEnd w:id="354"/>
    </w:p>
    <w:p w14:paraId="1FF0E618">
      <w:pPr>
        <w:widowControl w:val="0"/>
        <w:numPr>
          <w:ilvl w:val="0"/>
          <w:numId w:val="0"/>
        </w:numPr>
        <w:spacing w:line="360" w:lineRule="auto"/>
        <w:ind w:firstLine="568" w:firstLineChars="237"/>
        <w:jc w:val="both"/>
        <w:outlineLvl w:val="9"/>
        <w:rPr>
          <w:rFonts w:hint="eastAsia" w:asciiTheme="minorEastAsia" w:hAnsiTheme="minorEastAsia" w:eastAsiaTheme="minorEastAsia" w:cstheme="minorEastAsia"/>
          <w:bCs w:val="0"/>
          <w:kern w:val="0"/>
          <w:sz w:val="24"/>
          <w:lang w:bidi="ar"/>
        </w:rPr>
      </w:pPr>
      <w:r>
        <w:rPr>
          <w:rFonts w:hint="eastAsia" w:asciiTheme="minorEastAsia" w:hAnsiTheme="minorEastAsia" w:eastAsiaTheme="minorEastAsia" w:cstheme="minorEastAsia"/>
          <w:bCs w:val="0"/>
          <w:kern w:val="0"/>
          <w:sz w:val="24"/>
          <w:lang w:eastAsia="zh-CN" w:bidi="ar"/>
        </w:rPr>
        <w:t>16</w:t>
      </w:r>
      <w:r>
        <w:rPr>
          <w:rFonts w:hint="eastAsia" w:asciiTheme="minorEastAsia" w:hAnsiTheme="minorEastAsia" w:eastAsiaTheme="minorEastAsia" w:cstheme="minorEastAsia"/>
          <w:bCs w:val="0"/>
          <w:kern w:val="0"/>
          <w:sz w:val="24"/>
          <w:lang w:bidi="ar"/>
        </w:rPr>
        <w:t>.1本工程主要承包内容不允许转包。</w:t>
      </w:r>
    </w:p>
    <w:p w14:paraId="77B7E31C">
      <w:pPr>
        <w:pStyle w:val="75"/>
        <w:tabs>
          <w:tab w:val="left" w:pos="720"/>
        </w:tabs>
        <w:spacing w:before="120" w:beforeLines="50" w:line="360" w:lineRule="auto"/>
        <w:rPr>
          <w:rFonts w:hint="eastAsia" w:asciiTheme="minorEastAsia" w:hAnsiTheme="minorEastAsia" w:eastAsiaTheme="minorEastAsia" w:cstheme="minorEastAsia"/>
          <w:sz w:val="24"/>
          <w:szCs w:val="24"/>
        </w:rPr>
      </w:pPr>
      <w:bookmarkStart w:id="355" w:name="_Toc200394225"/>
      <w:bookmarkStart w:id="356" w:name="_Toc10337"/>
      <w:bookmarkStart w:id="357" w:name="_Toc25990"/>
      <w:bookmarkStart w:id="358" w:name="_Toc8525"/>
      <w:bookmarkStart w:id="359" w:name="_Toc1948"/>
      <w:bookmarkStart w:id="360" w:name="_Toc19402"/>
      <w:bookmarkStart w:id="361" w:name="_Toc27237"/>
      <w:bookmarkStart w:id="362" w:name="_Toc10752"/>
      <w:bookmarkStart w:id="363" w:name="_Toc29689"/>
      <w:bookmarkStart w:id="364" w:name="_Toc26705"/>
      <w:bookmarkStart w:id="365" w:name="_Toc24309"/>
      <w:bookmarkStart w:id="366" w:name="_Toc517273231"/>
      <w:bookmarkStart w:id="367" w:name="_Toc21647"/>
      <w:bookmarkStart w:id="368" w:name="_Toc12712"/>
      <w:bookmarkStart w:id="369" w:name="_Toc27515"/>
      <w:bookmarkStart w:id="370" w:name="_Toc11595"/>
      <w:bookmarkStart w:id="371" w:name="_Toc29138"/>
      <w:r>
        <w:rPr>
          <w:rFonts w:hint="eastAsia" w:asciiTheme="minorEastAsia" w:hAnsiTheme="minorEastAsia" w:eastAsiaTheme="minorEastAsia" w:cstheme="minorEastAsia"/>
          <w:sz w:val="24"/>
          <w:szCs w:val="24"/>
        </w:rPr>
        <w:t>十、竣工结算与资料规定</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64909272">
      <w:pPr>
        <w:pStyle w:val="4"/>
        <w:spacing w:before="0" w:beforeLines="50" w:after="0" w:line="360" w:lineRule="auto"/>
        <w:rPr>
          <w:rFonts w:hint="eastAsia" w:asciiTheme="minorEastAsia" w:hAnsiTheme="minorEastAsia" w:eastAsiaTheme="minorEastAsia" w:cstheme="minorEastAsia"/>
          <w:sz w:val="24"/>
        </w:rPr>
      </w:pPr>
      <w:bookmarkStart w:id="372" w:name="_Toc517273232"/>
      <w:bookmarkStart w:id="373" w:name="_Toc19427"/>
      <w:bookmarkStart w:id="374" w:name="_Toc25920"/>
      <w:bookmarkStart w:id="375" w:name="_Toc15612"/>
      <w:bookmarkStart w:id="376" w:name="_Toc23547"/>
      <w:r>
        <w:rPr>
          <w:rFonts w:hint="eastAsia" w:asciiTheme="minorEastAsia" w:hAnsiTheme="minorEastAsia" w:eastAsiaTheme="minorEastAsia" w:cstheme="minorEastAsia"/>
          <w:kern w:val="0"/>
          <w:sz w:val="24"/>
          <w:szCs w:val="24"/>
        </w:rPr>
        <w:t>17、竣工结算</w:t>
      </w:r>
      <w:bookmarkEnd w:id="372"/>
      <w:r>
        <w:rPr>
          <w:rFonts w:hint="eastAsia" w:asciiTheme="minorEastAsia" w:hAnsiTheme="minorEastAsia" w:eastAsiaTheme="minorEastAsia" w:cstheme="minorEastAsia"/>
          <w:kern w:val="0"/>
          <w:sz w:val="24"/>
          <w:szCs w:val="24"/>
        </w:rPr>
        <w:t>：</w:t>
      </w:r>
      <w:bookmarkEnd w:id="373"/>
      <w:bookmarkEnd w:id="374"/>
      <w:bookmarkEnd w:id="375"/>
      <w:bookmarkEnd w:id="376"/>
    </w:p>
    <w:p w14:paraId="194F0133">
      <w:pPr>
        <w:numPr>
          <w:ilvl w:val="0"/>
          <w:numId w:val="0"/>
        </w:numPr>
        <w:autoSpaceDE/>
        <w:autoSpaceDN/>
        <w:adjustRightInd/>
        <w:spacing w:line="360" w:lineRule="auto"/>
        <w:ind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17.1 </w:t>
      </w:r>
      <w:r>
        <w:rPr>
          <w:rFonts w:hint="eastAsia" w:asciiTheme="minorEastAsia" w:hAnsiTheme="minorEastAsia" w:eastAsiaTheme="minorEastAsia" w:cstheme="minorEastAsia"/>
          <w:color w:val="auto"/>
          <w:kern w:val="0"/>
          <w:sz w:val="24"/>
          <w:lang w:bidi="ar"/>
        </w:rPr>
        <w:t>结算书及相关资料约定如下：</w:t>
      </w:r>
    </w:p>
    <w:p w14:paraId="06EDB695">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 xml:space="preserve">1）分包人编制的结算书（包括结算资料目录、编制说明、结算金额与合同金额对比表、指标分析表及与结算相关的计价文件依据等，结算书内容须列明协议书约定的合同暂定总价、每项变更的价款及暂估价的处理，分包人并须提供前述价款的数量、单价及其组成及其他一切相关文件）、工程量计算底稿； </w:t>
      </w:r>
    </w:p>
    <w:p w14:paraId="68821651">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2）合同文件；</w:t>
      </w:r>
    </w:p>
    <w:p w14:paraId="619F175C">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3）开工报告；</w:t>
      </w:r>
    </w:p>
    <w:p w14:paraId="2F5020E1">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4）开工与竣工报告、竣工验收记录；</w:t>
      </w:r>
    </w:p>
    <w:p w14:paraId="300A2644">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5）按规定签字认可的施工图、竣工图纸、设计变更和附图；</w:t>
      </w:r>
    </w:p>
    <w:p w14:paraId="106ABFF8">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6）经审定的施工组织设计、施工方案或专项施工方案；</w:t>
      </w:r>
    </w:p>
    <w:p w14:paraId="6A534896">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7）有效索赔相关资料；</w:t>
      </w:r>
    </w:p>
    <w:p w14:paraId="181484E0">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8) 经审核的认质认价资料（需附明细汇总表）；</w:t>
      </w:r>
    </w:p>
    <w:p w14:paraId="663A4BCE">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9）甲供材料通知（含材料清单等）；</w:t>
      </w:r>
    </w:p>
    <w:p w14:paraId="657B1425">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10）甲控品牌进场使用的佐证资料；</w:t>
      </w:r>
    </w:p>
    <w:p w14:paraId="3DC0C860">
      <w:pPr>
        <w:widowControl w:val="0"/>
        <w:numPr>
          <w:ilvl w:val="0"/>
          <w:numId w:val="0"/>
        </w:numPr>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11）合同履行期间分包人的违约情况说明（如有）及分包人相关支持文件；</w:t>
      </w:r>
    </w:p>
    <w:p w14:paraId="27D3EB29">
      <w:pPr>
        <w:widowControl w:val="0"/>
        <w:numPr>
          <w:ilvl w:val="0"/>
          <w:numId w:val="0"/>
        </w:numPr>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12）结算资料目录应将整套报送结算资料按顺序编写页码进行填写、整理，以便双方查阅、核对；</w:t>
      </w:r>
    </w:p>
    <w:p w14:paraId="07F14709">
      <w:pPr>
        <w:widowControl w:val="0"/>
        <w:numPr>
          <w:ilvl w:val="0"/>
          <w:numId w:val="0"/>
        </w:numPr>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13）纸质版结算资料一式8份，电子版2份。</w:t>
      </w:r>
    </w:p>
    <w:p w14:paraId="4E3ECE27">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14）未经发包人、承包人确认的本合同补充协议、变更均不作为结算依据。</w:t>
      </w:r>
    </w:p>
    <w:p w14:paraId="5A779C9C">
      <w:pPr>
        <w:widowControl w:val="0"/>
        <w:numPr>
          <w:ilvl w:val="0"/>
          <w:numId w:val="0"/>
        </w:numPr>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承包人与发包人结算要求按发包人最新版结算管理规定执行，承包人按发包人与承包人结算成果与分包人进行结算。</w:t>
      </w:r>
    </w:p>
    <w:p w14:paraId="39C002D6">
      <w:pPr>
        <w:numPr>
          <w:ilvl w:val="0"/>
          <w:numId w:val="0"/>
        </w:numPr>
        <w:autoSpaceDE/>
        <w:autoSpaceDN/>
        <w:adjustRightInd/>
        <w:spacing w:line="360" w:lineRule="auto"/>
        <w:ind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17.2</w:t>
      </w:r>
      <w:r>
        <w:rPr>
          <w:rFonts w:hint="eastAsia" w:asciiTheme="minorEastAsia" w:hAnsiTheme="minorEastAsia" w:eastAsiaTheme="minorEastAsia" w:cstheme="minorEastAsia"/>
          <w:color w:val="auto"/>
          <w:kern w:val="0"/>
          <w:sz w:val="24"/>
          <w:lang w:bidi="ar"/>
        </w:rPr>
        <w:t>若分包人未能及时办理竣工结算，导致发包人出现农民工讨薪、恶意上访等群体性事件，分包人将承担全部法律及经济责任。同时，若分包人未在合同约定时间内提交竣工结算资料，经承包人催办后仍逾期未能提交，承包人将出具竣工结算审核报告，并视同分包人同意该审核报告内容，由此造成的一切后果均由分包人承担。</w:t>
      </w:r>
    </w:p>
    <w:p w14:paraId="16399061">
      <w:pPr>
        <w:numPr>
          <w:ilvl w:val="0"/>
          <w:numId w:val="0"/>
        </w:numPr>
        <w:autoSpaceDE/>
        <w:autoSpaceDN/>
        <w:adjustRightInd/>
        <w:spacing w:line="360" w:lineRule="auto"/>
        <w:ind w:firstLine="568" w:firstLineChars="237"/>
        <w:jc w:val="both"/>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17.3</w:t>
      </w:r>
      <w:r>
        <w:rPr>
          <w:rFonts w:hint="eastAsia" w:asciiTheme="minorEastAsia" w:hAnsiTheme="minorEastAsia" w:eastAsiaTheme="minorEastAsia" w:cstheme="minorEastAsia"/>
          <w:color w:val="auto"/>
          <w:kern w:val="0"/>
          <w:sz w:val="24"/>
          <w:lang w:bidi="ar"/>
        </w:rPr>
        <w:t>对于竣工结算的其他约定：</w:t>
      </w:r>
    </w:p>
    <w:p w14:paraId="39649B67">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1)在承包人与分包人就结算金额达成一致或生效裁判文书确定前，承包人对争议部分的支付义务不能确定，因此也无支付义务。只有在承包人与分包人就结算金额达成一致或生效裁判文书确定承包人的支付义务后，承包人才有按照双方达成的一致或生效裁判文书支付结算款的义务。</w:t>
      </w:r>
    </w:p>
    <w:p w14:paraId="63AA80CD">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2）凡是涉及到工程造价增减的设计变更均必须有发包人签字并盖章方为有效。</w:t>
      </w:r>
    </w:p>
    <w:p w14:paraId="1F1C3621">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3）设计变更按照相应规定执行。</w:t>
      </w:r>
    </w:p>
    <w:p w14:paraId="18555AEB">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4）分包人违约金、水电费、赔偿金等相应扣款项，应扣未扣金额由承包人在应付结算价款中扣除。承包人凭收款收据及其他资料进行上述扣款。扣除部分不影响分包人应向承包人开具的发票数额。</w:t>
      </w:r>
    </w:p>
    <w:p w14:paraId="1D8DB56D">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5）按国家规定由分包人交纳的各种税收、劳动保险费及其他费用已包含在本工程造价内，由分包人负责向税收等部门交纳。</w:t>
      </w:r>
    </w:p>
    <w:p w14:paraId="6075D815">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6）本工程竣工结算方式（适用本合同的竣工结算方式为以下方框内已勾选方式，即R）为:</w:t>
      </w:r>
    </w:p>
    <w:p w14:paraId="23EF9464">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sym w:font="Wingdings 2" w:char="00A3"/>
      </w:r>
      <w:r>
        <w:rPr>
          <w:rFonts w:hint="eastAsia" w:asciiTheme="minorEastAsia" w:hAnsiTheme="minorEastAsia" w:eastAsiaTheme="minorEastAsia" w:cstheme="minorEastAsia"/>
          <w:color w:val="auto"/>
          <w:kern w:val="0"/>
          <w:sz w:val="24"/>
          <w:lang w:bidi="ar"/>
        </w:rPr>
        <w:t>方式一（适用于模拟清单招标固定单价计价模式）：</w:t>
      </w:r>
    </w:p>
    <w:p w14:paraId="391C9659">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当重计量阶段已通过补充协议转固定总价合同时，竣工结算=补充协议约定的固定合同总价+设计变更+签证+索赔+其他；当重计量阶段尚不具备通过补充协议转固定总价合同的，竣工结算=竣工图（含设计变更）+签证+索赔+其他。</w:t>
      </w:r>
    </w:p>
    <w:p w14:paraId="18C09BE4">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sym w:font="Wingdings 2" w:char="00A3"/>
      </w:r>
      <w:r>
        <w:rPr>
          <w:rFonts w:hint="eastAsia" w:asciiTheme="minorEastAsia" w:hAnsiTheme="minorEastAsia" w:eastAsiaTheme="minorEastAsia" w:cstheme="minorEastAsia"/>
          <w:color w:val="auto"/>
          <w:kern w:val="0"/>
          <w:sz w:val="24"/>
          <w:lang w:bidi="ar"/>
        </w:rPr>
        <w:t>方式二（适用于施工图清单招标固定单价计价模式）：</w:t>
      </w:r>
    </w:p>
    <w:p w14:paraId="30293F37">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color w:val="auto"/>
          <w:kern w:val="0"/>
          <w:sz w:val="24"/>
          <w:lang w:bidi="ar"/>
        </w:rPr>
        <w:t>竣工结算=竣工图（含设计变更）+签证+索赔+其他；当施工过程中设计变更实际发生较少时，承发包经协商竣工结算方式可以调整为：竣工结算=中标合同总价+设计变更+签证+索赔+其他</w:t>
      </w:r>
    </w:p>
    <w:p w14:paraId="396ADC1A">
      <w:pPr>
        <w:numPr>
          <w:ilvl w:val="0"/>
          <w:numId w:val="0"/>
        </w:numPr>
        <w:autoSpaceDE/>
        <w:autoSpaceDN/>
        <w:adjustRightInd/>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sym w:font="Wingdings 2" w:char="0052"/>
      </w:r>
      <w:r>
        <w:rPr>
          <w:rFonts w:hint="eastAsia" w:asciiTheme="minorEastAsia" w:hAnsiTheme="minorEastAsia" w:eastAsiaTheme="minorEastAsia" w:cstheme="minorEastAsia"/>
          <w:color w:val="auto"/>
          <w:kern w:val="0"/>
          <w:sz w:val="24"/>
          <w:lang w:bidi="ar"/>
        </w:rPr>
        <w:t>方式三</w:t>
      </w:r>
    </w:p>
    <w:p w14:paraId="538A90FC">
      <w:pPr>
        <w:numPr>
          <w:ilvl w:val="0"/>
          <w:numId w:val="0"/>
        </w:numPr>
        <w:spacing w:line="360" w:lineRule="auto"/>
        <w:ind w:firstLine="568" w:firstLineChars="237"/>
        <w:jc w:val="both"/>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 xml:space="preserve"> 广州市海珠城市建设发展集团有限公司结算管理规定（后续有更新的，按最新）</w:t>
      </w:r>
    </w:p>
    <w:p w14:paraId="05E8EE97">
      <w:pPr>
        <w:pStyle w:val="4"/>
        <w:spacing w:before="0" w:beforeLines="50" w:after="0" w:line="360" w:lineRule="auto"/>
        <w:rPr>
          <w:rFonts w:hint="eastAsia" w:asciiTheme="minorEastAsia" w:hAnsiTheme="minorEastAsia" w:eastAsiaTheme="minorEastAsia" w:cstheme="minorEastAsia"/>
          <w:sz w:val="24"/>
        </w:rPr>
      </w:pPr>
      <w:bookmarkStart w:id="377" w:name="_Toc517273233"/>
      <w:bookmarkStart w:id="378" w:name="_Toc27534"/>
      <w:bookmarkStart w:id="379" w:name="_Toc3326"/>
      <w:bookmarkStart w:id="380" w:name="_Toc8374"/>
      <w:bookmarkStart w:id="381" w:name="_Toc19225"/>
      <w:r>
        <w:rPr>
          <w:rFonts w:hint="eastAsia" w:asciiTheme="minorEastAsia" w:hAnsiTheme="minorEastAsia" w:eastAsiaTheme="minorEastAsia" w:cstheme="minorEastAsia"/>
          <w:kern w:val="0"/>
          <w:sz w:val="24"/>
          <w:szCs w:val="24"/>
        </w:rPr>
        <w:t>18  验收与工程资料</w:t>
      </w:r>
      <w:bookmarkEnd w:id="377"/>
      <w:r>
        <w:rPr>
          <w:rFonts w:hint="eastAsia" w:asciiTheme="minorEastAsia" w:hAnsiTheme="minorEastAsia" w:eastAsiaTheme="minorEastAsia" w:cstheme="minorEastAsia"/>
          <w:kern w:val="0"/>
          <w:sz w:val="24"/>
          <w:szCs w:val="24"/>
        </w:rPr>
        <w:t>：</w:t>
      </w:r>
      <w:bookmarkEnd w:id="378"/>
      <w:bookmarkEnd w:id="379"/>
      <w:bookmarkEnd w:id="380"/>
      <w:bookmarkEnd w:id="381"/>
    </w:p>
    <w:p w14:paraId="5415BE91">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eastAsia="zh" w:bidi="ar"/>
        </w:rPr>
        <w:t xml:space="preserve">18.1 </w:t>
      </w:r>
      <w:r>
        <w:rPr>
          <w:rFonts w:hint="eastAsia" w:asciiTheme="minorEastAsia" w:hAnsiTheme="minorEastAsia" w:eastAsiaTheme="minorEastAsia" w:cstheme="minorEastAsia"/>
          <w:lang w:bidi="ar"/>
        </w:rPr>
        <w:t>监理人收到分包人通过承包人提交的竣工验收申请报告后，应审查申请报告的各项内容，并按以下不同情况进行处理。</w:t>
      </w:r>
    </w:p>
    <w:p w14:paraId="613CA4DA">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1）竣工验收前，分包人应完成本工程的全部工作内容，经自检评定并符合下列条件的，方具备竣工验收条件：</w:t>
      </w:r>
    </w:p>
    <w:p w14:paraId="6E8D39C7">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a.除发包人、承包人同意列入缺陷责任期内完成的尾工（甩项）工程和缺陷修补工作外，合同范围内的工程内容，以及包括合同要求的试验、检验和验收在内等有关工作均已完成，并符合施工设计图纸和合同约定要求；</w:t>
      </w:r>
    </w:p>
    <w:p w14:paraId="3AEE676D">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b.已按照发包人、监理人、承包人的要求编制了在缺陷责任期内完成的尾工（甩项）工程和缺陷修补工作清单以及相应施工计划；</w:t>
      </w:r>
    </w:p>
    <w:p w14:paraId="67029C3C">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c.已按照当地城建档案馆档案局和发包人、承包人档案规范要求提交了符合要求的竣工资料；</w:t>
      </w:r>
    </w:p>
    <w:p w14:paraId="6A308941">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d.用地范围内的临时设施已拆除；</w:t>
      </w:r>
    </w:p>
    <w:p w14:paraId="630E6C2F">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e.分包人在竣工验收前应完成的其他工作。</w:t>
      </w:r>
    </w:p>
    <w:p w14:paraId="3B5944A8">
      <w:pPr>
        <w:spacing w:line="360" w:lineRule="auto"/>
        <w:ind w:firstLine="568" w:firstLineChars="237"/>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18.2 分包人需负责收集、整理本工程所有的竣工资料，包括符合要求的BIM成果文件，分包人的档案员必须持有相关上岗证。分包人应明确专人负责收集和积累工程文件，做到工程文件收集、整理、归档与建设工程的进度同步，保障归档文件内容真实、准确，并将档案的收集、整理、归档工作纳入建设的相关工作程序和岗位职责中。</w:t>
      </w:r>
    </w:p>
    <w:p w14:paraId="6AABA4FD">
      <w:pPr>
        <w:spacing w:line="360" w:lineRule="auto"/>
        <w:ind w:firstLine="568" w:firstLineChars="237"/>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18.3 全部工程具备竣工验收条件后，监理人组织验收前的预检时，分包人应按住建部及当地档案馆的有关规定和承包人的要求编制完成工程竣工资料文件通过承包人提交给监理人及发包人审查。竣工资料由发包人、监理人及承包人审核通过后，方具备竣工验收条件。若审核不通过，分包人应按要求整改，在验收时仍不能达到要求而造成工期延误的，分包人应按照发包人与承包人签订总承包合同中约定的工期违约条款承担工期延误相关责任。</w:t>
      </w:r>
    </w:p>
    <w:p w14:paraId="55E57472">
      <w:pPr>
        <w:spacing w:line="360" w:lineRule="auto"/>
        <w:ind w:firstLine="568" w:firstLineChars="237"/>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18.4本工程验收按国家、省、市或行业现行的工程建设质量验收标准执行，经发包人及监理人验收达到合格标准。</w:t>
      </w:r>
    </w:p>
    <w:p w14:paraId="5EB120E3">
      <w:pPr>
        <w:spacing w:line="360" w:lineRule="auto"/>
        <w:ind w:firstLine="568" w:firstLineChars="237"/>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18.5本工程竣工验收通过后，分包人应协助承包人申报广州市建设工程竣工联合（现场）验收，做好现场检查时的组织工作，并按要求整改检查出的不合格项，整改后由承包人组织参建各方组成验收组进行自检，形成自检报告。</w:t>
      </w:r>
    </w:p>
    <w:p w14:paraId="4C479EBF">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工程竣工验收完毕之日起28日内，分包人按当地城建档案馆有关竣工图及综合资料编制规定要求编制工程竣工资料（包括施工原始记录、照片等资料，完整竣工资料需满足当地档案局、发包人、承包人及监理人要求），向承包人提供完整竣工图8套、竣工资料8套及竣工验收报告和相应的电子文件。若不符合要求，分包人按要求修改合格并承担由自身原因造成修改的费用；分包人应做好竣工相关工作计划报承包人、监理人确认，本工程竣工验收相关工作不得影响项目联合（现场）验收。</w:t>
      </w:r>
    </w:p>
    <w:p w14:paraId="72A1F002">
      <w:pPr>
        <w:spacing w:line="360" w:lineRule="auto"/>
        <w:ind w:firstLine="568" w:firstLineChars="237"/>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18.6 分包人必须按当地城建档案馆的规定整理并移交竣工档案后（包括档案主管部门、发包人及接管单位），凭相关工程档案移交签字单方可办理工程结算支付，报档案馆存档的项目竣工图必须与申报项目竣工结算时提交的竣工图一致。</w:t>
      </w:r>
    </w:p>
    <w:p w14:paraId="498168C6">
      <w:pPr>
        <w:spacing w:line="360" w:lineRule="auto"/>
        <w:ind w:firstLine="568" w:firstLineChars="237"/>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18.7 竣工验收合格后的移交和清理</w:t>
      </w:r>
    </w:p>
    <w:p w14:paraId="049D4B13">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工程具备工程移交条件后，发包人向承包人签发交接证书，同时办理工程的移交工作。交接证书上应写明本工程的实际竣工日期(即竣工验收合格之日)。工程移交后，分包人不再承担对工程的照管责任。分包人应当在颁发工程接收证书后，或合同解除/终止（无论何原因导致）之日起7天内完成工程的移交，且不得以承包人未付工程款为由拒绝移交工程，如不按时移交导致的一切后果由分包人承担。</w:t>
      </w:r>
    </w:p>
    <w:p w14:paraId="2155D4E5">
      <w:pPr>
        <w:spacing w:line="360" w:lineRule="auto"/>
        <w:ind w:firstLine="568" w:firstLineChars="237"/>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18.8  竣工验收质量不合格和重新验收</w:t>
      </w:r>
    </w:p>
    <w:p w14:paraId="74D5297C">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(1)如本工程竣工验收质量未达到本合同约定的标准，分包人应承担以下违约责任：</w:t>
      </w:r>
    </w:p>
    <w:p w14:paraId="30A56126">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若工程质量达不到合同约定的质量标准，分包人承担违约责任，分包人应自费进行修复，直到合格，如分包人在承包人限定期限内未整改至合格，应承担相应违约责任，分包人还应就发生的工期延误按照补充条款规定支付逾期违约金。</w:t>
      </w:r>
    </w:p>
    <w:p w14:paraId="538CC63F">
      <w:pPr>
        <w:spacing w:line="360" w:lineRule="auto"/>
        <w:ind w:firstLine="568" w:firstLineChars="237"/>
        <w:outlineLvl w:val="9"/>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18.9  竣工验收工程质量争议处理</w:t>
      </w:r>
    </w:p>
    <w:p w14:paraId="5A9E37C0">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对竣工验收工程质量有争议时，由发包人委托有资质的质量检测机构进行质量鉴定。</w:t>
      </w:r>
    </w:p>
    <w:p w14:paraId="21C867CB">
      <w:pPr>
        <w:pStyle w:val="3"/>
        <w:spacing w:before="120" w:beforeLines="50"/>
        <w:rPr>
          <w:rFonts w:hint="eastAsia" w:asciiTheme="minorEastAsia" w:hAnsiTheme="minorEastAsia" w:eastAsiaTheme="minorEastAsia" w:cstheme="minorEastAsia"/>
          <w:szCs w:val="24"/>
        </w:rPr>
      </w:pPr>
      <w:bookmarkStart w:id="382" w:name="_Toc200394226"/>
      <w:bookmarkStart w:id="383" w:name="_Toc19519"/>
      <w:r>
        <w:rPr>
          <w:rFonts w:hint="eastAsia" w:asciiTheme="minorEastAsia" w:hAnsiTheme="minorEastAsia" w:eastAsiaTheme="minorEastAsia" w:cstheme="minorEastAsia"/>
          <w:sz w:val="24"/>
          <w:szCs w:val="24"/>
        </w:rPr>
        <w:t>十一、</w:t>
      </w:r>
      <w:bookmarkEnd w:id="382"/>
      <w:bookmarkStart w:id="384" w:name="_Toc24446"/>
      <w:bookmarkStart w:id="385" w:name="_Toc517273234"/>
      <w:bookmarkStart w:id="386" w:name="_Toc13481"/>
      <w:bookmarkStart w:id="387" w:name="_Toc20079"/>
      <w:bookmarkStart w:id="388" w:name="_Toc16615"/>
      <w:bookmarkStart w:id="389" w:name="_Toc30643"/>
      <w:bookmarkStart w:id="390" w:name="_Toc1574"/>
      <w:bookmarkStart w:id="391" w:name="_Toc12498"/>
      <w:bookmarkStart w:id="392" w:name="_Toc200394162"/>
      <w:bookmarkStart w:id="393" w:name="_Toc17835"/>
      <w:bookmarkStart w:id="394" w:name="_Toc200394227"/>
      <w:bookmarkStart w:id="395" w:name="_Toc3865"/>
      <w:bookmarkStart w:id="396" w:name="_Toc17872"/>
      <w:bookmarkStart w:id="397" w:name="_Toc28180"/>
      <w:bookmarkStart w:id="398" w:name="_Toc22334"/>
      <w:bookmarkStart w:id="399" w:name="_Toc4594"/>
      <w:bookmarkStart w:id="400" w:name="_Toc29249"/>
      <w:r>
        <w:rPr>
          <w:rFonts w:hint="eastAsia" w:asciiTheme="minorEastAsia" w:hAnsiTheme="minorEastAsia" w:eastAsiaTheme="minorEastAsia" w:cstheme="minorEastAsia"/>
          <w:sz w:val="24"/>
          <w:szCs w:val="24"/>
        </w:rPr>
        <w:t>索赔和争议</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20429D42">
      <w:pPr>
        <w:pStyle w:val="4"/>
        <w:spacing w:before="0" w:beforeLines="50" w:after="0" w:line="360" w:lineRule="auto"/>
        <w:rPr>
          <w:rFonts w:hint="eastAsia" w:asciiTheme="minorEastAsia" w:hAnsiTheme="minorEastAsia" w:eastAsiaTheme="minorEastAsia" w:cstheme="minorEastAsia"/>
          <w:sz w:val="24"/>
        </w:rPr>
      </w:pPr>
      <w:bookmarkStart w:id="401" w:name="_Toc517273235"/>
      <w:bookmarkStart w:id="402" w:name="_Toc22440"/>
      <w:bookmarkStart w:id="403" w:name="_Toc15529"/>
      <w:bookmarkStart w:id="404" w:name="_Toc29196"/>
      <w:bookmarkStart w:id="405" w:name="_Toc25310"/>
      <w:bookmarkStart w:id="406" w:name="_Toc18140"/>
      <w:bookmarkStart w:id="407" w:name="_Toc3844"/>
      <w:bookmarkStart w:id="408" w:name="_Toc6095"/>
      <w:bookmarkStart w:id="409" w:name="_Toc15653"/>
      <w:bookmarkStart w:id="410" w:name="_Toc13618"/>
      <w:bookmarkStart w:id="411" w:name="_Toc19711"/>
      <w:bookmarkStart w:id="412" w:name="_Toc29083"/>
      <w:bookmarkStart w:id="413" w:name="_Toc1775"/>
      <w:bookmarkStart w:id="414" w:name="_Toc24460"/>
      <w:bookmarkStart w:id="415" w:name="_Toc22157"/>
      <w:r>
        <w:rPr>
          <w:rFonts w:hint="eastAsia" w:asciiTheme="minorEastAsia" w:hAnsiTheme="minorEastAsia" w:eastAsiaTheme="minorEastAsia" w:cstheme="minorEastAsia"/>
          <w:kern w:val="0"/>
          <w:sz w:val="24"/>
          <w:szCs w:val="24"/>
        </w:rPr>
        <w:t>19、违约责任</w:t>
      </w:r>
      <w:bookmarkEnd w:id="401"/>
      <w:r>
        <w:rPr>
          <w:rFonts w:hint="eastAsia" w:asciiTheme="minorEastAsia" w:hAnsiTheme="minorEastAsia" w:eastAsiaTheme="minorEastAsia" w:cstheme="minorEastAsia"/>
          <w:kern w:val="0"/>
          <w:sz w:val="24"/>
          <w:szCs w:val="24"/>
        </w:rPr>
        <w: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36979D88">
      <w:pPr>
        <w:widowControl w:val="0"/>
        <w:autoSpaceDE w:val="0"/>
        <w:autoSpaceDN w:val="0"/>
        <w:adjustRightInd w:val="0"/>
        <w:spacing w:before="0" w:beforeAutospacing="0" w:after="0" w:afterAutospacing="0" w:line="360" w:lineRule="auto"/>
        <w:ind w:firstLine="568" w:firstLineChars="237"/>
        <w:rPr>
          <w:rFonts w:hint="eastAsia" w:asciiTheme="minorEastAsia" w:hAnsiTheme="minorEastAsia" w:eastAsiaTheme="minorEastAsia" w:cstheme="minorEastAsia"/>
          <w:b/>
          <w:bCs/>
          <w:lang w:bidi="ar"/>
        </w:rPr>
      </w:pPr>
      <w:r>
        <w:rPr>
          <w:rFonts w:hint="eastAsia" w:asciiTheme="minorEastAsia" w:hAnsiTheme="minorEastAsia" w:eastAsiaTheme="minorEastAsia" w:cstheme="minorEastAsia"/>
          <w:color w:val="000000"/>
          <w:kern w:val="0"/>
          <w:sz w:val="24"/>
          <w:lang w:eastAsia="zh" w:bidi="ar"/>
        </w:rPr>
        <w:t>19</w:t>
      </w:r>
      <w:r>
        <w:rPr>
          <w:rFonts w:hint="eastAsia" w:asciiTheme="minorEastAsia" w:hAnsiTheme="minorEastAsia" w:eastAsiaTheme="minorEastAsia" w:cstheme="minorEastAsia"/>
          <w:b/>
          <w:bCs/>
          <w:color w:val="000000"/>
          <w:kern w:val="0"/>
          <w:sz w:val="24"/>
          <w:lang w:bidi="ar"/>
        </w:rPr>
        <w:t>.1 分包人违约</w:t>
      </w:r>
    </w:p>
    <w:p w14:paraId="718338DA">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19.1.1 分包人有任何违反本合同责任和义务的行为均构成违约，包括但不限于在履行合同过程中发生的下列情况：</w:t>
      </w:r>
    </w:p>
    <w:p w14:paraId="52290A37">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1)</w:t>
      </w:r>
      <w:r>
        <w:rPr>
          <w:rFonts w:hint="eastAsia" w:asciiTheme="minorEastAsia" w:hAnsiTheme="minorEastAsia" w:eastAsiaTheme="minorEastAsia" w:cstheme="minorEastAsia"/>
          <w:color w:val="000000"/>
          <w:kern w:val="0"/>
          <w:sz w:val="24"/>
          <w:lang w:bidi="ar"/>
        </w:rPr>
        <w:tab/>
      </w:r>
      <w:r>
        <w:rPr>
          <w:rFonts w:hint="eastAsia" w:asciiTheme="minorEastAsia" w:hAnsiTheme="minorEastAsia" w:eastAsiaTheme="minorEastAsia" w:cstheme="minorEastAsia"/>
          <w:color w:val="000000"/>
          <w:kern w:val="0"/>
          <w:sz w:val="24"/>
          <w:lang w:bidi="ar"/>
        </w:rPr>
        <w:t>分包人私自将合同的全部或部分权利转让给其他人，或私自将合同的全部或部分义务转移给其他人；</w:t>
      </w:r>
    </w:p>
    <w:p w14:paraId="0B79C61C">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2)</w:t>
      </w:r>
      <w:r>
        <w:rPr>
          <w:rFonts w:hint="eastAsia" w:asciiTheme="minorEastAsia" w:hAnsiTheme="minorEastAsia" w:eastAsiaTheme="minorEastAsia" w:cstheme="minorEastAsia"/>
          <w:color w:val="000000"/>
          <w:kern w:val="0"/>
          <w:sz w:val="24"/>
          <w:lang w:bidi="ar"/>
        </w:rPr>
        <w:tab/>
      </w:r>
      <w:r>
        <w:rPr>
          <w:rFonts w:hint="eastAsia" w:asciiTheme="minorEastAsia" w:hAnsiTheme="minorEastAsia" w:eastAsiaTheme="minorEastAsia" w:cstheme="minorEastAsia"/>
          <w:color w:val="000000"/>
          <w:kern w:val="0"/>
          <w:sz w:val="24"/>
          <w:lang w:bidi="ar"/>
        </w:rPr>
        <w:t>分包人未经监理人、承包人及发包人批准，私自将已按合同约定进入施工场地的施工设备、临时设施或材料撤离施工场地；</w:t>
      </w:r>
    </w:p>
    <w:p w14:paraId="59B1E9C0">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3)</w:t>
      </w:r>
      <w:r>
        <w:rPr>
          <w:rFonts w:hint="eastAsia" w:asciiTheme="minorEastAsia" w:hAnsiTheme="minorEastAsia" w:eastAsiaTheme="minorEastAsia" w:cstheme="minorEastAsia"/>
          <w:color w:val="000000"/>
          <w:kern w:val="0"/>
          <w:sz w:val="24"/>
          <w:lang w:bidi="ar"/>
        </w:rPr>
        <w:tab/>
      </w:r>
      <w:r>
        <w:rPr>
          <w:rFonts w:hint="eastAsia" w:asciiTheme="minorEastAsia" w:hAnsiTheme="minorEastAsia" w:eastAsiaTheme="minorEastAsia" w:cstheme="minorEastAsia"/>
          <w:color w:val="000000"/>
          <w:kern w:val="0"/>
          <w:sz w:val="24"/>
          <w:lang w:bidi="ar"/>
        </w:rPr>
        <w:t>分包人使用了不合格材料或工程设备，工程质量达不到标准要求，又拒绝清除不合格工程；</w:t>
      </w:r>
    </w:p>
    <w:p w14:paraId="196152D4">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4)</w:t>
      </w:r>
      <w:r>
        <w:rPr>
          <w:rFonts w:hint="eastAsia" w:asciiTheme="minorEastAsia" w:hAnsiTheme="minorEastAsia" w:eastAsiaTheme="minorEastAsia" w:cstheme="minorEastAsia"/>
          <w:color w:val="000000"/>
          <w:kern w:val="0"/>
          <w:sz w:val="24"/>
          <w:lang w:bidi="ar"/>
        </w:rPr>
        <w:tab/>
      </w:r>
      <w:r>
        <w:rPr>
          <w:rFonts w:hint="eastAsia" w:asciiTheme="minorEastAsia" w:hAnsiTheme="minorEastAsia" w:eastAsiaTheme="minorEastAsia" w:cstheme="minorEastAsia"/>
          <w:color w:val="000000"/>
          <w:kern w:val="0"/>
          <w:sz w:val="24"/>
          <w:lang w:bidi="ar"/>
        </w:rPr>
        <w:t>分包人未能按合同进度计划及时完成合同约定的工作，已造成或预期造成工期延误；</w:t>
      </w:r>
    </w:p>
    <w:p w14:paraId="45B34DF5">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5)</w:t>
      </w:r>
      <w:r>
        <w:rPr>
          <w:rFonts w:hint="eastAsia" w:asciiTheme="minorEastAsia" w:hAnsiTheme="minorEastAsia" w:eastAsiaTheme="minorEastAsia" w:cstheme="minorEastAsia"/>
          <w:color w:val="000000"/>
          <w:kern w:val="0"/>
          <w:sz w:val="24"/>
          <w:lang w:bidi="ar"/>
        </w:rPr>
        <w:tab/>
      </w:r>
      <w:r>
        <w:rPr>
          <w:rFonts w:hint="eastAsia" w:asciiTheme="minorEastAsia" w:hAnsiTheme="minorEastAsia" w:eastAsiaTheme="minorEastAsia" w:cstheme="minorEastAsia"/>
          <w:color w:val="000000"/>
          <w:kern w:val="0"/>
          <w:sz w:val="24"/>
          <w:lang w:bidi="ar"/>
        </w:rPr>
        <w:t>分包人无法继续履行或明确表示不履行或实质上已停止履行合同；</w:t>
      </w:r>
    </w:p>
    <w:p w14:paraId="0AC279A9">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6)</w:t>
      </w:r>
      <w:r>
        <w:rPr>
          <w:rFonts w:hint="eastAsia" w:asciiTheme="minorEastAsia" w:hAnsiTheme="minorEastAsia" w:eastAsiaTheme="minorEastAsia" w:cstheme="minorEastAsia"/>
          <w:color w:val="000000"/>
          <w:kern w:val="0"/>
          <w:sz w:val="24"/>
          <w:lang w:bidi="ar"/>
        </w:rPr>
        <w:tab/>
      </w:r>
      <w:r>
        <w:rPr>
          <w:rFonts w:hint="eastAsia" w:asciiTheme="minorEastAsia" w:hAnsiTheme="minorEastAsia" w:eastAsiaTheme="minorEastAsia" w:cstheme="minorEastAsia"/>
          <w:color w:val="000000"/>
          <w:kern w:val="0"/>
          <w:sz w:val="24"/>
          <w:lang w:bidi="ar"/>
        </w:rPr>
        <w:t>分包人不按合同约定履行义务的其他情况。</w:t>
      </w:r>
    </w:p>
    <w:p w14:paraId="61C21113">
      <w:pPr>
        <w:widowControl w:val="0"/>
        <w:autoSpaceDE w:val="0"/>
        <w:autoSpaceDN w:val="0"/>
        <w:adjustRightInd w:val="0"/>
        <w:spacing w:before="0" w:beforeAutospacing="0" w:after="0" w:afterAutospacing="0" w:line="360" w:lineRule="auto"/>
        <w:ind w:firstLine="568" w:firstLineChars="237"/>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eastAsia="zh" w:bidi="ar"/>
        </w:rPr>
        <w:t xml:space="preserve">19.1.2 </w:t>
      </w:r>
    </w:p>
    <w:p w14:paraId="6D15E715">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1)</w:t>
      </w:r>
      <w:r>
        <w:rPr>
          <w:rFonts w:hint="eastAsia" w:asciiTheme="minorEastAsia" w:hAnsiTheme="minorEastAsia" w:eastAsiaTheme="minorEastAsia" w:cstheme="minorEastAsia"/>
          <w:color w:val="000000"/>
          <w:kern w:val="0"/>
          <w:sz w:val="24"/>
          <w:lang w:bidi="ar"/>
        </w:rPr>
        <w:tab/>
      </w:r>
      <w:r>
        <w:rPr>
          <w:rFonts w:hint="eastAsia" w:asciiTheme="minorEastAsia" w:hAnsiTheme="minorEastAsia" w:eastAsiaTheme="minorEastAsia" w:cstheme="minorEastAsia"/>
          <w:color w:val="000000"/>
          <w:kern w:val="0"/>
          <w:sz w:val="24"/>
          <w:lang w:bidi="ar"/>
        </w:rPr>
        <w:t>分包人发生第</w:t>
      </w:r>
      <w:r>
        <w:rPr>
          <w:rFonts w:hint="eastAsia" w:asciiTheme="minorEastAsia" w:hAnsiTheme="minorEastAsia" w:eastAsiaTheme="minorEastAsia" w:cstheme="minorEastAsia"/>
          <w:color w:val="000000"/>
          <w:kern w:val="0"/>
          <w:sz w:val="24"/>
          <w:lang w:eastAsia="zh" w:bidi="ar"/>
        </w:rPr>
        <w:t>19</w:t>
      </w:r>
      <w:r>
        <w:rPr>
          <w:rFonts w:hint="eastAsia" w:asciiTheme="minorEastAsia" w:hAnsiTheme="minorEastAsia" w:eastAsiaTheme="minorEastAsia" w:cstheme="minorEastAsia"/>
          <w:color w:val="000000"/>
          <w:kern w:val="0"/>
          <w:sz w:val="24"/>
          <w:lang w:bidi="ar"/>
        </w:rPr>
        <w:t>.1.1第5）约定的违约情况时，承包人可通知分包人立即解除合同，并按有关法律处理。</w:t>
      </w:r>
    </w:p>
    <w:p w14:paraId="7C4F0105">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2)</w:t>
      </w:r>
      <w:r>
        <w:rPr>
          <w:rFonts w:hint="eastAsia" w:asciiTheme="minorEastAsia" w:hAnsiTheme="minorEastAsia" w:eastAsiaTheme="minorEastAsia" w:cstheme="minorEastAsia"/>
          <w:color w:val="000000"/>
          <w:kern w:val="0"/>
          <w:sz w:val="24"/>
          <w:lang w:bidi="ar"/>
        </w:rPr>
        <w:tab/>
      </w:r>
      <w:r>
        <w:rPr>
          <w:rFonts w:hint="eastAsia" w:asciiTheme="minorEastAsia" w:hAnsiTheme="minorEastAsia" w:eastAsiaTheme="minorEastAsia" w:cstheme="minorEastAsia"/>
          <w:color w:val="000000"/>
          <w:kern w:val="0"/>
          <w:sz w:val="24"/>
          <w:lang w:bidi="ar"/>
        </w:rPr>
        <w:t>分包人发生除第</w:t>
      </w:r>
      <w:r>
        <w:rPr>
          <w:rFonts w:hint="eastAsia" w:asciiTheme="minorEastAsia" w:hAnsiTheme="minorEastAsia" w:eastAsiaTheme="minorEastAsia" w:cstheme="minorEastAsia"/>
          <w:color w:val="000000"/>
          <w:kern w:val="0"/>
          <w:sz w:val="24"/>
          <w:lang w:eastAsia="zh" w:bidi="ar"/>
        </w:rPr>
        <w:t>19</w:t>
      </w:r>
      <w:r>
        <w:rPr>
          <w:rFonts w:hint="eastAsia" w:asciiTheme="minorEastAsia" w:hAnsiTheme="minorEastAsia" w:eastAsiaTheme="minorEastAsia" w:cstheme="minorEastAsia"/>
          <w:color w:val="000000"/>
          <w:kern w:val="0"/>
          <w:sz w:val="24"/>
          <w:lang w:bidi="ar"/>
        </w:rPr>
        <w:t>.1.1第5）约定以外的其他违约情况时，除另有约定外，监理人可向承包人、分包人发出整改通知，要求其在指定的期限内改正。分包人应承担其违约所引起的费用增加和（或）工期延误。</w:t>
      </w:r>
    </w:p>
    <w:p w14:paraId="7DE70856">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3)</w:t>
      </w:r>
      <w:r>
        <w:rPr>
          <w:rFonts w:hint="eastAsia" w:asciiTheme="minorEastAsia" w:hAnsiTheme="minorEastAsia" w:eastAsiaTheme="minorEastAsia" w:cstheme="minorEastAsia"/>
          <w:color w:val="000000"/>
          <w:kern w:val="0"/>
          <w:sz w:val="24"/>
          <w:lang w:bidi="ar"/>
        </w:rPr>
        <w:tab/>
      </w:r>
      <w:r>
        <w:rPr>
          <w:rFonts w:hint="eastAsia" w:asciiTheme="minorEastAsia" w:hAnsiTheme="minorEastAsia" w:eastAsiaTheme="minorEastAsia" w:cstheme="minorEastAsia"/>
          <w:color w:val="000000"/>
          <w:kern w:val="0"/>
          <w:sz w:val="24"/>
          <w:lang w:bidi="ar"/>
        </w:rPr>
        <w:t>监理人要求分包人停工整改的,经检查证明分包人已采取了有效措施纠正违约行为，具备复工条件的，可由监理人在取得发包人同意的情况下向承包人签发复工通知复工。</w:t>
      </w:r>
    </w:p>
    <w:p w14:paraId="2337BE42">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19.1.3  分包人其它违约情况：详见补充条款</w:t>
      </w:r>
    </w:p>
    <w:p w14:paraId="2C8ABCEC">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eastAsia="zh" w:bidi="ar"/>
        </w:rPr>
        <w:t>19</w:t>
      </w:r>
      <w:r>
        <w:rPr>
          <w:rFonts w:hint="eastAsia" w:asciiTheme="minorEastAsia" w:hAnsiTheme="minorEastAsia" w:eastAsiaTheme="minorEastAsia" w:cstheme="minorEastAsia"/>
          <w:color w:val="000000"/>
          <w:kern w:val="0"/>
          <w:sz w:val="24"/>
          <w:lang w:bidi="ar"/>
        </w:rPr>
        <w:t>.1.</w:t>
      </w:r>
      <w:r>
        <w:rPr>
          <w:rFonts w:hint="eastAsia" w:asciiTheme="minorEastAsia" w:hAnsiTheme="minorEastAsia" w:eastAsiaTheme="minorEastAsia" w:cstheme="minorEastAsia"/>
          <w:color w:val="000000"/>
          <w:kern w:val="0"/>
          <w:sz w:val="24"/>
          <w:lang w:eastAsia="zh" w:bidi="ar"/>
        </w:rPr>
        <w:t xml:space="preserve">4 </w:t>
      </w:r>
      <w:r>
        <w:rPr>
          <w:rFonts w:hint="eastAsia" w:asciiTheme="minorEastAsia" w:hAnsiTheme="minorEastAsia" w:eastAsiaTheme="minorEastAsia" w:cstheme="minorEastAsia"/>
          <w:color w:val="000000"/>
          <w:kern w:val="0"/>
          <w:sz w:val="24"/>
          <w:lang w:bidi="ar"/>
        </w:rPr>
        <w:t xml:space="preserve"> 除本合同另有约定外，分包人违约造成承包人或发包人损失的，除应支付本合同约定的违约金外，还应赔偿承包人或发包人的损失，分包人承担违约赔偿责任的范围包括但不限于承包人或发包人的直接经济损失、向第三方承担的违约责任以及发生的诉讼费、仲裁费、律师费等费用支出。</w:t>
      </w:r>
    </w:p>
    <w:p w14:paraId="617E867E">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eastAsia="zh" w:bidi="ar"/>
        </w:rPr>
        <w:t>19</w:t>
      </w:r>
      <w:r>
        <w:rPr>
          <w:rFonts w:hint="eastAsia" w:asciiTheme="minorEastAsia" w:hAnsiTheme="minorEastAsia" w:eastAsiaTheme="minorEastAsia" w:cstheme="minorEastAsia"/>
          <w:color w:val="000000"/>
          <w:kern w:val="0"/>
          <w:sz w:val="24"/>
          <w:lang w:bidi="ar"/>
        </w:rPr>
        <w:t>.1.</w:t>
      </w:r>
      <w:r>
        <w:rPr>
          <w:rFonts w:hint="eastAsia" w:asciiTheme="minorEastAsia" w:hAnsiTheme="minorEastAsia" w:eastAsiaTheme="minorEastAsia" w:cstheme="minorEastAsia"/>
          <w:color w:val="000000"/>
          <w:kern w:val="0"/>
          <w:sz w:val="24"/>
          <w:lang w:eastAsia="zh" w:bidi="ar"/>
        </w:rPr>
        <w:t xml:space="preserve">5 </w:t>
      </w:r>
      <w:r>
        <w:rPr>
          <w:rFonts w:hint="eastAsia" w:asciiTheme="minorEastAsia" w:hAnsiTheme="minorEastAsia" w:eastAsiaTheme="minorEastAsia" w:cstheme="minorEastAsia"/>
          <w:color w:val="000000"/>
          <w:kern w:val="0"/>
          <w:sz w:val="24"/>
          <w:lang w:bidi="ar"/>
        </w:rPr>
        <w:t xml:space="preserve"> 若因分包人原因使得承包人或发包人为其垫付有关费用的，自垫付之日起，分包人应按中国人民银行同期同类存款基准利率向承包人或发包人支付利息，直至垫付费用及利息被发包人在当期应支付的进度款中抵扣完毕或分包人直接向承包人或发包人偿还该垫付费用及利息为止。同时，除本合同另有约定外，每发生一次垫付行为，承包人有权要求分包人按垫付金额的</w:t>
      </w:r>
      <w:r>
        <w:rPr>
          <w:rFonts w:hint="eastAsia" w:asciiTheme="minorEastAsia" w:hAnsiTheme="minorEastAsia" w:eastAsiaTheme="minorEastAsia" w:cstheme="minorEastAsia"/>
          <w:color w:val="000000"/>
          <w:kern w:val="0"/>
          <w:sz w:val="24"/>
          <w:u w:val="single"/>
          <w:lang w:bidi="ar"/>
        </w:rPr>
        <w:t>20％</w:t>
      </w:r>
      <w:r>
        <w:rPr>
          <w:rFonts w:hint="eastAsia" w:asciiTheme="minorEastAsia" w:hAnsiTheme="minorEastAsia" w:eastAsiaTheme="minorEastAsia" w:cstheme="minorEastAsia"/>
          <w:color w:val="000000"/>
          <w:kern w:val="0"/>
          <w:sz w:val="24"/>
          <w:lang w:bidi="ar"/>
        </w:rPr>
        <w:t>向发包人支付违约金。</w:t>
      </w:r>
    </w:p>
    <w:p w14:paraId="4DFA8B08">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eastAsia="zh" w:bidi="ar"/>
        </w:rPr>
        <w:t>19</w:t>
      </w:r>
      <w:r>
        <w:rPr>
          <w:rFonts w:hint="eastAsia" w:asciiTheme="minorEastAsia" w:hAnsiTheme="minorEastAsia" w:eastAsiaTheme="minorEastAsia" w:cstheme="minorEastAsia"/>
          <w:color w:val="000000"/>
          <w:kern w:val="0"/>
          <w:sz w:val="24"/>
          <w:lang w:bidi="ar"/>
        </w:rPr>
        <w:t>.1.</w:t>
      </w:r>
      <w:r>
        <w:rPr>
          <w:rFonts w:hint="eastAsia" w:asciiTheme="minorEastAsia" w:hAnsiTheme="minorEastAsia" w:eastAsiaTheme="minorEastAsia" w:cstheme="minorEastAsia"/>
          <w:color w:val="000000"/>
          <w:kern w:val="0"/>
          <w:sz w:val="24"/>
          <w:lang w:eastAsia="zh" w:bidi="ar"/>
        </w:rPr>
        <w:t xml:space="preserve">6 </w:t>
      </w:r>
      <w:r>
        <w:rPr>
          <w:rFonts w:hint="eastAsia" w:asciiTheme="minorEastAsia" w:hAnsiTheme="minorEastAsia" w:eastAsiaTheme="minorEastAsia" w:cstheme="minorEastAsia"/>
          <w:color w:val="000000"/>
          <w:kern w:val="0"/>
          <w:sz w:val="24"/>
          <w:lang w:bidi="ar"/>
        </w:rPr>
        <w:t>分包人发生重大诉讼或仲裁、经营状况严重恶化、资质吊销或降级、重大不利报道、银行账户被冻结及其他对本合同继续履行构成重大不利情形，或进入破产、重整、解散或清算程序的，或者因分包人自身债务问题造成发包人被法院要求协助诉讼保全、协助执行（法院的法律文书形式包括但不限于协助执行通知、履行到期债务通知等协助执行函件），承包人、分包人在发包人通知之日起14日内不能妥善解决的，经发包人书面确认，承包人有权通知分包人解除本合同，分包人应按暂定合同总价的</w:t>
      </w:r>
      <w:r>
        <w:rPr>
          <w:rFonts w:hint="eastAsia" w:asciiTheme="minorEastAsia" w:hAnsiTheme="minorEastAsia" w:eastAsiaTheme="minorEastAsia" w:cstheme="minorEastAsia"/>
          <w:color w:val="000000"/>
          <w:kern w:val="0"/>
          <w:sz w:val="24"/>
          <w:u w:val="single"/>
          <w:lang w:bidi="ar"/>
        </w:rPr>
        <w:t>1%向</w:t>
      </w:r>
      <w:r>
        <w:rPr>
          <w:rFonts w:hint="eastAsia" w:asciiTheme="minorEastAsia" w:hAnsiTheme="minorEastAsia" w:eastAsiaTheme="minorEastAsia" w:cstheme="minorEastAsia"/>
          <w:color w:val="000000"/>
          <w:kern w:val="0"/>
          <w:sz w:val="24"/>
          <w:lang w:bidi="ar"/>
        </w:rPr>
        <w:t>发包人支付违约金，并在约定或承包人指示的期限内完成清场和撤离.</w:t>
      </w:r>
    </w:p>
    <w:p w14:paraId="1FB48408">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eastAsia="zh" w:bidi="ar"/>
        </w:rPr>
        <w:t>19</w:t>
      </w:r>
      <w:r>
        <w:rPr>
          <w:rFonts w:hint="eastAsia" w:asciiTheme="minorEastAsia" w:hAnsiTheme="minorEastAsia" w:eastAsiaTheme="minorEastAsia" w:cstheme="minorEastAsia"/>
          <w:color w:val="000000"/>
          <w:kern w:val="0"/>
          <w:sz w:val="24"/>
          <w:lang w:bidi="ar"/>
        </w:rPr>
        <w:t>.1.</w:t>
      </w:r>
      <w:r>
        <w:rPr>
          <w:rFonts w:hint="eastAsia" w:asciiTheme="minorEastAsia" w:hAnsiTheme="minorEastAsia" w:eastAsiaTheme="minorEastAsia" w:cstheme="minorEastAsia"/>
          <w:color w:val="000000"/>
          <w:kern w:val="0"/>
          <w:sz w:val="24"/>
          <w:lang w:eastAsia="zh" w:bidi="ar"/>
        </w:rPr>
        <w:t xml:space="preserve">7 </w:t>
      </w:r>
      <w:r>
        <w:rPr>
          <w:rFonts w:hint="eastAsia" w:asciiTheme="minorEastAsia" w:hAnsiTheme="minorEastAsia" w:eastAsiaTheme="minorEastAsia" w:cstheme="minorEastAsia"/>
          <w:color w:val="000000"/>
          <w:kern w:val="0"/>
          <w:sz w:val="24"/>
          <w:lang w:bidi="ar"/>
        </w:rPr>
        <w:t xml:space="preserve"> 合同解除不免除分包人履行合同项下的清理和结算责任。分包人应将解除合同时的工程现状及经其签署盖章的施工资料全部妥善、清楚地移交予承包人和发包人并经发包人审核确认，分包人须配合发包人另行发包或完成工程善后事宜及向政府部门申报或办理相关手续直至工程完工及验收，并按发包人要求清理和撤离现场，否则承包人有权不支付合同价款并要求分包人承担损失赔偿责任。</w:t>
      </w:r>
    </w:p>
    <w:p w14:paraId="6B39DD60">
      <w:pPr>
        <w:spacing w:line="360" w:lineRule="auto"/>
        <w:ind w:firstLine="568" w:firstLineChars="237"/>
        <w:rPr>
          <w:rFonts w:hint="eastAsia"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eastAsia="zh-CN" w:bidi="ar"/>
        </w:rPr>
        <w:t xml:space="preserve">19.1.8 </w:t>
      </w:r>
      <w:r>
        <w:rPr>
          <w:rFonts w:hint="eastAsia" w:asciiTheme="minorEastAsia" w:hAnsiTheme="minorEastAsia" w:eastAsiaTheme="minorEastAsia" w:cstheme="minorEastAsia"/>
          <w:kern w:val="0"/>
          <w:sz w:val="24"/>
          <w:lang w:bidi="ar"/>
        </w:rPr>
        <w:t xml:space="preserve"> 根据本合同的约定，分包人违约须向承包人支付违约金或赔偿金时，承包人有权从应支付给分包人的工程款中直接抵扣；抵扣款项计入工程累计进度款，结算时不予退还（除合同另有约定除外），分包人不得有异议；发包人根据抵扣后的工程款金额向承包人支付本分包工程进度款。</w:t>
      </w:r>
    </w:p>
    <w:p w14:paraId="25EEAE1A">
      <w:pPr>
        <w:numPr>
          <w:ilvl w:val="255"/>
          <w:numId w:val="0"/>
        </w:numPr>
        <w:tabs>
          <w:tab w:val="left" w:pos="720"/>
        </w:tabs>
        <w:spacing w:line="360" w:lineRule="auto"/>
        <w:jc w:val="both"/>
        <w:rPr>
          <w:rFonts w:hint="eastAsia" w:asciiTheme="minorEastAsia" w:hAnsiTheme="minorEastAsia" w:eastAsiaTheme="minorEastAsia" w:cstheme="minorEastAsia"/>
          <w:color w:val="000000"/>
          <w:sz w:val="24"/>
        </w:rPr>
      </w:pPr>
    </w:p>
    <w:p w14:paraId="5099E998">
      <w:pPr>
        <w:pStyle w:val="75"/>
        <w:tabs>
          <w:tab w:val="left" w:pos="720"/>
        </w:tabs>
        <w:spacing w:before="120" w:beforeLines="50" w:line="360" w:lineRule="auto"/>
        <w:rPr>
          <w:rFonts w:hint="eastAsia" w:asciiTheme="minorEastAsia" w:hAnsiTheme="minorEastAsia" w:eastAsiaTheme="minorEastAsia" w:cstheme="minorEastAsia"/>
          <w:sz w:val="24"/>
          <w:szCs w:val="24"/>
        </w:rPr>
      </w:pPr>
      <w:bookmarkStart w:id="416" w:name="_Toc14720"/>
      <w:bookmarkStart w:id="417" w:name="_Toc18148"/>
      <w:bookmarkStart w:id="418" w:name="_Toc11146"/>
      <w:bookmarkStart w:id="419" w:name="_Toc30670"/>
      <w:bookmarkStart w:id="420" w:name="_Toc3673"/>
      <w:bookmarkStart w:id="421" w:name="_Toc25437"/>
      <w:bookmarkStart w:id="422" w:name="_Toc13932"/>
      <w:bookmarkStart w:id="423" w:name="_Toc22527"/>
      <w:bookmarkStart w:id="424" w:name="_Toc24963"/>
      <w:bookmarkStart w:id="425" w:name="_Toc517273236"/>
      <w:bookmarkStart w:id="426" w:name="_Toc24735"/>
      <w:bookmarkStart w:id="427" w:name="_Toc9170"/>
      <w:bookmarkStart w:id="428" w:name="_Toc10104"/>
      <w:bookmarkStart w:id="429" w:name="_Toc28654"/>
      <w:bookmarkStart w:id="430" w:name="_Toc200394228"/>
      <w:bookmarkStart w:id="431" w:name="_Toc2330"/>
      <w:bookmarkStart w:id="432" w:name="_Toc30287"/>
      <w:r>
        <w:rPr>
          <w:rFonts w:hint="eastAsia" w:asciiTheme="minorEastAsia" w:hAnsiTheme="minorEastAsia" w:eastAsiaTheme="minorEastAsia" w:cstheme="minorEastAsia"/>
          <w:sz w:val="24"/>
          <w:szCs w:val="24"/>
        </w:rPr>
        <w:t>十二、其他</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BA3575E">
      <w:pPr>
        <w:pStyle w:val="11"/>
        <w:spacing w:after="0" w:line="360" w:lineRule="auto"/>
        <w:ind w:firstLine="480" w:firstLineChars="200"/>
        <w:rPr>
          <w:rFonts w:hint="eastAsia" w:asciiTheme="minorEastAsia" w:hAnsiTheme="minorEastAsia" w:eastAsiaTheme="minorEastAsia" w:cstheme="minorEastAsia"/>
          <w:sz w:val="24"/>
        </w:rPr>
      </w:pPr>
      <w:bookmarkStart w:id="433" w:name="_Toc417020056"/>
      <w:bookmarkStart w:id="434" w:name="_Toc413810538"/>
      <w:bookmarkStart w:id="435" w:name="_Toc417303878"/>
      <w:bookmarkStart w:id="436" w:name="_Toc415999531"/>
      <w:bookmarkStart w:id="437" w:name="_Toc417020274"/>
      <w:bookmarkStart w:id="438" w:name="_Toc427657961"/>
      <w:bookmarkStart w:id="439" w:name="_Toc51580053"/>
      <w:bookmarkStart w:id="440" w:name="_Toc413837676"/>
      <w:r>
        <w:rPr>
          <w:rFonts w:hint="eastAsia" w:asciiTheme="minorEastAsia" w:hAnsiTheme="minorEastAsia" w:eastAsiaTheme="minorEastAsia" w:cstheme="minorEastAsia"/>
          <w:sz w:val="24"/>
        </w:rPr>
        <w:t>有未尽事宜，各方协商解决。协商不成时，各方可向项目所在地人民法院提起诉讼。</w:t>
      </w:r>
    </w:p>
    <w:p w14:paraId="045B8140">
      <w:pPr>
        <w:pStyle w:val="4"/>
        <w:keepNext/>
        <w:keepLines/>
        <w:widowControl w:val="0"/>
        <w:spacing w:before="0" w:beforeAutospacing="0" w:after="0" w:afterAutospacing="0" w:line="360" w:lineRule="auto"/>
        <w:ind w:firstLineChars="200"/>
        <w:jc w:val="both"/>
        <w:outlineLvl w:val="2"/>
        <w:rPr>
          <w:rFonts w:hint="eastAsia" w:asciiTheme="minorEastAsia" w:hAnsiTheme="minorEastAsia" w:eastAsiaTheme="minorEastAsia" w:cstheme="minorEastAsia"/>
          <w:bCs w:val="0"/>
          <w:kern w:val="0"/>
        </w:rPr>
      </w:pPr>
      <w:r>
        <w:rPr>
          <w:rFonts w:hint="eastAsia" w:asciiTheme="minorEastAsia" w:hAnsiTheme="minorEastAsia" w:eastAsiaTheme="minorEastAsia" w:cstheme="minorEastAsia"/>
          <w:b/>
          <w:color w:val="000000"/>
          <w:kern w:val="0"/>
          <w:sz w:val="24"/>
          <w:lang w:bidi="ar"/>
        </w:rPr>
        <w:t>20 建筑工程一切险(含第三者责任险）</w:t>
      </w:r>
    </w:p>
    <w:p w14:paraId="457A2E65">
      <w:pPr>
        <w:widowControl w:val="0"/>
        <w:autoSpaceDE w:val="0"/>
        <w:autoSpaceDN w:val="0"/>
        <w:adjustRightInd w:val="0"/>
        <w:spacing w:before="0" w:beforeAutospacing="0" w:after="0" w:afterAutospacing="0" w:line="360" w:lineRule="auto"/>
        <w:ind w:firstLine="568" w:firstLineChars="237"/>
        <w:jc w:val="both"/>
        <w:outlineLvl w:val="3"/>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20.1.</w:t>
      </w:r>
      <w:r>
        <w:rPr>
          <w:rFonts w:hint="eastAsia" w:asciiTheme="minorEastAsia" w:hAnsiTheme="minorEastAsia" w:eastAsiaTheme="minorEastAsia" w:cstheme="minorEastAsia"/>
          <w:color w:val="000000"/>
          <w:kern w:val="0"/>
          <w:sz w:val="24"/>
          <w:lang w:eastAsia="zh" w:bidi="ar"/>
        </w:rPr>
        <w:t xml:space="preserve"> </w:t>
      </w:r>
      <w:r>
        <w:rPr>
          <w:rFonts w:hint="eastAsia" w:asciiTheme="minorEastAsia" w:hAnsiTheme="minorEastAsia" w:eastAsiaTheme="minorEastAsia" w:cstheme="minorEastAsia"/>
          <w:color w:val="000000"/>
          <w:kern w:val="0"/>
          <w:sz w:val="24"/>
          <w:lang w:bidi="ar"/>
        </w:rPr>
        <w:t>工程项目应投保的“建筑/安装工程一切险（含第三者责任险）”已由发包人委托承包人购买</w:t>
      </w:r>
    </w:p>
    <w:p w14:paraId="7B52B0BB">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1）承包人已为本工程购买了 “建筑/安装工程一切险（含第三者责任险）”，其范围已包括此分包工程，但相应免赔额、保险除外责任部分由分包人自行承担。该保险条款的详细内容分包人可在法定工作时间内到承包人的办公室查阅。对承包人保险条款中的特别除外部分，分包人应以自己的义务考虑加保与否，并承担加保费用。该项保险若因分包人的过失而需延长，因此而增加的保险费由分包人承担。</w:t>
      </w:r>
    </w:p>
    <w:p w14:paraId="2E52E02F">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2）分包人须负责本工程每次索偿事件的现场保护工作，并及时向承包人提供保险公司所要求提交的有关索偿事件所需要的一切证据和资料，分包人确认上述工作所需要的费用已包括在合同总价内。承包人所购买的工程一切险和第三责任险并不能解除或减少分包人按合同条款应承担的责任。</w:t>
      </w:r>
    </w:p>
    <w:p w14:paraId="3C6F346E">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3）无论有关一切险的索偿是否得到理赔，在本工程现场具备复原条件时，分包人须迅速地把损坏的工作复原,把损失或损坏了的未安装物料替换或修补、迁离和处理任何残砾和继续执行和完成本工程。所有由保险得到的应支付给分包人的款项（减去顾问费，如有），并入获保险理赔且承发包双反确认支付额后的最近一期进度款中支付给分包人。除保险所得的款项外，分包人不能对损坏工作的复原、未安装物料的替换和修补、及残砾的迁离和处理，收取其它费用。</w:t>
      </w:r>
    </w:p>
    <w:p w14:paraId="113B3322">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4）若分包人认为承包人所购买的保险未足以保障其自身的风险时，可自费补充投保。</w:t>
      </w:r>
    </w:p>
    <w:p w14:paraId="27256AA8">
      <w:pPr>
        <w:pStyle w:val="4"/>
        <w:keepNext/>
        <w:keepLines/>
        <w:widowControl w:val="0"/>
        <w:spacing w:before="0" w:beforeAutospacing="0" w:after="0" w:afterAutospacing="0" w:line="360" w:lineRule="auto"/>
        <w:ind w:firstLineChars="200"/>
        <w:jc w:val="both"/>
        <w:outlineLvl w:val="2"/>
        <w:rPr>
          <w:rFonts w:hint="eastAsia" w:asciiTheme="minorEastAsia" w:hAnsiTheme="minorEastAsia" w:eastAsiaTheme="minorEastAsia" w:cstheme="minorEastAsia"/>
          <w:bCs w:val="0"/>
          <w:kern w:val="0"/>
          <w:highlight w:val="none"/>
        </w:rPr>
      </w:pPr>
      <w:r>
        <w:rPr>
          <w:rFonts w:hint="eastAsia" w:asciiTheme="minorEastAsia" w:hAnsiTheme="minorEastAsia" w:eastAsiaTheme="minorEastAsia" w:cstheme="minorEastAsia"/>
          <w:b/>
          <w:color w:val="000000"/>
          <w:kern w:val="0"/>
          <w:sz w:val="24"/>
          <w:lang w:bidi="ar"/>
        </w:rPr>
        <w:t>21雇员赔</w:t>
      </w:r>
      <w:r>
        <w:rPr>
          <w:rFonts w:hint="eastAsia" w:asciiTheme="minorEastAsia" w:hAnsiTheme="minorEastAsia" w:eastAsiaTheme="minorEastAsia" w:cstheme="minorEastAsia"/>
          <w:b/>
          <w:color w:val="000000"/>
          <w:kern w:val="0"/>
          <w:sz w:val="24"/>
          <w:highlight w:val="none"/>
          <w:lang w:bidi="ar"/>
        </w:rPr>
        <w:t>偿保险</w:t>
      </w:r>
    </w:p>
    <w:p w14:paraId="6179778F">
      <w:pPr>
        <w:widowControl w:val="0"/>
        <w:autoSpaceDE w:val="0"/>
        <w:autoSpaceDN w:val="0"/>
        <w:adjustRightInd w:val="0"/>
        <w:spacing w:before="0" w:beforeAutospacing="0" w:after="0" w:afterAutospacing="0" w:line="360" w:lineRule="auto"/>
        <w:ind w:firstLine="568" w:firstLineChars="237"/>
        <w:jc w:val="both"/>
        <w:outlineLvl w:val="3"/>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highlight w:val="none"/>
          <w:lang w:bidi="ar"/>
        </w:rPr>
        <w:t>21.1</w:t>
      </w:r>
      <w:r>
        <w:rPr>
          <w:rFonts w:hint="eastAsia" w:asciiTheme="minorEastAsia" w:hAnsiTheme="minorEastAsia" w:eastAsiaTheme="minorEastAsia" w:cstheme="minorEastAsia"/>
          <w:color w:val="000000"/>
          <w:kern w:val="0"/>
          <w:sz w:val="24"/>
          <w:highlight w:val="none"/>
          <w:lang w:eastAsia="zh" w:bidi="ar"/>
        </w:rPr>
        <w:t xml:space="preserve">  发</w:t>
      </w:r>
      <w:r>
        <w:rPr>
          <w:rFonts w:hint="eastAsia" w:asciiTheme="minorEastAsia" w:hAnsiTheme="minorEastAsia" w:eastAsiaTheme="minorEastAsia" w:cstheme="minorEastAsia"/>
          <w:color w:val="000000"/>
          <w:kern w:val="0"/>
          <w:sz w:val="24"/>
          <w:highlight w:val="none"/>
          <w:lang w:bidi="ar"/>
        </w:rPr>
        <w:t>包人、承包人对</w:t>
      </w:r>
      <w:r>
        <w:rPr>
          <w:rFonts w:hint="eastAsia" w:asciiTheme="minorEastAsia" w:hAnsiTheme="minorEastAsia" w:eastAsiaTheme="minorEastAsia" w:cstheme="minorEastAsia"/>
          <w:color w:val="000000"/>
          <w:kern w:val="0"/>
          <w:sz w:val="24"/>
          <w:lang w:bidi="ar"/>
        </w:rPr>
        <w:t>任何分包人的雇员、代理人、劳务人员或其他人的意外或伤亡，不论该人是受雇于分包人或分包人的再分包单位，皆不负任何法律上的赔偿责任。分包人须保障发包人免负任何有关的索偿、要求、诉讼、成本、费用和支出。若发包人、承包人因有关法律规定或司法行政决定或和解协议需要先行承担责任或承担连带责任的，分包人应予赔偿。</w:t>
      </w:r>
    </w:p>
    <w:p w14:paraId="0BECA290">
      <w:pPr>
        <w:widowControl w:val="0"/>
        <w:autoSpaceDE w:val="0"/>
        <w:autoSpaceDN w:val="0"/>
        <w:adjustRightInd w:val="0"/>
        <w:spacing w:before="0" w:beforeAutospacing="0" w:after="0" w:afterAutospacing="0" w:line="360" w:lineRule="auto"/>
        <w:ind w:firstLine="568" w:firstLineChars="237"/>
        <w:jc w:val="both"/>
        <w:outlineLvl w:val="3"/>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21.2</w:t>
      </w:r>
      <w:r>
        <w:rPr>
          <w:rFonts w:hint="eastAsia" w:asciiTheme="minorEastAsia" w:hAnsiTheme="minorEastAsia" w:eastAsiaTheme="minorEastAsia" w:cstheme="minorEastAsia"/>
          <w:color w:val="000000"/>
          <w:kern w:val="0"/>
          <w:sz w:val="24"/>
          <w:lang w:eastAsia="zh" w:bidi="ar"/>
        </w:rPr>
        <w:t xml:space="preserve"> </w:t>
      </w:r>
      <w:r>
        <w:rPr>
          <w:rFonts w:hint="eastAsia" w:asciiTheme="minorEastAsia" w:hAnsiTheme="minorEastAsia" w:eastAsiaTheme="minorEastAsia" w:cstheme="minorEastAsia"/>
          <w:color w:val="000000"/>
          <w:kern w:val="0"/>
          <w:sz w:val="24"/>
          <w:lang w:bidi="ar"/>
        </w:rPr>
        <w:t>若有任何受雇于本工程或与本合同有关的雇员或其他人士，受到损伤，不论有无索偿，分包人须马上以书面形式将该损伤通知分包人、发包人。</w:t>
      </w:r>
    </w:p>
    <w:p w14:paraId="10251A39">
      <w:pPr>
        <w:widowControl w:val="0"/>
        <w:autoSpaceDE w:val="0"/>
        <w:autoSpaceDN w:val="0"/>
        <w:adjustRightInd w:val="0"/>
        <w:spacing w:before="0" w:beforeAutospacing="0" w:after="0" w:afterAutospacing="0" w:line="360" w:lineRule="auto"/>
        <w:ind w:firstLine="568" w:firstLineChars="237"/>
        <w:jc w:val="both"/>
        <w:outlineLvl w:val="3"/>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21.3</w:t>
      </w:r>
      <w:r>
        <w:rPr>
          <w:rFonts w:hint="eastAsia" w:asciiTheme="minorEastAsia" w:hAnsiTheme="minorEastAsia" w:eastAsiaTheme="minorEastAsia" w:cstheme="minorEastAsia"/>
          <w:color w:val="000000"/>
          <w:kern w:val="0"/>
          <w:sz w:val="24"/>
          <w:lang w:eastAsia="zh" w:bidi="ar"/>
        </w:rPr>
        <w:t xml:space="preserve"> </w:t>
      </w:r>
      <w:r>
        <w:rPr>
          <w:rFonts w:hint="eastAsia" w:asciiTheme="minorEastAsia" w:hAnsiTheme="minorEastAsia" w:eastAsiaTheme="minorEastAsia" w:cstheme="minorEastAsia"/>
          <w:color w:val="000000"/>
          <w:kern w:val="0"/>
          <w:sz w:val="24"/>
          <w:lang w:bidi="ar"/>
        </w:rPr>
        <w:t>包人必须为其服务于本工程的雇佣员工购买人身意外保险</w:t>
      </w:r>
    </w:p>
    <w:p w14:paraId="7A6BC11D">
      <w:pPr>
        <w:widowControl w:val="0"/>
        <w:autoSpaceDE w:val="0"/>
        <w:autoSpaceDN w:val="0"/>
        <w:adjustRightInd w:val="0"/>
        <w:spacing w:before="0" w:beforeAutospacing="0" w:after="0" w:afterAutospacing="0" w:line="360" w:lineRule="auto"/>
        <w:ind w:firstLine="568" w:firstLineChars="237"/>
        <w:jc w:val="both"/>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分包人应在工程施工开始直至缺陷责任期完结期间对所有其雇用的工作人员进行此类保险并持续这种保险。但对于分包人的任何分包人雇用任何人员，如果分包人已经对上述雇员进行了保险，则本条款前述的分包人保险义务即得到履行，但在必要时，分包人应要求其分包单位向发包人提交有关的保险单及本期保险金的支付收据。一旦发生人员伤亡事故，分包人须立即通知承包人、发包人，并以书面形式提供详细经过。</w:t>
      </w:r>
    </w:p>
    <w:p w14:paraId="12DC6F86">
      <w:pPr>
        <w:widowControl w:val="0"/>
        <w:autoSpaceDE w:val="0"/>
        <w:autoSpaceDN w:val="0"/>
        <w:adjustRightInd w:val="0"/>
        <w:spacing w:before="0" w:beforeAutospacing="0" w:after="0" w:afterAutospacing="0" w:line="360" w:lineRule="auto"/>
        <w:ind w:firstLine="568" w:firstLineChars="237"/>
        <w:jc w:val="both"/>
        <w:outlineLvl w:val="3"/>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color w:val="000000"/>
          <w:kern w:val="0"/>
          <w:sz w:val="24"/>
          <w:lang w:bidi="ar"/>
        </w:rPr>
        <w:t>21.4</w:t>
      </w:r>
      <w:r>
        <w:rPr>
          <w:rFonts w:hint="eastAsia" w:asciiTheme="minorEastAsia" w:hAnsiTheme="minorEastAsia" w:eastAsiaTheme="minorEastAsia" w:cstheme="minorEastAsia"/>
          <w:color w:val="000000"/>
          <w:kern w:val="0"/>
          <w:sz w:val="24"/>
          <w:lang w:eastAsia="zh" w:bidi="ar"/>
        </w:rPr>
        <w:t xml:space="preserve"> </w:t>
      </w:r>
      <w:r>
        <w:rPr>
          <w:rFonts w:hint="eastAsia" w:asciiTheme="minorEastAsia" w:hAnsiTheme="minorEastAsia" w:eastAsiaTheme="minorEastAsia" w:cstheme="minorEastAsia"/>
          <w:color w:val="000000"/>
          <w:kern w:val="0"/>
          <w:sz w:val="24"/>
          <w:lang w:bidi="ar"/>
        </w:rPr>
        <w:t>包人须对其雇员的意外或伤亡负全责。分包人须与受雇者签订劳动合同，并与参与本工程的所有有关人员包括其自身的施工人员、管理人员及分包人（不论是否发包人指定的）的施工及管理人员等，投保其认为必要的人身意外保险。发包人对于任何雇员的意外或伤亡，不论该人是受雇于分包人还是其分包方（不论是否发包人指定的），都不负任何法律上的赔偿责任，分包人须保障发包人免负任何有关的索偿、要求、诉讼、成本、费用和支出。</w:t>
      </w:r>
    </w:p>
    <w:p w14:paraId="2DAF1011">
      <w:pPr>
        <w:pStyle w:val="4"/>
        <w:widowControl w:val="0"/>
        <w:autoSpaceDE w:val="0"/>
        <w:autoSpaceDN w:val="0"/>
        <w:adjustRightInd w:val="0"/>
        <w:spacing w:before="0" w:beforeAutospacing="0" w:after="0" w:afterAutospacing="0" w:line="360" w:lineRule="auto"/>
        <w:ind w:firstLineChars="20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kern w:val="0"/>
          <w:sz w:val="24"/>
          <w:lang w:bidi="ar"/>
        </w:rPr>
        <w:t>22 其他保险</w:t>
      </w:r>
    </w:p>
    <w:p w14:paraId="30083258">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lang w:bidi="ar"/>
        </w:rPr>
        <w:t>分包人应为本工程自费购买其认为所需的但不包含在承包人保险范围内的其他保险。分包人不得以任何借口对其未保险事项或不能向其保险公司收回的金额向承包人提出索赔。</w:t>
      </w:r>
    </w:p>
    <w:p w14:paraId="45802F76">
      <w:pPr>
        <w:pStyle w:val="4"/>
        <w:widowControl w:val="0"/>
        <w:autoSpaceDE w:val="0"/>
        <w:autoSpaceDN w:val="0"/>
        <w:adjustRightInd w:val="0"/>
        <w:spacing w:before="0" w:beforeAutospacing="0" w:after="0" w:afterAutospacing="0" w:line="360" w:lineRule="auto"/>
        <w:ind w:firstLineChars="200"/>
        <w:jc w:val="both"/>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kern w:val="0"/>
          <w:sz w:val="24"/>
          <w:lang w:bidi="ar"/>
        </w:rPr>
        <w:t>23 对各项保险的一般要求</w:t>
      </w:r>
    </w:p>
    <w:p w14:paraId="61A9A55F">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23.1 分包人不得在其投保合同条款中加入“其保险人有权或可以向发包人的保险人提出索赔”的条款。</w:t>
      </w:r>
    </w:p>
    <w:p w14:paraId="443A0FBE">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23.2 分包人应在工程开工前向承包人及发包人提供根据合同要求的保险投保证明，并在分包人所需保险的工作开始前提前7天以上向承包人及发包人提交有效的保险单，保险单应与合同的条款一致，分包人投保的保险公司应经承包人、发包人批准。</w:t>
      </w:r>
    </w:p>
    <w:p w14:paraId="027ACAE3">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23.3 分包人应在施工进度、范围、性质发生变化时通知其保险人，以确保根据合同条款在所有时间内有完备的保险，由此所发生的费用，由分包人自行承担。</w:t>
      </w:r>
    </w:p>
    <w:p w14:paraId="3BC6184B">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23.4 如果分包人未使或未保证任何合同规定的保险生效，或未按规定的时间向承包人、发包人提供保险单，承包人、发包人在任何这种情况发生时，有权使任何这些保险生效并支付保险金，并随时从支付给或应支付给分包人的款项中扣回，或视同到期债务从分包人扣回。</w:t>
      </w:r>
    </w:p>
    <w:p w14:paraId="399EC712">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color w:val="000000"/>
          <w:lang w:bidi="ar"/>
        </w:rPr>
      </w:pPr>
      <w:r>
        <w:rPr>
          <w:rFonts w:hint="eastAsia" w:asciiTheme="minorEastAsia" w:hAnsiTheme="minorEastAsia" w:eastAsiaTheme="minorEastAsia" w:cstheme="minorEastAsia"/>
          <w:color w:val="000000"/>
          <w:lang w:bidi="ar"/>
        </w:rPr>
        <w:t>23.5 分包人或承包人或发包人未能遵循根据合同生效的保险单条款给对方造成损失的，责任一方应赔偿另一方由此而造成的全部损失。但分包人投保的保险合同投保前未经承包人、发包人确认，或使承包人、发包人承担责任或费用的除外。</w:t>
      </w:r>
    </w:p>
    <w:p w14:paraId="2DD69925">
      <w:pPr>
        <w:pStyle w:val="29"/>
        <w:widowControl w:val="0"/>
        <w:autoSpaceDE w:val="0"/>
        <w:autoSpaceDN w:val="0"/>
        <w:adjustRightInd w:val="0"/>
        <w:spacing w:before="0" w:beforeAutospacing="0" w:after="0" w:afterAutospacing="0" w:line="360" w:lineRule="auto"/>
        <w:ind w:firstLine="480" w:firstLineChars="200"/>
        <w:jc w:val="both"/>
      </w:pPr>
      <w:r>
        <w:rPr>
          <w:rFonts w:hint="eastAsia" w:asciiTheme="minorEastAsia" w:hAnsiTheme="minorEastAsia" w:eastAsiaTheme="minorEastAsia" w:cstheme="minorEastAsia"/>
          <w:color w:val="000000"/>
          <w:lang w:bidi="ar"/>
        </w:rPr>
        <w:t>23.6 分包人未能按规定购买和维持该等保险，承包人可代为投保，保险费在支付的工程款中抵扣。</w:t>
      </w:r>
    </w:p>
    <w:p w14:paraId="1CBDEDC5">
      <w:pPr>
        <w:pStyle w:val="4"/>
        <w:spacing w:before="0" w:after="0" w:line="360" w:lineRule="auto"/>
        <w:outlineLvl w:val="2"/>
        <w:rPr>
          <w:rFonts w:hint="eastAsia" w:asciiTheme="minorEastAsia" w:hAnsiTheme="minorEastAsia" w:eastAsiaTheme="minorEastAsia" w:cstheme="minorEastAsia"/>
          <w:b w:val="0"/>
          <w:kern w:val="0"/>
          <w:sz w:val="24"/>
        </w:rPr>
      </w:pPr>
      <w:r>
        <w:rPr>
          <w:rFonts w:hint="eastAsia" w:asciiTheme="minorEastAsia" w:hAnsiTheme="minorEastAsia" w:eastAsiaTheme="minorEastAsia" w:cstheme="minorEastAsia"/>
          <w:bCs/>
          <w:kern w:val="0"/>
          <w:sz w:val="24"/>
        </w:rPr>
        <w:t>24 履约保函：</w:t>
      </w:r>
    </w:p>
    <w:p w14:paraId="3D57636D">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sz w:val="24"/>
          <w:lang w:bidi="ar"/>
        </w:rPr>
      </w:pPr>
      <w:bookmarkStart w:id="441" w:name="_Toc9046"/>
      <w:bookmarkStart w:id="442" w:name="_Toc20155"/>
      <w:bookmarkStart w:id="443" w:name="_Toc4132"/>
      <w:bookmarkStart w:id="444" w:name="_Toc5623"/>
      <w:r>
        <w:rPr>
          <w:rFonts w:hint="eastAsia" w:asciiTheme="minorEastAsia" w:hAnsiTheme="minorEastAsia" w:eastAsiaTheme="minorEastAsia" w:cstheme="minorEastAsia"/>
          <w:color w:val="000000"/>
          <w:lang w:bidi="ar"/>
        </w:rPr>
        <w:t>24.1履约保函方式：</w:t>
      </w:r>
      <w:bookmarkEnd w:id="441"/>
      <w:bookmarkEnd w:id="442"/>
      <w:bookmarkEnd w:id="443"/>
      <w:bookmarkEnd w:id="444"/>
    </w:p>
    <w:p w14:paraId="5C8E23AA">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kern w:val="2"/>
          <w:sz w:val="24"/>
          <w:szCs w:val="24"/>
          <w:lang w:bidi="ar"/>
        </w:rPr>
      </w:pPr>
      <w:r>
        <w:rPr>
          <w:rFonts w:hint="eastAsia" w:asciiTheme="minorEastAsia" w:hAnsiTheme="minorEastAsia" w:eastAsiaTheme="minorEastAsia" w:cstheme="minorEastAsia"/>
          <w:color w:val="000000"/>
          <w:kern w:val="2"/>
          <w:lang w:bidi="ar"/>
        </w:rPr>
        <w:t>履约保函的担保额度为本合同协议书第7条合同价款中暂定含税合同总价的 10%。分包人提供出自国有银行或商业银行或经承包人确认担保公司开具的“见索即付保函”。</w:t>
      </w:r>
    </w:p>
    <w:p w14:paraId="53FB0D25">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kern w:val="2"/>
          <w:sz w:val="24"/>
          <w:szCs w:val="24"/>
          <w:lang w:bidi="ar"/>
        </w:rPr>
      </w:pPr>
      <w:r>
        <w:rPr>
          <w:rFonts w:hint="eastAsia" w:asciiTheme="minorEastAsia" w:hAnsiTheme="minorEastAsia" w:eastAsiaTheme="minorEastAsia" w:cstheme="minorEastAsia"/>
          <w:color w:val="000000"/>
          <w:kern w:val="2"/>
          <w:lang w:bidi="ar"/>
        </w:rPr>
        <w:t>履约保证函的形式：银行保函或保证保险或担保保函</w:t>
      </w:r>
    </w:p>
    <w:p w14:paraId="2743E44A">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kern w:val="2"/>
          <w:sz w:val="24"/>
          <w:szCs w:val="24"/>
          <w:lang w:bidi="ar"/>
        </w:rPr>
      </w:pPr>
      <w:r>
        <w:rPr>
          <w:rFonts w:hint="eastAsia" w:asciiTheme="minorEastAsia" w:hAnsiTheme="minorEastAsia" w:eastAsiaTheme="minorEastAsia" w:cstheme="minorEastAsia"/>
          <w:color w:val="000000"/>
          <w:kern w:val="2"/>
          <w:lang w:bidi="ar"/>
        </w:rPr>
        <w:t>■出具支付保函的担保人：按照相关法律法规及规定执行</w:t>
      </w:r>
    </w:p>
    <w:p w14:paraId="72999F7B">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kern w:val="2"/>
          <w:sz w:val="24"/>
          <w:szCs w:val="24"/>
          <w:lang w:bidi="ar"/>
        </w:rPr>
      </w:pPr>
      <w:r>
        <w:rPr>
          <w:rFonts w:hint="eastAsia" w:asciiTheme="minorEastAsia" w:hAnsiTheme="minorEastAsia" w:eastAsiaTheme="minorEastAsia" w:cstheme="minorEastAsia"/>
          <w:color w:val="000000"/>
          <w:kern w:val="2"/>
          <w:lang w:bidi="ar"/>
        </w:rPr>
        <w:t>■出具支付担保的担保人：按照相关法律法规及规定执行</w:t>
      </w:r>
    </w:p>
    <w:p w14:paraId="0A881F28">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kern w:val="2"/>
          <w:sz w:val="24"/>
          <w:szCs w:val="24"/>
          <w:lang w:bidi="ar"/>
        </w:rPr>
      </w:pPr>
      <w:r>
        <w:rPr>
          <w:rFonts w:hint="eastAsia" w:asciiTheme="minorEastAsia" w:hAnsiTheme="minorEastAsia" w:eastAsiaTheme="minorEastAsia" w:cstheme="minorEastAsia"/>
          <w:color w:val="000000"/>
          <w:kern w:val="2"/>
          <w:lang w:bidi="ar"/>
        </w:rPr>
        <w:t xml:space="preserve">■出具支付保证保险的担保人：按照相关法律法规及规定执行 </w:t>
      </w:r>
    </w:p>
    <w:p w14:paraId="1E34C650">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sz w:val="24"/>
          <w:lang w:bidi="ar"/>
        </w:rPr>
      </w:pPr>
      <w:r>
        <w:rPr>
          <w:rFonts w:hint="eastAsia" w:asciiTheme="minorEastAsia" w:hAnsiTheme="minorEastAsia" w:eastAsiaTheme="minorEastAsia" w:cstheme="minorEastAsia"/>
          <w:color w:val="000000"/>
          <w:lang w:bidi="ar"/>
        </w:rPr>
        <w:t>分包人应承担的各项违约金、赔偿金及其他费用，承包人均有权从履约担保中直接扣除。如分包人因违约或其他原因被提取履约保函的担保金额而不解除合同的，分包人应在接到承包人关于提取履约保函担保金额的通知之日起7天内补足被提取的履约担保金额，承包人亦可从应付合同价款中直接扣除相应金额补足履约担保金额。银行履约保函须确保自提交承包人之日起保持有效，直至工程竣工验收合格并签发工程移交证明文件之日起二十八天内必须保持有效</w:t>
      </w:r>
    </w:p>
    <w:p w14:paraId="69A8A43B">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sz w:val="24"/>
          <w:lang w:bidi="ar"/>
        </w:rPr>
      </w:pPr>
      <w:bookmarkStart w:id="445" w:name="_Toc1343"/>
      <w:bookmarkStart w:id="446" w:name="_Toc1278"/>
      <w:bookmarkStart w:id="447" w:name="_Toc6685"/>
      <w:bookmarkStart w:id="448" w:name="_Toc15319"/>
      <w:r>
        <w:rPr>
          <w:rFonts w:hint="eastAsia" w:asciiTheme="minorEastAsia" w:hAnsiTheme="minorEastAsia" w:eastAsiaTheme="minorEastAsia" w:cstheme="minorEastAsia"/>
          <w:color w:val="000000"/>
          <w:lang w:bidi="ar"/>
        </w:rPr>
        <w:t>24.2 履约保函的退返：</w:t>
      </w:r>
      <w:bookmarkEnd w:id="445"/>
      <w:bookmarkEnd w:id="446"/>
      <w:bookmarkEnd w:id="447"/>
      <w:bookmarkEnd w:id="448"/>
    </w:p>
    <w:p w14:paraId="05B15BFB">
      <w:pPr>
        <w:pStyle w:val="29"/>
        <w:widowControl w:val="0"/>
        <w:autoSpaceDE w:val="0"/>
        <w:autoSpaceDN w:val="0"/>
        <w:adjustRightInd w:val="0"/>
        <w:spacing w:before="0" w:beforeAutospacing="0" w:after="0" w:afterAutospacing="0" w:line="360" w:lineRule="auto"/>
        <w:ind w:firstLine="480" w:firstLineChars="200"/>
        <w:jc w:val="both"/>
        <w:rPr>
          <w:rFonts w:hint="eastAsia" w:asciiTheme="minorEastAsia" w:hAnsiTheme="minorEastAsia" w:eastAsiaTheme="minorEastAsia" w:cstheme="minorEastAsia"/>
          <w:color w:val="000000"/>
          <w:sz w:val="24"/>
          <w:lang w:bidi="ar"/>
        </w:rPr>
      </w:pPr>
      <w:bookmarkStart w:id="449" w:name="_Toc31814"/>
      <w:bookmarkStart w:id="450" w:name="_Toc1419"/>
      <w:bookmarkStart w:id="451" w:name="_Toc24538"/>
      <w:bookmarkStart w:id="452" w:name="_Toc15502"/>
      <w:r>
        <w:rPr>
          <w:rFonts w:hint="eastAsia" w:asciiTheme="minorEastAsia" w:hAnsiTheme="minorEastAsia" w:eastAsiaTheme="minorEastAsia" w:cstheme="minorEastAsia"/>
          <w:color w:val="000000"/>
          <w:lang w:bidi="ar"/>
        </w:rPr>
        <w:t>分包人以履约保函方式向承包人提交的履约保证金，分包人未违约的情况下，承包人于向分包人签发工程移交证明文件之日起二十八天内退返；若分包人违约，发包人有权随时直接向保函开具单位提取履约保证金，而无须征得分包人的任何意见。</w:t>
      </w:r>
      <w:bookmarkEnd w:id="449"/>
      <w:bookmarkEnd w:id="450"/>
      <w:bookmarkEnd w:id="451"/>
      <w:bookmarkEnd w:id="452"/>
    </w:p>
    <w:p w14:paraId="002258EC">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sz w:val="24"/>
          <w:lang w:bidi="ar"/>
        </w:rPr>
      </w:pPr>
      <w:bookmarkStart w:id="453" w:name="_Toc22988"/>
      <w:bookmarkStart w:id="454" w:name="_Toc20012"/>
      <w:bookmarkStart w:id="455" w:name="_Toc16865"/>
      <w:bookmarkStart w:id="456" w:name="_Toc14520"/>
      <w:r>
        <w:rPr>
          <w:rFonts w:hint="eastAsia" w:asciiTheme="minorEastAsia" w:hAnsiTheme="minorEastAsia" w:eastAsiaTheme="minorEastAsia" w:cstheme="minorEastAsia"/>
          <w:color w:val="000000"/>
          <w:lang w:bidi="ar"/>
        </w:rPr>
        <w:t>24.3 如分包人有下列行为的，发包人有权对工程履约保证金作相应处理：</w:t>
      </w:r>
      <w:bookmarkEnd w:id="453"/>
      <w:bookmarkEnd w:id="454"/>
      <w:bookmarkEnd w:id="455"/>
      <w:bookmarkEnd w:id="456"/>
    </w:p>
    <w:p w14:paraId="40B9F3B5">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color w:val="000000"/>
          <w:kern w:val="2"/>
          <w:sz w:val="24"/>
          <w:szCs w:val="24"/>
          <w:lang w:bidi="ar"/>
        </w:rPr>
      </w:pPr>
      <w:bookmarkStart w:id="457" w:name="_Toc14590"/>
      <w:bookmarkStart w:id="458" w:name="_Toc7472"/>
      <w:bookmarkStart w:id="459" w:name="_Toc30244"/>
      <w:bookmarkStart w:id="460" w:name="_Toc4724"/>
      <w:r>
        <w:rPr>
          <w:rFonts w:hint="eastAsia" w:asciiTheme="minorEastAsia" w:hAnsiTheme="minorEastAsia" w:eastAsiaTheme="minorEastAsia" w:cstheme="minorEastAsia"/>
          <w:color w:val="000000"/>
          <w:kern w:val="2"/>
          <w:lang w:bidi="ar"/>
        </w:rPr>
        <w:t>i.签订合同后，分包人不按发包人要求时间进场施工，发包人有权没收履约保证金并不予退还。</w:t>
      </w:r>
      <w:bookmarkEnd w:id="457"/>
      <w:bookmarkEnd w:id="458"/>
      <w:bookmarkEnd w:id="459"/>
      <w:bookmarkEnd w:id="460"/>
    </w:p>
    <w:p w14:paraId="38C73368">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color w:val="000000"/>
          <w:kern w:val="2"/>
          <w:sz w:val="24"/>
          <w:szCs w:val="24"/>
          <w:lang w:bidi="ar"/>
        </w:rPr>
      </w:pPr>
      <w:bookmarkStart w:id="461" w:name="_Toc11185"/>
      <w:bookmarkStart w:id="462" w:name="_Toc5959"/>
      <w:bookmarkStart w:id="463" w:name="_Toc7542"/>
      <w:bookmarkStart w:id="464" w:name="_Toc20092"/>
      <w:r>
        <w:rPr>
          <w:rFonts w:hint="eastAsia" w:asciiTheme="minorEastAsia" w:hAnsiTheme="minorEastAsia" w:eastAsiaTheme="minorEastAsia" w:cstheme="minorEastAsia"/>
          <w:color w:val="000000"/>
          <w:kern w:val="2"/>
          <w:lang w:bidi="ar"/>
        </w:rPr>
        <w:t>ii.分包人违反合同约定时，发包人有权直接在工程履约保证金中扣除相应的违约金、扣款、赔偿金。</w:t>
      </w:r>
      <w:bookmarkEnd w:id="461"/>
      <w:bookmarkEnd w:id="462"/>
      <w:bookmarkEnd w:id="463"/>
      <w:bookmarkEnd w:id="464"/>
    </w:p>
    <w:p w14:paraId="4D0BFE0A">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color w:val="000000"/>
          <w:kern w:val="2"/>
          <w:sz w:val="24"/>
          <w:szCs w:val="24"/>
          <w:lang w:bidi="ar"/>
        </w:rPr>
      </w:pPr>
      <w:bookmarkStart w:id="465" w:name="_Toc21611"/>
      <w:bookmarkStart w:id="466" w:name="_Toc12872"/>
      <w:bookmarkStart w:id="467" w:name="_Toc7999"/>
      <w:bookmarkStart w:id="468" w:name="_Toc26814"/>
      <w:r>
        <w:rPr>
          <w:rFonts w:hint="eastAsia" w:asciiTheme="minorEastAsia" w:hAnsiTheme="minorEastAsia" w:eastAsiaTheme="minorEastAsia" w:cstheme="minorEastAsia"/>
          <w:color w:val="000000"/>
          <w:kern w:val="2"/>
          <w:lang w:bidi="ar"/>
        </w:rPr>
        <w:t>iii.本合同因分包人原因而被解除或提前终止的，发包人有权没收履约保证金并不予退还。</w:t>
      </w:r>
      <w:bookmarkEnd w:id="465"/>
      <w:bookmarkEnd w:id="466"/>
      <w:bookmarkEnd w:id="467"/>
      <w:bookmarkEnd w:id="468"/>
    </w:p>
    <w:p w14:paraId="601D96A1">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sz w:val="24"/>
          <w:lang w:bidi="ar"/>
        </w:rPr>
      </w:pPr>
      <w:bookmarkStart w:id="469" w:name="_Toc9817"/>
      <w:bookmarkStart w:id="470" w:name="_Toc5067"/>
      <w:bookmarkStart w:id="471" w:name="_Toc4954"/>
      <w:bookmarkStart w:id="472" w:name="_Toc5587"/>
      <w:r>
        <w:rPr>
          <w:rFonts w:hint="eastAsia" w:asciiTheme="minorEastAsia" w:hAnsiTheme="minorEastAsia" w:eastAsiaTheme="minorEastAsia" w:cstheme="minorEastAsia"/>
          <w:color w:val="000000"/>
          <w:lang w:bidi="ar"/>
        </w:rPr>
        <w:t>24.4 履约保证金与分包人应承担的其他违约责任并存，不能因没收履约保证金而免除或减轻分包人应承担的其他违约责任。</w:t>
      </w:r>
      <w:bookmarkEnd w:id="469"/>
      <w:bookmarkEnd w:id="470"/>
      <w:bookmarkEnd w:id="471"/>
      <w:bookmarkEnd w:id="472"/>
    </w:p>
    <w:p w14:paraId="6A2885E3">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sz w:val="24"/>
          <w:lang w:bidi="ar"/>
        </w:rPr>
      </w:pPr>
      <w:bookmarkStart w:id="473" w:name="_Toc9633"/>
      <w:bookmarkStart w:id="474" w:name="_Toc2778"/>
      <w:bookmarkStart w:id="475" w:name="_Toc25041"/>
      <w:bookmarkStart w:id="476" w:name="_Toc18892"/>
      <w:r>
        <w:rPr>
          <w:rFonts w:hint="eastAsia" w:asciiTheme="minorEastAsia" w:hAnsiTheme="minorEastAsia" w:eastAsiaTheme="minorEastAsia" w:cstheme="minorEastAsia"/>
          <w:color w:val="000000"/>
          <w:lang w:bidi="ar"/>
        </w:rPr>
        <w:t>24.5 分包人因违约导致履约保证金金额不足的，承包人有权通知分包人在7天内补足，否则承包人可以在应付分包人的任何一期进度款中直接扣除差额部分补足履约保证金。</w:t>
      </w:r>
      <w:bookmarkEnd w:id="473"/>
      <w:bookmarkEnd w:id="474"/>
      <w:bookmarkEnd w:id="475"/>
      <w:bookmarkEnd w:id="476"/>
    </w:p>
    <w:p w14:paraId="2FA548C8">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sz w:val="24"/>
          <w:lang w:bidi="ar"/>
        </w:rPr>
      </w:pPr>
      <w:bookmarkStart w:id="477" w:name="_Toc7451"/>
      <w:bookmarkStart w:id="478" w:name="_Toc31794"/>
      <w:bookmarkStart w:id="479" w:name="_Toc8341"/>
      <w:bookmarkStart w:id="480" w:name="_Toc23655"/>
      <w:r>
        <w:rPr>
          <w:rFonts w:hint="eastAsia" w:asciiTheme="minorEastAsia" w:hAnsiTheme="minorEastAsia" w:eastAsiaTheme="minorEastAsia" w:cstheme="minorEastAsia"/>
          <w:color w:val="000000"/>
          <w:lang w:bidi="ar"/>
        </w:rPr>
        <w:t>24.6 农民工工资保证金、劳动保险统筹基金（交政府相关部门）</w:t>
      </w:r>
      <w:bookmarkEnd w:id="477"/>
      <w:bookmarkEnd w:id="478"/>
      <w:bookmarkEnd w:id="479"/>
      <w:bookmarkEnd w:id="480"/>
    </w:p>
    <w:p w14:paraId="72E5E909">
      <w:pPr>
        <w:pStyle w:val="29"/>
        <w:widowControl w:val="0"/>
        <w:autoSpaceDE w:val="0"/>
        <w:autoSpaceDN w:val="0"/>
        <w:adjustRightInd w:val="0"/>
        <w:spacing w:before="0" w:beforeAutospacing="0" w:after="0" w:afterAutospacing="0" w:line="360" w:lineRule="auto"/>
        <w:ind w:firstLine="480" w:firstLineChars="200"/>
        <w:jc w:val="both"/>
        <w:outlineLvl w:val="9"/>
        <w:rPr>
          <w:rFonts w:hint="eastAsia" w:asciiTheme="minorEastAsia" w:hAnsiTheme="minorEastAsia" w:eastAsiaTheme="minorEastAsia" w:cstheme="minorEastAsia"/>
          <w:color w:val="000000"/>
          <w:sz w:val="24"/>
          <w:lang w:bidi="ar"/>
        </w:rPr>
      </w:pPr>
      <w:bookmarkStart w:id="481" w:name="_Toc17714"/>
      <w:bookmarkStart w:id="482" w:name="_Toc17817"/>
      <w:bookmarkStart w:id="483" w:name="_Toc5046"/>
      <w:bookmarkStart w:id="484" w:name="_Toc16924"/>
      <w:r>
        <w:rPr>
          <w:rFonts w:hint="eastAsia" w:asciiTheme="minorEastAsia" w:hAnsiTheme="minorEastAsia" w:eastAsiaTheme="minorEastAsia" w:cstheme="minorEastAsia"/>
          <w:color w:val="000000"/>
          <w:kern w:val="2"/>
          <w:lang w:bidi="ar"/>
        </w:rPr>
        <w:t>分包人应按工程所在地政府部门规定向相关政府部门缴纳农民工工资保证金、</w:t>
      </w:r>
      <w:r>
        <w:rPr>
          <w:rFonts w:hint="eastAsia" w:asciiTheme="minorEastAsia" w:hAnsiTheme="minorEastAsia" w:eastAsiaTheme="minorEastAsia" w:cstheme="minorEastAsia"/>
          <w:color w:val="000000"/>
          <w:lang w:bidi="ar"/>
        </w:rPr>
        <w:t>劳动保险统筹基金</w:t>
      </w:r>
      <w:r>
        <w:rPr>
          <w:rFonts w:hint="eastAsia" w:asciiTheme="minorEastAsia" w:hAnsiTheme="minorEastAsia" w:eastAsiaTheme="minorEastAsia" w:cstheme="minorEastAsia"/>
          <w:color w:val="000000"/>
          <w:kern w:val="2"/>
          <w:lang w:bidi="ar"/>
        </w:rPr>
        <w:t>。若根据当地政府部门规定由承包人报建前一次性缴纳的（如分包人配合办理农民工保证金手续且不需要发包人提前缴纳的除外），则承包人从首次支付分包人工程款起，分期等额在工程款中直接扣留相应缴纳费用，分包人不得拒绝或提出异议。如当期付款不足以扣留该缴纳费用的，承包人有权从应付分包人任何一期工程款中直接扣留累计差额部分。该款项待政府部门退还承包人且承包人确认分包人无拖欠农民工工资行为后，承包人于15个工作日内一次性全额支付分包人。</w:t>
      </w:r>
      <w:bookmarkEnd w:id="481"/>
      <w:bookmarkEnd w:id="482"/>
      <w:bookmarkEnd w:id="483"/>
      <w:bookmarkEnd w:id="484"/>
    </w:p>
    <w:bookmarkEnd w:id="433"/>
    <w:bookmarkEnd w:id="434"/>
    <w:bookmarkEnd w:id="435"/>
    <w:bookmarkEnd w:id="436"/>
    <w:bookmarkEnd w:id="437"/>
    <w:bookmarkEnd w:id="438"/>
    <w:bookmarkEnd w:id="439"/>
    <w:bookmarkEnd w:id="440"/>
    <w:p w14:paraId="7929E9F0">
      <w:pPr>
        <w:pStyle w:val="4"/>
        <w:spacing w:before="0" w:beforeLines="50" w:after="0" w:line="360" w:lineRule="auto"/>
        <w:rPr>
          <w:rFonts w:hint="eastAsia" w:asciiTheme="minorEastAsia" w:hAnsiTheme="minorEastAsia" w:eastAsiaTheme="minorEastAsia" w:cstheme="minorEastAsia"/>
          <w:sz w:val="24"/>
        </w:rPr>
      </w:pPr>
      <w:bookmarkStart w:id="485" w:name="_Toc24351"/>
      <w:bookmarkStart w:id="486" w:name="_Toc517273237"/>
      <w:bookmarkStart w:id="487" w:name="_Toc26187"/>
      <w:bookmarkStart w:id="488" w:name="_Toc192986937"/>
      <w:bookmarkStart w:id="489" w:name="_Toc28779"/>
      <w:bookmarkStart w:id="490" w:name="_Toc11667"/>
      <w:r>
        <w:rPr>
          <w:rFonts w:hint="eastAsia" w:asciiTheme="minorEastAsia" w:hAnsiTheme="minorEastAsia" w:eastAsiaTheme="minorEastAsia" w:cstheme="minorEastAsia"/>
          <w:kern w:val="0"/>
          <w:sz w:val="24"/>
          <w:szCs w:val="24"/>
        </w:rPr>
        <w:t xml:space="preserve">25 </w:t>
      </w:r>
      <w:bookmarkEnd w:id="485"/>
      <w:bookmarkEnd w:id="486"/>
      <w:bookmarkEnd w:id="487"/>
      <w:bookmarkEnd w:id="488"/>
      <w:bookmarkEnd w:id="489"/>
      <w:bookmarkEnd w:id="490"/>
      <w:bookmarkStart w:id="491" w:name="_Toc192986938"/>
      <w:bookmarkStart w:id="492" w:name="_Toc517273238"/>
      <w:bookmarkStart w:id="493" w:name="_Toc14602"/>
      <w:bookmarkStart w:id="494" w:name="_Toc26556"/>
      <w:bookmarkStart w:id="495" w:name="_Toc10281"/>
      <w:bookmarkStart w:id="496" w:name="_Toc17724"/>
      <w:r>
        <w:rPr>
          <w:rFonts w:hint="eastAsia" w:asciiTheme="minorEastAsia" w:hAnsiTheme="minorEastAsia" w:eastAsiaTheme="minorEastAsia" w:cstheme="minorEastAsia"/>
          <w:kern w:val="0"/>
          <w:sz w:val="24"/>
          <w:szCs w:val="24"/>
        </w:rPr>
        <w:t xml:space="preserve"> 合同生效、终止及补充</w:t>
      </w:r>
      <w:bookmarkEnd w:id="491"/>
      <w:bookmarkEnd w:id="492"/>
      <w:r>
        <w:rPr>
          <w:rFonts w:hint="eastAsia" w:asciiTheme="minorEastAsia" w:hAnsiTheme="minorEastAsia" w:eastAsiaTheme="minorEastAsia" w:cstheme="minorEastAsia"/>
          <w:kern w:val="0"/>
          <w:sz w:val="24"/>
          <w:szCs w:val="24"/>
        </w:rPr>
        <w:t>：</w:t>
      </w:r>
      <w:bookmarkEnd w:id="493"/>
      <w:bookmarkEnd w:id="494"/>
      <w:bookmarkEnd w:id="495"/>
      <w:bookmarkEnd w:id="496"/>
    </w:p>
    <w:p w14:paraId="58009D23">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sz w:val="24"/>
          <w:lang w:bidi="ar"/>
        </w:rPr>
      </w:pPr>
      <w:r>
        <w:rPr>
          <w:rFonts w:hint="eastAsia" w:asciiTheme="minorEastAsia" w:hAnsiTheme="minorEastAsia" w:eastAsiaTheme="minorEastAsia" w:cstheme="minorEastAsia"/>
          <w:color w:val="000000"/>
          <w:lang w:bidi="ar"/>
        </w:rPr>
        <w:t>25.1 本合同所涉及到的货币单位，均为人民币元。</w:t>
      </w:r>
    </w:p>
    <w:p w14:paraId="2A9938C9">
      <w:pPr>
        <w:pStyle w:val="29"/>
        <w:widowControl w:val="0"/>
        <w:autoSpaceDE w:val="0"/>
        <w:autoSpaceDN w:val="0"/>
        <w:adjustRightInd w:val="0"/>
        <w:spacing w:before="0" w:beforeAutospacing="0" w:after="0" w:afterAutospacing="0" w:line="360" w:lineRule="auto"/>
        <w:ind w:firstLine="480" w:firstLineChars="200"/>
        <w:jc w:val="both"/>
        <w:outlineLvl w:val="3"/>
        <w:rPr>
          <w:rFonts w:hint="eastAsia" w:asciiTheme="minorEastAsia" w:hAnsiTheme="minorEastAsia" w:eastAsiaTheme="minorEastAsia" w:cstheme="minorEastAsia"/>
          <w:color w:val="000000"/>
          <w:sz w:val="24"/>
          <w:lang w:bidi="ar"/>
        </w:rPr>
      </w:pPr>
      <w:r>
        <w:rPr>
          <w:rFonts w:hint="eastAsia" w:asciiTheme="minorEastAsia" w:hAnsiTheme="minorEastAsia" w:eastAsiaTheme="minorEastAsia" w:cstheme="minorEastAsia"/>
          <w:color w:val="000000"/>
          <w:lang w:bidi="ar"/>
        </w:rPr>
        <w:t>25.2 本合同末尽事宜，各方另行协商，作为本合同的补充附件，与本合同具有同等法律效力。</w:t>
      </w:r>
    </w:p>
    <w:p w14:paraId="53242E2A">
      <w:pPr>
        <w:spacing w:line="360" w:lineRule="auto"/>
        <w:ind w:firstLine="562" w:firstLineChars="200"/>
        <w:rPr>
          <w:rFonts w:hint="eastAsia" w:asciiTheme="minorEastAsia" w:hAnsiTheme="minorEastAsia" w:eastAsiaTheme="minorEastAsia" w:cstheme="minorEastAsia"/>
          <w:b/>
          <w:sz w:val="28"/>
          <w:szCs w:val="28"/>
          <w:lang w:eastAsia="zh"/>
        </w:rPr>
      </w:pPr>
      <w:r>
        <w:rPr>
          <w:rFonts w:hint="eastAsia" w:asciiTheme="minorEastAsia" w:hAnsiTheme="minorEastAsia" w:eastAsiaTheme="minorEastAsia" w:cstheme="minorEastAsia"/>
          <w:b/>
          <w:sz w:val="28"/>
          <w:szCs w:val="28"/>
          <w:lang w:eastAsia="zh"/>
        </w:rPr>
        <w:t>如专用条款和通用条款有不一致，按专用条款为准。如专用条款没有的条款，则通用条款补上</w:t>
      </w:r>
    </w:p>
    <w:p w14:paraId="78D682B7">
      <w:pPr>
        <w:pStyle w:val="8"/>
        <w:widowControl/>
        <w:jc w:val="left"/>
        <w:rPr>
          <w:lang w:eastAsia="zh"/>
        </w:rPr>
      </w:pPr>
      <w:r>
        <w:rPr>
          <w:rFonts w:hint="eastAsia"/>
          <w:lang w:eastAsia="zh"/>
        </w:rPr>
        <w:br w:type="page"/>
      </w:r>
    </w:p>
    <w:p w14:paraId="1BD4F23C">
      <w:pPr>
        <w:pStyle w:val="82"/>
        <w:spacing w:line="360" w:lineRule="auto"/>
        <w:rPr>
          <w:rFonts w:hint="eastAsia" w:ascii="黑体" w:hAnsi="黑体" w:cs="黑体"/>
          <w:b/>
          <w:szCs w:val="32"/>
        </w:rPr>
      </w:pPr>
      <w:bookmarkStart w:id="497" w:name="_Toc18899"/>
      <w:bookmarkStart w:id="498" w:name="_Toc10800"/>
      <w:bookmarkStart w:id="499" w:name="_Toc557"/>
      <w:bookmarkStart w:id="500" w:name="_Toc200394229"/>
      <w:bookmarkStart w:id="501" w:name="_Toc2055"/>
      <w:bookmarkStart w:id="502" w:name="_Toc11392"/>
      <w:bookmarkStart w:id="503" w:name="_Toc27126"/>
      <w:bookmarkStart w:id="504" w:name="_Toc26307"/>
      <w:bookmarkStart w:id="505" w:name="_Toc22695"/>
      <w:bookmarkStart w:id="506" w:name="_Toc1795"/>
      <w:bookmarkStart w:id="507" w:name="_Toc4809"/>
      <w:bookmarkStart w:id="508" w:name="_Toc722"/>
      <w:bookmarkStart w:id="509" w:name="_Toc29827"/>
      <w:bookmarkStart w:id="510" w:name="_Toc27832"/>
      <w:bookmarkStart w:id="511" w:name="_Toc517273239"/>
      <w:bookmarkStart w:id="512" w:name="_Toc13844"/>
      <w:bookmarkStart w:id="513" w:name="_Toc1213"/>
      <w:r>
        <w:rPr>
          <w:rFonts w:hint="eastAsia" w:ascii="黑体" w:hAnsi="黑体" w:cs="黑体"/>
          <w:b/>
          <w:szCs w:val="32"/>
        </w:rPr>
        <w:t>第三部分  通用条款</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535DA204">
      <w:pPr>
        <w:pStyle w:val="75"/>
        <w:spacing w:before="120" w:beforeLines="50" w:line="360" w:lineRule="auto"/>
        <w:rPr>
          <w:rFonts w:hint="eastAsia" w:asciiTheme="minorEastAsia" w:hAnsiTheme="minorEastAsia" w:eastAsiaTheme="minorEastAsia" w:cstheme="minorEastAsia"/>
          <w:sz w:val="24"/>
          <w:szCs w:val="24"/>
        </w:rPr>
      </w:pPr>
      <w:bookmarkStart w:id="514" w:name="_Toc21912"/>
      <w:bookmarkStart w:id="515" w:name="_Toc27078"/>
      <w:bookmarkStart w:id="516" w:name="_Toc19953"/>
      <w:bookmarkStart w:id="517" w:name="_Toc27536"/>
      <w:bookmarkStart w:id="518" w:name="_Toc28380"/>
      <w:bookmarkStart w:id="519" w:name="_Toc6749"/>
      <w:bookmarkStart w:id="520" w:name="_Toc2154"/>
      <w:bookmarkStart w:id="521" w:name="_Toc16417"/>
      <w:bookmarkStart w:id="522" w:name="_Toc16665"/>
      <w:bookmarkStart w:id="523" w:name="_Toc2028"/>
      <w:bookmarkStart w:id="524" w:name="_Toc2494"/>
      <w:bookmarkStart w:id="525" w:name="_Toc31387"/>
      <w:bookmarkStart w:id="526" w:name="_Toc25257"/>
      <w:bookmarkStart w:id="527" w:name="_Toc839"/>
      <w:bookmarkStart w:id="528" w:name="_Toc200394230"/>
      <w:bookmarkStart w:id="529" w:name="_Toc517273240"/>
      <w:bookmarkStart w:id="530" w:name="_Toc3032"/>
      <w:r>
        <w:rPr>
          <w:rFonts w:hint="eastAsia" w:asciiTheme="minorEastAsia" w:hAnsiTheme="minorEastAsia" w:eastAsiaTheme="minorEastAsia" w:cstheme="minorEastAsia"/>
          <w:sz w:val="24"/>
          <w:szCs w:val="24"/>
        </w:rPr>
        <w:t>一、词语定义及合同文件：</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4A1D5276">
      <w:pPr>
        <w:pStyle w:val="4"/>
        <w:spacing w:before="0" w:after="0" w:line="360" w:lineRule="auto"/>
        <w:ind w:firstLine="482" w:firstLineChars="200"/>
        <w:rPr>
          <w:rFonts w:hint="eastAsia" w:asciiTheme="minorEastAsia" w:hAnsiTheme="minorEastAsia" w:eastAsiaTheme="minorEastAsia" w:cstheme="minorEastAsia"/>
          <w:sz w:val="24"/>
          <w:szCs w:val="24"/>
        </w:rPr>
      </w:pPr>
      <w:bookmarkStart w:id="531" w:name="_Toc183424138"/>
      <w:bookmarkStart w:id="532" w:name="_Toc26206"/>
      <w:bookmarkStart w:id="533" w:name="_Toc11348"/>
      <w:bookmarkStart w:id="534" w:name="_Toc16086"/>
      <w:bookmarkStart w:id="535" w:name="_Toc517273241"/>
      <w:bookmarkStart w:id="536" w:name="_Toc13810"/>
      <w:r>
        <w:rPr>
          <w:rFonts w:hint="eastAsia" w:asciiTheme="minorEastAsia" w:hAnsiTheme="minorEastAsia" w:eastAsiaTheme="minorEastAsia" w:cstheme="minorEastAsia"/>
          <w:sz w:val="24"/>
          <w:szCs w:val="24"/>
        </w:rPr>
        <w:t>1  词语定义</w:t>
      </w:r>
      <w:bookmarkEnd w:id="531"/>
      <w:r>
        <w:rPr>
          <w:rFonts w:hint="eastAsia" w:asciiTheme="minorEastAsia" w:hAnsiTheme="minorEastAsia" w:eastAsiaTheme="minorEastAsia" w:cstheme="minorEastAsia"/>
          <w:sz w:val="24"/>
          <w:szCs w:val="24"/>
        </w:rPr>
        <w:t>：</w:t>
      </w:r>
      <w:bookmarkEnd w:id="532"/>
      <w:bookmarkEnd w:id="533"/>
      <w:bookmarkEnd w:id="534"/>
      <w:bookmarkEnd w:id="535"/>
      <w:bookmarkEnd w:id="536"/>
    </w:p>
    <w:p w14:paraId="61F15EFE">
      <w:pPr>
        <w:autoSpaceDE w:val="0"/>
        <w:autoSpaceDN w:val="0"/>
        <w:adjustRightInd w:val="0"/>
        <w:spacing w:before="0" w:beforeLines="-2147483648" w:line="360" w:lineRule="auto"/>
        <w:ind w:firstLine="480" w:firstLineChars="200"/>
        <w:jc w:val="both"/>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下列词语除专用条款另有约定外，应具有本条所赋予的定义。</w:t>
      </w:r>
    </w:p>
    <w:p w14:paraId="03D62638">
      <w:pPr>
        <w:numPr>
          <w:ilvl w:val="0"/>
          <w:numId w:val="2"/>
        </w:numPr>
        <w:tabs>
          <w:tab w:val="left" w:pos="1134"/>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通用条款：是根据法律、行政法规规定及发包人房地产开发项目施工的需要订立，通用于发包人房地产开发项目施工的条款。</w:t>
      </w:r>
    </w:p>
    <w:p w14:paraId="4984F40E">
      <w:pPr>
        <w:numPr>
          <w:ilvl w:val="0"/>
          <w:numId w:val="2"/>
        </w:numPr>
        <w:tabs>
          <w:tab w:val="left" w:pos="720"/>
          <w:tab w:val="left" w:pos="1134"/>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专用条款：是发包人、承包人与分包人根据法律、行政法规规定，结合具体工程实际，经协商达成一致意见的条款，是对通用条款的具体化、补充或修改。</w:t>
      </w:r>
    </w:p>
    <w:p w14:paraId="0C93A264">
      <w:pPr>
        <w:numPr>
          <w:ilvl w:val="0"/>
          <w:numId w:val="2"/>
        </w:numPr>
        <w:tabs>
          <w:tab w:val="left" w:pos="720"/>
          <w:tab w:val="left" w:pos="1134"/>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发包人：指与承包人签订总承包合同的当事人。</w:t>
      </w:r>
    </w:p>
    <w:p w14:paraId="16C99FFC">
      <w:pPr>
        <w:numPr>
          <w:ilvl w:val="0"/>
          <w:numId w:val="2"/>
        </w:numPr>
        <w:tabs>
          <w:tab w:val="left" w:pos="720"/>
          <w:tab w:val="left" w:pos="1134"/>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发包人项目负责人：指发包人在专用条款中指定的履行本合同的发包人代表。</w:t>
      </w:r>
    </w:p>
    <w:p w14:paraId="5CCC04F9">
      <w:pPr>
        <w:numPr>
          <w:ilvl w:val="0"/>
          <w:numId w:val="2"/>
        </w:numPr>
        <w:tabs>
          <w:tab w:val="left" w:pos="720"/>
          <w:tab w:val="left" w:pos="1134"/>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承包人：指与发包人签订总承包合同的当事人。</w:t>
      </w:r>
    </w:p>
    <w:p w14:paraId="76C9BF40">
      <w:pPr>
        <w:numPr>
          <w:ilvl w:val="0"/>
          <w:numId w:val="2"/>
        </w:numPr>
        <w:tabs>
          <w:tab w:val="left" w:pos="720"/>
          <w:tab w:val="left" w:pos="1134"/>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承包人项目负责人：指承包人在总包合同专用条款中指定的负责施工管理和履行合同的代表。</w:t>
      </w:r>
    </w:p>
    <w:p w14:paraId="500B4F3A">
      <w:pPr>
        <w:numPr>
          <w:ilvl w:val="0"/>
          <w:numId w:val="2"/>
        </w:numPr>
        <w:tabs>
          <w:tab w:val="left" w:pos="720"/>
          <w:tab w:val="left" w:pos="1134"/>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分包人：指与承包人签订协议书的当事人</w:t>
      </w:r>
    </w:p>
    <w:p w14:paraId="5CEB4540">
      <w:pPr>
        <w:numPr>
          <w:ilvl w:val="0"/>
          <w:numId w:val="2"/>
        </w:numPr>
        <w:tabs>
          <w:tab w:val="left" w:pos="720"/>
          <w:tab w:val="left" w:pos="1134"/>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分包人项目负责人：指分包人在专用条款中指定的负责施工管理和合同履行的分包人代表。</w:t>
      </w:r>
    </w:p>
    <w:p w14:paraId="48CC98A4">
      <w:pPr>
        <w:numPr>
          <w:ilvl w:val="0"/>
          <w:numId w:val="2"/>
        </w:numPr>
        <w:tabs>
          <w:tab w:val="left" w:pos="720"/>
          <w:tab w:val="left" w:pos="1134"/>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监理人：指发包人委托的具有相应工程监理资质等级，负责本工程监理的单位。</w:t>
      </w:r>
    </w:p>
    <w:p w14:paraId="357D0B3C">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分包人分包商：指分包人分包的且隶属本工程范围内的工程的承包商。</w:t>
      </w:r>
    </w:p>
    <w:p w14:paraId="1924BE49">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项目：指发包人开发的含本工程在内的所有工程的总称。</w:t>
      </w:r>
    </w:p>
    <w:p w14:paraId="31A4C6EB">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工程：指各方在协议书中约定的承包范围内的工程。</w:t>
      </w:r>
    </w:p>
    <w:p w14:paraId="196FFB64">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合同价款：指各方在协议书中约定，发包人用以支付分包人按照合同约定完成承包范围内全部工程、并承担质量保修责任的款项。</w:t>
      </w:r>
    </w:p>
    <w:p w14:paraId="780BF2E2">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费用：指不包含在合同价款之内的应当由发包人或分包人承担的经济支出。</w:t>
      </w:r>
    </w:p>
    <w:p w14:paraId="7D71B3D8">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质保金：指合同各方约定按一定比例在工程价款中提留的，用于工程质量保修的款项。</w:t>
      </w:r>
    </w:p>
    <w:p w14:paraId="0E0D6D78">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保修期：指分包人在工程竣工后，对所建工程出现的质量问题负有保修责任的期限。其期限自验收合格且移交发包人及发包人物业公司之日起开始计算。</w:t>
      </w:r>
    </w:p>
    <w:p w14:paraId="342D3BC8">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工期：指各方在协议书中约定，按总日历天数（包括法定节假日）计算的工程承包天数。</w:t>
      </w:r>
    </w:p>
    <w:p w14:paraId="465B416C">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开工日期：指各方在协议书中约定，分包人开始施工的日期。</w:t>
      </w:r>
    </w:p>
    <w:p w14:paraId="35E996F0">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竣工日期：指各方在协议书中约定，分包人完成承包范围内工程并取得工程相应验收合格证的日期。</w:t>
      </w:r>
    </w:p>
    <w:p w14:paraId="5D5052B2">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节点工期：指各方约定的，分包人完成工程节点施工的天数或确定的日期。</w:t>
      </w:r>
    </w:p>
    <w:p w14:paraId="6D816AE0">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图纸：指由发包人提供或由分包人提供并经发包人批准，满足分包人施工需要的所有图纸（包括配套说明、设计变更和有关资料）。</w:t>
      </w:r>
    </w:p>
    <w:p w14:paraId="18EE0904">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施工场地：指由发包人提供的用于工程施工的场所以及发包人指定的供施工使用的任何其他场所。</w:t>
      </w:r>
    </w:p>
    <w:p w14:paraId="7EDC98D2">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工程范围变更：指发包人对本合同约定工程范围的调整，包括：对合同约定工程范围的增加或减少；增加本合同约定工程范围以外的工程。</w:t>
      </w:r>
    </w:p>
    <w:p w14:paraId="6FDF9D3B">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书面形式：指合同书、纸质信件、数据电文（包括传真/ Email）等可以有形地表现所载内容的形式。</w:t>
      </w:r>
    </w:p>
    <w:p w14:paraId="709FE4D4">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违约责任：指合同一方不履行合同义务或履行合同义务不符合约定所应承担的责任。</w:t>
      </w:r>
    </w:p>
    <w:p w14:paraId="411A97B8">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索赔：指合同履行过程中，对于非己方过失，而是因对方原因造成实际损失，向对方提出经济补偿和（或）工期顺延的要求。</w:t>
      </w:r>
    </w:p>
    <w:p w14:paraId="343B4DAE">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不可抗力：指合同履行中发生的不能预见、不能避免且不能克服的客观情况。</w:t>
      </w:r>
    </w:p>
    <w:p w14:paraId="621FCBE6">
      <w:pPr>
        <w:numPr>
          <w:ilvl w:val="0"/>
          <w:numId w:val="2"/>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小时或天：本合同中规定按小时计算时间的，从事件有效开始时计算（不扣除休息时间）；规定按天计算时间的，开始当天不计入，从次日开始计算。时限的最后一天是休息日或者其他法定节假日的，以节假日的次日为时限的最后一天，但竣工日期除外。时限的最后一天的截止时间为当日24 时。</w:t>
      </w:r>
    </w:p>
    <w:p w14:paraId="78DE1F87">
      <w:pPr>
        <w:pStyle w:val="4"/>
        <w:spacing w:before="0" w:beforeLines="50" w:after="0" w:line="360" w:lineRule="auto"/>
        <w:ind w:firstLine="482" w:firstLineChars="200"/>
        <w:rPr>
          <w:rFonts w:hint="eastAsia" w:asciiTheme="minorEastAsia" w:hAnsiTheme="minorEastAsia" w:eastAsiaTheme="minorEastAsia" w:cstheme="minorEastAsia"/>
          <w:sz w:val="24"/>
          <w:szCs w:val="24"/>
        </w:rPr>
      </w:pPr>
      <w:bookmarkStart w:id="537" w:name="_Toc183424139"/>
      <w:bookmarkStart w:id="538" w:name="_Toc20920"/>
      <w:bookmarkStart w:id="539" w:name="_Toc15374"/>
      <w:bookmarkStart w:id="540" w:name="_Toc517273242"/>
      <w:bookmarkStart w:id="541" w:name="_Toc7890"/>
      <w:bookmarkStart w:id="542" w:name="_Toc4537"/>
      <w:r>
        <w:rPr>
          <w:rFonts w:hint="eastAsia" w:asciiTheme="minorEastAsia" w:hAnsiTheme="minorEastAsia" w:eastAsiaTheme="minorEastAsia" w:cstheme="minorEastAsia"/>
          <w:sz w:val="24"/>
          <w:szCs w:val="24"/>
        </w:rPr>
        <w:t>2  合同文件及解释顺序</w:t>
      </w:r>
      <w:bookmarkEnd w:id="537"/>
      <w:r>
        <w:rPr>
          <w:rFonts w:hint="eastAsia" w:asciiTheme="minorEastAsia" w:hAnsiTheme="minorEastAsia" w:eastAsiaTheme="minorEastAsia" w:cstheme="minorEastAsia"/>
          <w:sz w:val="24"/>
          <w:szCs w:val="24"/>
        </w:rPr>
        <w:t>：</w:t>
      </w:r>
      <w:bookmarkEnd w:id="538"/>
      <w:bookmarkEnd w:id="539"/>
      <w:bookmarkEnd w:id="540"/>
      <w:bookmarkEnd w:id="541"/>
      <w:bookmarkEnd w:id="542"/>
    </w:p>
    <w:p w14:paraId="7C6C6A3C">
      <w:pPr>
        <w:autoSpaceDE w:val="0"/>
        <w:autoSpaceDN w:val="0"/>
        <w:adjustRightInd w:val="0"/>
        <w:spacing w:before="0" w:beforeLines="-2147483648" w:line="360" w:lineRule="auto"/>
        <w:ind w:firstLine="480" w:firstLineChars="200"/>
        <w:jc w:val="both"/>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合同包含的文件包括但不仅限于以下内容，并且其优先解释顺序如下：</w:t>
      </w:r>
    </w:p>
    <w:p w14:paraId="66348B16">
      <w:pPr>
        <w:autoSpaceDE w:val="0"/>
        <w:autoSpaceDN w:val="0"/>
        <w:adjustRightInd w:val="0"/>
        <w:spacing w:before="0" w:beforeLines="-2147483648" w:line="360" w:lineRule="auto"/>
        <w:ind w:firstLine="480" w:firstLineChars="200"/>
        <w:jc w:val="both"/>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合同文件及解释顺序按协议书第</w:t>
      </w:r>
      <w:r>
        <w:rPr>
          <w:rFonts w:hint="eastAsia" w:asciiTheme="minorEastAsia" w:hAnsiTheme="minorEastAsia" w:eastAsiaTheme="minorEastAsia" w:cstheme="minorEastAsia"/>
          <w:sz w:val="24"/>
          <w:lang w:val="en-US" w:eastAsia="zh-CN"/>
        </w:rPr>
        <w:t>七</w:t>
      </w:r>
      <w:r>
        <w:rPr>
          <w:rFonts w:hint="eastAsia" w:asciiTheme="minorEastAsia" w:hAnsiTheme="minorEastAsia" w:eastAsiaTheme="minorEastAsia" w:cstheme="minorEastAsia"/>
          <w:sz w:val="24"/>
        </w:rPr>
        <w:t>条执行。</w:t>
      </w:r>
    </w:p>
    <w:p w14:paraId="08C8BE9C">
      <w:pPr>
        <w:pStyle w:val="4"/>
        <w:spacing w:before="0" w:beforeLines="50" w:after="0" w:line="360" w:lineRule="auto"/>
        <w:ind w:firstLine="482" w:firstLineChars="200"/>
        <w:rPr>
          <w:rFonts w:hint="eastAsia" w:asciiTheme="minorEastAsia" w:hAnsiTheme="minorEastAsia" w:eastAsiaTheme="minorEastAsia" w:cstheme="minorEastAsia"/>
          <w:sz w:val="24"/>
          <w:szCs w:val="24"/>
        </w:rPr>
      </w:pPr>
      <w:bookmarkStart w:id="543" w:name="_Toc183424140"/>
      <w:bookmarkStart w:id="544" w:name="_Toc8559"/>
      <w:bookmarkStart w:id="545" w:name="_Toc15807"/>
      <w:bookmarkStart w:id="546" w:name="_Toc27453"/>
      <w:bookmarkStart w:id="547" w:name="_Toc23820"/>
      <w:bookmarkStart w:id="548" w:name="_Toc517273243"/>
      <w:r>
        <w:rPr>
          <w:rFonts w:hint="eastAsia" w:asciiTheme="minorEastAsia" w:hAnsiTheme="minorEastAsia" w:eastAsiaTheme="minorEastAsia" w:cstheme="minorEastAsia"/>
          <w:sz w:val="24"/>
          <w:szCs w:val="24"/>
        </w:rPr>
        <w:t>3  语言文字和适用法律法规、标准、规范及管理规定</w:t>
      </w:r>
      <w:bookmarkEnd w:id="543"/>
      <w:r>
        <w:rPr>
          <w:rFonts w:hint="eastAsia" w:asciiTheme="minorEastAsia" w:hAnsiTheme="minorEastAsia" w:eastAsiaTheme="minorEastAsia" w:cstheme="minorEastAsia"/>
          <w:sz w:val="24"/>
          <w:szCs w:val="24"/>
        </w:rPr>
        <w:t>：</w:t>
      </w:r>
      <w:bookmarkEnd w:id="544"/>
      <w:bookmarkEnd w:id="545"/>
      <w:bookmarkEnd w:id="546"/>
      <w:bookmarkEnd w:id="547"/>
      <w:bookmarkEnd w:id="548"/>
    </w:p>
    <w:p w14:paraId="18452491">
      <w:pPr>
        <w:numPr>
          <w:ilvl w:val="0"/>
          <w:numId w:val="3"/>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本合同使用汉语。</w:t>
      </w:r>
    </w:p>
    <w:p w14:paraId="2F988380">
      <w:pPr>
        <w:numPr>
          <w:ilvl w:val="0"/>
          <w:numId w:val="3"/>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本合同适用的法律、标准和规范：国家和本地区规定的建设工程相关法律法规，及相应的标准、规范，均适用于本工程，对本工程具有约束力。</w:t>
      </w:r>
    </w:p>
    <w:p w14:paraId="08F9A184">
      <w:pPr>
        <w:numPr>
          <w:ilvl w:val="0"/>
          <w:numId w:val="3"/>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本合同中的日、天均指日历天。例：3日内完成，是指在3个日历天内完成。</w:t>
      </w:r>
    </w:p>
    <w:p w14:paraId="6BB5FA86">
      <w:pPr>
        <w:pStyle w:val="4"/>
        <w:spacing w:before="0" w:beforeLines="50" w:after="0" w:line="360" w:lineRule="auto"/>
        <w:ind w:firstLine="482" w:firstLineChars="200"/>
        <w:rPr>
          <w:rFonts w:hint="eastAsia" w:asciiTheme="minorEastAsia" w:hAnsiTheme="minorEastAsia" w:eastAsiaTheme="minorEastAsia" w:cstheme="minorEastAsia"/>
          <w:sz w:val="24"/>
          <w:szCs w:val="24"/>
        </w:rPr>
      </w:pPr>
      <w:bookmarkStart w:id="549" w:name="_Toc183424141"/>
      <w:bookmarkStart w:id="550" w:name="_Toc517273244"/>
      <w:bookmarkStart w:id="551" w:name="_Toc17249"/>
      <w:bookmarkStart w:id="552" w:name="_Toc29456"/>
      <w:bookmarkStart w:id="553" w:name="_Toc27533"/>
      <w:bookmarkStart w:id="554" w:name="_Toc13294"/>
      <w:r>
        <w:rPr>
          <w:rFonts w:hint="eastAsia" w:asciiTheme="minorEastAsia" w:hAnsiTheme="minorEastAsia" w:eastAsiaTheme="minorEastAsia" w:cstheme="minorEastAsia"/>
          <w:sz w:val="24"/>
          <w:szCs w:val="24"/>
        </w:rPr>
        <w:t>4  图纸</w:t>
      </w:r>
      <w:bookmarkEnd w:id="549"/>
      <w:r>
        <w:rPr>
          <w:rFonts w:hint="eastAsia" w:asciiTheme="minorEastAsia" w:hAnsiTheme="minorEastAsia" w:eastAsiaTheme="minorEastAsia" w:cstheme="minorEastAsia"/>
          <w:sz w:val="24"/>
          <w:szCs w:val="24"/>
        </w:rPr>
        <w:t>：</w:t>
      </w:r>
      <w:bookmarkEnd w:id="550"/>
      <w:bookmarkEnd w:id="551"/>
      <w:bookmarkEnd w:id="552"/>
      <w:bookmarkEnd w:id="553"/>
      <w:bookmarkEnd w:id="554"/>
    </w:p>
    <w:p w14:paraId="3F58E203">
      <w:pPr>
        <w:numPr>
          <w:ilvl w:val="0"/>
          <w:numId w:val="4"/>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发包人通过承包人按专用条款约定的日期和套数，向分包人提供用于本工程设计的图纸；并按各方商定的时间，在不影响工程进度的情况下，及时向分包人提供施工所需的补充图纸与资料。</w:t>
      </w:r>
    </w:p>
    <w:p w14:paraId="4FE36654">
      <w:pPr>
        <w:numPr>
          <w:ilvl w:val="0"/>
          <w:numId w:val="4"/>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发包人对本工程有保密要求，分包人必须履行图纸保密义务，分包人未经发包人、承包人同意，不得将本工程图纸及发包人提供的图纸转给第三人。</w:t>
      </w:r>
    </w:p>
    <w:p w14:paraId="61D98B2A">
      <w:pPr>
        <w:numPr>
          <w:ilvl w:val="0"/>
          <w:numId w:val="4"/>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分包人应在施工现场保留一套完整图纸，供有关人员进行工程检查时使用。</w:t>
      </w:r>
    </w:p>
    <w:p w14:paraId="71BCC49D">
      <w:pPr>
        <w:numPr>
          <w:ilvl w:val="0"/>
          <w:numId w:val="4"/>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根据合同约定，分包人应出具的设计图纸及资料，通过承包人提供给发包人。</w:t>
      </w:r>
    </w:p>
    <w:p w14:paraId="71CFACA0">
      <w:pPr>
        <w:pStyle w:val="75"/>
        <w:spacing w:before="120" w:beforeLines="50" w:line="360" w:lineRule="auto"/>
        <w:rPr>
          <w:rFonts w:hint="eastAsia" w:asciiTheme="minorEastAsia" w:hAnsiTheme="minorEastAsia" w:eastAsiaTheme="minorEastAsia" w:cstheme="minorEastAsia"/>
          <w:sz w:val="24"/>
          <w:szCs w:val="24"/>
        </w:rPr>
      </w:pPr>
      <w:bookmarkStart w:id="555" w:name="_Toc183424142"/>
      <w:bookmarkStart w:id="556" w:name="_Toc11492"/>
      <w:bookmarkStart w:id="557" w:name="_Toc27516"/>
      <w:bookmarkStart w:id="558" w:name="_Toc517273245"/>
      <w:bookmarkStart w:id="559" w:name="_Toc200394231"/>
      <w:bookmarkStart w:id="560" w:name="_Toc15544"/>
      <w:bookmarkStart w:id="561" w:name="_Toc9263"/>
      <w:bookmarkStart w:id="562" w:name="_Toc16432"/>
      <w:bookmarkStart w:id="563" w:name="_Toc10171"/>
      <w:bookmarkStart w:id="564" w:name="_Toc30575"/>
      <w:bookmarkStart w:id="565" w:name="_Toc6821"/>
      <w:bookmarkStart w:id="566" w:name="_Toc12939"/>
      <w:bookmarkStart w:id="567" w:name="_Toc17028"/>
      <w:bookmarkStart w:id="568" w:name="_Toc11264"/>
      <w:bookmarkStart w:id="569" w:name="_Toc27576"/>
      <w:bookmarkStart w:id="570" w:name="_Toc18238"/>
      <w:bookmarkStart w:id="571" w:name="_Toc27666"/>
      <w:bookmarkStart w:id="572" w:name="_Toc10358"/>
      <w:r>
        <w:rPr>
          <w:rFonts w:hint="eastAsia" w:asciiTheme="minorEastAsia" w:hAnsiTheme="minorEastAsia" w:eastAsiaTheme="minorEastAsia" w:cstheme="minorEastAsia"/>
          <w:sz w:val="24"/>
          <w:szCs w:val="24"/>
        </w:rPr>
        <w:t>二、各方一般权利和义务</w:t>
      </w:r>
      <w:bookmarkEnd w:id="555"/>
      <w:r>
        <w:rPr>
          <w:rFonts w:hint="eastAsia" w:asciiTheme="minorEastAsia" w:hAnsiTheme="minorEastAsia" w:eastAsiaTheme="minorEastAsia" w:cstheme="minorEastAsia"/>
          <w:sz w:val="24"/>
          <w:szCs w:val="24"/>
        </w:rPr>
        <w:t>：</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471E5E0D">
      <w:pPr>
        <w:pStyle w:val="4"/>
        <w:spacing w:before="0" w:beforeLines="50" w:after="0" w:line="360" w:lineRule="auto"/>
        <w:ind w:firstLine="482" w:firstLineChars="200"/>
        <w:rPr>
          <w:rFonts w:hint="eastAsia" w:asciiTheme="minorEastAsia" w:hAnsiTheme="minorEastAsia" w:eastAsiaTheme="minorEastAsia" w:cstheme="minorEastAsia"/>
          <w:sz w:val="24"/>
          <w:szCs w:val="24"/>
        </w:rPr>
      </w:pPr>
      <w:bookmarkStart w:id="573" w:name="_Toc183424143"/>
      <w:bookmarkStart w:id="574" w:name="_Toc31452"/>
      <w:bookmarkStart w:id="575" w:name="_Toc17726"/>
      <w:bookmarkStart w:id="576" w:name="_Toc24624"/>
      <w:bookmarkStart w:id="577" w:name="_Toc10471"/>
      <w:bookmarkStart w:id="578" w:name="_Toc517273246"/>
      <w:r>
        <w:rPr>
          <w:rFonts w:hint="eastAsia" w:asciiTheme="minorEastAsia" w:hAnsiTheme="minorEastAsia" w:eastAsiaTheme="minorEastAsia" w:cstheme="minorEastAsia"/>
          <w:sz w:val="24"/>
          <w:szCs w:val="24"/>
        </w:rPr>
        <w:t>5  发包人项目负责人、管理人员</w:t>
      </w:r>
      <w:bookmarkEnd w:id="573"/>
      <w:r>
        <w:rPr>
          <w:rFonts w:hint="eastAsia" w:asciiTheme="minorEastAsia" w:hAnsiTheme="minorEastAsia" w:eastAsiaTheme="minorEastAsia" w:cstheme="minorEastAsia"/>
          <w:sz w:val="24"/>
          <w:szCs w:val="24"/>
        </w:rPr>
        <w:t>及权利：</w:t>
      </w:r>
      <w:bookmarkEnd w:id="574"/>
      <w:bookmarkEnd w:id="575"/>
      <w:bookmarkEnd w:id="576"/>
      <w:bookmarkEnd w:id="577"/>
      <w:bookmarkEnd w:id="578"/>
    </w:p>
    <w:p w14:paraId="730AF029">
      <w:pPr>
        <w:numPr>
          <w:ilvl w:val="0"/>
          <w:numId w:val="5"/>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向工地现场派驻项目负责人，该负责人是发包人在施工现场履行合同的代表。不涉及造价变更或确认的发包人的工作指令，经由项目负责人签署后生效，并以书面形式传递给监理单位，承包人，再由承包人传递给分包人项目负责人。工程变更审批、工期延长、费用增加、工程进度款支付审批、工程结算款的确认及免除分包人任何合同约定责任的事项，需经承包人提报发包人项目负责人签字并加盖发包人公章后生效。</w:t>
      </w:r>
    </w:p>
    <w:p w14:paraId="05AC5420">
      <w:pPr>
        <w:numPr>
          <w:ilvl w:val="0"/>
          <w:numId w:val="5"/>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如确有必要，发包人项目负责人通过承包人可发出口头指令，并在48小时内予以书面确认。分包人对发包人项目负责人、承包人的口头指令应予执行。发包人项目负责人、承包人不能及时给予书面确认的，分包人应于发包人项目负责人通过承包人发出口头指令后2 天内提出书面确认要求。发包人在签收分包人书面确认要求后48小时内仍不予答复的，视为该口头指令已被确认。</w:t>
      </w:r>
    </w:p>
    <w:p w14:paraId="3F241396">
      <w:pPr>
        <w:numPr>
          <w:ilvl w:val="0"/>
          <w:numId w:val="5"/>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应按合同约定，通过承包人及时向分包人提供所需的指令、通知。发包人的指令，无论是口头指令或书面指令，如果指令错误的，发包人应及时纠正。分包人有责任核实发包人指令是否正确，如果发现发包人指令有误，应及时告知发包人，否则因此造成的损失及工期延误由分包人承担，但经分包人告知后发包人仍坚持指令的，所造成的损失由发包人承担，工期相应顺延。</w:t>
      </w:r>
    </w:p>
    <w:p w14:paraId="661031AA">
      <w:pPr>
        <w:numPr>
          <w:ilvl w:val="0"/>
          <w:numId w:val="5"/>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发包人项目负责人可委派有关具体管理人员，承担自己部分权力和职责，并可在任何时候撤回这种委派。委派和撤回均应提前3天书面通知分包人。</w:t>
      </w:r>
    </w:p>
    <w:p w14:paraId="164E2E3D">
      <w:pPr>
        <w:numPr>
          <w:ilvl w:val="0"/>
          <w:numId w:val="5"/>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发包人如需更换项目负责人的，应提前3天以发包人公司签章的书面形式通知分包人，后任继续行使合同文件约定的前任职责，履行前任的义务。</w:t>
      </w:r>
    </w:p>
    <w:p w14:paraId="505087B7">
      <w:pPr>
        <w:numPr>
          <w:ilvl w:val="0"/>
          <w:numId w:val="5"/>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分包人未按时缴清应支付给发包人的违约金的，发包人有权在发包人支付给分包人的当月工程进度款中扣留相同金额的款项用于支付违约金。</w:t>
      </w:r>
    </w:p>
    <w:p w14:paraId="3C73621B">
      <w:pPr>
        <w:pStyle w:val="74"/>
        <w:spacing w:before="0" w:beforeLines="-2147483648" w:line="360" w:lineRule="auto"/>
        <w:ind w:firstLine="482" w:firstLineChars="200"/>
        <w:rPr>
          <w:rFonts w:hint="eastAsia" w:asciiTheme="minorEastAsia" w:hAnsiTheme="minorEastAsia" w:eastAsiaTheme="minorEastAsia" w:cstheme="minorEastAsia"/>
          <w:sz w:val="24"/>
          <w:szCs w:val="24"/>
        </w:rPr>
      </w:pPr>
      <w:bookmarkStart w:id="579" w:name="_Toc183424144"/>
      <w:bookmarkStart w:id="580" w:name="_Toc23781"/>
      <w:bookmarkStart w:id="581" w:name="_Toc26083"/>
      <w:bookmarkStart w:id="582" w:name="_Toc14070"/>
      <w:bookmarkStart w:id="583" w:name="_Toc517273247"/>
      <w:bookmarkStart w:id="584" w:name="_Toc14607"/>
      <w:r>
        <w:rPr>
          <w:rFonts w:hint="eastAsia" w:asciiTheme="minorEastAsia" w:hAnsiTheme="minorEastAsia" w:eastAsiaTheme="minorEastAsia" w:cstheme="minorEastAsia"/>
          <w:sz w:val="24"/>
          <w:szCs w:val="24"/>
        </w:rPr>
        <w:t>6  工程监理</w:t>
      </w:r>
      <w:bookmarkEnd w:id="579"/>
      <w:r>
        <w:rPr>
          <w:rFonts w:hint="eastAsia" w:asciiTheme="minorEastAsia" w:hAnsiTheme="minorEastAsia" w:eastAsiaTheme="minorEastAsia" w:cstheme="minorEastAsia"/>
          <w:sz w:val="24"/>
          <w:szCs w:val="24"/>
        </w:rPr>
        <w:t>：</w:t>
      </w:r>
      <w:bookmarkEnd w:id="580"/>
      <w:bookmarkEnd w:id="581"/>
      <w:bookmarkEnd w:id="582"/>
      <w:bookmarkEnd w:id="583"/>
      <w:bookmarkEnd w:id="584"/>
    </w:p>
    <w:p w14:paraId="31876B7E">
      <w:pPr>
        <w:numPr>
          <w:ilvl w:val="0"/>
          <w:numId w:val="6"/>
        </w:numPr>
        <w:tabs>
          <w:tab w:val="left" w:pos="720"/>
          <w:tab w:val="clear" w:pos="42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发包人委托监理单位负责项目工程质量、进度、投资及安全文明施工的监督管理工作。监理单位的名称、总监理人在专用条款中予以确认。发包人有权中途更换监理单位及总监理人，发包人应书面通知分包人。</w:t>
      </w:r>
    </w:p>
    <w:p w14:paraId="333397C4">
      <w:pPr>
        <w:numPr>
          <w:ilvl w:val="0"/>
          <w:numId w:val="6"/>
        </w:numPr>
        <w:tabs>
          <w:tab w:val="left" w:pos="720"/>
          <w:tab w:val="clear" w:pos="425"/>
        </w:tabs>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发包人委托监理单位行使的职权包括但不限于：</w:t>
      </w:r>
    </w:p>
    <w:p w14:paraId="5D520F9F">
      <w:pPr>
        <w:numPr>
          <w:ilvl w:val="2"/>
          <w:numId w:val="7"/>
        </w:numPr>
        <w:tabs>
          <w:tab w:val="left" w:pos="1260"/>
          <w:tab w:val="clear" w:pos="720"/>
        </w:tabs>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审核工程施工组织设计和技术方案或设计变更，按照保质量、保工期、降低成本的原则，优化或修正分包人施工组织设计和技术方案，并向发包人提出书面报告。</w:t>
      </w:r>
    </w:p>
    <w:p w14:paraId="302E234D">
      <w:pPr>
        <w:numPr>
          <w:ilvl w:val="2"/>
          <w:numId w:val="7"/>
        </w:numPr>
        <w:tabs>
          <w:tab w:val="left" w:pos="1260"/>
          <w:tab w:val="clear" w:pos="720"/>
        </w:tabs>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主持工程建设的组织协调，重要协调事项需事先向发包人报告。</w:t>
      </w:r>
    </w:p>
    <w:p w14:paraId="750D00F5">
      <w:pPr>
        <w:numPr>
          <w:ilvl w:val="2"/>
          <w:numId w:val="7"/>
        </w:numPr>
        <w:tabs>
          <w:tab w:val="left" w:pos="1260"/>
          <w:tab w:val="clear" w:pos="720"/>
        </w:tabs>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征得发包人同意，监理人有权发布开工令、停工令、复工令。</w:t>
      </w:r>
    </w:p>
    <w:p w14:paraId="0EEABBDB">
      <w:pPr>
        <w:numPr>
          <w:ilvl w:val="2"/>
          <w:numId w:val="7"/>
        </w:numPr>
        <w:tabs>
          <w:tab w:val="left" w:pos="1260"/>
          <w:tab w:val="clear" w:pos="720"/>
        </w:tabs>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工程上使用的材料和施工质量的检验权。对于不符合设计要求和合同约定及国家质量标准的材料、构配件、设备，有权通知分包人停止使用；对于不符合规范和质量标准的工序、分部、分项工程和不安全施工作业，有权通知分包人停工整改、返工。分包人得到监理单位复工令后才能复工。</w:t>
      </w:r>
    </w:p>
    <w:p w14:paraId="5E3575FB">
      <w:pPr>
        <w:numPr>
          <w:ilvl w:val="2"/>
          <w:numId w:val="7"/>
        </w:numPr>
        <w:tabs>
          <w:tab w:val="left" w:pos="1260"/>
          <w:tab w:val="clear" w:pos="720"/>
        </w:tabs>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对工程施工的质量、安全文明、进度的检查、监督权。</w:t>
      </w:r>
    </w:p>
    <w:p w14:paraId="43FC0B94">
      <w:pPr>
        <w:numPr>
          <w:ilvl w:val="2"/>
          <w:numId w:val="7"/>
        </w:numPr>
        <w:tabs>
          <w:tab w:val="left" w:pos="1260"/>
          <w:tab w:val="clear" w:pos="720"/>
        </w:tabs>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对工程施工过程中费用索赔或工程延期的审核权。</w:t>
      </w:r>
    </w:p>
    <w:p w14:paraId="37550E19">
      <w:pPr>
        <w:numPr>
          <w:ilvl w:val="2"/>
          <w:numId w:val="7"/>
        </w:numPr>
        <w:tabs>
          <w:tab w:val="left" w:pos="1260"/>
          <w:tab w:val="clear" w:pos="720"/>
        </w:tabs>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在合同约定的工程价格范围内，对工程款支付的审核权，以及工程结算的复核权。</w:t>
      </w:r>
    </w:p>
    <w:p w14:paraId="550AAD0C">
      <w:pPr>
        <w:numPr>
          <w:ilvl w:val="2"/>
          <w:numId w:val="7"/>
        </w:numPr>
        <w:tabs>
          <w:tab w:val="left" w:pos="1260"/>
          <w:tab w:val="clear" w:pos="720"/>
        </w:tabs>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有权要求更换分包人的人员。经发包人同意后，监理人有权要求分包人撤换那些不能胜任本职工作或行为不端或玩忽职守的任何人员。分包人应保证此人48小时内被调离此现场，并不得与本合同的工作发生联系。</w:t>
      </w:r>
    </w:p>
    <w:p w14:paraId="159D88A4">
      <w:pPr>
        <w:numPr>
          <w:ilvl w:val="0"/>
          <w:numId w:val="6"/>
        </w:numPr>
        <w:tabs>
          <w:tab w:val="left" w:pos="720"/>
          <w:tab w:val="clear" w:pos="425"/>
        </w:tabs>
        <w:spacing w:line="360" w:lineRule="auto"/>
        <w:ind w:left="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除合同内有明确约定或经发包人同意外，负责的监理人无权解除本合同约定的分包人的任何权利与义务。</w:t>
      </w:r>
    </w:p>
    <w:p w14:paraId="5889B32D">
      <w:pPr>
        <w:pStyle w:val="74"/>
        <w:spacing w:before="0" w:line="360" w:lineRule="auto"/>
        <w:ind w:firstLine="482"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b/>
          <w:bCs/>
          <w:sz w:val="24"/>
          <w:szCs w:val="24"/>
        </w:rPr>
        <w:t>7.</w:t>
      </w:r>
      <w:r>
        <w:rPr>
          <w:rFonts w:hint="eastAsia" w:asciiTheme="minorEastAsia" w:hAnsiTheme="minorEastAsia" w:eastAsiaTheme="minorEastAsia" w:cstheme="minorEastAsia"/>
          <w:b/>
          <w:bCs/>
          <w:sz w:val="24"/>
          <w:szCs w:val="24"/>
        </w:rPr>
        <w:t>承包人项目负责人及管理人员</w:t>
      </w:r>
    </w:p>
    <w:p w14:paraId="2220D97A">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7.1</w:t>
      </w:r>
      <w:r>
        <w:rPr>
          <w:rFonts w:hint="eastAsia" w:asciiTheme="minorEastAsia" w:hAnsiTheme="minorEastAsia" w:eastAsiaTheme="minorEastAsia"/>
          <w:sz w:val="24"/>
        </w:rPr>
        <w:t>承包人应任命承包人代表负责处理施工现场与发包人有关的具体事宜。承包人代表在承包人授权的权限内的行为由承包人承担法律责任。承包人代表姓名、职务在专用条款内写明。</w:t>
      </w:r>
    </w:p>
    <w:p w14:paraId="63422D5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7.2承包人代表的权限为：负责工程建设的内外部关系协调，对工程建设进行监督管理。承包人赋予的其他权限在专用条款中写明。</w:t>
      </w:r>
    </w:p>
    <w:p w14:paraId="67B2E9F1">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7.3</w:t>
      </w:r>
      <w:r>
        <w:rPr>
          <w:rFonts w:hint="eastAsia" w:asciiTheme="minorEastAsia" w:hAnsiTheme="minorEastAsia" w:eastAsiaTheme="minorEastAsia"/>
          <w:color w:val="auto"/>
          <w:sz w:val="24"/>
        </w:rPr>
        <w:t>对本合同内容的任何修订、增加或减少项目、款项的支付、设计变更等，</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需要另外获得发包人的授权，并加盖承包人公章方可生效。在任何情形下，承包人代表都没有修改本合同的权利。分包人确知，承包人代表签署的可能修改合同条款的任何文件均无效。</w:t>
      </w:r>
    </w:p>
    <w:p w14:paraId="499FDCDC">
      <w:pPr>
        <w:pStyle w:val="8"/>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7.4</w:t>
      </w:r>
      <w:r>
        <w:rPr>
          <w:rFonts w:hint="eastAsia" w:asciiTheme="minorEastAsia" w:hAnsiTheme="minorEastAsia" w:eastAsiaTheme="minorEastAsia"/>
          <w:color w:val="auto"/>
          <w:sz w:val="24"/>
          <w:szCs w:val="24"/>
        </w:rPr>
        <w:t>如更换承包人代表，承包人应以书面形式通知分包人，后任继续行使合</w:t>
      </w:r>
      <w:r>
        <w:rPr>
          <w:rFonts w:hint="eastAsia" w:asciiTheme="minorEastAsia" w:hAnsiTheme="minorEastAsia" w:eastAsiaTheme="minorEastAsia"/>
          <w:sz w:val="24"/>
          <w:szCs w:val="24"/>
        </w:rPr>
        <w:t xml:space="preserve"> </w:t>
      </w:r>
      <w:r>
        <w:rPr>
          <w:rFonts w:hint="eastAsia" w:asciiTheme="minorEastAsia" w:hAnsiTheme="minorEastAsia" w:eastAsiaTheme="minorEastAsia"/>
          <w:color w:val="auto"/>
          <w:sz w:val="24"/>
          <w:szCs w:val="24"/>
        </w:rPr>
        <w:t>同文件约定的前任的职权，履行前任的义务。</w:t>
      </w:r>
    </w:p>
    <w:p w14:paraId="78F35166">
      <w:pPr>
        <w:pStyle w:val="8"/>
        <w:spacing w:line="360" w:lineRule="auto"/>
        <w:rPr>
          <w:rFonts w:hint="eastAsia" w:asciiTheme="minorEastAsia" w:hAnsiTheme="minorEastAsia" w:eastAsiaTheme="minorEastAsia"/>
          <w:sz w:val="24"/>
          <w:szCs w:val="24"/>
        </w:rPr>
      </w:pPr>
      <w:r>
        <w:rPr>
          <w:rFonts w:asciiTheme="minorEastAsia" w:hAnsiTheme="minorEastAsia" w:eastAsiaTheme="minorEastAsia"/>
          <w:sz w:val="24"/>
          <w:szCs w:val="24"/>
        </w:rPr>
        <w:t>7.5</w:t>
      </w:r>
      <w:r>
        <w:rPr>
          <w:rFonts w:hint="eastAsia" w:asciiTheme="minorEastAsia" w:hAnsiTheme="minorEastAsia" w:eastAsiaTheme="minorEastAsia"/>
          <w:sz w:val="24"/>
          <w:szCs w:val="24"/>
        </w:rPr>
        <w:t>承包人代表可委派代表行使合同约定给自己的职权，并可在必要时撤回，委派和撤回均应以书面形式通知分包人。</w:t>
      </w:r>
    </w:p>
    <w:p w14:paraId="3E4AB43A">
      <w:pPr>
        <w:pStyle w:val="8"/>
        <w:spacing w:line="360" w:lineRule="auto"/>
        <w:ind w:left="720"/>
        <w:rPr>
          <w:rFonts w:hint="eastAsia" w:asciiTheme="minorEastAsia" w:hAnsiTheme="minorEastAsia" w:eastAsiaTheme="minorEastAsia"/>
          <w:sz w:val="24"/>
        </w:rPr>
      </w:pPr>
    </w:p>
    <w:p w14:paraId="578FC8E7">
      <w:pPr>
        <w:pStyle w:val="74"/>
        <w:spacing w:before="0" w:beforeLines="-2147483648" w:line="360" w:lineRule="auto"/>
        <w:ind w:firstLine="482" w:firstLineChars="200"/>
        <w:rPr>
          <w:rFonts w:hint="eastAsia" w:asciiTheme="minorEastAsia" w:hAnsiTheme="minorEastAsia" w:eastAsiaTheme="minorEastAsia" w:cstheme="minorEastAsia"/>
          <w:sz w:val="24"/>
          <w:szCs w:val="24"/>
        </w:rPr>
      </w:pPr>
      <w:bookmarkStart w:id="585" w:name="_Toc183424145"/>
      <w:bookmarkStart w:id="586" w:name="_Toc4943"/>
      <w:bookmarkStart w:id="587" w:name="_Toc517273248"/>
      <w:bookmarkStart w:id="588" w:name="_Toc32736"/>
      <w:bookmarkStart w:id="589" w:name="_Toc20638"/>
      <w:bookmarkStart w:id="590" w:name="_Toc28720"/>
      <w:r>
        <w:rPr>
          <w:rFonts w:hint="eastAsia" w:asciiTheme="minorEastAsia" w:hAnsiTheme="minorEastAsia" w:eastAsiaTheme="minorEastAsia" w:cstheme="minorEastAsia"/>
          <w:sz w:val="24"/>
          <w:szCs w:val="24"/>
        </w:rPr>
        <w:t>8 分包人项目负责人及管理人员</w:t>
      </w:r>
      <w:bookmarkEnd w:id="585"/>
      <w:r>
        <w:rPr>
          <w:rFonts w:hint="eastAsia" w:asciiTheme="minorEastAsia" w:hAnsiTheme="minorEastAsia" w:eastAsiaTheme="minorEastAsia" w:cstheme="minorEastAsia"/>
          <w:sz w:val="24"/>
          <w:szCs w:val="24"/>
        </w:rPr>
        <w:t>：</w:t>
      </w:r>
      <w:bookmarkEnd w:id="586"/>
      <w:bookmarkEnd w:id="587"/>
      <w:bookmarkEnd w:id="588"/>
      <w:bookmarkEnd w:id="589"/>
      <w:bookmarkEnd w:id="590"/>
    </w:p>
    <w:p w14:paraId="421B312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8.1分包人应为项目指派有足够能力和相应资质的项目负责人，并经发包人、承包人书面认可，其姓名在专用条款中写明。分包人的要求、通知均以书面形式经分包人项目负责人签署后交发包人、承包人方能有效。</w:t>
      </w:r>
    </w:p>
    <w:p w14:paraId="28390926">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8.2分包人项目负责人依据合同、发包人认可的施工组织设计及监理人、承包人、发包人现场指令组织施工。分包人项目负责人应正确处理紧急情况，最大限度保证人员生命和工程、财产安全，并及时向项目监理单位、承包人、发包人项目负责人报告。</w:t>
      </w:r>
    </w:p>
    <w:p w14:paraId="2F20ACD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8.3分包人项目负责人应专职在岗，不得擅自离岗，不得兼任其他项目任何职务。分包人如需更换项目负责人，应提前7天以书面形式通知承包人、发包人，并征得承包人、发包人同意。后任履行合同文件约定的前任的职权，履行前任的义务。发包人不允许分包人项目负责人易人的，分包人不得易人。分包人未经承包人、发包人允许擅自更换负责人的，承包人、发包人有权向分包人收取100,000.00元/人次的违约金。</w:t>
      </w:r>
    </w:p>
    <w:p w14:paraId="1393196F">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8.4发包人、承包人认为分包人项目负责人不称职或无足够能力代表分包人履行合同义务时，发包人、承包人有权要求分包人更换项目负责人，每更换一次，分包人需向发包人、承包人支付违约金10,000.00元。分包人在接到书面通知后三天内用经发包人、承包人认可的人员完成更换。否则，每推迟一天，分包人需向发包人、承包人支付违约金3,000.00元。</w:t>
      </w:r>
    </w:p>
    <w:p w14:paraId="0D4377B1">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8.5分包人项目管理人员在所辖工程施工期间，均须专职在岗，不得兼任其它项目任何职务。分包人更换管理人员，须提前7天书面上报发包人、承包人同意方可执行。分包人项目管理人员兼任其它项目任何职务或未经发包人允许而调换的，每违约一项或一人，需向发包人支付违约金5,000.00元。</w:t>
      </w:r>
    </w:p>
    <w:p w14:paraId="705375E6">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8.6发包人、承包人有权要求分包人调换发包人认为不适合于在本项目工作的分包人项目管理人员。分包人以下人员，经发包人、承包人要求，须在48小时内调离本工程范围，同时，分包人应在48小时内用经发包人批准的合格人员代替调离的任何人员。分包人未按要求调离管理人员的，每天每人次支付违约金3,000.00元。</w:t>
      </w:r>
    </w:p>
    <w:p w14:paraId="4CDEE606">
      <w:pPr>
        <w:numPr>
          <w:ilvl w:val="0"/>
          <w:numId w:val="0"/>
        </w:numPr>
        <w:tabs>
          <w:tab w:val="left" w:pos="360"/>
          <w:tab w:val="left" w:pos="709"/>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8.6.1发包人、承包人确认无法胜任工作者，包括对分部分项工程进度及施工质量达不到合同要求负有责任的施工人员、不熟悉熟练本专业工作的施工人员、工作责任心不强的施工人员等；</w:t>
      </w:r>
    </w:p>
    <w:p w14:paraId="1E2B5C8F">
      <w:pPr>
        <w:numPr>
          <w:ilvl w:val="0"/>
          <w:numId w:val="0"/>
        </w:numPr>
        <w:tabs>
          <w:tab w:val="left" w:pos="360"/>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8.6.2不能积极配合发包人、承包人正常工作（包括销售）者；</w:t>
      </w:r>
    </w:p>
    <w:p w14:paraId="008A8E67">
      <w:pPr>
        <w:numPr>
          <w:ilvl w:val="0"/>
          <w:numId w:val="0"/>
        </w:numPr>
        <w:spacing w:line="360" w:lineRule="auto"/>
        <w:ind w:left="0" w:firstLine="480" w:firstLineChars="200"/>
        <w:rPr>
          <w:rFonts w:hint="eastAsia"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8.6.3违反发包人或分包人工地现场管理规定者；</w:t>
      </w:r>
    </w:p>
    <w:p w14:paraId="5E85BE96">
      <w:pPr>
        <w:numPr>
          <w:ilvl w:val="0"/>
          <w:numId w:val="0"/>
        </w:numPr>
        <w:spacing w:line="360" w:lineRule="auto"/>
        <w:ind w:left="0" w:firstLine="480" w:firstLineChars="200"/>
        <w:rPr>
          <w:rFonts w:hint="eastAsia"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8.6.4无证上岗者（适用于按规定必须有上岗证者）；</w:t>
      </w:r>
    </w:p>
    <w:p w14:paraId="4BED7109">
      <w:pPr>
        <w:numPr>
          <w:ilvl w:val="0"/>
          <w:numId w:val="0"/>
        </w:numPr>
        <w:spacing w:line="360" w:lineRule="auto"/>
        <w:ind w:left="0" w:firstLine="480" w:firstLineChars="200"/>
        <w:rPr>
          <w:rFonts w:hint="eastAsia" w:cs="Times New Roman" w:asciiTheme="minorEastAsia" w:hAnsiTheme="minorEastAsia" w:eastAsiaTheme="minorEastAsia"/>
          <w:kern w:val="2"/>
          <w:sz w:val="24"/>
        </w:rPr>
      </w:pPr>
      <w:r>
        <w:rPr>
          <w:rFonts w:hint="eastAsia" w:cs="Times New Roman" w:asciiTheme="minorEastAsia" w:hAnsiTheme="minorEastAsia" w:eastAsiaTheme="minorEastAsia"/>
          <w:kern w:val="2"/>
          <w:sz w:val="24"/>
        </w:rPr>
        <w:t>8.6.5与本合同规定名册不符者；</w:t>
      </w:r>
    </w:p>
    <w:p w14:paraId="3E31A8F7">
      <w:pPr>
        <w:numPr>
          <w:ilvl w:val="0"/>
          <w:numId w:val="0"/>
        </w:numPr>
        <w:spacing w:before="0"/>
        <w:ind w:left="0" w:firstLine="480" w:firstLineChars="200"/>
        <w:rPr>
          <w:rFonts w:hint="eastAsia" w:asciiTheme="minorEastAsia" w:hAnsiTheme="minorEastAsia" w:eastAsiaTheme="minorEastAsia" w:cstheme="minorEastAsia"/>
          <w:sz w:val="24"/>
          <w:szCs w:val="24"/>
        </w:rPr>
      </w:pPr>
      <w:r>
        <w:rPr>
          <w:rFonts w:hint="eastAsia" w:cs="Times New Roman" w:asciiTheme="minorEastAsia" w:hAnsiTheme="minorEastAsia" w:eastAsiaTheme="minorEastAsia"/>
          <w:kern w:val="2"/>
          <w:sz w:val="24"/>
        </w:rPr>
        <w:t>8.6.6与本工程施工无关的人员。</w:t>
      </w:r>
    </w:p>
    <w:p w14:paraId="2F9022EE">
      <w:pPr>
        <w:pStyle w:val="4"/>
        <w:spacing w:before="0"/>
        <w:ind w:left="425"/>
        <w:outlineLvl w:val="2"/>
        <w:rPr>
          <w:rFonts w:hint="eastAsia" w:asciiTheme="minorEastAsia" w:hAnsiTheme="minorEastAsia" w:eastAsiaTheme="minorEastAsia" w:cstheme="minorEastAsia"/>
          <w:szCs w:val="24"/>
        </w:rPr>
      </w:pPr>
      <w:r>
        <w:rPr>
          <w:rFonts w:hint="eastAsia"/>
        </w:rPr>
        <w:t>9</w:t>
      </w:r>
      <w:r>
        <w:rPr>
          <w:rFonts w:hint="eastAsia"/>
          <w:lang w:val="en-US" w:eastAsia="zh-CN"/>
        </w:rPr>
        <w:t xml:space="preserve"> </w:t>
      </w:r>
      <w:r>
        <w:rPr>
          <w:rFonts w:hint="eastAsia"/>
        </w:rPr>
        <w:t>承包人工作</w:t>
      </w:r>
    </w:p>
    <w:p w14:paraId="4798D529">
      <w:pPr>
        <w:pStyle w:val="8"/>
        <w:numPr>
          <w:ilvl w:val="0"/>
          <w:numId w:val="0"/>
        </w:numPr>
        <w:tabs>
          <w:tab w:val="left" w:pos="425"/>
        </w:tabs>
        <w:spacing w:line="360" w:lineRule="auto"/>
        <w:ind w:lef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9.1为保证进度、质量、绿色施工安全防护措施、销售配合等，承包人有权对所有相关事项发出指令进行变更或调整，包括但不限于：对设计图纸进行变更、调整工程量、调整施工进度、顺序和工艺、施工现场布置等。</w:t>
      </w:r>
    </w:p>
    <w:p w14:paraId="4D36516C">
      <w:pPr>
        <w:pStyle w:val="8"/>
        <w:numPr>
          <w:ilvl w:val="0"/>
          <w:numId w:val="0"/>
        </w:numPr>
        <w:tabs>
          <w:tab w:val="left" w:pos="425"/>
        </w:tabs>
        <w:spacing w:line="360" w:lineRule="auto"/>
        <w:ind w:lef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9.2如分包人不按合同要求或发包人指令进行施工，承包人有权要求分包人暂停施工，待整改完毕后报承包人、发包人和监理验收通过后方可复工，由此造成的工期延误及经济损失由分包人负责。</w:t>
      </w:r>
    </w:p>
    <w:p w14:paraId="37DE79AC">
      <w:pPr>
        <w:pStyle w:val="8"/>
        <w:numPr>
          <w:ilvl w:val="0"/>
          <w:numId w:val="0"/>
        </w:numPr>
        <w:tabs>
          <w:tab w:val="left" w:pos="425"/>
        </w:tabs>
        <w:spacing w:line="360" w:lineRule="auto"/>
        <w:ind w:lef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9.3承包人有权直接随时向分包人发出任何为达到施工、竣工或保修目的的 图纸或指令，分包人应遵照执行并受其约束。</w:t>
      </w:r>
    </w:p>
    <w:p w14:paraId="6CEE825D">
      <w:pPr>
        <w:pStyle w:val="8"/>
        <w:numPr>
          <w:ilvl w:val="0"/>
          <w:numId w:val="0"/>
        </w:numPr>
        <w:tabs>
          <w:tab w:val="left" w:pos="425"/>
        </w:tabs>
        <w:spacing w:line="360" w:lineRule="auto"/>
        <w:ind w:lef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9.4承包人完成以下工作：</w:t>
      </w:r>
    </w:p>
    <w:p w14:paraId="150C238C">
      <w:pPr>
        <w:pStyle w:val="8"/>
        <w:numPr>
          <w:ilvl w:val="0"/>
          <w:numId w:val="0"/>
        </w:numPr>
        <w:tabs>
          <w:tab w:val="left" w:pos="425"/>
        </w:tabs>
        <w:spacing w:line="360" w:lineRule="auto"/>
        <w:ind w:left="0"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）在分包人应先行充分审图的前提下，发包人组织承包人、分包人和设计人 进行图纸会审及设计交底。设计交底后，分包人应当继续审查相关图纸中可能存 在的不符合法律规定、适用标准、施工规范的任何错误、冲突，并在专用条款约 定的时间内以书面方式报承包人、发包人及监理人。</w:t>
      </w:r>
    </w:p>
    <w:p w14:paraId="0DBC6BC8">
      <w:pPr>
        <w:pStyle w:val="8"/>
        <w:numPr>
          <w:ilvl w:val="0"/>
          <w:numId w:val="0"/>
        </w:numPr>
        <w:tabs>
          <w:tab w:val="left" w:pos="425"/>
        </w:tabs>
        <w:spacing w:line="360" w:lineRule="auto"/>
        <w:ind w:left="0"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）及时支付合同款项。</w:t>
      </w:r>
    </w:p>
    <w:p w14:paraId="107F9ACC">
      <w:pPr>
        <w:pStyle w:val="8"/>
        <w:numPr>
          <w:ilvl w:val="0"/>
          <w:numId w:val="0"/>
        </w:numPr>
        <w:tabs>
          <w:tab w:val="left" w:pos="425"/>
        </w:tabs>
        <w:spacing w:line="360" w:lineRule="auto"/>
        <w:ind w:left="0"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）其他由承包人完成的工作在专用条款中约定。</w:t>
      </w:r>
    </w:p>
    <w:p w14:paraId="0A622DFF">
      <w:pPr>
        <w:pStyle w:val="8"/>
        <w:numPr>
          <w:ilvl w:val="0"/>
          <w:numId w:val="0"/>
        </w:numPr>
        <w:tabs>
          <w:tab w:val="left" w:pos="425"/>
        </w:tabs>
        <w:spacing w:line="360" w:lineRule="auto"/>
        <w:ind w:lef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9.5施工所需水、电、电讯线路说明：</w:t>
      </w:r>
    </w:p>
    <w:p w14:paraId="738B57B7">
      <w:pPr>
        <w:pStyle w:val="8"/>
        <w:numPr>
          <w:ilvl w:val="0"/>
          <w:numId w:val="0"/>
        </w:numPr>
        <w:tabs>
          <w:tab w:val="left" w:pos="425"/>
        </w:tabs>
        <w:spacing w:line="360" w:lineRule="auto"/>
        <w:ind w:left="0"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施工所需水、电按专用条款中相关要求提供。</w:t>
      </w:r>
    </w:p>
    <w:p w14:paraId="43B0FDA4">
      <w:pPr>
        <w:pStyle w:val="8"/>
        <w:numPr>
          <w:ilvl w:val="0"/>
          <w:numId w:val="0"/>
        </w:numPr>
        <w:tabs>
          <w:tab w:val="left" w:pos="425"/>
        </w:tabs>
        <w:spacing w:line="360" w:lineRule="auto"/>
        <w:ind w:left="0" w:firstLine="480" w:firstLineChars="200"/>
        <w:rPr>
          <w:rFonts w:hint="eastAsia"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通讯线路由分包人自行解决并自行承担相关费用。</w:t>
      </w:r>
    </w:p>
    <w:p w14:paraId="77FF67A6">
      <w:pPr>
        <w:pStyle w:val="8"/>
        <w:numPr>
          <w:ilvl w:val="0"/>
          <w:numId w:val="0"/>
        </w:numPr>
        <w:tabs>
          <w:tab w:val="left" w:pos="425"/>
        </w:tabs>
        <w:spacing w:line="360" w:lineRule="auto"/>
        <w:ind w:left="0"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9.6承包人委托分包人办理的具体工作内容及费用由合同当事人双方在专用 条款内进行约定。</w:t>
      </w:r>
    </w:p>
    <w:p w14:paraId="697D8171">
      <w:pPr>
        <w:pStyle w:val="8"/>
        <w:spacing w:line="360" w:lineRule="auto"/>
        <w:ind w:left="720"/>
        <w:rPr>
          <w:rFonts w:hint="eastAsia" w:asciiTheme="minorEastAsia" w:hAnsiTheme="minorEastAsia" w:eastAsiaTheme="minorEastAsia" w:cstheme="minorEastAsia"/>
          <w:kern w:val="0"/>
          <w:sz w:val="24"/>
        </w:rPr>
      </w:pPr>
    </w:p>
    <w:p w14:paraId="4640B272">
      <w:pPr>
        <w:pStyle w:val="74"/>
        <w:spacing w:before="0" w:beforeLines="-2147483648" w:line="360" w:lineRule="auto"/>
        <w:ind w:firstLine="482" w:firstLineChars="200"/>
        <w:rPr>
          <w:rFonts w:hint="eastAsia" w:asciiTheme="minorEastAsia" w:hAnsiTheme="minorEastAsia" w:eastAsiaTheme="minorEastAsia" w:cstheme="minorEastAsia"/>
          <w:sz w:val="24"/>
          <w:szCs w:val="24"/>
        </w:rPr>
      </w:pPr>
      <w:bookmarkStart w:id="591" w:name="_Toc183424147"/>
      <w:bookmarkStart w:id="592" w:name="_Toc32111"/>
      <w:bookmarkStart w:id="593" w:name="_Toc3793"/>
      <w:bookmarkStart w:id="594" w:name="_Toc517273250"/>
      <w:bookmarkStart w:id="595" w:name="_Toc14884"/>
      <w:bookmarkStart w:id="596" w:name="_Toc32471"/>
      <w:r>
        <w:rPr>
          <w:rFonts w:hint="eastAsia" w:asciiTheme="minorEastAsia" w:hAnsiTheme="minorEastAsia" w:eastAsiaTheme="minorEastAsia" w:cstheme="minorEastAsia"/>
          <w:sz w:val="24"/>
          <w:szCs w:val="24"/>
        </w:rPr>
        <w:t>10  分包人工作</w:t>
      </w:r>
      <w:bookmarkEnd w:id="591"/>
      <w:r>
        <w:rPr>
          <w:rFonts w:hint="eastAsia" w:asciiTheme="minorEastAsia" w:hAnsiTheme="minorEastAsia" w:eastAsiaTheme="minorEastAsia" w:cstheme="minorEastAsia"/>
          <w:sz w:val="24"/>
          <w:szCs w:val="24"/>
        </w:rPr>
        <w:t>：</w:t>
      </w:r>
      <w:bookmarkEnd w:id="592"/>
      <w:bookmarkEnd w:id="593"/>
      <w:bookmarkEnd w:id="594"/>
      <w:bookmarkEnd w:id="595"/>
      <w:bookmarkEnd w:id="596"/>
    </w:p>
    <w:p w14:paraId="3B0AA82A">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10.1分包人按约定的内容和时间完成以下工作：</w:t>
      </w:r>
    </w:p>
    <w:p w14:paraId="22E22A8D">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10.1.1应按照合同设计、实施和完成工程，并修补工程中的任何缺陷。完成后工程应能满足合同规定的工程预期目的。</w:t>
      </w:r>
    </w:p>
    <w:p w14:paraId="59872E26">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10.1.2应提供合同规定的设备和文件，以及分包人设计、施工、竣工和质量保修阶段所需的所有临时性或永久性的分包人工作人员、货物、消耗品及其它物品和服务。</w:t>
      </w:r>
    </w:p>
    <w:p w14:paraId="32025A39">
      <w:pPr>
        <w:numPr>
          <w:ilvl w:val="0"/>
          <w:numId w:val="0"/>
        </w:numPr>
        <w:tabs>
          <w:tab w:val="left" w:pos="360"/>
          <w:tab w:val="left" w:pos="1260"/>
          <w:tab w:val="left" w:pos="663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10.1.3对本工程所有现场作业、所有施工方法和全部工程的完备性、稳定性和安全性负责。</w:t>
      </w:r>
    </w:p>
    <w:p w14:paraId="1F4BFE32">
      <w:pPr>
        <w:numPr>
          <w:ilvl w:val="0"/>
          <w:numId w:val="0"/>
        </w:numPr>
        <w:tabs>
          <w:tab w:val="left" w:pos="360"/>
          <w:tab w:val="left" w:pos="1260"/>
          <w:tab w:val="left" w:pos="663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10.1.4应提前至少21天，将任何工程设备或每项其它主要货物到场的日期和数量通知发包人。</w:t>
      </w:r>
    </w:p>
    <w:p w14:paraId="41639490">
      <w:pPr>
        <w:numPr>
          <w:ilvl w:val="0"/>
          <w:numId w:val="0"/>
        </w:numPr>
        <w:tabs>
          <w:tab w:val="left" w:pos="360"/>
          <w:tab w:val="left" w:pos="1260"/>
          <w:tab w:val="left" w:pos="663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10.1.5负责工程需要的所有货物和其它物品的包装、装货、运输、接收、卸货、存储和保护。应保障且保持发包人免受因货物运输引起的所有损害赔偿费、损失和费用（包括法律费用和开支）的支出，并应协商和支付由于货物运输引起的所有索赔。</w:t>
      </w:r>
    </w:p>
    <w:p w14:paraId="24472E55">
      <w:pPr>
        <w:numPr>
          <w:ilvl w:val="0"/>
          <w:numId w:val="0"/>
        </w:numPr>
        <w:tabs>
          <w:tab w:val="left" w:pos="360"/>
          <w:tab w:val="left" w:pos="1260"/>
          <w:tab w:val="left" w:pos="663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10.1.6分包人开工前应对施工现场及其周围环境进行调查，并对发包人提供的相关现场资料进行核实；场内外运输道路由分包人负责；</w:t>
      </w:r>
    </w:p>
    <w:p w14:paraId="59C93A6F">
      <w:pPr>
        <w:numPr>
          <w:ilvl w:val="0"/>
          <w:numId w:val="0"/>
        </w:numPr>
        <w:tabs>
          <w:tab w:val="left" w:pos="360"/>
          <w:tab w:val="left" w:pos="1260"/>
          <w:tab w:val="left" w:pos="663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10.1.7在开工前10天完成优化设计（如果有）、材料设备采购、施工组织设计和工程总体进度计划的编制并经发包人和监理单位审查批准后方可开工，同时，应将人员、材料、设备进场计划报送发包人。</w:t>
      </w:r>
    </w:p>
    <w:p w14:paraId="17D3A013">
      <w:pPr>
        <w:numPr>
          <w:ilvl w:val="0"/>
          <w:numId w:val="0"/>
        </w:numPr>
        <w:tabs>
          <w:tab w:val="left" w:pos="360"/>
          <w:tab w:val="left" w:pos="1260"/>
          <w:tab w:val="left" w:pos="663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10.1.8项目负责人及相关人员按时参加每周工作例会，并须在例会前向发包人提交本周已完工程进度统计报表及下周工程进度计划；每月25日前向发包人提交本月已完工程进度统计报表及次月工程进度计划、人员和资金计划；向发包人提供年、月度工程进度计划及相应进度统计报表。</w:t>
      </w:r>
    </w:p>
    <w:p w14:paraId="2CB0B406">
      <w:pPr>
        <w:numPr>
          <w:ilvl w:val="0"/>
          <w:numId w:val="0"/>
        </w:numPr>
        <w:tabs>
          <w:tab w:val="left" w:pos="360"/>
          <w:tab w:val="left" w:pos="1260"/>
          <w:tab w:val="left" w:pos="663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10.1.9遵守政府主管部门对施工场地交通、施工噪音以及和安全生产有关的管理规定，按规定办理有关手续，并以书面形式知会发包人、监理单位，费用由分包人承担；</w:t>
      </w:r>
    </w:p>
    <w:p w14:paraId="11F709B9">
      <w:pPr>
        <w:numPr>
          <w:ilvl w:val="0"/>
          <w:numId w:val="0"/>
        </w:numPr>
        <w:tabs>
          <w:tab w:val="left" w:pos="360"/>
          <w:tab w:val="left" w:pos="1260"/>
          <w:tab w:val="left" w:pos="663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10.1.10严格遵守有关环境保护法律法规，并严格按照环境检查审核要求，加强施工现场的环境管理，在施工过程中严格落实粉尘、废水等污染防治措施及生态保护、水土保持措施。并且由此发生的费用及罚款由分包人负责；</w:t>
      </w:r>
    </w:p>
    <w:p w14:paraId="4D3CB2E2">
      <w:pPr>
        <w:numPr>
          <w:ilvl w:val="0"/>
          <w:numId w:val="0"/>
        </w:numPr>
        <w:tabs>
          <w:tab w:val="left" w:pos="360"/>
          <w:tab w:val="left" w:pos="1260"/>
          <w:tab w:val="left" w:pos="663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10.1.11保证施工场地清洁符合环境卫生管理的有关规定，交工前清理现场达到约定的要求，承担因自身原因违反相关规定造成的损失和罚款；</w:t>
      </w:r>
    </w:p>
    <w:p w14:paraId="2CA7562E">
      <w:pPr>
        <w:numPr>
          <w:ilvl w:val="0"/>
          <w:numId w:val="0"/>
        </w:numPr>
        <w:tabs>
          <w:tab w:val="left" w:pos="360"/>
          <w:tab w:val="left" w:pos="1260"/>
          <w:tab w:val="left" w:pos="6635"/>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10.1.12保证工程施工现场及附近的人员、建(构)筑物、原有管线的安全。分包人应认真采取施工安全措施，确保其施工现场内的人员、设备和工程的安全，防止工地附近建筑物和人员遭受损害，分包人未遵守本款规定造成责任与损失由分包人承担；</w:t>
      </w:r>
    </w:p>
    <w:p w14:paraId="2AA1E087">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10.1.13接受且配合发包人、监理人和承包人的现场协调。对分包人承包范围内的全部工程的质量、安全、工期、文明施工等负完全责任，对施工现场内的其他单位、人员负文明施工、安全管理责任；对分包人各分包商进行管理和现场统一协调，对分包人分包商的质量、费用、进度、安全文明施工、进度款、资料等负责。</w:t>
      </w:r>
    </w:p>
    <w:p w14:paraId="1F2F6F44">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10.1.14做好施工场地地下管线和邻近建筑物、构筑物（包括文物保护建筑）、古树名木的保护工作；</w:t>
      </w:r>
    </w:p>
    <w:p w14:paraId="79CC3D78">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10.1.15施工过程所需一切证件（包括夜间施工证）由分包人及时自行办理，如发生扰民和民扰分包人自行妥善处理并承担由此发生的费用；</w:t>
      </w:r>
    </w:p>
    <w:p w14:paraId="2B5F2685">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10.1.16配合发包人的销售需要，完成专用条款中约定的配合销售所需追加的工作；</w:t>
      </w:r>
    </w:p>
    <w:p w14:paraId="7C5594F4">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10.1.17配合监理单位的工作，随时配合监理单位的检查与监督；对监理人提出的要求、指令，应予以实施配合；</w:t>
      </w:r>
    </w:p>
    <w:p w14:paraId="7A405045">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10.1.18及时参加发包人召开的施工调度会议，严格执行会议纪要的决定，服从调度、服从协调，发扬协作精神与风格，积极与兄弟单位配合；</w:t>
      </w:r>
    </w:p>
    <w:p w14:paraId="10545C2F">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10.1.19负责工程资料的统一收集整理，保证工程各项验收资料的完备性和提供的及时性；</w:t>
      </w:r>
    </w:p>
    <w:p w14:paraId="0F6126F5">
      <w:pPr>
        <w:numPr>
          <w:ilvl w:val="0"/>
          <w:numId w:val="0"/>
        </w:numPr>
        <w:tabs>
          <w:tab w:val="left" w:pos="360"/>
          <w:tab w:val="left" w:pos="1260"/>
        </w:tabs>
        <w:spacing w:line="360" w:lineRule="auto"/>
        <w:ind w:left="480" w:firstLine="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10.1.20已竣工工程交付发包人之前，分包人负责工程的保护工作，期间如发生损坏，由分包人负责修复，并承担相应费用；</w:t>
      </w:r>
    </w:p>
    <w:p w14:paraId="1D203B1B">
      <w:pPr>
        <w:numPr>
          <w:ilvl w:val="0"/>
          <w:numId w:val="0"/>
        </w:numPr>
        <w:tabs>
          <w:tab w:val="left" w:pos="360"/>
          <w:tab w:val="left" w:pos="1260"/>
        </w:tabs>
        <w:spacing w:line="360" w:lineRule="auto"/>
        <w:ind w:left="480" w:firstLine="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10.1.21分包人上述工作的具体约定以及应做的其他工作，在专用条款内约定。</w:t>
      </w:r>
    </w:p>
    <w:p w14:paraId="788833D3">
      <w:pPr>
        <w:pStyle w:val="75"/>
        <w:spacing w:before="120" w:beforeLines="50" w:line="360" w:lineRule="auto"/>
        <w:rPr>
          <w:rFonts w:hint="eastAsia" w:asciiTheme="minorEastAsia" w:hAnsiTheme="minorEastAsia" w:eastAsiaTheme="minorEastAsia" w:cstheme="minorEastAsia"/>
          <w:sz w:val="24"/>
          <w:szCs w:val="24"/>
        </w:rPr>
      </w:pPr>
      <w:bookmarkStart w:id="597" w:name="_Toc183424148"/>
      <w:bookmarkStart w:id="598" w:name="_Toc17932"/>
      <w:bookmarkStart w:id="599" w:name="_Toc6868"/>
      <w:bookmarkStart w:id="600" w:name="_Toc32609"/>
      <w:bookmarkStart w:id="601" w:name="_Toc8853"/>
      <w:bookmarkStart w:id="602" w:name="_Toc27094"/>
      <w:bookmarkStart w:id="603" w:name="_Toc22465"/>
      <w:bookmarkStart w:id="604" w:name="_Toc19127"/>
      <w:bookmarkStart w:id="605" w:name="_Toc517273251"/>
      <w:bookmarkStart w:id="606" w:name="_Toc200394232"/>
      <w:bookmarkStart w:id="607" w:name="_Toc31359"/>
      <w:bookmarkStart w:id="608" w:name="_Toc2679"/>
      <w:bookmarkStart w:id="609" w:name="_Toc21480"/>
      <w:bookmarkStart w:id="610" w:name="_Toc39"/>
      <w:bookmarkStart w:id="611" w:name="_Toc29960"/>
      <w:bookmarkStart w:id="612" w:name="_Toc11843"/>
      <w:bookmarkStart w:id="613" w:name="_Toc29608"/>
      <w:bookmarkStart w:id="614" w:name="_Toc29919"/>
      <w:r>
        <w:rPr>
          <w:rFonts w:hint="eastAsia" w:asciiTheme="minorEastAsia" w:hAnsiTheme="minorEastAsia" w:eastAsiaTheme="minorEastAsia" w:cstheme="minorEastAsia"/>
          <w:sz w:val="24"/>
          <w:szCs w:val="24"/>
        </w:rPr>
        <w:t>三、工期</w:t>
      </w:r>
      <w:bookmarkEnd w:id="597"/>
      <w:r>
        <w:rPr>
          <w:rFonts w:hint="eastAsia" w:asciiTheme="minorEastAsia" w:hAnsiTheme="minorEastAsia" w:eastAsiaTheme="minorEastAsia" w:cstheme="minorEastAsia"/>
          <w:sz w:val="24"/>
          <w:szCs w:val="24"/>
        </w:rPr>
        <w:t>：</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1C392EA0">
      <w:pPr>
        <w:pStyle w:val="74"/>
        <w:spacing w:before="0" w:beforeLines="-2147483648" w:line="360" w:lineRule="auto"/>
        <w:ind w:firstLine="482" w:firstLineChars="200"/>
        <w:rPr>
          <w:rFonts w:hint="eastAsia" w:asciiTheme="minorEastAsia" w:hAnsiTheme="minorEastAsia" w:eastAsiaTheme="minorEastAsia" w:cstheme="minorEastAsia"/>
          <w:sz w:val="24"/>
          <w:szCs w:val="24"/>
        </w:rPr>
      </w:pPr>
      <w:bookmarkStart w:id="615" w:name="_Toc183424149"/>
      <w:bookmarkStart w:id="616" w:name="_Toc14301"/>
      <w:bookmarkStart w:id="617" w:name="_Toc1936"/>
      <w:bookmarkStart w:id="618" w:name="_Toc29832"/>
      <w:bookmarkStart w:id="619" w:name="_Toc517273252"/>
      <w:bookmarkStart w:id="620" w:name="_Toc2260"/>
      <w:r>
        <w:rPr>
          <w:rFonts w:hint="eastAsia" w:asciiTheme="minorEastAsia" w:hAnsiTheme="minorEastAsia" w:eastAsiaTheme="minorEastAsia" w:cstheme="minorEastAsia"/>
          <w:sz w:val="24"/>
          <w:szCs w:val="24"/>
        </w:rPr>
        <w:t>11  进度计划</w:t>
      </w:r>
      <w:bookmarkEnd w:id="615"/>
      <w:r>
        <w:rPr>
          <w:rFonts w:hint="eastAsia" w:asciiTheme="minorEastAsia" w:hAnsiTheme="minorEastAsia" w:eastAsiaTheme="minorEastAsia" w:cstheme="minorEastAsia"/>
          <w:sz w:val="24"/>
          <w:szCs w:val="24"/>
        </w:rPr>
        <w:t>：</w:t>
      </w:r>
      <w:bookmarkEnd w:id="616"/>
      <w:bookmarkEnd w:id="617"/>
      <w:bookmarkEnd w:id="618"/>
      <w:bookmarkEnd w:id="619"/>
      <w:bookmarkEnd w:id="620"/>
    </w:p>
    <w:p w14:paraId="58BE6519">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11.1分包人应在开工日期后7天内通过承包人向监理人及发包人提交一式三份详细的优化设计、材料设备采购、施工组织设计和工程总体进度计划，并经发包人和监理单位审查批准后方可开工，同时，应将人员、材料、设备进场计划通过承包人报送发包人。发包人在收到后7天内予以答复确认。分包人按进度计划组织施工，并接受承包人、发包人和监理单位的检查监督。工程进度计划应符合协议书规定的总工期和专用条款中确定的关键节点工期及单项工程工期要求。当原定计划与实际进度或分包人义务不相符时，分包人还应提交一份修订的进度计划。每份进度计划应包括：</w:t>
      </w:r>
    </w:p>
    <w:p w14:paraId="1B395A09">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11.1.1计划实施工程的工作顺序，包括工程各主要阶段的预期时间安排；</w:t>
      </w:r>
    </w:p>
    <w:p w14:paraId="023FB89B">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11.1.2各项合同规定和工程所需要的检验和试验的顺序和时间安排；</w:t>
      </w:r>
    </w:p>
    <w:p w14:paraId="6199C1A9">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11.1.3各主要阶段配备的各级分包人人员和各类型机械设备的数量。</w:t>
      </w:r>
    </w:p>
    <w:p w14:paraId="62A768CE">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11.2分包人每周定期向发包人提交本周已完工程进度统计报表及下周工程进度计划。</w:t>
      </w:r>
    </w:p>
    <w:p w14:paraId="4B6C93B5">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11.3每月25日前，分包人应编制本月度施工进度报告和下月度施工进度计划和资金计划一式两份报送监理人。月施工进度报告至少应包括：</w:t>
      </w:r>
    </w:p>
    <w:p w14:paraId="1F6B5DAC">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11.3.1采购、货物运达现场、施工、安装、试验、投产准备和试运行等每一阶段进展情况的图表和详细说明、</w:t>
      </w:r>
      <w:r>
        <w:rPr>
          <w:rFonts w:hint="eastAsia" w:asciiTheme="minorEastAsia" w:hAnsiTheme="minorEastAsia" w:eastAsiaTheme="minorEastAsia" w:cstheme="minorEastAsia"/>
          <w:sz w:val="24"/>
        </w:rPr>
        <w:t>安排情况；</w:t>
      </w:r>
      <w:r>
        <w:rPr>
          <w:rFonts w:hint="eastAsia" w:asciiTheme="minorEastAsia" w:hAnsiTheme="minorEastAsia" w:eastAsiaTheme="minorEastAsia" w:cstheme="minorEastAsia"/>
          <w:kern w:val="0"/>
          <w:sz w:val="24"/>
        </w:rPr>
        <w:t>材料、设备等的采购和进场情况；现场签证情况和安全文明施工情况；实际进度与计划进度的对比；该月出现的质量事故的次数以及补救措施；以及为弥补工期延误的所采取的措施；</w:t>
      </w:r>
      <w:r>
        <w:rPr>
          <w:rFonts w:hint="eastAsia" w:asciiTheme="minorEastAsia" w:hAnsiTheme="minorEastAsia" w:eastAsiaTheme="minorEastAsia" w:cstheme="minorEastAsia"/>
          <w:sz w:val="24"/>
        </w:rPr>
        <w:t>分包工程进场计划安排。</w:t>
      </w:r>
      <w:r>
        <w:rPr>
          <w:rFonts w:hint="eastAsia" w:asciiTheme="minorEastAsia" w:hAnsiTheme="minorEastAsia" w:eastAsiaTheme="minorEastAsia" w:cstheme="minorEastAsia"/>
          <w:kern w:val="0"/>
          <w:sz w:val="24"/>
        </w:rPr>
        <w:t xml:space="preserve"> </w:t>
      </w:r>
    </w:p>
    <w:p w14:paraId="74F55DEE">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11.3.2反映现场进展情况的照片。</w:t>
      </w:r>
    </w:p>
    <w:p w14:paraId="04217A7C">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11.3.3每项主要工程设备和材料的生产，制造商名称、制造地点、进度百分比，以及开始制造（如果有）、分包人检验、试验、发货和运抵现场的计划日期和实际日期。</w:t>
      </w:r>
    </w:p>
    <w:p w14:paraId="1364A6D0">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11.3.4材料设备的质量保证文件、试验结果及合格证的副本。</w:t>
      </w:r>
    </w:p>
    <w:p w14:paraId="17604325">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11.4工程实际进度滞后于经确认的进度计划时，分包人应按发包人与监理单位的要求提出改进措施，经发包人与监理单位确认后执行。</w:t>
      </w:r>
      <w:r>
        <w:rPr>
          <w:rFonts w:hint="eastAsia" w:asciiTheme="minorEastAsia" w:hAnsiTheme="minorEastAsia" w:eastAsiaTheme="minorEastAsia" w:cstheme="minorEastAsia"/>
          <w:b w:val="0"/>
          <w:kern w:val="0"/>
          <w:sz w:val="24"/>
        </w:rPr>
        <w:t>非因发包人原因导致实际进度与进度计划不符，由分包人承担因此发生的费用，并且工期不予顺延。</w:t>
      </w:r>
    </w:p>
    <w:p w14:paraId="62FCA427">
      <w:pPr>
        <w:numPr>
          <w:ilvl w:val="0"/>
          <w:numId w:val="0"/>
        </w:numPr>
        <w:tabs>
          <w:tab w:val="left" w:pos="360"/>
          <w:tab w:val="left" w:pos="1260"/>
        </w:tabs>
        <w:spacing w:line="360" w:lineRule="auto"/>
        <w:ind w:left="0" w:firstLine="480" w:firstLineChars="200"/>
        <w:rPr>
          <w:rFonts w:hint="eastAsia" w:asciiTheme="minorEastAsia" w:hAnsiTheme="minorEastAsia" w:eastAsiaTheme="minorEastAsia" w:cstheme="minorEastAsia"/>
          <w:b w:val="0"/>
          <w:kern w:val="0"/>
          <w:sz w:val="24"/>
        </w:rPr>
      </w:pPr>
      <w:r>
        <w:rPr>
          <w:rFonts w:hint="eastAsia" w:asciiTheme="minorEastAsia" w:hAnsiTheme="minorEastAsia" w:eastAsiaTheme="minorEastAsia" w:cstheme="minorEastAsia"/>
          <w:b w:val="0"/>
          <w:kern w:val="0"/>
          <w:sz w:val="24"/>
        </w:rPr>
        <w:t>11.5分包人编制本工程的材料设备采购、施工进度计划时应考虑本工程在本项目总进度计划中的起始时间。</w:t>
      </w:r>
    </w:p>
    <w:p w14:paraId="11325179">
      <w:pPr>
        <w:pStyle w:val="74"/>
        <w:spacing w:before="0" w:beforeLines="-2147483648" w:line="360" w:lineRule="auto"/>
        <w:ind w:firstLine="482" w:firstLineChars="200"/>
        <w:rPr>
          <w:rFonts w:hint="eastAsia" w:asciiTheme="minorEastAsia" w:hAnsiTheme="minorEastAsia" w:eastAsiaTheme="minorEastAsia" w:cstheme="minorEastAsia"/>
          <w:sz w:val="24"/>
          <w:szCs w:val="24"/>
        </w:rPr>
      </w:pPr>
      <w:bookmarkStart w:id="621" w:name="_Toc183424150"/>
      <w:bookmarkStart w:id="622" w:name="_Toc16979"/>
      <w:bookmarkStart w:id="623" w:name="_Toc517273253"/>
      <w:bookmarkStart w:id="624" w:name="_Toc23718"/>
      <w:bookmarkStart w:id="625" w:name="_Toc10542"/>
      <w:bookmarkStart w:id="626" w:name="_Toc11570"/>
      <w:r>
        <w:rPr>
          <w:rFonts w:hint="eastAsia" w:asciiTheme="minorEastAsia" w:hAnsiTheme="minorEastAsia" w:eastAsiaTheme="minorEastAsia" w:cstheme="minorEastAsia"/>
          <w:sz w:val="24"/>
          <w:szCs w:val="24"/>
        </w:rPr>
        <w:t>12  开工、暂停施工和复工</w:t>
      </w:r>
      <w:bookmarkEnd w:id="621"/>
      <w:r>
        <w:rPr>
          <w:rFonts w:hint="eastAsia" w:asciiTheme="minorEastAsia" w:hAnsiTheme="minorEastAsia" w:eastAsiaTheme="minorEastAsia" w:cstheme="minorEastAsia"/>
          <w:sz w:val="24"/>
          <w:szCs w:val="24"/>
        </w:rPr>
        <w:t>：</w:t>
      </w:r>
      <w:bookmarkEnd w:id="622"/>
      <w:bookmarkEnd w:id="623"/>
      <w:bookmarkEnd w:id="624"/>
      <w:bookmarkEnd w:id="625"/>
      <w:bookmarkEnd w:id="626"/>
    </w:p>
    <w:p w14:paraId="526C589C">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12.1分包人应在开工日期之日起开始工程的优化设计、材料设备采购和施工。</w:t>
      </w:r>
    </w:p>
    <w:p w14:paraId="219047B8">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12.2分包人接到发包人或监理单位发出的开工令后，应立即采取措施，在开工令确认的开工日期前正式开工。发包人将从开工令中确定的开工日期起计算工期。</w:t>
      </w:r>
    </w:p>
    <w:p w14:paraId="371C18AA">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12.3分包人应当按照</w:t>
      </w:r>
      <w:r>
        <w:rPr>
          <w:rFonts w:hint="eastAsia" w:asciiTheme="minorEastAsia" w:hAnsiTheme="minorEastAsia" w:eastAsiaTheme="minorEastAsia" w:cstheme="minorEastAsia"/>
          <w:kern w:val="0"/>
          <w:sz w:val="24"/>
        </w:rPr>
        <w:t>开工令</w:t>
      </w:r>
      <w:r>
        <w:rPr>
          <w:rFonts w:hint="eastAsia" w:asciiTheme="minorEastAsia" w:hAnsiTheme="minorEastAsia" w:eastAsiaTheme="minorEastAsia" w:cstheme="minorEastAsia"/>
          <w:sz w:val="24"/>
        </w:rPr>
        <w:t>指定的开工日期开工。分包人不能按时开工，应当不迟于发包人通知的开工日期前3天，以书面形式通过承包人向发包人项目负责人提出延期开工的理由和要求。发包人项目负责人应当在接到延期开工申请后的48小时内以书面形式通过承包人答复分包人。发包人项目负责人在接到延期开工申请后48小时内不答复，视为同意分包人要求，工期相应顺延。发包人项目负责人不同意延期要求或分包人未在规定时间内提出延期开工要求，工期不予顺延。未经发包人书面同意，分包人因自身原因导致逾期开工超过</w:t>
      </w:r>
      <w:r>
        <w:rPr>
          <w:rFonts w:hint="eastAsia" w:asciiTheme="minorEastAsia" w:hAnsiTheme="minorEastAsia" w:eastAsiaTheme="minorEastAsia" w:cstheme="minorEastAsia"/>
          <w:bCs/>
          <w:sz w:val="24"/>
        </w:rPr>
        <w:t>15</w:t>
      </w:r>
      <w:r>
        <w:rPr>
          <w:rFonts w:hint="eastAsia" w:asciiTheme="minorEastAsia" w:hAnsiTheme="minorEastAsia" w:eastAsiaTheme="minorEastAsia" w:cstheme="minorEastAsia"/>
          <w:sz w:val="24"/>
        </w:rPr>
        <w:t>日历天，发包人有权解除合同。</w:t>
      </w:r>
    </w:p>
    <w:p w14:paraId="4BEAFBC9">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12.4发包人或监理单位认为确有必要暂停施工时，应以书面形式要求分包人暂停施工，并提出书面处理意见。分包人应按指令停止施工，并妥善保护已完工程。分包人实施发包人或监理单位提出的处理意见后，可以书面形式提出复工要求，发包人或监理单位应当在48小时内给予答复。发包人或监理单位未能在规定时间内提出处理意见，或收到分包人复工要求后48小时内未予答复，分包人可自行复工。因发包人原因造成停工的，如导致关键线路工作延误的，应相应顺延工期；因分包人原因造成停工的，由分包人承担因此发生的费用，并且工期不予顺延。</w:t>
      </w:r>
    </w:p>
    <w:p w14:paraId="10CA398B">
      <w:pPr>
        <w:pStyle w:val="74"/>
        <w:spacing w:before="0" w:beforeLines="-2147483648" w:line="360" w:lineRule="auto"/>
        <w:ind w:firstLine="482" w:firstLineChars="200"/>
        <w:rPr>
          <w:rFonts w:hint="eastAsia" w:asciiTheme="minorEastAsia" w:hAnsiTheme="minorEastAsia" w:eastAsiaTheme="minorEastAsia" w:cstheme="minorEastAsia"/>
          <w:sz w:val="24"/>
          <w:szCs w:val="24"/>
        </w:rPr>
      </w:pPr>
      <w:bookmarkStart w:id="627" w:name="_Toc183424151"/>
      <w:bookmarkStart w:id="628" w:name="_Toc12021"/>
      <w:bookmarkStart w:id="629" w:name="_Toc12350"/>
      <w:bookmarkStart w:id="630" w:name="_Toc32694"/>
      <w:bookmarkStart w:id="631" w:name="_Toc29019"/>
      <w:bookmarkStart w:id="632" w:name="_Toc517273254"/>
      <w:r>
        <w:rPr>
          <w:rFonts w:hint="eastAsia" w:asciiTheme="minorEastAsia" w:hAnsiTheme="minorEastAsia" w:eastAsiaTheme="minorEastAsia" w:cstheme="minorEastAsia"/>
          <w:sz w:val="24"/>
          <w:szCs w:val="24"/>
        </w:rPr>
        <w:t>13  工期和工期延误</w:t>
      </w:r>
      <w:bookmarkEnd w:id="627"/>
      <w:r>
        <w:rPr>
          <w:rFonts w:hint="eastAsia" w:asciiTheme="minorEastAsia" w:hAnsiTheme="minorEastAsia" w:eastAsiaTheme="minorEastAsia" w:cstheme="minorEastAsia"/>
          <w:sz w:val="24"/>
          <w:szCs w:val="24"/>
        </w:rPr>
        <w:t>：</w:t>
      </w:r>
      <w:bookmarkEnd w:id="628"/>
      <w:bookmarkEnd w:id="629"/>
      <w:bookmarkEnd w:id="630"/>
      <w:bookmarkEnd w:id="631"/>
      <w:bookmarkEnd w:id="632"/>
    </w:p>
    <w:p w14:paraId="390E5613">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13.1 发包人和分包人在合同协议书中约定合同工期，工期从开工令确定的开工日期起算。合同有单项工程的，可在专用条款中约定各单项工程的工期。</w:t>
      </w:r>
    </w:p>
    <w:p w14:paraId="7608E2CD">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13.2 发包人和分包人在专用条款中约定工程的关键节点工期。</w:t>
      </w:r>
    </w:p>
    <w:p w14:paraId="4DF1D2C0">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13.3 合同各方在确定总工期、单项工程工期及关键节点工期时，已经充分考虑下列因素：</w:t>
      </w:r>
    </w:p>
    <w:p w14:paraId="512EE86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13.3.1可能出现的各种规模的下雨、下雪、大风、高低温天气、停水、停电、节假日等因素；</w:t>
      </w:r>
    </w:p>
    <w:p w14:paraId="0F96199A">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13.3.2各方分包工程的合理工期。</w:t>
      </w:r>
    </w:p>
    <w:p w14:paraId="0C60D12F">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13.4如在施工关键工期线路上因以下原因，造成竣工日期及关键节点工期拖延，且该拖延后果确属不可避免，经发包人书面确认，工期方可相应顺延，但发包人不承担分包人窝工、停工、机械进出场、台班费等在内的其它责任（如下列原因是分包人造成的，则工期不能顺延）：</w:t>
      </w:r>
    </w:p>
    <w:p w14:paraId="7945C04D">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13.4.1发包人未能按合同相关约定提供开工条件。</w:t>
      </w:r>
    </w:p>
    <w:p w14:paraId="03EF4E13">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13.4.2发包人拖延支付工程进度款超过30天以上，致使施工不能正常进行。</w:t>
      </w:r>
    </w:p>
    <w:p w14:paraId="0E92EB5F">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13.4.3发包人项目负责人或监理单位未按合同约定提供所需指令、批准等，致使施工不能正常进行。</w:t>
      </w:r>
    </w:p>
    <w:p w14:paraId="355C656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13.4.4在关键线路上发包人提出的设计变更导致分部工程量增加超过10%以上。</w:t>
      </w:r>
    </w:p>
    <w:p w14:paraId="34AA8AEA">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13.4.5不可抗力（本合同12.3条约定的情况除外，此影响已由分包人在总工期中综合包干考虑）、发现文物。</w:t>
      </w:r>
    </w:p>
    <w:p w14:paraId="0DA007D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13.4.6合同约定或经发包人同意工期顺延的其他情况。</w:t>
      </w:r>
    </w:p>
    <w:p w14:paraId="4F591B2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13.5分包人在12.4条约定情况发生后10天内，就延误的工期以书面形式向监理单位提出工期顺延的签证申请。监理单位在收到申请后5天内予以审核确认，并报送发包人审核，发包人在收到经监理确认的签证申请后10天内予以书面答复。如监理单位或发包人逾期不予确认或不提出修改意见，视为同意顺延工期。</w:t>
      </w:r>
    </w:p>
    <w:p w14:paraId="2874219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13.6分包人应按时完成关键节点工期、单项工程工期要求，如因分包人原因造成关键节点工期或单项工程拖延，逾期在7天以内的，每拖延一天，分包人向发包人支付10,000.00元违约金；逾期在7天以上的，前7天分包人向发包人支付10,000.00元/天的违约金，从逾期第8天起，每拖延一天，分包人向发包人支付30,000.00元违约金，上述违约金在申请当期进度款前交纳，且此违约金的支付并不能解除分包人应完成工程的责任或本合同规定的其他责任，逾期超过20天的，发包人有权解除合同，分包人需赔偿发包人因此产生的全部损失。</w:t>
      </w:r>
    </w:p>
    <w:p w14:paraId="0A390642">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13.7根据合同约定或各方协商确定分包人应提前施工的项目或分项工程，分包人未能按约定完成的，每延期一天，分包人向发包人支付违约金10,000.00元。</w:t>
      </w:r>
    </w:p>
    <w:p w14:paraId="48B1BD23">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13.8分包人必须根据合同约定的竣工日期或经发包人同意顺延的工期竣工。本合同规定的竣工日期是指本合同约定工程承包内容全部完工,并取得验收合格证的日期。若逾期承包内容中任何一项分部分项工程未完工或未取得验收合格证，均视为工期延误。分包人未能按总工期要求完工的，逾期在7天以内的，每拖延一天，分包人向发包人支付30,000.00元违约金；逾期在7天以上的，前7天分包人向发包人支付30,000.00元/天的违约金，从逾期第8天起，每拖延一天，分包人向发包人支付50,000.00元违约金；逾期超过20天的，发包人有权解除合同，分包人需赔偿发包人因此产生的全部损失。</w:t>
      </w:r>
    </w:p>
    <w:p w14:paraId="2BDE91C5">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13.9</w:t>
      </w:r>
      <w:r>
        <w:rPr>
          <w:rFonts w:hint="eastAsia" w:asciiTheme="minorEastAsia" w:hAnsiTheme="minorEastAsia" w:eastAsiaTheme="minorEastAsia" w:cstheme="minorEastAsia"/>
          <w:kern w:val="0"/>
          <w:sz w:val="24"/>
        </w:rPr>
        <w:t>由发包人正式批准的分包人工期顺延，承包人与发包人的总承包合同工期同步顺延。</w:t>
      </w:r>
    </w:p>
    <w:p w14:paraId="65B1B32A">
      <w:pPr>
        <w:pStyle w:val="74"/>
        <w:spacing w:before="120" w:beforeLines="50" w:line="360" w:lineRule="auto"/>
        <w:rPr>
          <w:rFonts w:hint="eastAsia" w:asciiTheme="minorEastAsia" w:hAnsiTheme="minorEastAsia" w:eastAsiaTheme="minorEastAsia" w:cstheme="minorEastAsia"/>
          <w:sz w:val="24"/>
          <w:szCs w:val="24"/>
        </w:rPr>
      </w:pPr>
      <w:bookmarkStart w:id="633" w:name="_Toc28451"/>
      <w:bookmarkStart w:id="634" w:name="_Toc1700"/>
      <w:bookmarkStart w:id="635" w:name="_Toc517273255"/>
      <w:bookmarkStart w:id="636" w:name="_Toc16445"/>
      <w:bookmarkStart w:id="637" w:name="_Toc18166"/>
      <w:r>
        <w:rPr>
          <w:rFonts w:hint="eastAsia" w:asciiTheme="minorEastAsia" w:hAnsiTheme="minorEastAsia" w:eastAsiaTheme="minorEastAsia" w:cstheme="minorEastAsia"/>
          <w:sz w:val="24"/>
          <w:szCs w:val="24"/>
        </w:rPr>
        <w:t>14  设计：</w:t>
      </w:r>
      <w:bookmarkEnd w:id="633"/>
      <w:bookmarkEnd w:id="634"/>
      <w:bookmarkEnd w:id="635"/>
      <w:bookmarkEnd w:id="636"/>
      <w:bookmarkEnd w:id="637"/>
    </w:p>
    <w:p w14:paraId="6D334F16">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14.1分包人应被认为，在最终报价日期前已仔细审查了发包人要求（包括设计标准和计算，如果有）。除下述情况外，发包人不应对原包括在合同内的发包人要求中的任何错误、不准确、或遗漏负责，并不被认为，对任何数据或资料给出了任何准确性或完整性的表示。分包人从发包人或其它方面获得的任何数据或资料不应解除分包人对设计和工程施工承担的责任。</w:t>
      </w:r>
    </w:p>
    <w:p w14:paraId="646DF05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14.2分包人应负责工程的设计，并在除下列发包人应负责的部分外，对发包人要求（包括设计标准和计算）的正确性负责，但发包人对发包人要求中的下列部分以及发包人提供的下列数据和资料的正确性负责：</w:t>
      </w:r>
    </w:p>
    <w:p w14:paraId="68AACC8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14.2.1在合同中规定的由发包人负责的、或不可变的部分、数据和资料；</w:t>
      </w:r>
    </w:p>
    <w:p w14:paraId="7B74CEA6">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14.2.2竣工工程的试验和性能标准；</w:t>
      </w:r>
    </w:p>
    <w:p w14:paraId="4B28A952">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14.2.3合同另外约定的应由发包人负责的部分。</w:t>
      </w:r>
    </w:p>
    <w:p w14:paraId="71F481BB">
      <w:pPr>
        <w:pStyle w:val="75"/>
        <w:spacing w:before="120" w:beforeLines="50" w:line="360" w:lineRule="auto"/>
        <w:rPr>
          <w:rFonts w:hint="eastAsia" w:asciiTheme="minorEastAsia" w:hAnsiTheme="minorEastAsia" w:eastAsiaTheme="minorEastAsia" w:cstheme="minorEastAsia"/>
          <w:sz w:val="24"/>
          <w:szCs w:val="24"/>
        </w:rPr>
      </w:pPr>
      <w:bookmarkStart w:id="638" w:name="_Toc183424152"/>
      <w:bookmarkStart w:id="639" w:name="_Toc21510"/>
      <w:bookmarkStart w:id="640" w:name="_Toc4558"/>
      <w:bookmarkStart w:id="641" w:name="_Toc31780"/>
      <w:bookmarkStart w:id="642" w:name="_Toc200394233"/>
      <w:bookmarkStart w:id="643" w:name="_Toc17894"/>
      <w:bookmarkStart w:id="644" w:name="_Toc18866"/>
      <w:bookmarkStart w:id="645" w:name="_Toc6646"/>
      <w:bookmarkStart w:id="646" w:name="_Toc3923"/>
      <w:bookmarkStart w:id="647" w:name="_Toc32492"/>
      <w:bookmarkStart w:id="648" w:name="_Toc16382"/>
      <w:bookmarkStart w:id="649" w:name="_Toc517273256"/>
      <w:bookmarkStart w:id="650" w:name="_Toc30505"/>
      <w:bookmarkStart w:id="651" w:name="_Toc10756"/>
      <w:bookmarkStart w:id="652" w:name="_Toc4695"/>
      <w:bookmarkStart w:id="653" w:name="_Toc23995"/>
      <w:bookmarkStart w:id="654" w:name="_Toc23164"/>
      <w:bookmarkStart w:id="655" w:name="_Toc7175"/>
      <w:r>
        <w:rPr>
          <w:rFonts w:hint="eastAsia" w:asciiTheme="minorEastAsia" w:hAnsiTheme="minorEastAsia" w:eastAsiaTheme="minorEastAsia" w:cstheme="minorEastAsia"/>
          <w:sz w:val="24"/>
          <w:szCs w:val="24"/>
        </w:rPr>
        <w:t>四、工程质量、检查、检验、试验、验收</w:t>
      </w:r>
      <w:bookmarkEnd w:id="638"/>
      <w:r>
        <w:rPr>
          <w:rFonts w:hint="eastAsia" w:asciiTheme="minorEastAsia" w:hAnsiTheme="minorEastAsia" w:eastAsiaTheme="minorEastAsia" w:cstheme="minorEastAsia"/>
          <w:sz w:val="24"/>
          <w:szCs w:val="24"/>
        </w:rPr>
        <w:t>：</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4C21E60F">
      <w:pPr>
        <w:pStyle w:val="74"/>
        <w:spacing w:before="120" w:beforeLines="50" w:line="360" w:lineRule="auto"/>
        <w:rPr>
          <w:rFonts w:hint="eastAsia" w:asciiTheme="minorEastAsia" w:hAnsiTheme="minorEastAsia" w:eastAsiaTheme="minorEastAsia" w:cstheme="minorEastAsia"/>
          <w:sz w:val="24"/>
          <w:szCs w:val="24"/>
        </w:rPr>
      </w:pPr>
      <w:bookmarkStart w:id="656" w:name="_Toc183424153"/>
      <w:bookmarkStart w:id="657" w:name="_Toc12566"/>
      <w:bookmarkStart w:id="658" w:name="_Toc517273257"/>
      <w:bookmarkStart w:id="659" w:name="_Toc1188"/>
      <w:bookmarkStart w:id="660" w:name="_Toc19578"/>
      <w:bookmarkStart w:id="661" w:name="_Toc11977"/>
      <w:r>
        <w:rPr>
          <w:rFonts w:hint="eastAsia" w:asciiTheme="minorEastAsia" w:hAnsiTheme="minorEastAsia" w:eastAsiaTheme="minorEastAsia" w:cstheme="minorEastAsia"/>
          <w:sz w:val="24"/>
          <w:szCs w:val="24"/>
        </w:rPr>
        <w:t>15  工程质量</w:t>
      </w:r>
      <w:bookmarkEnd w:id="656"/>
      <w:r>
        <w:rPr>
          <w:rFonts w:hint="eastAsia" w:asciiTheme="minorEastAsia" w:hAnsiTheme="minorEastAsia" w:eastAsiaTheme="minorEastAsia" w:cstheme="minorEastAsia"/>
          <w:sz w:val="24"/>
          <w:szCs w:val="24"/>
        </w:rPr>
        <w:t>：</w:t>
      </w:r>
      <w:bookmarkEnd w:id="657"/>
      <w:bookmarkEnd w:id="658"/>
      <w:bookmarkEnd w:id="659"/>
      <w:bookmarkEnd w:id="660"/>
      <w:bookmarkEnd w:id="661"/>
    </w:p>
    <w:p w14:paraId="4B83A27E">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15.1本工程质量标准为</w:t>
      </w:r>
      <w:r>
        <w:rPr>
          <w:rFonts w:hint="eastAsia" w:asciiTheme="minorEastAsia" w:hAnsiTheme="minorEastAsia" w:eastAsiaTheme="minorEastAsia" w:cstheme="minorEastAsia"/>
          <w:kern w:val="0"/>
          <w:sz w:val="24"/>
          <w:lang w:eastAsia="zh-CN"/>
        </w:rPr>
        <w:t>合格</w:t>
      </w:r>
      <w:r>
        <w:rPr>
          <w:rFonts w:hint="eastAsia" w:asciiTheme="minorEastAsia" w:hAnsiTheme="minorEastAsia" w:eastAsiaTheme="minorEastAsia" w:cstheme="minorEastAsia"/>
          <w:kern w:val="0"/>
          <w:sz w:val="24"/>
        </w:rPr>
        <w:t>。分包人应当严格按照图纸、设计文件和设计说明以及相关施工技术规范和操作规程进行施工，按国家和本地区规定做好试件和材料的试验，确保工程质量。工程质量因分包人原因未能达到专用条款约定的工程质量等级及国家和本地区标准、规范要求的，分包人承担违约责任。</w:t>
      </w:r>
    </w:p>
    <w:p w14:paraId="13FD9BD6">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15.2各方对工程质量有争议，由各方认可的工程质量检测机构鉴定，所需费用及因此造成的损失，由责任方承担。各方均有责任，由各方根据其责任分别承担。</w:t>
      </w:r>
    </w:p>
    <w:p w14:paraId="03500EFA">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15.3分包人对工程的质量向发包人负责，其职责包括但不限于以下内容：</w:t>
      </w:r>
    </w:p>
    <w:p w14:paraId="315B4312">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15.3.1工程所需材料设备采购、及分包人所负责的设计；</w:t>
      </w:r>
    </w:p>
    <w:p w14:paraId="1528D080">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15.3.2编制施工技术方案、确定施工技术措施；</w:t>
      </w:r>
    </w:p>
    <w:p w14:paraId="59D38981">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15.3.3配备和组织足够的专业工程技术人员，检查和控制工程设计、材料设备采购、施工质量；</w:t>
      </w:r>
    </w:p>
    <w:p w14:paraId="234EECE3">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15.3.4控制施工所用的材料设备，使之符合标准与规范、设计要求及合同约定的标准，如果发包人有确定的样板的，应按样板采购施工；</w:t>
      </w:r>
    </w:p>
    <w:p w14:paraId="25E27DD5">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15.3.5组织并参加所有工程的验收工作，包括隐蔽验收、中间验收并承担相应的费用；参加竣工验收，组织分包人参加工程验收；</w:t>
      </w:r>
    </w:p>
    <w:p w14:paraId="7D022526">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15.3.6及时归集工程资料，并按工程资料整理规范和城市档案馆的要求整理验收归档；</w:t>
      </w:r>
    </w:p>
    <w:p w14:paraId="56581BAA">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15.3.7承担质量保修期的工程保修责任。</w:t>
      </w:r>
    </w:p>
    <w:p w14:paraId="0D2A2227">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15.4分包人的施工过程，应全程接受质量监督部门、监理单位以及发包人的检查监督，分包人应为这些检查监督提供便利条件。发包人或监理单位发现工程存在达不到标准规范或合同约定的质量要求的情况，发包人或监理单位可以书面形式通知分包人限期采取有效措施纠正直至符合约定条件，由此增加的费用由分包人承担，工期不予顺延；如分包人不能在限期内采取措施纠正至符合约定条件的，发包人有权采取措施直至解除合同。</w:t>
      </w:r>
    </w:p>
    <w:p w14:paraId="246CDA08">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15.5重要的分部、分项工程，分包人应单独做施工方案，没有编报施工组织方案的单项工程不得开工。</w:t>
      </w:r>
    </w:p>
    <w:p w14:paraId="7EF530A8">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15.6分包人应在材料设备采购、全面施工前向发包人提供样品，并提前72个小时报发包人与监理单位验收，经验收合格后可按样品的标准全面进行。样品须有小样或排版图等。样品未经验收或验收不合格分包人自行全面施工的，发包人有权下达暂停工令；造成返工的，费用由分包人承担，工期不予顺延。</w:t>
      </w:r>
    </w:p>
    <w:p w14:paraId="1F588F60">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15.7分包人在施工中发生质量事故由分包人负全责，应立即及时报告发包人项目负责人和监理单位。一般质量事故处理结果送发包人和监理单位备案，重大质量事故的处理方案应经设计单位、质量监督站、发包人、监理单位等单位共同研究，并经设计单位、发包人和监理单位签证后实施。</w:t>
      </w:r>
    </w:p>
    <w:p w14:paraId="2381108C">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15.8分包人未按图纸、设计文件和设计说明以及相关施工技术规范和操作规程进行施工，均可视为质量事故。因分包人原因出现质量事故的，发包人可视质量事故的轻重，对每起质量事故向分包人收取50,000.00至500,000.00元的违约金，并且该违约金不能免除分包人应承担的其他责任。</w:t>
      </w:r>
    </w:p>
    <w:p w14:paraId="296486F4">
      <w:pPr>
        <w:pStyle w:val="74"/>
        <w:spacing w:before="120" w:beforeLines="50" w:line="360" w:lineRule="auto"/>
        <w:rPr>
          <w:rFonts w:hint="eastAsia" w:asciiTheme="minorEastAsia" w:hAnsiTheme="minorEastAsia" w:eastAsiaTheme="minorEastAsia" w:cstheme="minorEastAsia"/>
          <w:sz w:val="24"/>
          <w:szCs w:val="24"/>
        </w:rPr>
      </w:pPr>
      <w:bookmarkStart w:id="662" w:name="_Toc5673"/>
      <w:bookmarkStart w:id="663" w:name="_Toc517273258"/>
      <w:bookmarkStart w:id="664" w:name="_Toc30622"/>
      <w:bookmarkStart w:id="665" w:name="_Toc14240"/>
      <w:bookmarkStart w:id="666" w:name="_Toc9347"/>
      <w:r>
        <w:rPr>
          <w:rFonts w:hint="eastAsia" w:asciiTheme="minorEastAsia" w:hAnsiTheme="minorEastAsia" w:eastAsiaTheme="minorEastAsia" w:cstheme="minorEastAsia"/>
          <w:sz w:val="24"/>
          <w:szCs w:val="24"/>
        </w:rPr>
        <w:t>16  检查、检验：</w:t>
      </w:r>
      <w:bookmarkEnd w:id="662"/>
      <w:bookmarkEnd w:id="663"/>
      <w:bookmarkEnd w:id="664"/>
      <w:bookmarkEnd w:id="665"/>
      <w:bookmarkEnd w:id="666"/>
    </w:p>
    <w:p w14:paraId="109A0C0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16.1工程的验收以发包人、承包人要求、图纸及说明书、国家和本地区颁布的施工及验收规范和质量检验标准为依据。</w:t>
      </w:r>
    </w:p>
    <w:p w14:paraId="00CCCDD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16.2发包人、承包人及监理单位有权在加工、生产（如果有）和施工期间（在现场和其他合同规定的范围）对材料、设备和工艺进行检查、检验、测量和试验。</w:t>
      </w:r>
    </w:p>
    <w:p w14:paraId="301A6026">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16.3对发包人、承包人及监理单位应检查、检验、测量和试验的工作，分包人应在自检合格且填制记录表（内容包括材料、设备或范围、数量、质量等）后，覆盖、掩蔽、包装以便储存或运输前，持表通过承包人通知监理单位检查.</w:t>
      </w:r>
    </w:p>
    <w:p w14:paraId="7ED35818">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16.3.1若承包人发现分包人在未经自检的情况下报验，则承包人每发现一次，分包人应向承包人支付违约金3000元。</w:t>
      </w:r>
    </w:p>
    <w:p w14:paraId="37E19A5E">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16.3.2若检查、检验、测量或试验结果，表明任何设备、材料、设计或工艺有缺陷，或不符合合同要求，分包人应立即修复缺陷，并保证上述项目符合合同规定。同时发包人可在工程进度款中将该部分有缺陷的设备、材料、设计或工艺的款项扣留，直至分包人全面修复该缺陷后在下一次进度款支付中予以支付。</w:t>
      </w:r>
    </w:p>
    <w:p w14:paraId="4AD5DB72">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16.4 工程隐蔽部位覆盖前的检查</w:t>
      </w:r>
    </w:p>
    <w:p w14:paraId="4C00EA99">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16.4.1重要的材料、设备、隐蔽工程或部位，分包人应通过承包人通知监理人在约定的期限内检查并通知发包人到场。分包人应在共同检查前48小时通过承包人书面通知发包人和监理人。分包人的通知应附有自检记录和必要的检查资料。监理人应按时到场检查经监理人检查确认质量符合隐蔽要求，并在检查记录上签字后，分包人才能进行覆盖。如监理人检查确认质量不合格的，分包人应在监理人指示的时间内完成修复，并通知监理人重新检查。</w:t>
      </w:r>
    </w:p>
    <w:p w14:paraId="2F9C99BA">
      <w:pPr>
        <w:tabs>
          <w:tab w:val="left" w:pos="425"/>
          <w:tab w:val="left" w:pos="720"/>
        </w:tabs>
        <w:spacing w:line="360" w:lineRule="auto"/>
        <w:ind w:firstLine="480" w:firstLineChars="200"/>
        <w:rPr>
          <w:rFonts w:asciiTheme="minorEastAsia" w:hAnsiTheme="minorEastAsia" w:eastAsiaTheme="minorEastAsia" w:cstheme="minorEastAsia"/>
          <w:color w:val="000000"/>
          <w:kern w:val="0"/>
          <w:sz w:val="24"/>
        </w:rPr>
      </w:pPr>
      <w:r>
        <w:rPr>
          <w:rFonts w:asciiTheme="minorEastAsia" w:hAnsiTheme="minorEastAsia" w:eastAsiaTheme="minorEastAsia" w:cstheme="minorEastAsia"/>
          <w:kern w:val="0"/>
          <w:sz w:val="24"/>
        </w:rPr>
        <w:t>16.4.2</w:t>
      </w:r>
      <w:r>
        <w:rPr>
          <w:rFonts w:hint="eastAsia" w:asciiTheme="minorEastAsia" w:hAnsiTheme="minorEastAsia" w:eastAsiaTheme="minorEastAsia" w:cstheme="minorEastAsia"/>
          <w:color w:val="000000"/>
          <w:kern w:val="0"/>
          <w:sz w:val="24"/>
        </w:rPr>
        <w:t>监理人未按第16.4.1项约定的时间到场检查的，除监理人另有指示外，分包人须在发包人、承包人在场的情况下自行完成覆盖工作（发包人在场并不视同发包</w:t>
      </w:r>
      <w:r>
        <w:rPr>
          <w:rFonts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rPr>
        <w:t>人对该隐蔽部位质量的认可，同时不免除分包人按合同约定应负的责任），并作相应记录报送监理人，监理人应签字确认。监理人事后对检查记录有疑问的，可</w:t>
      </w:r>
      <w:r>
        <w:rPr>
          <w:rFonts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rPr>
        <w:t>按第16.4.3项的约定重新检查。</w:t>
      </w:r>
    </w:p>
    <w:p w14:paraId="5E8DA89D">
      <w:pPr>
        <w:tabs>
          <w:tab w:val="left" w:pos="425"/>
          <w:tab w:val="left" w:pos="720"/>
        </w:tabs>
        <w:spacing w:line="360" w:lineRule="auto"/>
        <w:ind w:firstLine="480" w:firstLineChars="200"/>
        <w:rPr>
          <w:rFonts w:asciiTheme="minorEastAsia" w:hAnsiTheme="minorEastAsia" w:eastAsiaTheme="minorEastAsia" w:cstheme="minorEastAsia"/>
          <w:color w:val="000000"/>
          <w:kern w:val="0"/>
          <w:sz w:val="24"/>
        </w:rPr>
      </w:pPr>
      <w:r>
        <w:rPr>
          <w:rFonts w:asciiTheme="minorEastAsia" w:hAnsiTheme="minorEastAsia" w:eastAsiaTheme="minorEastAsia" w:cstheme="minorEastAsia"/>
          <w:kern w:val="0"/>
          <w:sz w:val="24"/>
        </w:rPr>
        <w:t>16.4.3</w:t>
      </w:r>
      <w:r>
        <w:rPr>
          <w:rFonts w:hint="eastAsia" w:asciiTheme="minorEastAsia" w:hAnsiTheme="minorEastAsia" w:eastAsiaTheme="minorEastAsia" w:cstheme="minorEastAsia"/>
          <w:color w:val="000000"/>
          <w:kern w:val="0"/>
          <w:sz w:val="24"/>
        </w:rPr>
        <w:t>分包人按第16.4.1项或第16.4.2项覆盖工程隐蔽部位后，监理人对质量有疑问的，经发包人同意后,可通过承包人要求分包人对已覆盖的部位进行钻孔探测或揭开重新检验，分包人应遵照执行，并在检验后重新覆盖恢复原状。重新检查时，分包人应通过承包人通知发包人到场，经检验证明工程质量符合合同要求的，由发包人承担由此增加的费用和（或）工期延误（根据总承包合同，发包人支付相 关增加费用给承包人，承包人根据本合同把相应金额支付给分包人）；经检验证明工程质量不符合合同要求的，由此增加的费用和（或）工期延误由分包人承担。</w:t>
      </w:r>
    </w:p>
    <w:p w14:paraId="0113F24A">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16.5不管是否已通过验收，发包人仍可要求分包人在规定的时间内完成以下工作：</w:t>
      </w:r>
    </w:p>
    <w:p w14:paraId="7542A6C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16.5.1将不符合合同要求的设备、材料移出现场，并进行更换，费用由分包人承担。</w:t>
      </w:r>
    </w:p>
    <w:p w14:paraId="1905B681">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16.5.2为确保工程安全，需进行的任何工作。</w:t>
      </w:r>
    </w:p>
    <w:p w14:paraId="0B37428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16.5.3若分包人未能完成发包人规定的该项工作，发包人有权雇用第三方完成该工作。所发生的费用由分包人承担，由发包人直接从分包人的工程款中予以扣除并将此款项支付给第三方。</w:t>
      </w:r>
    </w:p>
    <w:p w14:paraId="61FF78A6">
      <w:pPr>
        <w:pStyle w:val="74"/>
        <w:spacing w:before="120" w:beforeLines="50" w:line="360" w:lineRule="auto"/>
        <w:rPr>
          <w:rFonts w:hint="eastAsia" w:asciiTheme="minorEastAsia" w:hAnsiTheme="minorEastAsia" w:eastAsiaTheme="minorEastAsia" w:cstheme="minorEastAsia"/>
          <w:sz w:val="24"/>
          <w:szCs w:val="24"/>
        </w:rPr>
      </w:pPr>
      <w:bookmarkStart w:id="667" w:name="_Toc22004"/>
      <w:bookmarkStart w:id="668" w:name="_Toc266"/>
      <w:bookmarkStart w:id="669" w:name="_Toc517273259"/>
      <w:bookmarkStart w:id="670" w:name="_Toc16535"/>
      <w:bookmarkStart w:id="671" w:name="_Toc21965"/>
      <w:r>
        <w:rPr>
          <w:rFonts w:hint="eastAsia" w:asciiTheme="minorEastAsia" w:hAnsiTheme="minorEastAsia" w:eastAsiaTheme="minorEastAsia" w:cstheme="minorEastAsia"/>
          <w:sz w:val="24"/>
          <w:szCs w:val="24"/>
        </w:rPr>
        <w:t>17  试验（本款适用于竣工后试验（如果有）以外的合同或工程所需的所有试验）：</w:t>
      </w:r>
      <w:bookmarkEnd w:id="667"/>
      <w:bookmarkEnd w:id="668"/>
      <w:bookmarkEnd w:id="669"/>
      <w:bookmarkEnd w:id="670"/>
      <w:bookmarkEnd w:id="671"/>
    </w:p>
    <w:p w14:paraId="20C46913">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17.1为有效进行规定的试验，分包人应提供试验所需的所有仪器、帮助、文件和其它资料、装备、燃料、消耗品、工具、劳力、材料，以及具有适当资质和经验的人员。对设备、材料和工程其它部分进行规定的试验，时间与地点由各方协商。</w:t>
      </w:r>
    </w:p>
    <w:p w14:paraId="29FFBF8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17.2发包人可改变进行规定试验的位置和细节，或指示分包人进行附加的试验。如果变更的试验或附加试验表明，经过试验的设备、材料或工艺不符合合同要求，不管合同有任何其他规定，分包人应承担修复该缺陷的责任。</w:t>
      </w:r>
    </w:p>
    <w:p w14:paraId="5363EF77">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17.3分包人应提前48小时通过承包人通知发包人和监理单位参加试验。</w:t>
      </w:r>
    </w:p>
    <w:p w14:paraId="3BE69C5F">
      <w:pPr>
        <w:pStyle w:val="75"/>
        <w:spacing w:before="120" w:beforeLines="50" w:line="360" w:lineRule="auto"/>
        <w:rPr>
          <w:rFonts w:hint="eastAsia" w:asciiTheme="minorEastAsia" w:hAnsiTheme="minorEastAsia" w:eastAsiaTheme="minorEastAsia" w:cstheme="minorEastAsia"/>
          <w:sz w:val="24"/>
          <w:szCs w:val="24"/>
        </w:rPr>
      </w:pPr>
      <w:bookmarkStart w:id="672" w:name="_Toc183424155"/>
      <w:bookmarkStart w:id="673" w:name="_Toc2510"/>
      <w:bookmarkStart w:id="674" w:name="_Toc200394234"/>
      <w:bookmarkStart w:id="675" w:name="_Toc15270"/>
      <w:bookmarkStart w:id="676" w:name="_Toc7057"/>
      <w:bookmarkStart w:id="677" w:name="_Toc12438"/>
      <w:bookmarkStart w:id="678" w:name="_Toc22742"/>
      <w:bookmarkStart w:id="679" w:name="_Toc13211"/>
      <w:bookmarkStart w:id="680" w:name="_Toc20403"/>
      <w:bookmarkStart w:id="681" w:name="_Toc24053"/>
      <w:bookmarkStart w:id="682" w:name="_Toc6324"/>
      <w:bookmarkStart w:id="683" w:name="_Toc517273260"/>
      <w:bookmarkStart w:id="684" w:name="_Toc30810"/>
      <w:bookmarkStart w:id="685" w:name="_Toc18070"/>
      <w:bookmarkStart w:id="686" w:name="_Toc5523"/>
      <w:bookmarkStart w:id="687" w:name="_Toc7899"/>
      <w:bookmarkStart w:id="688" w:name="_Toc1466"/>
      <w:bookmarkStart w:id="689" w:name="_Toc5360"/>
      <w:r>
        <w:rPr>
          <w:rFonts w:hint="eastAsia" w:asciiTheme="minorEastAsia" w:hAnsiTheme="minorEastAsia" w:eastAsiaTheme="minorEastAsia" w:cstheme="minorEastAsia"/>
          <w:sz w:val="24"/>
          <w:szCs w:val="24"/>
        </w:rPr>
        <w:t>五、安全文明施工与场地管理</w:t>
      </w:r>
      <w:bookmarkEnd w:id="672"/>
      <w:r>
        <w:rPr>
          <w:rFonts w:hint="eastAsia" w:asciiTheme="minorEastAsia" w:hAnsiTheme="minorEastAsia" w:eastAsiaTheme="minorEastAsia" w:cstheme="minorEastAsia"/>
          <w:sz w:val="24"/>
          <w:szCs w:val="24"/>
        </w:rPr>
        <w:t>：</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1909B0D2">
      <w:pPr>
        <w:pStyle w:val="74"/>
        <w:spacing w:before="120" w:beforeLines="50" w:line="360" w:lineRule="auto"/>
        <w:rPr>
          <w:rFonts w:hint="eastAsia" w:asciiTheme="minorEastAsia" w:hAnsiTheme="minorEastAsia" w:eastAsiaTheme="minorEastAsia" w:cstheme="minorEastAsia"/>
          <w:sz w:val="24"/>
          <w:szCs w:val="24"/>
        </w:rPr>
      </w:pPr>
      <w:bookmarkStart w:id="690" w:name="_Toc183424156"/>
      <w:bookmarkStart w:id="691" w:name="_Toc18434"/>
      <w:bookmarkStart w:id="692" w:name="_Toc13714"/>
      <w:bookmarkStart w:id="693" w:name="_Toc11150"/>
      <w:bookmarkStart w:id="694" w:name="_Toc31951"/>
      <w:bookmarkStart w:id="695" w:name="_Toc517273261"/>
      <w:r>
        <w:rPr>
          <w:rFonts w:hint="eastAsia" w:asciiTheme="minorEastAsia" w:hAnsiTheme="minorEastAsia" w:eastAsiaTheme="minorEastAsia" w:cstheme="minorEastAsia"/>
          <w:sz w:val="24"/>
          <w:szCs w:val="24"/>
        </w:rPr>
        <w:t>18  安全文明施工</w:t>
      </w:r>
      <w:bookmarkEnd w:id="690"/>
      <w:r>
        <w:rPr>
          <w:rFonts w:hint="eastAsia" w:asciiTheme="minorEastAsia" w:hAnsiTheme="minorEastAsia" w:eastAsiaTheme="minorEastAsia" w:cstheme="minorEastAsia"/>
          <w:sz w:val="24"/>
          <w:szCs w:val="24"/>
        </w:rPr>
        <w:t>：</w:t>
      </w:r>
      <w:bookmarkEnd w:id="691"/>
      <w:bookmarkEnd w:id="692"/>
      <w:bookmarkEnd w:id="693"/>
      <w:bookmarkEnd w:id="694"/>
      <w:bookmarkEnd w:id="695"/>
    </w:p>
    <w:p w14:paraId="23D126A2">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18.1分包人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分包人违反安全生产有关规定或安全措施不力造成事故的责任和因此发生的费用，由分包人承担。</w:t>
      </w:r>
    </w:p>
    <w:p w14:paraId="29C3CD20">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18.2分包人应在开工前一周内制订详细的安全和文明施工奖罚制度报发包人核定后执行，指定安全、防火负责人。分包人如不按时审报安全和文明施工制度，应向承包包人支付违约金1万元；分包人应遵守工程建设安全生产有关管理规定，建立健全安全防护和文明施工的制度，完善安全防护和文明施工条件，严格按安全文明施工的相关规定组织施工，采取必要的安全防护措施，消除事故隐患，并随时接受有关部门依法实施的监督检查。由于分包人违反安全生产有关规定或安全措施不力造成事故的责任和因此发生的费用，由分包人承担。</w:t>
      </w:r>
    </w:p>
    <w:p w14:paraId="57A107E9">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18.3分包人在施工期间，应及时整理和安排所有机械、工具、材料、建筑垃圾等。建筑垃圾和剩余材料应及时清理出现场，保证施工现场井然有序。现场排污、排水分包人必须经沉淀池或化粪池且处理后方可排入市政排水或排污井。分包人在未能及时做好现场场地清理以保证施工现场清洁有序的，承包人可安排其他人员进行管理，分包人承担因此发生的一切费用；此外，承包人可对分包人收取每宗3000元的违约金。</w:t>
      </w:r>
    </w:p>
    <w:p w14:paraId="57B953D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18.4分包人应</w:t>
      </w:r>
      <w:r>
        <w:rPr>
          <w:rFonts w:hint="eastAsia" w:asciiTheme="minorEastAsia" w:hAnsiTheme="minorEastAsia" w:eastAsiaTheme="minorEastAsia" w:cstheme="minorEastAsia"/>
          <w:spacing w:val="0"/>
          <w:kern w:val="0"/>
          <w:sz w:val="24"/>
        </w:rPr>
        <w:t>遵守政府主管部门对施工场地交通、施工噪音、环境保护以及和安全生产有关的管理规定，按规定办理有关手续，并以书面形式通过承包人知会发包人、监理单位，除规定应由发包人、承包人承担的费用以外，其余费用由分包人承担；应在施工过程中严格落实粉尘、废水等污染防治措施及生态保护、水土保持措施，并且由此发生的费用及罚款由分包人负责。</w:t>
      </w:r>
    </w:p>
    <w:p w14:paraId="7BD1D237">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18.5分包人由于现场安全文明施工问题导致工程被相关管理部门罚款、下令停工或其它处罚，承包人不负任何责任，并且承包人可向分包人收取每次每项5000元的违约金。</w:t>
      </w:r>
    </w:p>
    <w:p w14:paraId="3B7A7EE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18.6施工中如出现安全事故，分包人应承担全部责任。发包人、承包人有权根据现场安全事故的情况和责任轻重，向分包人收取100,000.00元的违约金，并此违约金不能免除分包人应承担的其它责任。施工中如出现重伤以上事故，应及时上报有关部门和告知发包人。</w:t>
      </w:r>
    </w:p>
    <w:p w14:paraId="6562D4D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18.7如因分包人管理原因导致安全、质量问题，或火灾、工人工资纠纷上访、堵路堵门或重大伤亡事故受到各类媒体报道，分包人除应积极处理控制事态，消除事件对发包人声誉或项目销售的影响外，分包人每次还应向承包人支付违约金30万元。</w:t>
      </w:r>
    </w:p>
    <w:p w14:paraId="1B8CC235">
      <w:pPr>
        <w:pStyle w:val="74"/>
        <w:spacing w:before="120" w:beforeLines="50" w:line="360" w:lineRule="auto"/>
        <w:rPr>
          <w:rFonts w:hint="eastAsia" w:asciiTheme="minorEastAsia" w:hAnsiTheme="minorEastAsia" w:eastAsiaTheme="minorEastAsia" w:cstheme="minorEastAsia"/>
          <w:sz w:val="24"/>
          <w:szCs w:val="24"/>
        </w:rPr>
      </w:pPr>
      <w:bookmarkStart w:id="696" w:name="_Toc183424157"/>
      <w:bookmarkStart w:id="697" w:name="_Toc517273262"/>
      <w:bookmarkStart w:id="698" w:name="_Toc27889"/>
      <w:bookmarkStart w:id="699" w:name="_Toc24657"/>
      <w:bookmarkStart w:id="700" w:name="_Toc26110"/>
      <w:bookmarkStart w:id="701" w:name="_Toc19542"/>
      <w:r>
        <w:rPr>
          <w:rFonts w:hint="eastAsia" w:asciiTheme="minorEastAsia" w:hAnsiTheme="minorEastAsia" w:eastAsiaTheme="minorEastAsia" w:cstheme="minorEastAsia"/>
          <w:sz w:val="24"/>
          <w:szCs w:val="24"/>
        </w:rPr>
        <w:t>19、现场平面管理</w:t>
      </w:r>
      <w:bookmarkEnd w:id="696"/>
      <w:r>
        <w:rPr>
          <w:rFonts w:hint="eastAsia" w:asciiTheme="minorEastAsia" w:hAnsiTheme="minorEastAsia" w:eastAsiaTheme="minorEastAsia" w:cstheme="minorEastAsia"/>
          <w:sz w:val="24"/>
          <w:szCs w:val="24"/>
        </w:rPr>
        <w:t>：</w:t>
      </w:r>
      <w:bookmarkEnd w:id="697"/>
      <w:bookmarkEnd w:id="698"/>
      <w:bookmarkEnd w:id="699"/>
      <w:bookmarkEnd w:id="700"/>
      <w:bookmarkEnd w:id="701"/>
    </w:p>
    <w:p w14:paraId="02032D45">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19.1分包人进行施工平面布置时，应从便于现场施工综合考虑。</w:t>
      </w:r>
    </w:p>
    <w:p w14:paraId="4EEC6484">
      <w:pPr>
        <w:pStyle w:val="75"/>
        <w:spacing w:before="120" w:beforeLines="50" w:line="360" w:lineRule="auto"/>
        <w:rPr>
          <w:rFonts w:hint="eastAsia" w:asciiTheme="minorEastAsia" w:hAnsiTheme="minorEastAsia" w:eastAsiaTheme="minorEastAsia" w:cstheme="minorEastAsia"/>
          <w:sz w:val="24"/>
          <w:szCs w:val="24"/>
        </w:rPr>
      </w:pPr>
      <w:bookmarkStart w:id="702" w:name="_Toc183424158"/>
      <w:bookmarkStart w:id="703" w:name="_Toc9457"/>
      <w:bookmarkStart w:id="704" w:name="_Toc23208"/>
      <w:bookmarkStart w:id="705" w:name="_Toc26573"/>
      <w:bookmarkStart w:id="706" w:name="_Toc4133"/>
      <w:bookmarkStart w:id="707" w:name="_Toc13022"/>
      <w:bookmarkStart w:id="708" w:name="_Toc14887"/>
      <w:bookmarkStart w:id="709" w:name="_Toc29663"/>
      <w:bookmarkStart w:id="710" w:name="_Toc15194"/>
      <w:bookmarkStart w:id="711" w:name="_Toc517273263"/>
      <w:bookmarkStart w:id="712" w:name="_Toc200394235"/>
      <w:bookmarkStart w:id="713" w:name="_Toc24048"/>
      <w:bookmarkStart w:id="714" w:name="_Toc22532"/>
      <w:bookmarkStart w:id="715" w:name="_Toc21802"/>
      <w:bookmarkStart w:id="716" w:name="_Toc26370"/>
      <w:bookmarkStart w:id="717" w:name="_Toc20428"/>
      <w:bookmarkStart w:id="718" w:name="_Toc7152"/>
      <w:bookmarkStart w:id="719" w:name="_Toc17877"/>
      <w:r>
        <w:rPr>
          <w:rFonts w:hint="eastAsia" w:asciiTheme="minorEastAsia" w:hAnsiTheme="minorEastAsia" w:eastAsiaTheme="minorEastAsia" w:cstheme="minorEastAsia"/>
          <w:sz w:val="24"/>
          <w:szCs w:val="24"/>
        </w:rPr>
        <w:t>六、合同价款与支付</w:t>
      </w:r>
      <w:bookmarkEnd w:id="702"/>
      <w:r>
        <w:rPr>
          <w:rFonts w:hint="eastAsia" w:asciiTheme="minorEastAsia" w:hAnsiTheme="minorEastAsia" w:eastAsiaTheme="minorEastAsia" w:cstheme="minorEastAsia"/>
          <w:sz w:val="24"/>
          <w:szCs w:val="24"/>
        </w:rPr>
        <w:t>：</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5DD8FB7D">
      <w:pPr>
        <w:pStyle w:val="74"/>
        <w:spacing w:before="120" w:beforeLines="50" w:line="360" w:lineRule="auto"/>
        <w:rPr>
          <w:rFonts w:hint="eastAsia" w:asciiTheme="minorEastAsia" w:hAnsiTheme="minorEastAsia" w:eastAsiaTheme="minorEastAsia" w:cstheme="minorEastAsia"/>
          <w:sz w:val="24"/>
          <w:szCs w:val="24"/>
        </w:rPr>
      </w:pPr>
      <w:bookmarkStart w:id="720" w:name="_Toc183424159"/>
      <w:bookmarkStart w:id="721" w:name="_Toc26015"/>
      <w:bookmarkStart w:id="722" w:name="_Toc32271"/>
      <w:bookmarkStart w:id="723" w:name="_Toc13831"/>
      <w:bookmarkStart w:id="724" w:name="_Toc517273264"/>
      <w:bookmarkStart w:id="725" w:name="_Toc6772"/>
      <w:r>
        <w:rPr>
          <w:rFonts w:hint="eastAsia" w:asciiTheme="minorEastAsia" w:hAnsiTheme="minorEastAsia" w:eastAsiaTheme="minorEastAsia" w:cstheme="minorEastAsia"/>
          <w:sz w:val="24"/>
          <w:szCs w:val="24"/>
        </w:rPr>
        <w:t>20  合同价款与调整</w:t>
      </w:r>
      <w:bookmarkEnd w:id="720"/>
      <w:r>
        <w:rPr>
          <w:rFonts w:hint="eastAsia" w:asciiTheme="minorEastAsia" w:hAnsiTheme="minorEastAsia" w:eastAsiaTheme="minorEastAsia" w:cstheme="minorEastAsia"/>
          <w:sz w:val="24"/>
          <w:szCs w:val="24"/>
        </w:rPr>
        <w:t>：</w:t>
      </w:r>
      <w:bookmarkEnd w:id="721"/>
      <w:bookmarkEnd w:id="722"/>
      <w:bookmarkEnd w:id="723"/>
      <w:bookmarkEnd w:id="724"/>
      <w:bookmarkEnd w:id="725"/>
    </w:p>
    <w:p w14:paraId="6834CB97">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20.1 发包工程的包干单价及工程量，是工程进度款支付的依据。合同暂定总价在协议书和专用条款中约定。</w:t>
      </w:r>
    </w:p>
    <w:p w14:paraId="4C73503F">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20.2合同价款的计价方式，按含税综合单价包干方式计价，工程量按实结算，具体在专用条款中约定。</w:t>
      </w:r>
    </w:p>
    <w:p w14:paraId="7EDA6C68">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20.3合同价款的调整条件和调整方法，各方在专用条款中予以明确。</w:t>
      </w:r>
    </w:p>
    <w:p w14:paraId="1C7DC4B9">
      <w:pPr>
        <w:pStyle w:val="74"/>
        <w:spacing w:before="120" w:beforeLines="50" w:line="360" w:lineRule="auto"/>
        <w:rPr>
          <w:rFonts w:hint="eastAsia" w:asciiTheme="minorEastAsia" w:hAnsiTheme="minorEastAsia" w:eastAsiaTheme="minorEastAsia" w:cstheme="minorEastAsia"/>
          <w:sz w:val="24"/>
          <w:szCs w:val="24"/>
        </w:rPr>
      </w:pPr>
      <w:bookmarkStart w:id="726" w:name="_Toc183424160"/>
      <w:bookmarkStart w:id="727" w:name="_Toc10566"/>
      <w:bookmarkStart w:id="728" w:name="_Toc28044"/>
      <w:bookmarkStart w:id="729" w:name="_Toc517273265"/>
      <w:bookmarkStart w:id="730" w:name="_Toc7477"/>
      <w:bookmarkStart w:id="731" w:name="_Toc19311"/>
      <w:r>
        <w:rPr>
          <w:rFonts w:hint="eastAsia" w:asciiTheme="minorEastAsia" w:hAnsiTheme="minorEastAsia" w:eastAsiaTheme="minorEastAsia" w:cstheme="minorEastAsia"/>
          <w:sz w:val="24"/>
          <w:szCs w:val="24"/>
        </w:rPr>
        <w:t>21  价款支付</w:t>
      </w:r>
      <w:bookmarkEnd w:id="726"/>
      <w:r>
        <w:rPr>
          <w:rFonts w:hint="eastAsia" w:asciiTheme="minorEastAsia" w:hAnsiTheme="minorEastAsia" w:eastAsiaTheme="minorEastAsia" w:cstheme="minorEastAsia"/>
          <w:sz w:val="24"/>
          <w:szCs w:val="24"/>
        </w:rPr>
        <w:t>：</w:t>
      </w:r>
      <w:bookmarkEnd w:id="727"/>
      <w:bookmarkEnd w:id="728"/>
      <w:bookmarkEnd w:id="729"/>
      <w:bookmarkEnd w:id="730"/>
      <w:bookmarkEnd w:id="731"/>
    </w:p>
    <w:p w14:paraId="7449F21D">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21.1</w:t>
      </w:r>
      <w:r>
        <w:rPr>
          <w:rFonts w:hint="eastAsia" w:asciiTheme="minorEastAsia" w:hAnsiTheme="minorEastAsia" w:eastAsiaTheme="minorEastAsia" w:cstheme="minorEastAsia"/>
          <w:color w:val="auto"/>
          <w:kern w:val="0"/>
          <w:sz w:val="24"/>
        </w:rPr>
        <w:t>预付款</w:t>
      </w:r>
    </w:p>
    <w:p w14:paraId="5D133990">
      <w:pPr>
        <w:spacing w:line="360" w:lineRule="auto"/>
        <w:ind w:left="360"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kern w:val="0"/>
          <w:sz w:val="24"/>
        </w:rPr>
        <w:t>21.1.1</w:t>
      </w:r>
      <w:r>
        <w:rPr>
          <w:rFonts w:hint="eastAsia" w:asciiTheme="minorEastAsia" w:hAnsiTheme="minorEastAsia" w:eastAsiaTheme="minorEastAsia" w:cstheme="minorEastAsia"/>
          <w:color w:val="000000"/>
          <w:kern w:val="0"/>
          <w:sz w:val="24"/>
        </w:rPr>
        <w:t>预付款用于分包人为合同工程施工购置材料、工程设备、施工设备、修</w:t>
      </w:r>
      <w:r>
        <w:rPr>
          <w:rFonts w:asciiTheme="minorEastAsia" w:hAnsiTheme="minorEastAsia" w:eastAsiaTheme="minorEastAsia" w:cstheme="minorEastAsia"/>
          <w:color w:val="000000"/>
          <w:kern w:val="0"/>
          <w:sz w:val="24"/>
        </w:rPr>
        <w:t xml:space="preserve"> </w:t>
      </w:r>
      <w:r>
        <w:rPr>
          <w:rFonts w:hint="eastAsia" w:asciiTheme="minorEastAsia" w:hAnsiTheme="minorEastAsia" w:eastAsiaTheme="minorEastAsia" w:cstheme="minorEastAsia"/>
          <w:color w:val="000000"/>
          <w:kern w:val="0"/>
          <w:sz w:val="24"/>
        </w:rPr>
        <w:t>建临时设施以及组织施工队伍进场并支付劳务费用等。预付款的额度和预付办法在专用条款中约定。预付款必须专用于合同工程。</w:t>
      </w:r>
    </w:p>
    <w:p w14:paraId="38D645F8">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w:t>
      </w:r>
      <w:r>
        <w:rPr>
          <w:rFonts w:hint="eastAsia" w:asciiTheme="minorEastAsia" w:hAnsiTheme="minorEastAsia" w:eastAsiaTheme="minorEastAsia" w:cstheme="minorEastAsia"/>
          <w:color w:val="auto"/>
          <w:kern w:val="0"/>
          <w:sz w:val="24"/>
        </w:rPr>
        <w:t>工程进度付款</w:t>
      </w:r>
    </w:p>
    <w:p w14:paraId="6FC9E4F7">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21.2.1</w:t>
      </w:r>
      <w:r>
        <w:rPr>
          <w:rFonts w:hint="eastAsia" w:asciiTheme="minorEastAsia" w:hAnsiTheme="minorEastAsia" w:eastAsiaTheme="minorEastAsia" w:cstheme="minorEastAsia"/>
          <w:color w:val="auto"/>
          <w:kern w:val="0"/>
          <w:sz w:val="24"/>
        </w:rPr>
        <w:t>在确认计量结果和价款后，发包人通过承包人向分包人支付工程进度款。</w:t>
      </w:r>
    </w:p>
    <w:p w14:paraId="3B089650">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21.2.2</w:t>
      </w:r>
      <w:r>
        <w:rPr>
          <w:rFonts w:hint="eastAsia" w:asciiTheme="minorEastAsia" w:hAnsiTheme="minorEastAsia" w:eastAsiaTheme="minorEastAsia" w:cstheme="minorEastAsia"/>
          <w:color w:val="auto"/>
          <w:kern w:val="0"/>
          <w:sz w:val="24"/>
        </w:rPr>
        <w:t>工程进度款的支付时间额度和要求在专用条款中说明。</w:t>
      </w:r>
    </w:p>
    <w:p w14:paraId="379310E7">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21.2.3</w:t>
      </w:r>
      <w:r>
        <w:rPr>
          <w:rFonts w:hint="eastAsia" w:asciiTheme="minorEastAsia" w:hAnsiTheme="minorEastAsia" w:eastAsiaTheme="minorEastAsia" w:cstheme="minorEastAsia"/>
          <w:color w:val="auto"/>
          <w:kern w:val="0"/>
          <w:sz w:val="24"/>
        </w:rPr>
        <w:t>如因发包人原因导致承包人支付进度款逾期的，则自开始逾期之日起的28天视为宽限期。在宽限期内，分包人不得行使任何追讨的权利，且承包人无需向分包人承担逾期付款的违约责任。</w:t>
      </w:r>
    </w:p>
    <w:p w14:paraId="49A1858D">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21.2.4</w:t>
      </w:r>
      <w:r>
        <w:rPr>
          <w:rFonts w:hint="eastAsia" w:asciiTheme="minorEastAsia" w:hAnsiTheme="minorEastAsia" w:eastAsiaTheme="minorEastAsia" w:cstheme="minorEastAsia"/>
          <w:color w:val="auto"/>
          <w:kern w:val="0"/>
          <w:sz w:val="24"/>
        </w:rPr>
        <w:t>如因发包人原因未能在宽限期结束前支付承包人分包工程进度款，分包人在宽限期结束后可通过承包人向发包人发出要求付款的通知，发包人收到通知后仍不能按要求付款，承包人可与分包人协商签订延期付款协议，经分包人同意后可延期支付。</w:t>
      </w:r>
    </w:p>
    <w:p w14:paraId="0CDF1CB9">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21.2.5</w:t>
      </w:r>
      <w:r>
        <w:rPr>
          <w:rFonts w:hint="eastAsia" w:asciiTheme="minorEastAsia" w:hAnsiTheme="minorEastAsia" w:eastAsiaTheme="minorEastAsia" w:cstheme="minorEastAsia"/>
          <w:color w:val="auto"/>
          <w:kern w:val="0"/>
          <w:sz w:val="24"/>
        </w:rPr>
        <w:t>进度款与质量、安全挂钩，若申报工作的质量、安全达不到验收规范要求，发包人、承包人有权暂缓支付该部分工程款，直至合格为止。</w:t>
      </w:r>
    </w:p>
    <w:p w14:paraId="743753B1">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21.2.6</w:t>
      </w:r>
      <w:r>
        <w:rPr>
          <w:rFonts w:hint="eastAsia" w:asciiTheme="minorEastAsia" w:hAnsiTheme="minorEastAsia" w:eastAsiaTheme="minorEastAsia" w:cstheme="minorEastAsia"/>
          <w:color w:val="auto"/>
          <w:kern w:val="0"/>
          <w:sz w:val="24"/>
        </w:rPr>
        <w:t>双方确认，分包人在每月申请进度款时，均应按照政府主管部门备案要求向承包人、发包人提供当月已完工程的全部施工验收资料（包括但不限于进场材料检验、检验批验收、分部和分项验收、单位工程验收、隐蔽工程验收等），否则，发包人、承包人有权拒绝支付进度款，分包人不得据此延迟工期，由此</w:t>
      </w:r>
      <w:r>
        <w:rPr>
          <w:rFonts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rPr>
        <w:t>生的损失由分包人自行承担。</w:t>
      </w:r>
    </w:p>
    <w:p w14:paraId="122D5204">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21.2.7</w:t>
      </w:r>
      <w:r>
        <w:rPr>
          <w:rFonts w:hint="eastAsia" w:asciiTheme="minorEastAsia" w:hAnsiTheme="minorEastAsia" w:eastAsiaTheme="minorEastAsia" w:cstheme="minorEastAsia"/>
          <w:color w:val="auto"/>
          <w:kern w:val="0"/>
          <w:sz w:val="24"/>
        </w:rPr>
        <w:t>发包人或承包人有权在付款中扣除如下任何款项：</w:t>
      </w:r>
    </w:p>
    <w:p w14:paraId="4F24F922">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auto"/>
          <w:kern w:val="0"/>
          <w:sz w:val="24"/>
        </w:rPr>
        <w:t>1)如果分包人提供的任何材料、工程设备或完成的工作不符合合同要求，在完成修正和更换前，扣除该修正和更换所需费用；</w:t>
      </w:r>
    </w:p>
    <w:p w14:paraId="549279D5">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auto"/>
          <w:kern w:val="0"/>
          <w:sz w:val="24"/>
        </w:rPr>
        <w:t>2)如果分包人未能按照合同要求履行任何工作或义务，在该项工作或义务完成前，扣除该工作或义务的价值；</w:t>
      </w:r>
    </w:p>
    <w:p w14:paraId="3885F230">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auto"/>
          <w:kern w:val="0"/>
          <w:sz w:val="24"/>
        </w:rPr>
        <w:t>3)分包人按照本合同约定应承担的任何违约责任或发包人可扣留的任何款项。</w:t>
      </w:r>
    </w:p>
    <w:p w14:paraId="781ABB82">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21.2.8</w:t>
      </w:r>
      <w:r>
        <w:rPr>
          <w:rFonts w:hint="eastAsia" w:asciiTheme="minorEastAsia" w:hAnsiTheme="minorEastAsia" w:eastAsiaTheme="minorEastAsia" w:cstheme="minorEastAsia"/>
          <w:color w:val="auto"/>
          <w:kern w:val="0"/>
          <w:sz w:val="24"/>
        </w:rPr>
        <w:t>施工期内为付款而对工程量的核实，仅用于支付工程进度款，并非工</w:t>
      </w:r>
      <w:r>
        <w:rPr>
          <w:rFonts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rPr>
        <w:t>程已验收合格的依据，亦非发包人对结算工程量的最终确认。</w:t>
      </w:r>
    </w:p>
    <w:p w14:paraId="03091F8D">
      <w:pPr>
        <w:spacing w:line="360" w:lineRule="auto"/>
        <w:ind w:left="360"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kern w:val="0"/>
          <w:sz w:val="24"/>
        </w:rPr>
        <w:t>21.2.9</w:t>
      </w:r>
      <w:r>
        <w:rPr>
          <w:rFonts w:hint="eastAsia" w:asciiTheme="minorEastAsia" w:hAnsiTheme="minorEastAsia" w:eastAsiaTheme="minorEastAsia" w:cstheme="minorEastAsia"/>
          <w:color w:val="000000"/>
          <w:kern w:val="0"/>
          <w:sz w:val="24"/>
        </w:rPr>
        <w:t>发票的要求在专用条款里写明。</w:t>
      </w:r>
    </w:p>
    <w:p w14:paraId="340971B8">
      <w:pPr>
        <w:spacing w:line="360" w:lineRule="auto"/>
        <w:ind w:left="360"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17.6.质量保证金 17.6.1.质量保证金的返还按照专用条款的约定执行。 17.6.2.在缺陷责任期满时，分包人没有完成保修责任的，发包人、承包人有权 扣留与未履行责任剩余工作所需金额相应的质量保证金余额，并有权要求延长缺 陷责任期，直至完成剩余工作为止。</w:t>
      </w:r>
    </w:p>
    <w:p w14:paraId="4701A4F2">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21.3</w:t>
      </w:r>
      <w:r>
        <w:rPr>
          <w:rFonts w:hint="eastAsia" w:asciiTheme="minorEastAsia" w:hAnsiTheme="minorEastAsia" w:eastAsiaTheme="minorEastAsia" w:cstheme="minorEastAsia"/>
          <w:color w:val="auto"/>
          <w:kern w:val="0"/>
          <w:sz w:val="24"/>
        </w:rPr>
        <w:t>竣工结算</w:t>
      </w:r>
    </w:p>
    <w:p w14:paraId="0A726BB4">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21.3.1</w:t>
      </w:r>
      <w:r>
        <w:rPr>
          <w:rFonts w:hint="eastAsia" w:asciiTheme="minorEastAsia" w:hAnsiTheme="minorEastAsia" w:eastAsiaTheme="minorEastAsia" w:cstheme="minorEastAsia"/>
          <w:color w:val="auto"/>
          <w:kern w:val="0"/>
          <w:sz w:val="24"/>
        </w:rPr>
        <w:t>竣工验收合格之日起60天内，经承包人审核确认后，分包人向发包人递交结算书及相关文件。若发包人要求分包人提交其他数据，分包人需加以配合提供</w:t>
      </w:r>
      <w:r>
        <w:rPr>
          <w:rFonts w:hint="eastAsia" w:asciiTheme="minorEastAsia" w:hAnsiTheme="minorEastAsia" w:eastAsiaTheme="minorEastAsia" w:cstheme="minorEastAsia"/>
          <w:kern w:val="0"/>
          <w:sz w:val="24"/>
        </w:rPr>
        <w:t>。完整有效的结算资料包括但不限于：竣工图（需经发包人现场工程负责人及其部门领导审核签字确认）、设计变更通知单、现场签证（需经发包人现场经办人员及其部门领导审核签字确认、并且符合本合同对签证的时间要求）、会议纪要、施工组织设计、工程业务联系单、材料定价函、工程结算书、工程量计算稿（书面稿和Excel格式的电子版（若有））。</w:t>
      </w:r>
    </w:p>
    <w:p w14:paraId="147B9C8B">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21.3.2</w:t>
      </w:r>
      <w:r>
        <w:rPr>
          <w:rFonts w:hint="eastAsia" w:asciiTheme="minorEastAsia" w:hAnsiTheme="minorEastAsia" w:eastAsiaTheme="minorEastAsia" w:cstheme="minorEastAsia"/>
          <w:color w:val="auto"/>
          <w:kern w:val="0"/>
          <w:sz w:val="24"/>
        </w:rPr>
        <w:t>发包人在收到分包人提交的结算书及一切所需相关资料后，按专用条款约定的结算期限，进行工程竣工结算。</w:t>
      </w:r>
    </w:p>
    <w:p w14:paraId="44DF0CCD">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21.3.3</w:t>
      </w:r>
      <w:r>
        <w:rPr>
          <w:rFonts w:hint="eastAsia" w:asciiTheme="minorEastAsia" w:hAnsiTheme="minorEastAsia" w:eastAsiaTheme="minorEastAsia" w:cstheme="minorEastAsia"/>
          <w:color w:val="auto"/>
          <w:kern w:val="0"/>
          <w:sz w:val="24"/>
        </w:rPr>
        <w:t>分包人提交的结算书必须是完整的，发包人在结算审价过程中，分包人无权利提出任何补充结算资料（图纸、变更单、价格凭证等）的要求，结算书中若有结算遗漏项目的均由分包人自行承担。</w:t>
      </w:r>
    </w:p>
    <w:p w14:paraId="4BFF19AD">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21.3.4</w:t>
      </w:r>
      <w:r>
        <w:rPr>
          <w:rFonts w:hint="eastAsia" w:asciiTheme="minorEastAsia" w:hAnsiTheme="minorEastAsia" w:eastAsiaTheme="minorEastAsia" w:cstheme="minorEastAsia"/>
          <w:color w:val="auto"/>
          <w:kern w:val="0"/>
          <w:sz w:val="24"/>
        </w:rPr>
        <w:t>分包人提交的结算书应包括分包人认为其有权获得的全部工程价款、赔偿、补偿及其他任何金额。任何未在竣工结算报告中载明的项目，视为发包人无须支付，即分包人放弃了要求发包人支付的权利（如有）。</w:t>
      </w:r>
    </w:p>
    <w:p w14:paraId="6364DFAF">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21.3.5</w:t>
      </w:r>
      <w:r>
        <w:rPr>
          <w:rFonts w:hint="eastAsia" w:asciiTheme="minorEastAsia" w:hAnsiTheme="minorEastAsia" w:eastAsiaTheme="minorEastAsia" w:cstheme="minorEastAsia"/>
          <w:color w:val="auto"/>
          <w:kern w:val="0"/>
          <w:sz w:val="24"/>
        </w:rPr>
        <w:t>发包人收到通过承包人提交的分包人结算书后，由且只由发包人以书面形式方可表示对分包人提交结算书的认可或接受，发包人的任何作为与不作为（包括要求分包人补充资料、不同意的表示、质疑、要求协商的会议、要求签订与分包人提出的报告不一致的协议或备忘录等）均视为对分包人结算书的不认可。</w:t>
      </w:r>
    </w:p>
    <w:p w14:paraId="07A7C6BF">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21.3.6</w:t>
      </w:r>
      <w:r>
        <w:rPr>
          <w:rFonts w:hint="eastAsia" w:asciiTheme="minorEastAsia" w:hAnsiTheme="minorEastAsia" w:eastAsiaTheme="minorEastAsia" w:cstheme="minorEastAsia"/>
          <w:color w:val="auto"/>
          <w:kern w:val="0"/>
          <w:sz w:val="24"/>
        </w:rPr>
        <w:t>结算书经发包人内部审计并与承包人、分包人三方确认后的价款被认为是本工程的全部工程总价，本合同任何需要调整工程总价的因素均已获考虑，该等工程总价确认后不做任何调整。</w:t>
      </w:r>
    </w:p>
    <w:p w14:paraId="2B40A7D2">
      <w:pPr>
        <w:numPr>
          <w:ilvl w:val="0"/>
          <w:numId w:val="0"/>
        </w:numPr>
        <w:tabs>
          <w:tab w:val="left" w:pos="425"/>
          <w:tab w:val="left" w:pos="720"/>
        </w:tabs>
        <w:spacing w:line="360" w:lineRule="auto"/>
        <w:ind w:left="0"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21.3.7</w:t>
      </w:r>
      <w:r>
        <w:rPr>
          <w:rFonts w:hint="eastAsia" w:asciiTheme="minorEastAsia" w:hAnsiTheme="minorEastAsia" w:eastAsiaTheme="minorEastAsia" w:cstheme="minorEastAsia"/>
          <w:color w:val="auto"/>
          <w:kern w:val="0"/>
          <w:sz w:val="24"/>
        </w:rPr>
        <w:t>对工程结算的其他约定在专用条款中写明。</w:t>
      </w:r>
    </w:p>
    <w:p w14:paraId="1EF33D13">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21.4由承包人代缴的按合同约定应由分包人缴纳的各类费用，承包人可在分包人的工程进度款中扣除。</w:t>
      </w:r>
    </w:p>
    <w:p w14:paraId="079F2E73">
      <w:pPr>
        <w:pStyle w:val="75"/>
        <w:spacing w:before="120" w:beforeLines="50" w:line="360" w:lineRule="auto"/>
        <w:rPr>
          <w:rFonts w:hint="eastAsia" w:asciiTheme="minorEastAsia" w:hAnsiTheme="minorEastAsia" w:eastAsiaTheme="minorEastAsia" w:cstheme="minorEastAsia"/>
          <w:sz w:val="24"/>
          <w:szCs w:val="24"/>
        </w:rPr>
      </w:pPr>
      <w:bookmarkStart w:id="732" w:name="_Toc183424161"/>
      <w:bookmarkStart w:id="733" w:name="_Toc517273266"/>
      <w:bookmarkStart w:id="734" w:name="_Toc31473"/>
      <w:bookmarkStart w:id="735" w:name="_Toc6447"/>
      <w:bookmarkStart w:id="736" w:name="_Toc18428"/>
      <w:bookmarkStart w:id="737" w:name="_Toc12371"/>
      <w:bookmarkStart w:id="738" w:name="_Toc13672"/>
      <w:bookmarkStart w:id="739" w:name="_Toc14527"/>
      <w:bookmarkStart w:id="740" w:name="_Toc17672"/>
      <w:bookmarkStart w:id="741" w:name="_Toc18756"/>
      <w:bookmarkStart w:id="742" w:name="_Toc11336"/>
      <w:bookmarkStart w:id="743" w:name="_Toc200394236"/>
      <w:bookmarkStart w:id="744" w:name="_Toc23885"/>
      <w:bookmarkStart w:id="745" w:name="_Toc8185"/>
      <w:bookmarkStart w:id="746" w:name="_Toc23997"/>
      <w:bookmarkStart w:id="747" w:name="_Toc22985"/>
      <w:bookmarkStart w:id="748" w:name="_Toc8897"/>
      <w:bookmarkStart w:id="749" w:name="_Toc8493"/>
      <w:r>
        <w:rPr>
          <w:rFonts w:hint="eastAsia" w:asciiTheme="minorEastAsia" w:hAnsiTheme="minorEastAsia" w:eastAsiaTheme="minorEastAsia" w:cstheme="minorEastAsia"/>
          <w:sz w:val="24"/>
          <w:szCs w:val="24"/>
        </w:rPr>
        <w:t>七、材料和设备</w:t>
      </w:r>
      <w:bookmarkEnd w:id="732"/>
      <w:bookmarkEnd w:id="733"/>
      <w:r>
        <w:rPr>
          <w:rFonts w:hint="eastAsia" w:asciiTheme="minorEastAsia" w:hAnsiTheme="minorEastAsia" w:eastAsiaTheme="minorEastAsia" w:cstheme="minorEastAsia"/>
          <w:sz w:val="24"/>
          <w:szCs w:val="24"/>
        </w:rPr>
        <w:t>:</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00C5AE8C">
      <w:pPr>
        <w:pStyle w:val="74"/>
        <w:numPr>
          <w:ilvl w:val="0"/>
          <w:numId w:val="0"/>
        </w:numPr>
        <w:spacing w:before="120" w:beforeLines="50" w:line="360" w:lineRule="auto"/>
        <w:ind w:left="0" w:firstLine="0"/>
        <w:rPr>
          <w:rFonts w:hint="eastAsia" w:asciiTheme="minorEastAsia" w:hAnsiTheme="minorEastAsia" w:eastAsiaTheme="minorEastAsia" w:cstheme="minorEastAsia"/>
          <w:sz w:val="24"/>
          <w:szCs w:val="24"/>
        </w:rPr>
      </w:pPr>
      <w:bookmarkStart w:id="750" w:name="_Toc183424163"/>
      <w:bookmarkStart w:id="751" w:name="_Toc18556"/>
      <w:bookmarkStart w:id="752" w:name="_Toc4758"/>
      <w:bookmarkStart w:id="753" w:name="_Toc517273267"/>
      <w:bookmarkStart w:id="754" w:name="_Toc1254"/>
      <w:bookmarkStart w:id="755" w:name="_Toc11905"/>
      <w:r>
        <w:rPr>
          <w:rFonts w:hint="eastAsia" w:asciiTheme="minorEastAsia" w:hAnsiTheme="minorEastAsia" w:eastAsiaTheme="minorEastAsia" w:cstheme="minorEastAsia"/>
          <w:sz w:val="24"/>
          <w:szCs w:val="24"/>
        </w:rPr>
        <w:t>22  分包人采购的材料、设备</w:t>
      </w:r>
      <w:bookmarkEnd w:id="750"/>
      <w:r>
        <w:rPr>
          <w:rFonts w:hint="eastAsia" w:asciiTheme="minorEastAsia" w:hAnsiTheme="minorEastAsia" w:eastAsiaTheme="minorEastAsia" w:cstheme="minorEastAsia"/>
          <w:sz w:val="24"/>
          <w:szCs w:val="24"/>
        </w:rPr>
        <w:t>：</w:t>
      </w:r>
      <w:bookmarkEnd w:id="751"/>
      <w:bookmarkEnd w:id="752"/>
      <w:bookmarkEnd w:id="753"/>
      <w:bookmarkEnd w:id="754"/>
      <w:bookmarkEnd w:id="755"/>
    </w:p>
    <w:p w14:paraId="3AC5F040">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22.1除发包人供应的材料、设备外，工程中所需要的材料和设备均由分包人负责采购供应至工地现场，并负责保管。所有材料设备原则上分包人必须在本合同设备推荐品牌内选择采购。对于推荐品牌表外的材料设备，分包人需要在其质量满足合同、设计、规范、标准等要求的前提下选择产品，并通过承包人报发包人认可后采购。</w:t>
      </w:r>
    </w:p>
    <w:p w14:paraId="569E945A">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22.2由分包人采购的材料、设备，分包人应在订货前提供符合设计要求的货板、资料及价格给发包人确认备案。</w:t>
      </w:r>
    </w:p>
    <w:p w14:paraId="1CAE227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22.3分包人负责采购的材料设备，需按照合同约定及设计、有关标准和发包人要求采购，并提供出厂合格证明和本地区管理部门的认证，分包人对材料设备质量负责。分包人在材料设备到货前24小时通过承包人通知监理人及发包人清点。</w:t>
      </w:r>
    </w:p>
    <w:p w14:paraId="5F6D7DB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22.4分包人采购的材料设备与22.1～22.3款所述要求不符时，分包人应按监理人或承包人要求的时间运出施工场地，由分包人按材料设备价款的三倍向承包人支付违约金,并要求分包人重新订货,按照发包人要求重新更换材料，由此造成的一切责任及费用由分包人承担，由此延误的工期不予顺延。</w:t>
      </w:r>
    </w:p>
    <w:p w14:paraId="067D5FD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22.5分包人采购的材料设备在使用前，分包人应按监理人、承包人或发包人的要求进行检验或试验（分包人应将检测单位报发包人批准，发包人有权指定有资质的检测单位），不合格的不得使用，检验或试验费用由分包人承担。材料的送检抽样必须在施工现场进行，且须有承包人及监理人现场监督，送检合格后方能使用。</w:t>
      </w:r>
    </w:p>
    <w:p w14:paraId="12D2FDC6">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22.6分包人需要使用代用材料时，应通过承包人报设计和发包人项目负责人认可后才能使用，由此增加的价款由分包人承担。</w:t>
      </w:r>
    </w:p>
    <w:p w14:paraId="435E44A9">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22.7分包人未按与供应商签订的采购合同中约定的条款执行或未按采购合同中约定的支付条款支付相应材料设备货款，发包人有权直接代分包人向供应商支付相应款项,并在发包人应付给分包人的工程款或者其它款项中按该批代付材料款并增加20%的违约金全额扣回。分包人应对此积极配合发包人的工作，三个工作日内给予确认。</w:t>
      </w:r>
    </w:p>
    <w:p w14:paraId="5A277FFF">
      <w:pPr>
        <w:pStyle w:val="75"/>
        <w:spacing w:before="120" w:beforeLines="50" w:line="360" w:lineRule="auto"/>
        <w:rPr>
          <w:rFonts w:hint="eastAsia" w:asciiTheme="minorEastAsia" w:hAnsiTheme="minorEastAsia" w:eastAsiaTheme="minorEastAsia" w:cstheme="minorEastAsia"/>
          <w:sz w:val="24"/>
          <w:szCs w:val="24"/>
        </w:rPr>
      </w:pPr>
      <w:bookmarkStart w:id="756" w:name="_Toc183424164"/>
      <w:bookmarkStart w:id="757" w:name="_Toc754"/>
      <w:bookmarkStart w:id="758" w:name="_Toc22187"/>
      <w:bookmarkStart w:id="759" w:name="_Toc23864"/>
      <w:bookmarkStart w:id="760" w:name="_Toc7302"/>
      <w:bookmarkStart w:id="761" w:name="_Toc3633"/>
      <w:bookmarkStart w:id="762" w:name="_Toc517273268"/>
      <w:bookmarkStart w:id="763" w:name="_Toc200394237"/>
      <w:bookmarkStart w:id="764" w:name="_Toc12796"/>
      <w:bookmarkStart w:id="765" w:name="_Toc430"/>
      <w:bookmarkStart w:id="766" w:name="_Toc26046"/>
      <w:bookmarkStart w:id="767" w:name="_Toc24692"/>
      <w:bookmarkStart w:id="768" w:name="_Toc20513"/>
      <w:bookmarkStart w:id="769" w:name="_Toc20143"/>
      <w:bookmarkStart w:id="770" w:name="_Toc29566"/>
      <w:bookmarkStart w:id="771" w:name="_Toc7674"/>
      <w:bookmarkStart w:id="772" w:name="_Toc22382"/>
      <w:bookmarkStart w:id="773" w:name="_Toc27513"/>
      <w:r>
        <w:rPr>
          <w:rFonts w:hint="eastAsia" w:asciiTheme="minorEastAsia" w:hAnsiTheme="minorEastAsia" w:eastAsiaTheme="minorEastAsia" w:cstheme="minorEastAsia"/>
          <w:sz w:val="24"/>
          <w:szCs w:val="24"/>
        </w:rPr>
        <w:t>八、工程变更</w:t>
      </w:r>
      <w:bookmarkEnd w:id="756"/>
      <w:r>
        <w:rPr>
          <w:rFonts w:hint="eastAsia" w:asciiTheme="minorEastAsia" w:hAnsiTheme="minorEastAsia" w:eastAsiaTheme="minorEastAsia" w:cstheme="minorEastAsia"/>
          <w:sz w:val="24"/>
          <w:szCs w:val="24"/>
        </w:rPr>
        <w:t>：</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38663B7E">
      <w:pPr>
        <w:pStyle w:val="74"/>
        <w:spacing w:before="120" w:beforeLines="50" w:line="360" w:lineRule="auto"/>
        <w:rPr>
          <w:rFonts w:hint="eastAsia" w:asciiTheme="minorEastAsia" w:hAnsiTheme="minorEastAsia" w:eastAsiaTheme="minorEastAsia" w:cstheme="minorEastAsia"/>
          <w:sz w:val="24"/>
          <w:szCs w:val="24"/>
        </w:rPr>
      </w:pPr>
      <w:bookmarkStart w:id="774" w:name="_Toc183424165"/>
      <w:bookmarkStart w:id="775" w:name="_Toc517273269"/>
      <w:bookmarkStart w:id="776" w:name="_Toc21338"/>
      <w:bookmarkStart w:id="777" w:name="_Toc7558"/>
      <w:bookmarkStart w:id="778" w:name="_Toc15636"/>
      <w:bookmarkStart w:id="779" w:name="_Toc25902"/>
      <w:r>
        <w:rPr>
          <w:rFonts w:hint="eastAsia" w:asciiTheme="minorEastAsia" w:hAnsiTheme="minorEastAsia" w:eastAsiaTheme="minorEastAsia" w:cstheme="minorEastAsia"/>
          <w:sz w:val="24"/>
          <w:szCs w:val="24"/>
        </w:rPr>
        <w:t>23  工程设计变更</w:t>
      </w:r>
      <w:bookmarkEnd w:id="774"/>
      <w:r>
        <w:rPr>
          <w:rFonts w:hint="eastAsia" w:asciiTheme="minorEastAsia" w:hAnsiTheme="minorEastAsia" w:eastAsiaTheme="minorEastAsia" w:cstheme="minorEastAsia"/>
          <w:sz w:val="24"/>
          <w:szCs w:val="24"/>
        </w:rPr>
        <w:t>：</w:t>
      </w:r>
      <w:bookmarkEnd w:id="775"/>
      <w:bookmarkEnd w:id="776"/>
      <w:bookmarkEnd w:id="777"/>
      <w:bookmarkEnd w:id="778"/>
      <w:bookmarkEnd w:id="779"/>
    </w:p>
    <w:p w14:paraId="45053328">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23.1发包人通过承包人交付的图纸或分包人通过承包人提交的经发包人批准的图纸、说明和有关技术资料，作为施工的有效依据；开工前由承包人组织的设计交底和图纸会审记录，形成纪要作为施工的补充依据。</w:t>
      </w:r>
    </w:p>
    <w:p w14:paraId="73884BF6">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23.2发包人有权根据开发需要，对图纸进行变更。经发包人盖章认可后，分包人及时按变更施工，由此产生的费用依据专用条款第七款处理。</w:t>
      </w:r>
    </w:p>
    <w:p w14:paraId="4ED712AE">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23.3分包人如需对设计图纸进行变更，须经承包人报发包人及设计单位同意，并由分包人自行承担所发生的相关费用。</w:t>
      </w:r>
    </w:p>
    <w:p w14:paraId="2BF46FDC">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23.4所有图纸需通过承包人报发包人确认，如未经发包人书面确认擅自施工造成的损失由分包人负完全责任，工期不顺延。</w:t>
      </w:r>
    </w:p>
    <w:p w14:paraId="5B740BCF">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23.5如因管线综合设计图纸显示需要管道进行避让，造成的局部路由改变及管道翻弯，不能签证及增加工程量；</w:t>
      </w:r>
    </w:p>
    <w:p w14:paraId="0DF5E995">
      <w:pPr>
        <w:pStyle w:val="74"/>
        <w:spacing w:before="120" w:beforeLines="50" w:line="360" w:lineRule="auto"/>
        <w:ind w:left="0"/>
        <w:rPr>
          <w:rFonts w:hint="eastAsia" w:asciiTheme="minorEastAsia" w:hAnsiTheme="minorEastAsia" w:eastAsiaTheme="minorEastAsia" w:cstheme="minorEastAsia"/>
          <w:sz w:val="24"/>
          <w:szCs w:val="24"/>
        </w:rPr>
      </w:pPr>
      <w:bookmarkStart w:id="780" w:name="_Toc4849"/>
      <w:bookmarkStart w:id="781" w:name="_Toc27769"/>
      <w:bookmarkStart w:id="782" w:name="_Toc13658"/>
      <w:bookmarkStart w:id="783" w:name="_Toc517273270"/>
      <w:bookmarkStart w:id="784" w:name="_Toc11887"/>
      <w:r>
        <w:rPr>
          <w:rFonts w:hint="eastAsia" w:asciiTheme="minorEastAsia" w:hAnsiTheme="minorEastAsia" w:eastAsiaTheme="minorEastAsia" w:cstheme="minorEastAsia"/>
          <w:sz w:val="24"/>
          <w:szCs w:val="24"/>
        </w:rPr>
        <w:t>24  工程范围变更：</w:t>
      </w:r>
      <w:bookmarkEnd w:id="780"/>
      <w:bookmarkEnd w:id="781"/>
      <w:bookmarkEnd w:id="782"/>
      <w:bookmarkEnd w:id="783"/>
      <w:bookmarkEnd w:id="784"/>
    </w:p>
    <w:p w14:paraId="2E0EA36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24.1合同履行过程中，发包人、承包人可以将同本工程相关的合同范围外工程委托分包人负责施工。分包人对合同外工程实施后10天内，按要求办理签证确认手续。</w:t>
      </w:r>
    </w:p>
    <w:p w14:paraId="029EF7E4">
      <w:pPr>
        <w:pStyle w:val="74"/>
        <w:spacing w:before="120" w:beforeLines="50" w:line="360" w:lineRule="auto"/>
        <w:rPr>
          <w:rFonts w:hint="eastAsia" w:asciiTheme="minorEastAsia" w:hAnsiTheme="minorEastAsia" w:eastAsiaTheme="minorEastAsia" w:cstheme="minorEastAsia"/>
          <w:sz w:val="24"/>
          <w:szCs w:val="24"/>
        </w:rPr>
      </w:pPr>
      <w:bookmarkStart w:id="785" w:name="_Toc183424167"/>
      <w:bookmarkStart w:id="786" w:name="_Toc9940"/>
      <w:bookmarkStart w:id="787" w:name="_Toc24904"/>
      <w:bookmarkStart w:id="788" w:name="_Toc26503"/>
      <w:bookmarkStart w:id="789" w:name="_Toc517273271"/>
      <w:bookmarkStart w:id="790" w:name="_Toc9510"/>
      <w:r>
        <w:rPr>
          <w:rFonts w:hint="eastAsia" w:asciiTheme="minorEastAsia" w:hAnsiTheme="minorEastAsia" w:eastAsiaTheme="minorEastAsia" w:cstheme="minorEastAsia"/>
          <w:sz w:val="24"/>
          <w:szCs w:val="24"/>
        </w:rPr>
        <w:t>25  变更价款与签证</w:t>
      </w:r>
      <w:bookmarkEnd w:id="785"/>
      <w:r>
        <w:rPr>
          <w:rFonts w:hint="eastAsia" w:asciiTheme="minorEastAsia" w:hAnsiTheme="minorEastAsia" w:eastAsiaTheme="minorEastAsia" w:cstheme="minorEastAsia"/>
          <w:sz w:val="24"/>
          <w:szCs w:val="24"/>
        </w:rPr>
        <w:t>：</w:t>
      </w:r>
      <w:bookmarkEnd w:id="786"/>
      <w:bookmarkEnd w:id="787"/>
      <w:bookmarkEnd w:id="788"/>
      <w:bookmarkEnd w:id="789"/>
      <w:bookmarkEnd w:id="790"/>
    </w:p>
    <w:p w14:paraId="2798A106">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25.1工程变更签证的资料要求。属于工程变更（含设计变更和工程范围变更等）的签证工程，必须同时具有盖发包人公章的工程业务联系单、签证单（有需要须附上竣工图及验收单），如资料不全，工程造价增加的视为分包人放弃此项权利，工程造价减少的按实结算。</w:t>
      </w:r>
    </w:p>
    <w:p w14:paraId="256629B1">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25.2签证的时限要求。施工中发生的应由发包人承担责任的设计变更及其他变更，分包人应在发生后10天内办理好签证手续通过承包人报监理单位和发包人签章认可，并报两份签证原件交发包人备案。签证手续不完整的，发包人不予认可，不能作为结算依据；签证手续不得补办，若分包人在变更发生后超过10天仍未办理签证申请，视为自动放弃此部分权利，增加部分不再计取，减少部分经发包人核定未上报者除按核定价扣减造价外，发包人另外收取该部分造价的10％作为违约金从分包人的结算款中扣除。</w:t>
      </w:r>
    </w:p>
    <w:p w14:paraId="5B5A32D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25.3由于分包人原因导致的工程变更，分包人无权要求签证赔偿。</w:t>
      </w:r>
    </w:p>
    <w:p w14:paraId="2E5DE74F">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25.4签证单的签证程序必须严格按照发包人规定执行，否则，视为无效签证单。无效签证单发包人不予承认，责任由分包人自负。</w:t>
      </w:r>
    </w:p>
    <w:p w14:paraId="637F7CD1">
      <w:pPr>
        <w:pStyle w:val="75"/>
        <w:spacing w:before="120" w:beforeLines="50" w:line="360" w:lineRule="auto"/>
        <w:rPr>
          <w:rFonts w:hint="eastAsia" w:asciiTheme="minorEastAsia" w:hAnsiTheme="minorEastAsia" w:eastAsiaTheme="minorEastAsia" w:cstheme="minorEastAsia"/>
          <w:sz w:val="24"/>
          <w:szCs w:val="24"/>
        </w:rPr>
      </w:pPr>
      <w:bookmarkStart w:id="791" w:name="_Toc183424168"/>
      <w:bookmarkStart w:id="792" w:name="_Toc5463"/>
      <w:bookmarkStart w:id="793" w:name="_Toc18234"/>
      <w:bookmarkStart w:id="794" w:name="_Toc25108"/>
      <w:bookmarkStart w:id="795" w:name="_Toc3733"/>
      <w:bookmarkStart w:id="796" w:name="_Toc18048"/>
      <w:bookmarkStart w:id="797" w:name="_Toc6205"/>
      <w:bookmarkStart w:id="798" w:name="_Toc1868"/>
      <w:bookmarkStart w:id="799" w:name="_Toc200394238"/>
      <w:bookmarkStart w:id="800" w:name="_Toc25025"/>
      <w:bookmarkStart w:id="801" w:name="_Toc29323"/>
      <w:bookmarkStart w:id="802" w:name="_Toc15839"/>
      <w:bookmarkStart w:id="803" w:name="_Toc2605"/>
      <w:bookmarkStart w:id="804" w:name="_Toc30734"/>
      <w:bookmarkStart w:id="805" w:name="_Toc517273272"/>
      <w:bookmarkStart w:id="806" w:name="_Toc18079"/>
      <w:bookmarkStart w:id="807" w:name="_Toc18807"/>
      <w:bookmarkStart w:id="808" w:name="_Toc19253"/>
      <w:r>
        <w:rPr>
          <w:rFonts w:hint="eastAsia" w:asciiTheme="minorEastAsia" w:hAnsiTheme="minorEastAsia" w:eastAsiaTheme="minorEastAsia" w:cstheme="minorEastAsia"/>
          <w:sz w:val="24"/>
          <w:szCs w:val="24"/>
        </w:rPr>
        <w:t>九、工程分包管理</w:t>
      </w:r>
      <w:bookmarkEnd w:id="791"/>
      <w:r>
        <w:rPr>
          <w:rFonts w:hint="eastAsia" w:asciiTheme="minorEastAsia" w:hAnsiTheme="minorEastAsia" w:eastAsiaTheme="minorEastAsia" w:cstheme="minorEastAsia"/>
          <w:sz w:val="24"/>
          <w:szCs w:val="24"/>
        </w:rPr>
        <w:t>：</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2CE443D4">
      <w:pPr>
        <w:pStyle w:val="74"/>
        <w:spacing w:before="120" w:beforeLines="50" w:line="360" w:lineRule="auto"/>
        <w:ind w:left="0"/>
        <w:rPr>
          <w:rFonts w:hint="eastAsia" w:asciiTheme="minorEastAsia" w:hAnsiTheme="minorEastAsia" w:eastAsiaTheme="minorEastAsia" w:cstheme="minorEastAsia"/>
          <w:sz w:val="24"/>
          <w:szCs w:val="24"/>
        </w:rPr>
      </w:pPr>
      <w:bookmarkStart w:id="809" w:name="_Toc183424169"/>
      <w:bookmarkStart w:id="810" w:name="_Toc517273273"/>
      <w:bookmarkStart w:id="811" w:name="_Toc18578"/>
      <w:bookmarkStart w:id="812" w:name="_Toc2229"/>
      <w:bookmarkStart w:id="813" w:name="_Toc6944"/>
      <w:bookmarkStart w:id="814" w:name="_Toc2211"/>
      <w:r>
        <w:rPr>
          <w:rFonts w:hint="eastAsia" w:asciiTheme="minorEastAsia" w:hAnsiTheme="minorEastAsia" w:eastAsiaTheme="minorEastAsia" w:cstheme="minorEastAsia"/>
          <w:sz w:val="24"/>
          <w:szCs w:val="24"/>
        </w:rPr>
        <w:t>26  分包人分包</w:t>
      </w:r>
      <w:bookmarkEnd w:id="809"/>
      <w:r>
        <w:rPr>
          <w:rFonts w:hint="eastAsia" w:asciiTheme="minorEastAsia" w:hAnsiTheme="minorEastAsia" w:eastAsiaTheme="minorEastAsia" w:cstheme="minorEastAsia"/>
          <w:sz w:val="24"/>
          <w:szCs w:val="24"/>
        </w:rPr>
        <w:t>：</w:t>
      </w:r>
      <w:bookmarkEnd w:id="810"/>
      <w:bookmarkEnd w:id="811"/>
      <w:bookmarkEnd w:id="812"/>
      <w:bookmarkEnd w:id="813"/>
      <w:bookmarkEnd w:id="814"/>
    </w:p>
    <w:p w14:paraId="4C0AF70E">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根据《中华人民共和国建筑法》第二十八条，明确禁止承包单位将其承包的全部建筑工程转包给他人，同时也禁止承包单位将其承包的全部建筑工程肢解以后以分包的名义分别转包给他人。</w:t>
      </w:r>
    </w:p>
    <w:p w14:paraId="5BB4A229">
      <w:pPr>
        <w:pStyle w:val="74"/>
        <w:spacing w:before="120" w:beforeLines="50" w:line="360" w:lineRule="auto"/>
        <w:ind w:left="0"/>
        <w:rPr>
          <w:rFonts w:hint="eastAsia" w:asciiTheme="minorEastAsia" w:hAnsiTheme="minorEastAsia" w:eastAsiaTheme="minorEastAsia" w:cstheme="minorEastAsia"/>
          <w:sz w:val="24"/>
          <w:szCs w:val="24"/>
        </w:rPr>
      </w:pPr>
      <w:bookmarkStart w:id="815" w:name="_Toc183424170"/>
      <w:bookmarkStart w:id="816" w:name="_Toc21040"/>
      <w:bookmarkStart w:id="817" w:name="_Toc26716"/>
      <w:bookmarkStart w:id="818" w:name="_Toc22438"/>
      <w:bookmarkStart w:id="819" w:name="_Toc517273274"/>
      <w:bookmarkStart w:id="820" w:name="_Toc17065"/>
      <w:r>
        <w:rPr>
          <w:rFonts w:hint="eastAsia" w:asciiTheme="minorEastAsia" w:hAnsiTheme="minorEastAsia" w:eastAsiaTheme="minorEastAsia" w:cstheme="minorEastAsia"/>
          <w:sz w:val="24"/>
          <w:szCs w:val="24"/>
        </w:rPr>
        <w:t>27  发包人分包</w:t>
      </w:r>
      <w:bookmarkEnd w:id="815"/>
      <w:r>
        <w:rPr>
          <w:rFonts w:hint="eastAsia" w:asciiTheme="minorEastAsia" w:hAnsiTheme="minorEastAsia" w:eastAsiaTheme="minorEastAsia" w:cstheme="minorEastAsia"/>
          <w:sz w:val="24"/>
          <w:szCs w:val="24"/>
        </w:rPr>
        <w:t>：</w:t>
      </w:r>
      <w:bookmarkEnd w:id="816"/>
      <w:bookmarkEnd w:id="817"/>
      <w:bookmarkEnd w:id="818"/>
      <w:bookmarkEnd w:id="819"/>
      <w:bookmarkEnd w:id="820"/>
    </w:p>
    <w:p w14:paraId="3BBDE313">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27.1 发包人根据需要分包的工程，在专用条款中约定。</w:t>
      </w:r>
    </w:p>
    <w:p w14:paraId="7EBD241E">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27.2 分包人应按发包人审批的施工组织计划，提供发包人分包工程的进场条件，并提前通知发包人。</w:t>
      </w:r>
    </w:p>
    <w:p w14:paraId="391F9965">
      <w:pPr>
        <w:pStyle w:val="74"/>
        <w:spacing w:before="120" w:beforeLines="50" w:line="360" w:lineRule="auto"/>
        <w:ind w:left="0"/>
        <w:rPr>
          <w:rFonts w:hint="eastAsia" w:asciiTheme="minorEastAsia" w:hAnsiTheme="minorEastAsia" w:eastAsiaTheme="minorEastAsia" w:cstheme="minorEastAsia"/>
          <w:sz w:val="24"/>
          <w:szCs w:val="24"/>
        </w:rPr>
      </w:pPr>
      <w:bookmarkStart w:id="821" w:name="_Toc183424171"/>
      <w:bookmarkStart w:id="822" w:name="_Toc1429"/>
      <w:bookmarkStart w:id="823" w:name="_Toc20630"/>
      <w:bookmarkStart w:id="824" w:name="_Toc19686"/>
      <w:bookmarkStart w:id="825" w:name="_Toc517273275"/>
      <w:bookmarkStart w:id="826" w:name="_Toc11433"/>
      <w:r>
        <w:rPr>
          <w:rFonts w:hint="eastAsia" w:asciiTheme="minorEastAsia" w:hAnsiTheme="minorEastAsia" w:eastAsiaTheme="minorEastAsia" w:cstheme="minorEastAsia"/>
          <w:sz w:val="24"/>
          <w:szCs w:val="24"/>
        </w:rPr>
        <w:t>28  分包管理</w:t>
      </w:r>
      <w:bookmarkEnd w:id="821"/>
      <w:r>
        <w:rPr>
          <w:rFonts w:hint="eastAsia" w:asciiTheme="minorEastAsia" w:hAnsiTheme="minorEastAsia" w:eastAsiaTheme="minorEastAsia" w:cstheme="minorEastAsia"/>
          <w:sz w:val="24"/>
          <w:szCs w:val="24"/>
        </w:rPr>
        <w:t>：</w:t>
      </w:r>
      <w:bookmarkEnd w:id="822"/>
      <w:bookmarkEnd w:id="823"/>
      <w:bookmarkEnd w:id="824"/>
      <w:bookmarkEnd w:id="825"/>
      <w:bookmarkEnd w:id="826"/>
    </w:p>
    <w:p w14:paraId="0C4C9355">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28.1</w:t>
      </w:r>
      <w:r>
        <w:rPr>
          <w:rFonts w:hint="eastAsia" w:asciiTheme="minorEastAsia" w:hAnsiTheme="minorEastAsia" w:eastAsiaTheme="minorEastAsia" w:cstheme="minorEastAsia"/>
          <w:kern w:val="0"/>
          <w:sz w:val="24"/>
          <w:highlight w:val="none"/>
        </w:rPr>
        <w:t>承包人负责对分包人分包工程进行总承包管理并提供总承包配合服务。</w:t>
      </w:r>
    </w:p>
    <w:p w14:paraId="70BCDCF9">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28.2在分包工程施工过程中，承包人应依据该分包工程的设计图纸、施工与验收规范对分包单位进行管理，承包人有权拒绝分包人提出的不合理要求，承包人给分包人的指令以书面形式发放给分包单位，同时应抄送发包人和监理单位。</w:t>
      </w:r>
    </w:p>
    <w:p w14:paraId="18762609">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28.3分包工程有关报建、验收手续由分包单位自行负责办理。但如有必要，发包人应予以配合。</w:t>
      </w:r>
    </w:p>
    <w:p w14:paraId="4D7BE775">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承包方与分包方签订《</w:t>
      </w:r>
      <w:r>
        <w:rPr>
          <w:rFonts w:hint="eastAsia" w:asciiTheme="minorEastAsia" w:hAnsiTheme="minorEastAsia" w:eastAsiaTheme="minorEastAsia" w:cstheme="minorEastAsia"/>
          <w:b w:val="0"/>
          <w:bCs w:val="0"/>
          <w:kern w:val="0"/>
          <w:sz w:val="24"/>
          <w:szCs w:val="24"/>
          <w:lang w:bidi="ar-SA"/>
        </w:rPr>
        <w:t>施工总承包管理配合协议</w:t>
      </w: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rPr>
        <w:t>作为合同附件，</w:t>
      </w:r>
      <w:r>
        <w:rPr>
          <w:rFonts w:hint="eastAsia" w:asciiTheme="minorEastAsia" w:hAnsiTheme="minorEastAsia" w:eastAsiaTheme="minorEastAsia" w:cstheme="minorEastAsia"/>
          <w:kern w:val="0"/>
          <w:sz w:val="24"/>
          <w:highlight w:val="none"/>
        </w:rPr>
        <w:t>承包人、分包人均应要求己方及分包人分包单位遵守《总包协调工作细则》。</w:t>
      </w:r>
    </w:p>
    <w:p w14:paraId="256B3F8F">
      <w:pPr>
        <w:pStyle w:val="75"/>
        <w:spacing w:before="120" w:beforeLines="50" w:line="360" w:lineRule="auto"/>
        <w:rPr>
          <w:rFonts w:hint="eastAsia" w:asciiTheme="minorEastAsia" w:hAnsiTheme="minorEastAsia" w:eastAsiaTheme="minorEastAsia" w:cstheme="minorEastAsia"/>
          <w:sz w:val="24"/>
          <w:szCs w:val="24"/>
        </w:rPr>
      </w:pPr>
      <w:bookmarkStart w:id="827" w:name="_Toc183424172"/>
      <w:bookmarkStart w:id="828" w:name="_Toc27824"/>
      <w:bookmarkStart w:id="829" w:name="_Toc21448"/>
      <w:bookmarkStart w:id="830" w:name="_Toc346"/>
      <w:bookmarkStart w:id="831" w:name="_Toc31618"/>
      <w:bookmarkStart w:id="832" w:name="_Toc517273276"/>
      <w:bookmarkStart w:id="833" w:name="_Toc4095"/>
      <w:bookmarkStart w:id="834" w:name="_Toc20863"/>
      <w:bookmarkStart w:id="835" w:name="_Toc18270"/>
      <w:bookmarkStart w:id="836" w:name="_Toc7711"/>
      <w:bookmarkStart w:id="837" w:name="_Toc25129"/>
      <w:bookmarkStart w:id="838" w:name="_Toc21638"/>
      <w:bookmarkStart w:id="839" w:name="_Toc501"/>
      <w:bookmarkStart w:id="840" w:name="_Toc29871"/>
      <w:bookmarkStart w:id="841" w:name="_Toc200394239"/>
      <w:bookmarkStart w:id="842" w:name="_Toc4010"/>
      <w:bookmarkStart w:id="843" w:name="_Toc22836"/>
      <w:bookmarkStart w:id="844" w:name="_Toc17217"/>
      <w:r>
        <w:rPr>
          <w:rFonts w:hint="eastAsia" w:asciiTheme="minorEastAsia" w:hAnsiTheme="minorEastAsia" w:eastAsiaTheme="minorEastAsia" w:cstheme="minorEastAsia"/>
          <w:sz w:val="24"/>
          <w:szCs w:val="24"/>
        </w:rPr>
        <w:t>十、竣工试验、验收</w:t>
      </w:r>
      <w:bookmarkEnd w:id="827"/>
      <w:r>
        <w:rPr>
          <w:rFonts w:hint="eastAsia" w:asciiTheme="minorEastAsia" w:hAnsiTheme="minorEastAsia" w:eastAsiaTheme="minorEastAsia" w:cstheme="minorEastAsia"/>
          <w:sz w:val="24"/>
          <w:szCs w:val="24"/>
        </w:rPr>
        <w:t>：</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1E721270">
      <w:pPr>
        <w:pStyle w:val="74"/>
        <w:spacing w:before="120" w:beforeLines="50" w:line="360" w:lineRule="auto"/>
        <w:rPr>
          <w:rFonts w:hint="eastAsia" w:asciiTheme="minorEastAsia" w:hAnsiTheme="minorEastAsia" w:eastAsiaTheme="minorEastAsia" w:cstheme="minorEastAsia"/>
          <w:sz w:val="24"/>
          <w:szCs w:val="24"/>
        </w:rPr>
      </w:pPr>
      <w:bookmarkStart w:id="845" w:name="_Toc1567"/>
      <w:bookmarkStart w:id="846" w:name="_Toc3974"/>
      <w:bookmarkStart w:id="847" w:name="_Toc13274"/>
      <w:bookmarkStart w:id="848" w:name="_Toc517273277"/>
      <w:bookmarkStart w:id="849" w:name="_Toc28225"/>
      <w:bookmarkStart w:id="850" w:name="_Toc183424173"/>
      <w:r>
        <w:rPr>
          <w:rFonts w:hint="eastAsia" w:asciiTheme="minorEastAsia" w:hAnsiTheme="minorEastAsia" w:eastAsiaTheme="minorEastAsia" w:cstheme="minorEastAsia"/>
          <w:sz w:val="24"/>
          <w:szCs w:val="24"/>
        </w:rPr>
        <w:t>29  竣工试验：</w:t>
      </w:r>
      <w:bookmarkEnd w:id="845"/>
      <w:bookmarkEnd w:id="846"/>
      <w:bookmarkEnd w:id="847"/>
      <w:bookmarkEnd w:id="848"/>
      <w:bookmarkEnd w:id="849"/>
    </w:p>
    <w:p w14:paraId="193A2317">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29.1分包人应在工程具备竣工试验条件且提供工程所要求的各种文件后按本合同通用条款第17项（试验）的要求进行竣工试验。</w:t>
      </w:r>
    </w:p>
    <w:p w14:paraId="6660D902">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29.2分包人应提前21天将每项竣工试验的日期通过承包人通知发包人。除非另有约定，竣工试验应在通知日期后的14天内进行，或在发包人指示的某日或某几日内进行。</w:t>
      </w:r>
    </w:p>
    <w:p w14:paraId="2C720FA6">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29.3除非专用条款另有说明，竣工试验应按照以下顺序进行：</w:t>
      </w:r>
    </w:p>
    <w:p w14:paraId="2ECF18B1">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29.3.1启动前试验，应包括适当的检验和（“干”或“冷”）性能试验，以证明每项设备能够安全地承受下一阶段29.3.2款的试验。</w:t>
      </w:r>
    </w:p>
    <w:p w14:paraId="59F2F96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29.3.2启动试验，应包括规定的操作试验，以证明工程或分项工程能够在所有可利用的操作条件下安全地操作。</w:t>
      </w:r>
    </w:p>
    <w:p w14:paraId="595763C6">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29.3.3试运行，以证明工程或分项工程运行可靠，且符合合同要求。</w:t>
      </w:r>
    </w:p>
    <w:p w14:paraId="089B7DF9">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29.3.4工程或分项工程通过了以上29.3.1~29.3.3款中的每项竣工试验，分包人应向发包人提供一份经证明的试验结果报告。</w:t>
      </w:r>
    </w:p>
    <w:p w14:paraId="503C612B">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29.4若发包人不当的延误竣工试验，则竣工日期相应顺延。</w:t>
      </w:r>
    </w:p>
    <w:p w14:paraId="376892CD">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29.5若分包人不当的延误试验，则发包人可通知分包人在接到通知之日起21天内进行竣工试验。分包人应在此期限内的某日或某几日进行竣工试验，并将该日期通知发包人。若分包人未在规定的21天内进行竣工试验，发包人可自行进行这些试验，试验的风险和费用均由分包人承担，试验结果应被认为准确且予以认可。</w:t>
      </w:r>
    </w:p>
    <w:p w14:paraId="41D496B1">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29.6若工程或某分项工程未能通过竣工试验，发包人或分包人可要求按相同的条款和条件，重新进行该项未通过的试验和相关工程的竣工试验。</w:t>
      </w:r>
    </w:p>
    <w:p w14:paraId="13A5E470">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29.7若工程或某分项工程未能通过根据第29.6款的规定重新进行的竣工试验，则发包人有权：</w:t>
      </w:r>
    </w:p>
    <w:p w14:paraId="5E3951E3">
      <w:pPr>
        <w:spacing w:line="360" w:lineRule="auto"/>
        <w:ind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29.7.1根据第29.6款再次重复竣工试验。</w:t>
      </w:r>
    </w:p>
    <w:p w14:paraId="580749F4">
      <w:pPr>
        <w:spacing w:line="360" w:lineRule="auto"/>
        <w:ind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29.7.2若未通过的该项试验，使发包人丧失了工程或分项工程的部分或全部利益时，分包人应继续履行合同规定的所有其它义务。在此情况下，发包人可以有权采取以下措施：</w:t>
      </w:r>
    </w:p>
    <w:p w14:paraId="2AAD0356">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（1）接收该工程或分项工程，但工程的合同价格应予降低，减少的金额应足以弥补该项试验未通过给发包人造成的所有损失。</w:t>
      </w:r>
    </w:p>
    <w:p w14:paraId="4A65D115">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（2）以合理的方式雇用第三方修复该部分，费用由分包人承担。</w:t>
      </w:r>
    </w:p>
    <w:p w14:paraId="3F130079">
      <w:pPr>
        <w:pStyle w:val="74"/>
        <w:spacing w:before="120" w:beforeLines="50" w:line="360" w:lineRule="auto"/>
        <w:rPr>
          <w:rFonts w:hint="eastAsia" w:asciiTheme="minorEastAsia" w:hAnsiTheme="minorEastAsia" w:eastAsiaTheme="minorEastAsia" w:cstheme="minorEastAsia"/>
          <w:sz w:val="24"/>
          <w:szCs w:val="24"/>
        </w:rPr>
      </w:pPr>
      <w:bookmarkStart w:id="851" w:name="_Toc11643"/>
      <w:bookmarkStart w:id="852" w:name="_Toc3082"/>
      <w:bookmarkStart w:id="853" w:name="_Toc10492"/>
      <w:bookmarkStart w:id="854" w:name="_Toc517273278"/>
      <w:bookmarkStart w:id="855" w:name="_Toc18121"/>
      <w:r>
        <w:rPr>
          <w:rFonts w:hint="eastAsia" w:asciiTheme="minorEastAsia" w:hAnsiTheme="minorEastAsia" w:eastAsiaTheme="minorEastAsia" w:cstheme="minorEastAsia"/>
          <w:sz w:val="24"/>
          <w:szCs w:val="24"/>
        </w:rPr>
        <w:t>30  竣工验收</w:t>
      </w:r>
      <w:bookmarkEnd w:id="850"/>
      <w:r>
        <w:rPr>
          <w:rFonts w:hint="eastAsia" w:asciiTheme="minorEastAsia" w:hAnsiTheme="minorEastAsia" w:eastAsiaTheme="minorEastAsia" w:cstheme="minorEastAsia"/>
          <w:sz w:val="24"/>
          <w:szCs w:val="24"/>
        </w:rPr>
        <w:t>：</w:t>
      </w:r>
      <w:bookmarkEnd w:id="851"/>
      <w:bookmarkEnd w:id="852"/>
      <w:bookmarkEnd w:id="853"/>
      <w:bookmarkEnd w:id="854"/>
      <w:bookmarkEnd w:id="855"/>
    </w:p>
    <w:p w14:paraId="570606BC">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30.1验收条件：</w:t>
      </w:r>
    </w:p>
    <w:p w14:paraId="1D3D3FE7">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30.1.1分包人完成本合同约定的各项内容；</w:t>
      </w:r>
    </w:p>
    <w:p w14:paraId="51C94015">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30.1.2分包人完成场地清理（包括建筑物周围的堆积物及红线内的余泥清运，临时生产和生活设施的拆除），并将相关门窗、玻璃、地面清扫干净；</w:t>
      </w:r>
    </w:p>
    <w:p w14:paraId="30AC4431">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30.1.3有竣工图及完整的技术档案和施工管理资料；</w:t>
      </w:r>
    </w:p>
    <w:p w14:paraId="5BC0C81E">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30.1.4有本工程使用的主要材料、构配件和设备的进场试验报告；</w:t>
      </w:r>
    </w:p>
    <w:p w14:paraId="0DCA0935">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30.1.5有设计、施工、监理等单位分别签署的质量合格文件；</w:t>
      </w:r>
    </w:p>
    <w:p w14:paraId="1ACFF5B9">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30.1.6分包人承包范围内各专业已经通过专项验收；</w:t>
      </w:r>
    </w:p>
    <w:p w14:paraId="371267EA">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30.1.7有分包人签署的工程质量保修书。</w:t>
      </w:r>
    </w:p>
    <w:p w14:paraId="36F71DE6">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30.2</w:t>
      </w:r>
      <w:r>
        <w:rPr>
          <w:rFonts w:hint="eastAsia"/>
        </w:rPr>
        <w:t xml:space="preserve"> </w:t>
      </w:r>
      <w:r>
        <w:rPr>
          <w:rFonts w:hint="eastAsia" w:asciiTheme="minorEastAsia" w:hAnsiTheme="minorEastAsia" w:eastAsiaTheme="minorEastAsia" w:cstheme="minorEastAsia"/>
          <w:kern w:val="0"/>
          <w:sz w:val="24"/>
        </w:rPr>
        <w:t>当本工程达到竣工验收条件时，分包人完成自评自查工作，填写工程竣工报验单，同时将完整的竣工资料及竣工验收报告，通过承包人报送监理人申请竣工验收。同时提供安装工程竣工图八套、电子文档一套，分包人提交的竣工图必须为蓝图，设计变更和实际的施工变更必须在竣工图上全面、准确地反映。</w:t>
      </w:r>
      <w:r>
        <w:rPr>
          <w:rFonts w:hint="eastAsia" w:asciiTheme="minorEastAsia" w:hAnsiTheme="minorEastAsia" w:eastAsiaTheme="minorEastAsia" w:cstheme="minorEastAsia"/>
          <w:color w:val="auto"/>
          <w:kern w:val="0"/>
          <w:sz w:val="24"/>
        </w:rPr>
        <w:t>监理人收到分包人提交的竣工验收申请报告后，应审查申请报告的各项内容，并按以下不同情况进行处理。</w:t>
      </w:r>
    </w:p>
    <w:p w14:paraId="0693BB96">
      <w:pPr>
        <w:tabs>
          <w:tab w:val="left" w:pos="425"/>
          <w:tab w:val="left" w:pos="720"/>
        </w:tabs>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auto"/>
          <w:kern w:val="0"/>
          <w:sz w:val="24"/>
        </w:rPr>
        <w:t>1)监理人审查后认为尚不具备工程验收条件的，应在收到竣工验收申请报告后的28天内通过承包人通知分包人，指出在竣工验收前分包人还需进行的工作内容。分包人完成监理人通知的全部工作内容后，应再次通过承包人提交竣工验收申请报告，直至监理人同意为止。</w:t>
      </w:r>
    </w:p>
    <w:p w14:paraId="58294E34">
      <w:pPr>
        <w:numPr>
          <w:ilvl w:val="0"/>
          <w:numId w:val="0"/>
        </w:numPr>
        <w:tabs>
          <w:tab w:val="left" w:pos="425"/>
          <w:tab w:val="left" w:pos="720"/>
        </w:tabs>
        <w:spacing w:line="360" w:lineRule="auto"/>
        <w:ind w:left="0"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color w:val="auto"/>
          <w:kern w:val="0"/>
          <w:sz w:val="24"/>
        </w:rPr>
        <w:t>2)监理人审查后认为已具备竣工验收条件的，应在收到承包人最后一次提交的竣工验收申请报告之日起的28天内提请发包人进行工程验收。</w:t>
      </w:r>
    </w:p>
    <w:p w14:paraId="43AA04B2">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sz w:val="24"/>
        </w:rPr>
        <w:t>30.3发包人收到完整的竣工资料和竣工图及监理单位出具的质量评估报告后28天内组织有关单位验收,并在验收后7天内给予认可或提出修改意见。验收不合格，分包人按要求修改，并承担由自身原因造成修改的费用。工程竣工验收合格，分包人送交竣工验收报告的日期为实际竣工日期。工程按发包人要求修改后通过竣工验收的，实际竣工日期为分包人修改后提请发包人验收的日期。未达到一次验收合格，由分包人维修达到合格，工期不顺延，并且分包人应向发包人支付该单位工程结算总价的0.5～1.0%违约金。</w:t>
      </w:r>
    </w:p>
    <w:p w14:paraId="6C82F867">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30.4按合同规定工程满足验收要求，发包人28天内未组织验收的，在以后验收时如验收合格，则以分包人通知发包人验收的日期后10天作为竣工日期；验收不合格需返修的，按实际逾期天数顺延计算竣工日期。工程未经验收发包人提前使用或擅自使用，除有证据证明使用前为不合格外视为验收合格。</w:t>
      </w:r>
    </w:p>
    <w:p w14:paraId="77807C27">
      <w:pPr>
        <w:spacing w:line="360" w:lineRule="auto"/>
        <w:ind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rPr>
        <w:t>30.5分包人不得在工程未达到竣工验收条件时提前申请验收，否则发包人有权向分包人收取不超过10万元的违约金。</w:t>
      </w:r>
    </w:p>
    <w:p w14:paraId="3A51EB53">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asciiTheme="minorEastAsia" w:hAnsiTheme="minorEastAsia" w:eastAsiaTheme="minorEastAsia" w:cstheme="minorEastAsia"/>
          <w:sz w:val="24"/>
        </w:rPr>
        <w:t>30.6</w:t>
      </w:r>
      <w:r>
        <w:rPr>
          <w:rFonts w:hint="eastAsia" w:asciiTheme="minorEastAsia" w:hAnsiTheme="minorEastAsia" w:eastAsiaTheme="minorEastAsia" w:cstheme="minorEastAsia"/>
          <w:color w:val="auto"/>
          <w:sz w:val="24"/>
        </w:rPr>
        <w:t>除非合同中另有约定，所有本合同工程的竣工资料（含竣工图纸）的准备、编制、整理和装订的费用均由分包人承担，该等费用已经包含在分包人的合同暂定总价中，承包人不再为此另行支付。</w:t>
      </w:r>
    </w:p>
    <w:p w14:paraId="1AA39C6F">
      <w:pPr>
        <w:pStyle w:val="74"/>
        <w:spacing w:before="120" w:beforeLines="50" w:line="360" w:lineRule="auto"/>
        <w:rPr>
          <w:rFonts w:hint="eastAsia" w:asciiTheme="minorEastAsia" w:hAnsiTheme="minorEastAsia" w:eastAsiaTheme="minorEastAsia" w:cstheme="minorEastAsia"/>
          <w:sz w:val="24"/>
          <w:szCs w:val="24"/>
        </w:rPr>
      </w:pPr>
      <w:bookmarkStart w:id="856" w:name="_Toc183424175"/>
      <w:bookmarkStart w:id="857" w:name="_Toc188"/>
      <w:bookmarkStart w:id="858" w:name="_Toc12213"/>
      <w:bookmarkStart w:id="859" w:name="_Toc517273280"/>
      <w:bookmarkStart w:id="860" w:name="_Toc20107"/>
      <w:bookmarkStart w:id="861" w:name="_Toc22046"/>
      <w:r>
        <w:rPr>
          <w:rFonts w:hint="eastAsia" w:asciiTheme="minorEastAsia" w:hAnsiTheme="minorEastAsia" w:eastAsiaTheme="minorEastAsia" w:cstheme="minorEastAsia"/>
          <w:sz w:val="24"/>
          <w:szCs w:val="24"/>
        </w:rPr>
        <w:t>31  工程移交</w:t>
      </w:r>
      <w:bookmarkEnd w:id="856"/>
      <w:r>
        <w:rPr>
          <w:rFonts w:hint="eastAsia" w:asciiTheme="minorEastAsia" w:hAnsiTheme="minorEastAsia" w:eastAsiaTheme="minorEastAsia" w:cstheme="minorEastAsia"/>
          <w:sz w:val="24"/>
          <w:szCs w:val="24"/>
        </w:rPr>
        <w:t>：</w:t>
      </w:r>
      <w:bookmarkEnd w:id="857"/>
      <w:bookmarkEnd w:id="858"/>
      <w:bookmarkEnd w:id="859"/>
      <w:bookmarkEnd w:id="860"/>
      <w:bookmarkEnd w:id="861"/>
    </w:p>
    <w:p w14:paraId="11B517E8">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sz w:val="24"/>
        </w:rPr>
        <w:t>31.1工程具备工程移交条件后，发包人向承包人签发交接证书，同时办理工程的移交工作。交接证书上应写明本工程的实际竣工日期(即竣工验收合格之日)。工程移交后，分包人不再承担对工程的照管责任。分包人应当在颁发工程接收证书后，或合同解除/终止（无论何原因导致）之日起 7 天内完成工程的移交，且不得以承包人未付工程款为由拒绝移交工程，如不按时移交导致的一切后果由分包人承担。</w:t>
      </w:r>
    </w:p>
    <w:p w14:paraId="6B62E0FE">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31.2</w:t>
      </w:r>
      <w:r>
        <w:rPr>
          <w:rFonts w:hint="eastAsia" w:asciiTheme="minorEastAsia" w:hAnsiTheme="minorEastAsia" w:eastAsiaTheme="minorEastAsia" w:cstheme="minorEastAsia"/>
          <w:kern w:val="2"/>
          <w:sz w:val="24"/>
        </w:rPr>
        <w:t>工程移交发包人之前，分包人负责维护。如发包人提前使用，由此造成的损坏所需的维修费用由发包人承担。</w:t>
      </w:r>
    </w:p>
    <w:p w14:paraId="4B5E5593">
      <w:pPr>
        <w:pStyle w:val="74"/>
        <w:spacing w:before="120" w:beforeLines="50" w:line="360" w:lineRule="auto"/>
        <w:rPr>
          <w:rFonts w:hint="eastAsia" w:asciiTheme="minorEastAsia" w:hAnsiTheme="minorEastAsia" w:eastAsiaTheme="minorEastAsia" w:cstheme="minorEastAsia"/>
          <w:sz w:val="24"/>
          <w:szCs w:val="24"/>
        </w:rPr>
      </w:pPr>
      <w:bookmarkStart w:id="862" w:name="_Toc183424176"/>
      <w:bookmarkStart w:id="863" w:name="_Toc26901"/>
      <w:bookmarkStart w:id="864" w:name="_Toc28659"/>
      <w:bookmarkStart w:id="865" w:name="_Toc9785"/>
      <w:bookmarkStart w:id="866" w:name="_Toc10593"/>
      <w:bookmarkStart w:id="867" w:name="_Toc517273281"/>
      <w:r>
        <w:rPr>
          <w:rFonts w:hint="eastAsia" w:asciiTheme="minorEastAsia" w:hAnsiTheme="minorEastAsia" w:eastAsiaTheme="minorEastAsia" w:cstheme="minorEastAsia"/>
          <w:sz w:val="24"/>
          <w:szCs w:val="24"/>
        </w:rPr>
        <w:t>3</w:t>
      </w:r>
      <w:bookmarkEnd w:id="862"/>
      <w:r>
        <w:rPr>
          <w:rFonts w:hint="eastAsia" w:asciiTheme="minorEastAsia" w:hAnsiTheme="minorEastAsia" w:eastAsiaTheme="minorEastAsia" w:cstheme="minorEastAsia"/>
          <w:sz w:val="24"/>
          <w:szCs w:val="24"/>
        </w:rPr>
        <w:t>2  修补：</w:t>
      </w:r>
      <w:bookmarkEnd w:id="863"/>
      <w:bookmarkEnd w:id="864"/>
      <w:bookmarkEnd w:id="865"/>
      <w:bookmarkEnd w:id="866"/>
      <w:bookmarkEnd w:id="867"/>
    </w:p>
    <w:p w14:paraId="7D05D86B">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32.1由于下述原因造成工程或分项工程缺陷的，分包人应承担全部责任，包括工期和修补缺陷所产生的费用。</w:t>
      </w:r>
    </w:p>
    <w:p w14:paraId="644C6FEA">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32.1.1分包人设计、设备、材料或工艺不符合合同要求</w:t>
      </w:r>
    </w:p>
    <w:p w14:paraId="636E4556">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32.1.2由分包人负责的事项产生的不当操作或维修</w:t>
      </w:r>
    </w:p>
    <w:p w14:paraId="1866F293">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32.1.3分包人未能遵守其它任何约定</w:t>
      </w:r>
    </w:p>
    <w:p w14:paraId="4074AE52">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32.2分包人应在合理的时间内修补工程的任何缺陷，发包人可确定分包人修补完成的日期。若分包人在发包人确定的日期内仍未修补好该缺陷，发包人有权选择采取以下任意一项措施：</w:t>
      </w:r>
    </w:p>
    <w:p w14:paraId="57504D1D">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32.2.1发包人自行或雇佣第三方进行修补缺陷，但全部费用由分包人承担，分包人同时需赔偿发包人由此造成的损失。</w:t>
      </w:r>
    </w:p>
    <w:p w14:paraId="3EAB3CC2">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32.2.2发包人接收该项工程或分项工程，但工程的合同价格应予降低，减少的金额应足以弥补该项缺陷给发包人带来的价值损失。</w:t>
      </w:r>
    </w:p>
    <w:p w14:paraId="4A46B58B">
      <w:pPr>
        <w:numPr>
          <w:ilvl w:val="0"/>
          <w:numId w:val="0"/>
        </w:numPr>
        <w:spacing w:line="360" w:lineRule="auto"/>
        <w:ind w:left="0"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32.2.3若该项缺陷使发包人实质上丧失了工程或分项工程主要部分的利益时，可中止合同。发包人有权在损害根据合同或其它规定所具有的任何其它权利的情况下，收回对工程或该部分工程的全部支出总额，再加上发包人融资费用、拆除工程、清理现场、以及将设备和材料退还给分包人所支付的所有费用。</w:t>
      </w:r>
    </w:p>
    <w:p w14:paraId="15AF71E3">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32.3分包人应按法律、行政法规或国家关于工程质量保修的有关规定，对交付发包人使用的工程在质量保修期内承担质量保修责任。工程保修期按国家和本地区的相关保修规定执行，在《工程质量保修协议》中约定，作为本合同的附件。</w:t>
      </w:r>
    </w:p>
    <w:p w14:paraId="06B0C385">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32.4工程移交后，如发现工程质量问题，分包人应迅速进行整改。对</w:t>
      </w:r>
      <w:r>
        <w:rPr>
          <w:rFonts w:hint="eastAsia" w:asciiTheme="minorEastAsia" w:hAnsiTheme="minorEastAsia" w:eastAsiaTheme="minorEastAsia" w:cstheme="minorEastAsia"/>
          <w:sz w:val="24"/>
        </w:rPr>
        <w:t>发包人</w:t>
      </w:r>
      <w:r>
        <w:rPr>
          <w:rFonts w:hint="eastAsia" w:asciiTheme="minorEastAsia" w:hAnsiTheme="minorEastAsia" w:eastAsiaTheme="minorEastAsia" w:cstheme="minorEastAsia"/>
          <w:kern w:val="2"/>
          <w:sz w:val="24"/>
        </w:rPr>
        <w:t>反映或投诉的质量问题，分包人应即时跟进处理，所有跟进整改限时完成。分包人未在规定时限内完成整改的，发包人根据《工程质量保修协议》约定追究分包人的违约责任。</w:t>
      </w:r>
    </w:p>
    <w:p w14:paraId="464985AE">
      <w:pPr>
        <w:pStyle w:val="75"/>
        <w:spacing w:before="120" w:beforeLines="50" w:line="360" w:lineRule="auto"/>
        <w:rPr>
          <w:rFonts w:hint="eastAsia" w:asciiTheme="minorEastAsia" w:hAnsiTheme="minorEastAsia" w:eastAsiaTheme="minorEastAsia" w:cstheme="minorEastAsia"/>
          <w:sz w:val="24"/>
          <w:szCs w:val="24"/>
        </w:rPr>
      </w:pPr>
      <w:bookmarkStart w:id="868" w:name="_Toc183424177"/>
      <w:bookmarkStart w:id="869" w:name="_Toc23487"/>
      <w:bookmarkStart w:id="870" w:name="_Toc10931"/>
      <w:bookmarkStart w:id="871" w:name="_Toc19120"/>
      <w:bookmarkStart w:id="872" w:name="_Toc16841"/>
      <w:bookmarkStart w:id="873" w:name="_Toc12098"/>
      <w:bookmarkStart w:id="874" w:name="_Toc517273282"/>
      <w:bookmarkStart w:id="875" w:name="_Toc27780"/>
      <w:bookmarkStart w:id="876" w:name="_Toc27964"/>
      <w:bookmarkStart w:id="877" w:name="_Toc14428"/>
      <w:bookmarkStart w:id="878" w:name="_Toc25207"/>
      <w:bookmarkStart w:id="879" w:name="_Toc32310"/>
      <w:bookmarkStart w:id="880" w:name="_Toc19618"/>
      <w:bookmarkStart w:id="881" w:name="_Toc200394240"/>
      <w:bookmarkStart w:id="882" w:name="_Toc29637"/>
      <w:bookmarkStart w:id="883" w:name="_Toc32643"/>
      <w:bookmarkStart w:id="884" w:name="_Toc27950"/>
      <w:bookmarkStart w:id="885" w:name="_Toc27885"/>
      <w:r>
        <w:rPr>
          <w:rFonts w:hint="eastAsia" w:asciiTheme="minorEastAsia" w:hAnsiTheme="minorEastAsia" w:eastAsiaTheme="minorEastAsia" w:cstheme="minorEastAsia"/>
          <w:sz w:val="24"/>
          <w:szCs w:val="24"/>
        </w:rPr>
        <w:t>十一、索赔和争议</w:t>
      </w:r>
      <w:bookmarkEnd w:id="868"/>
      <w:r>
        <w:rPr>
          <w:rFonts w:hint="eastAsia" w:asciiTheme="minorEastAsia" w:hAnsiTheme="minorEastAsia" w:eastAsiaTheme="minorEastAsia" w:cstheme="minorEastAsia"/>
          <w:sz w:val="24"/>
          <w:szCs w:val="24"/>
        </w:rPr>
        <w:t>：</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0D9A3F2D">
      <w:pPr>
        <w:pStyle w:val="74"/>
        <w:spacing w:before="120" w:beforeLines="50" w:line="360" w:lineRule="auto"/>
        <w:rPr>
          <w:rFonts w:hint="eastAsia" w:asciiTheme="minorEastAsia" w:hAnsiTheme="minorEastAsia" w:eastAsiaTheme="minorEastAsia" w:cstheme="minorEastAsia"/>
          <w:sz w:val="24"/>
          <w:szCs w:val="24"/>
        </w:rPr>
      </w:pPr>
      <w:bookmarkStart w:id="886" w:name="_Toc183424178"/>
      <w:bookmarkStart w:id="887" w:name="_Toc21505"/>
      <w:bookmarkStart w:id="888" w:name="_Toc12357"/>
      <w:bookmarkStart w:id="889" w:name="_Toc517273283"/>
      <w:bookmarkStart w:id="890" w:name="_Toc21992"/>
      <w:bookmarkStart w:id="891" w:name="_Toc21143"/>
      <w:r>
        <w:rPr>
          <w:rFonts w:hint="eastAsia" w:asciiTheme="minorEastAsia" w:hAnsiTheme="minorEastAsia" w:eastAsiaTheme="minorEastAsia" w:cstheme="minorEastAsia"/>
          <w:sz w:val="24"/>
          <w:szCs w:val="24"/>
        </w:rPr>
        <w:t>33  索赔</w:t>
      </w:r>
      <w:bookmarkEnd w:id="886"/>
      <w:r>
        <w:rPr>
          <w:rFonts w:hint="eastAsia" w:asciiTheme="minorEastAsia" w:hAnsiTheme="minorEastAsia" w:eastAsiaTheme="minorEastAsia" w:cstheme="minorEastAsia"/>
          <w:sz w:val="24"/>
          <w:szCs w:val="24"/>
        </w:rPr>
        <w:t>：</w:t>
      </w:r>
      <w:bookmarkEnd w:id="887"/>
      <w:bookmarkEnd w:id="888"/>
      <w:bookmarkEnd w:id="889"/>
      <w:bookmarkEnd w:id="890"/>
      <w:bookmarkEnd w:id="891"/>
    </w:p>
    <w:p w14:paraId="71766874">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33.1本合同履行中，合同各方的一方对并非因已方过错，而是应由</w:t>
      </w:r>
      <w:r>
        <w:rPr>
          <w:rFonts w:hint="eastAsia" w:asciiTheme="minorEastAsia" w:hAnsiTheme="minorEastAsia" w:eastAsiaTheme="minorEastAsia" w:cstheme="minorEastAsia"/>
          <w:sz w:val="24"/>
        </w:rPr>
        <w:t>其他</w:t>
      </w:r>
      <w:r>
        <w:rPr>
          <w:rFonts w:hint="eastAsia" w:asciiTheme="minorEastAsia" w:hAnsiTheme="minorEastAsia" w:eastAsiaTheme="minorEastAsia" w:cstheme="minorEastAsia"/>
          <w:kern w:val="2"/>
          <w:sz w:val="24"/>
        </w:rPr>
        <w:t>方承担责任的情况造成的实际损失，可向</w:t>
      </w:r>
      <w:r>
        <w:rPr>
          <w:rFonts w:hint="eastAsia" w:asciiTheme="minorEastAsia" w:hAnsiTheme="minorEastAsia" w:eastAsiaTheme="minorEastAsia" w:cstheme="minorEastAsia"/>
          <w:sz w:val="24"/>
        </w:rPr>
        <w:t>其</w:t>
      </w:r>
      <w:r>
        <w:rPr>
          <w:rFonts w:hint="eastAsia" w:asciiTheme="minorEastAsia" w:hAnsiTheme="minorEastAsia" w:eastAsiaTheme="minorEastAsia" w:cstheme="minorEastAsia"/>
          <w:kern w:val="2"/>
          <w:sz w:val="24"/>
        </w:rPr>
        <w:t>提出经济补偿和（或）工期顺延的要求。任何一方提出索赔时应提供证明索赔事件发生的有效证据。</w:t>
      </w:r>
    </w:p>
    <w:p w14:paraId="66921270">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33.2发包人未能按合同约定履行义务或发生错误以及应由发包人承担责任的其他情况，造成工期延误和（或）分包人不能及时得到合同价款及分包人的其他经济损失，分包人以书面形式向发包人要求索赔签证。</w:t>
      </w:r>
    </w:p>
    <w:p w14:paraId="0CDA4CE6">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33.3分包人未能按合同约定履行义务或发生错误，发包人可在监理单位和发包人项目负责人签字认可后，从分包人工程进度款中扣除违约金及给发包人造成的损失。发包人在扣款前书面通知分包人。</w:t>
      </w:r>
    </w:p>
    <w:p w14:paraId="2DC4D0D9">
      <w:pPr>
        <w:pStyle w:val="74"/>
        <w:spacing w:before="120" w:beforeLines="50" w:line="360" w:lineRule="auto"/>
        <w:rPr>
          <w:rFonts w:hint="eastAsia" w:asciiTheme="minorEastAsia" w:hAnsiTheme="minorEastAsia" w:eastAsiaTheme="minorEastAsia" w:cstheme="minorEastAsia"/>
          <w:sz w:val="24"/>
          <w:szCs w:val="24"/>
        </w:rPr>
      </w:pPr>
      <w:bookmarkStart w:id="892" w:name="_Toc183424179"/>
      <w:bookmarkStart w:id="893" w:name="_Toc517273284"/>
      <w:bookmarkStart w:id="894" w:name="_Toc24740"/>
      <w:bookmarkStart w:id="895" w:name="_Toc6225"/>
      <w:bookmarkStart w:id="896" w:name="_Toc26218"/>
      <w:bookmarkStart w:id="897" w:name="_Toc24864"/>
      <w:r>
        <w:rPr>
          <w:rFonts w:hint="eastAsia" w:asciiTheme="minorEastAsia" w:hAnsiTheme="minorEastAsia" w:eastAsiaTheme="minorEastAsia" w:cstheme="minorEastAsia"/>
          <w:sz w:val="24"/>
          <w:szCs w:val="24"/>
        </w:rPr>
        <w:t>34  争议</w:t>
      </w:r>
      <w:bookmarkEnd w:id="892"/>
      <w:r>
        <w:rPr>
          <w:rFonts w:hint="eastAsia" w:asciiTheme="minorEastAsia" w:hAnsiTheme="minorEastAsia" w:eastAsiaTheme="minorEastAsia" w:cstheme="minorEastAsia"/>
          <w:sz w:val="24"/>
          <w:szCs w:val="24"/>
        </w:rPr>
        <w:t>：</w:t>
      </w:r>
      <w:bookmarkEnd w:id="893"/>
      <w:bookmarkEnd w:id="894"/>
      <w:bookmarkEnd w:id="895"/>
      <w:bookmarkEnd w:id="896"/>
      <w:bookmarkEnd w:id="897"/>
    </w:p>
    <w:p w14:paraId="43B89847">
      <w:pPr>
        <w:spacing w:line="360" w:lineRule="auto"/>
        <w:ind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34.1争议的解决方式</w:t>
      </w:r>
    </w:p>
    <w:p w14:paraId="50B1BE1B">
      <w:pPr>
        <w:spacing w:line="360" w:lineRule="auto"/>
        <w:ind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合同当事人双方在履行合同时发生争议，双方应友好协商，可以采取和解或者要求有关主管部门调解。当事人不愿和解、调解或者和解、调解不成的，均有权向工程所在地的人民法院提起诉讼。</w:t>
      </w:r>
    </w:p>
    <w:p w14:paraId="6B2B84CE">
      <w:pPr>
        <w:spacing w:line="360" w:lineRule="auto"/>
        <w:ind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34.2 争议的解决</w:t>
      </w:r>
    </w:p>
    <w:p w14:paraId="1260F3FB">
      <w:pPr>
        <w:spacing w:line="360" w:lineRule="auto"/>
        <w:ind w:firstLine="566" w:firstLineChars="236"/>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发生争议后，除非出现下列情况的，合同当事人双方都应继续履行合同，</w:t>
      </w:r>
      <w:r>
        <w:rPr>
          <w:rFonts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rPr>
        <w:t>分包人保持施工连续，保护好已完工程：</w:t>
      </w:r>
    </w:p>
    <w:p w14:paraId="744EDF11">
      <w:pPr>
        <w:spacing w:line="360" w:lineRule="auto"/>
        <w:ind w:firstLine="566" w:firstLineChars="23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调解要求停止施工，且为合同当事人双方接受；</w:t>
      </w:r>
    </w:p>
    <w:p w14:paraId="4151A054">
      <w:pPr>
        <w:spacing w:line="360" w:lineRule="auto"/>
        <w:ind w:firstLine="566" w:firstLineChars="23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rPr>
        <w:t>2) 法院要求停止施工。</w:t>
      </w:r>
    </w:p>
    <w:p w14:paraId="600C47F8">
      <w:pPr>
        <w:pStyle w:val="75"/>
        <w:spacing w:before="120" w:beforeLines="50" w:line="360" w:lineRule="auto"/>
        <w:rPr>
          <w:rFonts w:hint="eastAsia" w:asciiTheme="minorEastAsia" w:hAnsiTheme="minorEastAsia" w:eastAsiaTheme="minorEastAsia" w:cstheme="minorEastAsia"/>
          <w:sz w:val="24"/>
          <w:szCs w:val="24"/>
        </w:rPr>
      </w:pPr>
      <w:bookmarkStart w:id="898" w:name="_Toc183424180"/>
      <w:bookmarkStart w:id="899" w:name="_Toc23128"/>
      <w:bookmarkStart w:id="900" w:name="_Toc31534"/>
      <w:bookmarkStart w:id="901" w:name="_Toc27359"/>
      <w:bookmarkStart w:id="902" w:name="_Toc1788"/>
      <w:bookmarkStart w:id="903" w:name="_Toc7845"/>
      <w:bookmarkStart w:id="904" w:name="_Toc27282"/>
      <w:bookmarkStart w:id="905" w:name="_Toc25630"/>
      <w:bookmarkStart w:id="906" w:name="_Toc200394241"/>
      <w:bookmarkStart w:id="907" w:name="_Toc15617"/>
      <w:bookmarkStart w:id="908" w:name="_Toc1311"/>
      <w:bookmarkStart w:id="909" w:name="_Toc14775"/>
      <w:bookmarkStart w:id="910" w:name="_Toc18426"/>
      <w:bookmarkStart w:id="911" w:name="_Toc6088"/>
      <w:bookmarkStart w:id="912" w:name="_Toc11036"/>
      <w:bookmarkStart w:id="913" w:name="_Toc517273285"/>
      <w:bookmarkStart w:id="914" w:name="_Toc1676"/>
      <w:bookmarkStart w:id="915" w:name="_Toc15067"/>
      <w:r>
        <w:rPr>
          <w:rFonts w:hint="eastAsia" w:asciiTheme="minorEastAsia" w:hAnsiTheme="minorEastAsia" w:eastAsiaTheme="minorEastAsia" w:cstheme="minorEastAsia"/>
          <w:sz w:val="24"/>
          <w:szCs w:val="24"/>
        </w:rPr>
        <w:t>十二、合同解除</w:t>
      </w:r>
      <w:bookmarkEnd w:id="898"/>
      <w:r>
        <w:rPr>
          <w:rFonts w:hint="eastAsia" w:asciiTheme="minorEastAsia" w:hAnsiTheme="minorEastAsia" w:eastAsiaTheme="minorEastAsia" w:cstheme="minorEastAsia"/>
          <w:sz w:val="24"/>
          <w:szCs w:val="24"/>
        </w:rPr>
        <w:t>：</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5231E5DC">
      <w:pPr>
        <w:pStyle w:val="74"/>
        <w:spacing w:before="120" w:beforeLines="50" w:line="360" w:lineRule="auto"/>
        <w:rPr>
          <w:rFonts w:hint="eastAsia" w:asciiTheme="minorEastAsia" w:hAnsiTheme="minorEastAsia" w:eastAsiaTheme="minorEastAsia" w:cstheme="minorEastAsia"/>
          <w:sz w:val="24"/>
          <w:szCs w:val="24"/>
        </w:rPr>
      </w:pPr>
      <w:bookmarkStart w:id="916" w:name="_Toc183424181"/>
      <w:bookmarkStart w:id="917" w:name="_Toc21439"/>
      <w:bookmarkStart w:id="918" w:name="_Toc12732"/>
      <w:bookmarkStart w:id="919" w:name="_Toc517273286"/>
      <w:bookmarkStart w:id="920" w:name="_Toc18116"/>
      <w:bookmarkStart w:id="921" w:name="_Toc27981"/>
      <w:r>
        <w:rPr>
          <w:rFonts w:hint="eastAsia" w:asciiTheme="minorEastAsia" w:hAnsiTheme="minorEastAsia" w:eastAsiaTheme="minorEastAsia" w:cstheme="minorEastAsia"/>
          <w:sz w:val="24"/>
          <w:szCs w:val="24"/>
        </w:rPr>
        <w:t>35  合同</w:t>
      </w:r>
      <w:bookmarkEnd w:id="916"/>
      <w:r>
        <w:rPr>
          <w:rFonts w:hint="eastAsia" w:asciiTheme="minorEastAsia" w:hAnsiTheme="minorEastAsia" w:eastAsiaTheme="minorEastAsia" w:cstheme="minorEastAsia"/>
          <w:sz w:val="24"/>
          <w:szCs w:val="24"/>
        </w:rPr>
        <w:t>解除：</w:t>
      </w:r>
      <w:bookmarkEnd w:id="917"/>
      <w:bookmarkEnd w:id="918"/>
      <w:bookmarkEnd w:id="919"/>
      <w:bookmarkEnd w:id="920"/>
      <w:bookmarkEnd w:id="921"/>
    </w:p>
    <w:p w14:paraId="5F4C10EC">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35.1分包人有下列情形之一的，发包人有权解除合同：</w:t>
      </w:r>
    </w:p>
    <w:p w14:paraId="04320C13">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35.1.1未按合同约定提供履约担保；</w:t>
      </w:r>
    </w:p>
    <w:p w14:paraId="0F05DC51">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35.1.2明确表示不再履行合同义务；</w:t>
      </w:r>
    </w:p>
    <w:p w14:paraId="6EE1D7BB">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35.1.3未经发包人同意且无正当理由，拖延开工超过15天；</w:t>
      </w:r>
    </w:p>
    <w:p w14:paraId="691E05A3">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35.1.4未按发包人</w:t>
      </w:r>
      <w:r>
        <w:rPr>
          <w:rFonts w:hint="eastAsia" w:asciiTheme="minorEastAsia" w:hAnsiTheme="minorEastAsia" w:eastAsiaTheme="minorEastAsia" w:cstheme="minorEastAsia"/>
          <w:sz w:val="24"/>
        </w:rPr>
        <w:t>、承包人</w:t>
      </w:r>
      <w:r>
        <w:rPr>
          <w:rFonts w:hint="eastAsia" w:asciiTheme="minorEastAsia" w:hAnsiTheme="minorEastAsia" w:eastAsiaTheme="minorEastAsia" w:cstheme="minorEastAsia"/>
          <w:kern w:val="2"/>
          <w:sz w:val="24"/>
        </w:rPr>
        <w:t>或监理单位指令在限期内采取措施，纠正工程中存在的不符合标准规范或合同约定安全、质量要求的情况；</w:t>
      </w:r>
    </w:p>
    <w:p w14:paraId="3FCB1CDA">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35.1.5未按时完成关键节点工期、单项工程工期，或未能按时竣工，且延迟超过20天的；</w:t>
      </w:r>
    </w:p>
    <w:p w14:paraId="6E1E9A7A">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25.1.6没有征得发包人同意，擅自将工程转包或分包的；</w:t>
      </w:r>
    </w:p>
    <w:p w14:paraId="27193EDF">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35.1.7破产、被清算的。</w:t>
      </w:r>
    </w:p>
    <w:p w14:paraId="0E8DB0EE">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35.2发包人因上述情形解除合同的，分包人应向发包人支付合同暂定总价10%的违约金，并赔偿发包人因此造成的一切损失，损失范围包括：</w:t>
      </w:r>
    </w:p>
    <w:p w14:paraId="6CC94B9D">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35.2.1发包人为完成剩余工程多支出的费用（即发包人自行或安排第三方完成剩余工程所发生的费用，超出分包人根据本合同约定完成剩余工程所需费用的部分）；</w:t>
      </w:r>
    </w:p>
    <w:p w14:paraId="0166A5DF">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35.3在整个工程完工且全部费用确定之前，发包人不向分包人支付任何款项，在扣除前款约定款项后，如有余额，发包人应在30天内将余额支付给分包人。</w:t>
      </w:r>
    </w:p>
    <w:p w14:paraId="59F61BC6">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35.4合同解除后，分包人应立即撤离现场，并妥善做好已完工工程和己购材料、设备、机具的保护及工程资料移交工作。发包人可自行或安排第三方完成剩余工程，并可无偿使用分包人设备及机具等，待工程完工后，发包人</w:t>
      </w:r>
      <w:r>
        <w:rPr>
          <w:rFonts w:hint="eastAsia" w:asciiTheme="minorEastAsia" w:hAnsiTheme="minorEastAsia" w:eastAsiaTheme="minorEastAsia" w:cstheme="minorEastAsia"/>
          <w:sz w:val="24"/>
        </w:rPr>
        <w:t>通过承包人</w:t>
      </w:r>
      <w:r>
        <w:rPr>
          <w:rFonts w:hint="eastAsia" w:asciiTheme="minorEastAsia" w:hAnsiTheme="minorEastAsia" w:eastAsiaTheme="minorEastAsia" w:cstheme="minorEastAsia"/>
          <w:kern w:val="2"/>
          <w:sz w:val="24"/>
        </w:rPr>
        <w:t>通知分包人，将分包人设备、机具在现场或附近退回分包人，分包人应立即自费将该物品运走。但如分包人在工程完工时，未足额支付违约金及补偿发包人损失，则发包人可将分包人设备、机具及材料变卖，所得价值发包人优先受偿。</w:t>
      </w:r>
    </w:p>
    <w:p w14:paraId="51946ADF">
      <w:pPr>
        <w:pStyle w:val="75"/>
        <w:spacing w:before="120" w:beforeLines="50" w:line="360" w:lineRule="auto"/>
        <w:rPr>
          <w:rFonts w:hint="eastAsia" w:asciiTheme="minorEastAsia" w:hAnsiTheme="minorEastAsia" w:eastAsiaTheme="minorEastAsia" w:cstheme="minorEastAsia"/>
          <w:sz w:val="24"/>
          <w:szCs w:val="24"/>
        </w:rPr>
      </w:pPr>
      <w:bookmarkStart w:id="922" w:name="_Toc183424183"/>
      <w:bookmarkStart w:id="923" w:name="_Toc224"/>
      <w:bookmarkStart w:id="924" w:name="_Toc6223"/>
      <w:bookmarkStart w:id="925" w:name="_Toc32704"/>
      <w:bookmarkStart w:id="926" w:name="_Toc16106"/>
      <w:bookmarkStart w:id="927" w:name="_Toc11835"/>
      <w:bookmarkStart w:id="928" w:name="_Toc23523"/>
      <w:bookmarkStart w:id="929" w:name="_Toc200394242"/>
      <w:bookmarkStart w:id="930" w:name="_Toc517273287"/>
      <w:bookmarkStart w:id="931" w:name="_Toc14261"/>
      <w:bookmarkStart w:id="932" w:name="_Toc7780"/>
      <w:bookmarkStart w:id="933" w:name="_Toc133"/>
      <w:bookmarkStart w:id="934" w:name="_Toc26658"/>
      <w:bookmarkStart w:id="935" w:name="_Toc23828"/>
      <w:bookmarkStart w:id="936" w:name="_Toc3187"/>
      <w:bookmarkStart w:id="937" w:name="_Toc29603"/>
      <w:bookmarkStart w:id="938" w:name="_Toc4373"/>
      <w:bookmarkStart w:id="939" w:name="_Toc18533"/>
      <w:r>
        <w:rPr>
          <w:rFonts w:hint="eastAsia" w:asciiTheme="minorEastAsia" w:hAnsiTheme="minorEastAsia" w:eastAsiaTheme="minorEastAsia" w:cstheme="minorEastAsia"/>
          <w:sz w:val="24"/>
          <w:szCs w:val="24"/>
        </w:rPr>
        <w:t>十三、其他</w:t>
      </w:r>
      <w:bookmarkEnd w:id="922"/>
      <w:r>
        <w:rPr>
          <w:rFonts w:hint="eastAsia" w:asciiTheme="minorEastAsia" w:hAnsiTheme="minorEastAsia" w:eastAsiaTheme="minorEastAsia" w:cstheme="minorEastAsia"/>
          <w:sz w:val="24"/>
          <w:szCs w:val="24"/>
        </w:rPr>
        <w:t>：</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45D4E08D">
      <w:pPr>
        <w:pStyle w:val="74"/>
        <w:spacing w:before="120" w:beforeLines="50" w:line="360" w:lineRule="auto"/>
        <w:rPr>
          <w:rFonts w:hint="eastAsia" w:asciiTheme="minorEastAsia" w:hAnsiTheme="minorEastAsia" w:eastAsiaTheme="minorEastAsia" w:cstheme="minorEastAsia"/>
          <w:sz w:val="24"/>
          <w:szCs w:val="24"/>
        </w:rPr>
      </w:pPr>
      <w:bookmarkStart w:id="940" w:name="_Toc183424185"/>
      <w:bookmarkStart w:id="941" w:name="_Toc9601"/>
      <w:bookmarkStart w:id="942" w:name="_Toc207"/>
      <w:bookmarkStart w:id="943" w:name="_Toc517273288"/>
      <w:bookmarkStart w:id="944" w:name="_Toc3789"/>
      <w:bookmarkStart w:id="945" w:name="_Toc16679"/>
      <w:r>
        <w:rPr>
          <w:rFonts w:hint="eastAsia" w:asciiTheme="minorEastAsia" w:hAnsiTheme="minorEastAsia" w:eastAsiaTheme="minorEastAsia" w:cstheme="minorEastAsia"/>
          <w:sz w:val="24"/>
          <w:szCs w:val="24"/>
        </w:rPr>
        <w:t>36  不可抗力</w:t>
      </w:r>
      <w:bookmarkEnd w:id="940"/>
      <w:r>
        <w:rPr>
          <w:rFonts w:hint="eastAsia" w:asciiTheme="minorEastAsia" w:hAnsiTheme="minorEastAsia" w:eastAsiaTheme="minorEastAsia" w:cstheme="minorEastAsia"/>
          <w:sz w:val="24"/>
          <w:szCs w:val="24"/>
        </w:rPr>
        <w:t>：</w:t>
      </w:r>
      <w:bookmarkEnd w:id="941"/>
      <w:bookmarkEnd w:id="942"/>
      <w:bookmarkEnd w:id="943"/>
      <w:bookmarkEnd w:id="944"/>
      <w:bookmarkEnd w:id="945"/>
    </w:p>
    <w:p w14:paraId="12B75E83">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36.1</w:t>
      </w:r>
      <w:r>
        <w:rPr>
          <w:rFonts w:hint="eastAsia" w:asciiTheme="minorEastAsia" w:hAnsiTheme="minorEastAsia" w:eastAsiaTheme="minorEastAsia" w:cstheme="minorEastAsia"/>
          <w:sz w:val="24"/>
        </w:rPr>
        <w:t>不可抗力是指分包人和承包人在订立合同时不可预见，在工程施工过程中不可避免发生并不能克服的自然灾害和社会性突发事件，如地震、海啸、瘟疫、水灾、骚乱、戒严、暴动、战争等。</w:t>
      </w:r>
    </w:p>
    <w:p w14:paraId="1FB1808A">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36.2</w:t>
      </w:r>
      <w:r>
        <w:rPr>
          <w:rFonts w:hint="eastAsia" w:asciiTheme="minorEastAsia" w:hAnsiTheme="minorEastAsia" w:eastAsiaTheme="minorEastAsia" w:cstheme="minorEastAsia"/>
          <w:sz w:val="24"/>
        </w:rPr>
        <w:t>不可抗力发生后，发包人和承包人、分包人应及时认真统计所造成的损失，收集不可抗力造成损失的证据。合同当事人对是否属于不可抗力或其损失的意见不一致的，由三方商定或确定。发生争议时按第34条的约定办理。</w:t>
      </w:r>
    </w:p>
    <w:p w14:paraId="779CE367">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36.3因不可抗力事件导致的费用及延误的工期，由各方按以下方法分别承担：</w:t>
      </w:r>
    </w:p>
    <w:p w14:paraId="58CCEC3D">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36.3.1发包人、</w:t>
      </w:r>
      <w:r>
        <w:rPr>
          <w:rFonts w:hint="eastAsia" w:asciiTheme="minorEastAsia" w:hAnsiTheme="minorEastAsia" w:eastAsiaTheme="minorEastAsia" w:cstheme="minorEastAsia"/>
          <w:sz w:val="24"/>
        </w:rPr>
        <w:t>承包人、</w:t>
      </w:r>
      <w:r>
        <w:rPr>
          <w:rFonts w:hint="eastAsia" w:asciiTheme="minorEastAsia" w:hAnsiTheme="minorEastAsia" w:eastAsiaTheme="minorEastAsia" w:cstheme="minorEastAsia"/>
          <w:kern w:val="2"/>
          <w:sz w:val="24"/>
        </w:rPr>
        <w:t>分包人单位的人员伤亡，由合同各方各自负责，并承担相应费用；</w:t>
      </w:r>
    </w:p>
    <w:p w14:paraId="488FC9E2">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36.3.2分包人机械设备损坏及停工损失，由分包人承担；</w:t>
      </w:r>
    </w:p>
    <w:p w14:paraId="4F40C841">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36.3.3</w:t>
      </w:r>
      <w:r>
        <w:rPr>
          <w:rFonts w:hint="eastAsia" w:asciiTheme="minorEastAsia" w:hAnsiTheme="minorEastAsia" w:eastAsiaTheme="minorEastAsia" w:cstheme="minorEastAsia"/>
          <w:color w:val="auto"/>
          <w:sz w:val="24"/>
        </w:rPr>
        <w:t>分包人的停工损失由分包人承担，但停工期间应监理人要求照管工程和清理、修复工程的金额由发包人承担；</w:t>
      </w:r>
    </w:p>
    <w:p w14:paraId="137E4897">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36.3.</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2"/>
          <w:sz w:val="24"/>
        </w:rPr>
        <w:t>延误的工期相应顺延。</w:t>
      </w:r>
    </w:p>
    <w:p w14:paraId="6EB382ED">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36.4因合同各方的一方迟延履行合同后发生不可抗力的，不能免除迟延履行方的相应责任。</w:t>
      </w:r>
    </w:p>
    <w:p w14:paraId="77B2A62C">
      <w:pPr>
        <w:pStyle w:val="74"/>
        <w:spacing w:before="120" w:beforeLines="50" w:line="360" w:lineRule="auto"/>
        <w:rPr>
          <w:rFonts w:hint="eastAsia" w:asciiTheme="minorEastAsia" w:hAnsiTheme="minorEastAsia" w:eastAsiaTheme="minorEastAsia" w:cstheme="minorEastAsia"/>
          <w:sz w:val="24"/>
          <w:szCs w:val="24"/>
        </w:rPr>
      </w:pPr>
      <w:bookmarkStart w:id="946" w:name="_Toc183424186"/>
      <w:bookmarkStart w:id="947" w:name="_Toc4573"/>
      <w:bookmarkStart w:id="948" w:name="_Toc13733"/>
      <w:bookmarkStart w:id="949" w:name="_Toc517273289"/>
      <w:bookmarkStart w:id="950" w:name="_Toc7223"/>
      <w:bookmarkStart w:id="951" w:name="_Toc11563"/>
      <w:r>
        <w:rPr>
          <w:rFonts w:hint="eastAsia" w:asciiTheme="minorEastAsia" w:hAnsiTheme="minorEastAsia" w:eastAsiaTheme="minorEastAsia" w:cstheme="minorEastAsia"/>
          <w:sz w:val="24"/>
          <w:szCs w:val="24"/>
        </w:rPr>
        <w:t>37  保险</w:t>
      </w:r>
      <w:bookmarkEnd w:id="946"/>
      <w:r>
        <w:rPr>
          <w:rFonts w:hint="eastAsia" w:asciiTheme="minorEastAsia" w:hAnsiTheme="minorEastAsia" w:eastAsiaTheme="minorEastAsia" w:cstheme="minorEastAsia"/>
          <w:sz w:val="24"/>
          <w:szCs w:val="24"/>
        </w:rPr>
        <w:t>：</w:t>
      </w:r>
      <w:bookmarkEnd w:id="947"/>
      <w:bookmarkEnd w:id="948"/>
      <w:bookmarkEnd w:id="949"/>
      <w:bookmarkEnd w:id="950"/>
      <w:bookmarkEnd w:id="951"/>
    </w:p>
    <w:p w14:paraId="1B9DCB5D">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37.1分包人应为施工场地内的分包人人员和施工机械设备办理所有必需的保险，费用全部由分包人自行承担。</w:t>
      </w:r>
    </w:p>
    <w:p w14:paraId="0F8F7F7C">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37.2保险事故发生时，分包人有责任尽力采取必要的措施，防止或减少损失。</w:t>
      </w:r>
    </w:p>
    <w:p w14:paraId="166759EA">
      <w:pPr>
        <w:tabs>
          <w:tab w:val="left" w:pos="720"/>
        </w:tabs>
        <w:spacing w:line="360" w:lineRule="auto"/>
        <w:ind w:left="0"/>
        <w:rPr>
          <w:rFonts w:hint="eastAsia" w:asciiTheme="minorEastAsia" w:hAnsiTheme="minorEastAsia" w:eastAsiaTheme="minorEastAsia" w:cstheme="minorEastAsia"/>
          <w:kern w:val="0"/>
          <w:sz w:val="24"/>
        </w:rPr>
      </w:pPr>
    </w:p>
    <w:p w14:paraId="15F12DB8">
      <w:pPr>
        <w:pStyle w:val="74"/>
        <w:spacing w:before="120" w:beforeLines="50" w:line="360" w:lineRule="auto"/>
        <w:rPr>
          <w:rFonts w:hint="eastAsia" w:asciiTheme="minorEastAsia" w:hAnsiTheme="minorEastAsia" w:eastAsiaTheme="minorEastAsia" w:cstheme="minorEastAsia"/>
          <w:sz w:val="24"/>
          <w:szCs w:val="24"/>
        </w:rPr>
      </w:pPr>
      <w:bookmarkStart w:id="952" w:name="_Toc183424191"/>
      <w:bookmarkStart w:id="953" w:name="_Toc12728"/>
      <w:bookmarkStart w:id="954" w:name="_Toc29969"/>
      <w:bookmarkStart w:id="955" w:name="_Toc5711"/>
      <w:bookmarkStart w:id="956" w:name="_Toc29039"/>
      <w:bookmarkStart w:id="957" w:name="_Toc517273291"/>
      <w:r>
        <w:rPr>
          <w:rFonts w:hint="eastAsia" w:asciiTheme="minorEastAsia" w:hAnsiTheme="minorEastAsia" w:eastAsiaTheme="minorEastAsia" w:cstheme="minorEastAsia"/>
          <w:sz w:val="24"/>
          <w:szCs w:val="24"/>
        </w:rPr>
        <w:t>38  合同生效、终止及补充</w:t>
      </w:r>
      <w:bookmarkEnd w:id="952"/>
      <w:r>
        <w:rPr>
          <w:rFonts w:hint="eastAsia" w:asciiTheme="minorEastAsia" w:hAnsiTheme="minorEastAsia" w:eastAsiaTheme="minorEastAsia" w:cstheme="minorEastAsia"/>
          <w:sz w:val="24"/>
          <w:szCs w:val="24"/>
        </w:rPr>
        <w:t>：</w:t>
      </w:r>
      <w:bookmarkEnd w:id="953"/>
      <w:bookmarkEnd w:id="954"/>
      <w:bookmarkEnd w:id="955"/>
      <w:bookmarkEnd w:id="956"/>
      <w:bookmarkEnd w:id="957"/>
    </w:p>
    <w:p w14:paraId="607398CD">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38.1发包人、承包人、分包人完成包括工程移交与竣工验收结算、保修期满、分包人解决全部保修问题等合同全部义务后，本合同即告终止。合同的权利义务终止后，发包人、分包人应当遵循诚实信用原则，履行通知、协助、保密等义务。</w:t>
      </w:r>
    </w:p>
    <w:p w14:paraId="4DB9C9B6">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38.2由法律法规调整、不可抗力及合同各方以外原因导致工程停建、缓建，使合同不能继续履行的，各方应签订工程停建、缓建协议，或终止本合同。</w:t>
      </w:r>
    </w:p>
    <w:p w14:paraId="6B7C31C4">
      <w:pPr>
        <w:numPr>
          <w:ilvl w:val="0"/>
          <w:numId w:val="0"/>
        </w:numPr>
        <w:spacing w:line="360" w:lineRule="auto"/>
        <w:ind w:left="0" w:firstLine="566" w:firstLineChars="236"/>
        <w:rPr>
          <w:rFonts w:hint="eastAsia" w:asciiTheme="minorEastAsia" w:hAnsiTheme="minorEastAsia" w:eastAsiaTheme="minorEastAsia" w:cstheme="minorEastAsia"/>
          <w:kern w:val="2"/>
          <w:sz w:val="24"/>
        </w:rPr>
      </w:pPr>
      <w:r>
        <w:rPr>
          <w:rFonts w:hint="eastAsia" w:asciiTheme="minorEastAsia" w:hAnsiTheme="minorEastAsia" w:eastAsiaTheme="minorEastAsia" w:cstheme="minorEastAsia"/>
          <w:kern w:val="2"/>
          <w:sz w:val="24"/>
        </w:rPr>
        <w:t>38.3各方根据有关法律、行政法规规定，结合工程实际，经协商一致后，可对本通用条款内容具体化、补充或修改。对通用条款内容所作的具体化、补充或修改，由各方在专用条款内约定。</w:t>
      </w:r>
    </w:p>
    <w:p w14:paraId="168E2690">
      <w:pPr>
        <w:spacing w:line="360" w:lineRule="auto"/>
        <w:ind w:firstLine="566" w:firstLineChars="236"/>
        <w:rPr>
          <w:rFonts w:hint="eastAsia" w:asciiTheme="minorEastAsia" w:hAnsiTheme="minorEastAsia" w:eastAsiaTheme="minorEastAsia" w:cstheme="minorEastAsia"/>
          <w:kern w:val="2"/>
          <w:sz w:val="24"/>
        </w:rPr>
      </w:pPr>
    </w:p>
    <w:p w14:paraId="666A2D9D">
      <w:pPr>
        <w:tabs>
          <w:tab w:val="left" w:pos="720"/>
        </w:tabs>
        <w:spacing w:line="360" w:lineRule="auto"/>
        <w:rPr>
          <w:rFonts w:hint="eastAsia" w:asciiTheme="minorEastAsia" w:hAnsiTheme="minorEastAsia" w:eastAsiaTheme="minorEastAsia" w:cstheme="minorEastAsia"/>
          <w:kern w:val="0"/>
          <w:sz w:val="24"/>
        </w:rPr>
      </w:pPr>
    </w:p>
    <w:p w14:paraId="25C45C2D">
      <w:pPr>
        <w:numPr>
          <w:ilvl w:val="0"/>
          <w:numId w:val="0"/>
        </w:numPr>
        <w:adjustRightInd w:val="0"/>
        <w:snapToGrid w:val="0"/>
        <w:spacing w:line="360" w:lineRule="auto"/>
        <w:contextualSpacing/>
        <w:textAlignment w:val="baseline"/>
        <w:rPr>
          <w:rFonts w:hint="eastAsia" w:asciiTheme="minorEastAsia" w:hAnsiTheme="minorEastAsia" w:eastAsiaTheme="minorEastAsia" w:cstheme="minorEastAsia"/>
          <w:b/>
          <w:sz w:val="24"/>
        </w:rPr>
      </w:pPr>
      <w:bookmarkStart w:id="958" w:name="_Toc224728311"/>
      <w:bookmarkStart w:id="959" w:name="_Toc233511406"/>
      <w:bookmarkStart w:id="960" w:name="_Toc192986943"/>
      <w:bookmarkStart w:id="961" w:name="_Toc517273297"/>
      <w:bookmarkStart w:id="962" w:name="_Toc224728179"/>
    </w:p>
    <w:bookmarkEnd w:id="958"/>
    <w:bookmarkEnd w:id="959"/>
    <w:bookmarkEnd w:id="960"/>
    <w:bookmarkEnd w:id="961"/>
    <w:bookmarkEnd w:id="962"/>
    <w:p w14:paraId="7910E790">
      <w:pPr>
        <w:spacing w:line="360" w:lineRule="auto"/>
        <w:rPr>
          <w:rFonts w:hint="eastAsia" w:asciiTheme="minorEastAsia" w:hAnsiTheme="minorEastAsia" w:eastAsiaTheme="minorEastAsia" w:cstheme="minorEastAsia"/>
        </w:rPr>
      </w:pPr>
    </w:p>
    <w:p w14:paraId="77064453">
      <w:pPr>
        <w:widowControl/>
        <w:jc w:val="left"/>
        <w:rPr>
          <w:rFonts w:hint="eastAsia" w:asciiTheme="minorEastAsia" w:hAnsiTheme="minorEastAsia" w:eastAsiaTheme="minorEastAsia" w:cstheme="minorEastAsia"/>
          <w:b/>
          <w:bCs/>
          <w:kern w:val="0"/>
          <w:sz w:val="28"/>
          <w:szCs w:val="28"/>
          <w:lang w:bidi="ar"/>
        </w:rPr>
      </w:pPr>
      <w:r>
        <w:rPr>
          <w:rFonts w:hint="eastAsia" w:asciiTheme="minorEastAsia" w:hAnsiTheme="minorEastAsia" w:eastAsiaTheme="minorEastAsia" w:cstheme="minorEastAsia"/>
          <w:b/>
          <w:sz w:val="28"/>
          <w:szCs w:val="28"/>
          <w:lang w:bidi="ar"/>
        </w:rPr>
        <w:br w:type="page"/>
      </w:r>
    </w:p>
    <w:p w14:paraId="46782315">
      <w:pPr>
        <w:pStyle w:val="82"/>
        <w:keepNext w:val="0"/>
        <w:keepLines w:val="0"/>
        <w:snapToGrid w:val="0"/>
        <w:spacing w:before="96" w:beforeLines="40" w:after="72" w:afterLines="30" w:line="360" w:lineRule="auto"/>
        <w:ind w:firstLine="0" w:firstLineChars="0"/>
        <w:jc w:val="center"/>
        <w:rPr>
          <w:rFonts w:hint="eastAsia" w:ascii="黑体" w:hAnsi="黑体" w:cs="黑体"/>
          <w:b/>
          <w:szCs w:val="32"/>
        </w:rPr>
      </w:pPr>
      <w:bookmarkStart w:id="963" w:name="_Toc28845"/>
      <w:bookmarkStart w:id="964" w:name="_Toc200394243"/>
      <w:r>
        <w:rPr>
          <w:rFonts w:hint="eastAsia" w:ascii="黑体" w:hAnsi="黑体" w:cs="黑体"/>
          <w:b/>
          <w:szCs w:val="32"/>
          <w:lang w:bidi="ar"/>
        </w:rPr>
        <w:t>第四部分 补充条款</w:t>
      </w:r>
      <w:bookmarkEnd w:id="963"/>
      <w:bookmarkEnd w:id="964"/>
    </w:p>
    <w:p w14:paraId="09E6AB15">
      <w:pPr>
        <w:pStyle w:val="18"/>
        <w:tabs>
          <w:tab w:val="left" w:pos="420"/>
          <w:tab w:val="left" w:pos="720"/>
          <w:tab w:val="left" w:pos="900"/>
        </w:tabs>
        <w:snapToGrid w:val="0"/>
        <w:spacing w:before="96" w:beforeLines="40" w:after="72" w:afterLines="30" w:line="360" w:lineRule="auto"/>
        <w:ind w:left="0" w:leftChars="0"/>
        <w:rPr>
          <w:rFonts w:hint="eastAsia" w:asciiTheme="minorEastAsia" w:hAnsiTheme="minorEastAsia" w:eastAsiaTheme="minorEastAsia" w:cstheme="minorEastAsia"/>
          <w:b/>
          <w:sz w:val="24"/>
        </w:rPr>
      </w:pPr>
    </w:p>
    <w:p w14:paraId="713DFEEC">
      <w:pPr>
        <w:tabs>
          <w:tab w:val="left" w:pos="420"/>
          <w:tab w:val="left" w:pos="720"/>
          <w:tab w:val="left" w:pos="900"/>
        </w:tabs>
        <w:snapToGrid w:val="0"/>
        <w:spacing w:before="96" w:beforeLines="40" w:after="72" w:afterLines="30" w:line="360" w:lineRule="auto"/>
        <w:rPr>
          <w:rFonts w:hint="eastAsia" w:asciiTheme="minorEastAsia" w:hAnsiTheme="minorEastAsia" w:eastAsiaTheme="minorEastAsia" w:cstheme="minorEastAsia"/>
          <w:sz w:val="36"/>
          <w:szCs w:val="36"/>
          <w:lang w:bidi="ar"/>
        </w:rPr>
      </w:pPr>
      <w:r>
        <w:rPr>
          <w:rFonts w:hint="eastAsia" w:asciiTheme="minorEastAsia" w:hAnsiTheme="minorEastAsia" w:eastAsiaTheme="minorEastAsia" w:cstheme="minorEastAsia"/>
          <w:sz w:val="36"/>
          <w:szCs w:val="36"/>
          <w:lang w:eastAsia="zh" w:bidi="ar"/>
        </w:rPr>
        <w:t>一、</w:t>
      </w:r>
      <w:r>
        <w:rPr>
          <w:rFonts w:hint="eastAsia" w:asciiTheme="minorEastAsia" w:hAnsiTheme="minorEastAsia" w:eastAsiaTheme="minorEastAsia" w:cstheme="minorEastAsia"/>
          <w:sz w:val="36"/>
          <w:szCs w:val="36"/>
          <w:lang w:bidi="ar"/>
        </w:rPr>
        <w:t>工程量清单报价补充条款</w:t>
      </w:r>
    </w:p>
    <w:p w14:paraId="726989B6">
      <w:pPr>
        <w:spacing w:line="360" w:lineRule="auto"/>
        <w:rPr>
          <w:rFonts w:hint="eastAsia" w:asciiTheme="minorEastAsia" w:hAnsiTheme="minorEastAsia" w:eastAsiaTheme="minorEastAsia" w:cstheme="minorEastAsia"/>
          <w:sz w:val="24"/>
        </w:rPr>
      </w:pPr>
    </w:p>
    <w:p w14:paraId="55D4ED33">
      <w:pPr>
        <w:pStyle w:val="101"/>
        <w:widowControl/>
        <w:rPr>
          <w:rFonts w:hint="eastAsia" w:asciiTheme="minorEastAsia" w:hAnsiTheme="minorEastAsia" w:eastAsiaTheme="minorEastAsia" w:cstheme="minorEastAsia"/>
        </w:rPr>
      </w:pPr>
      <w:bookmarkStart w:id="965" w:name="_Toc200394244"/>
      <w:bookmarkStart w:id="966" w:name="_Toc20206"/>
      <w:r>
        <w:rPr>
          <w:rFonts w:hint="eastAsia" w:asciiTheme="minorEastAsia" w:hAnsiTheme="minorEastAsia" w:eastAsiaTheme="minorEastAsia" w:cstheme="minorEastAsia"/>
        </w:rPr>
        <w:t>（一） 总说明</w:t>
      </w:r>
      <w:bookmarkEnd w:id="965"/>
      <w:bookmarkEnd w:id="966"/>
    </w:p>
    <w:p w14:paraId="649C8E86">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1、本项目执行《建设工程工程量清单计价规范（GB50500-2013）》、《广东省建设工程计价依据的通知（2018）》（粤建市〔2019〕6号）的相关规定。国家及广东省、广州市有最新规定的，从其规定。</w:t>
      </w:r>
    </w:p>
    <w:p w14:paraId="65149214">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2、凡在本说明中已明确的须按本说明执行。本说明与工程量清单互为补充、解释，当两者有矛盾时，按利于发包人为准。</w:t>
      </w:r>
    </w:p>
    <w:p w14:paraId="6134FC94">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3、工程总报价由</w:t>
      </w:r>
      <w:r>
        <w:rPr>
          <w:rFonts w:hint="eastAsia" w:asciiTheme="minorEastAsia" w:hAnsiTheme="minorEastAsia" w:eastAsiaTheme="minorEastAsia" w:cstheme="minorEastAsia"/>
          <w:spacing w:val="4"/>
          <w:u w:val="single"/>
          <w:lang w:bidi="ar"/>
        </w:rPr>
        <w:t>分部分项工程量清单报价、措施项目清单报价</w:t>
      </w:r>
      <w:r>
        <w:rPr>
          <w:rFonts w:hint="eastAsia" w:asciiTheme="minorEastAsia" w:hAnsiTheme="minorEastAsia" w:eastAsiaTheme="minorEastAsia" w:cstheme="minorEastAsia"/>
          <w:spacing w:val="4"/>
          <w:lang w:bidi="ar"/>
        </w:rPr>
        <w:t>、其他项目清单报价和增值税销项税额四部分组成，其中分部分项工程量清单报价、措施项目清单报价、其他项目清单报价均为不包含进项税额的报价。同时，工程总报价应包含按《广州市建筑业职工参加工伤保险实施办法》（穗人社发〔2015〕73号）规定缴纳的建筑职工工伤保险费。报价应充分考虑工程施工管理和施工组织设计涉及的内容，不允许报价与工程施工管理和施工组织严重脱节或工程量清单各项单价存在严重不合理报价。</w:t>
      </w:r>
    </w:p>
    <w:p w14:paraId="48CAA882">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4、工程量清单项目中【项目特征】的描述须与本说明和规定共同使用。工程量清单项目中的综合单价除包括上述内容外，还应结合招标文件、招标文件所附合同条款、图纸等技术文件、有关技术规范及标准、现场施工条件、施工组织设计及施工方案等阅读、理解并进行报价。</w:t>
      </w:r>
    </w:p>
    <w:p w14:paraId="21AF6EE7">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5、投标人认为招标文件工程量清单没有开列的项目或认为清单及清单工程量描述有误时，投标人应以书面形式提出，经招标人以答疑纪要或澄清文件方式确认后可增列或修正。</w:t>
      </w:r>
    </w:p>
    <w:p w14:paraId="623E4811">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6、工程量报价清单内的每一清单项目均需填报单价和合价,对没有填报或填报为“0”的单价与合价项目,则视为该项费用已含在其他工程量报价清单中的综合单价与综合合价内，结算时不因此另行增加合同费用。</w:t>
      </w:r>
    </w:p>
    <w:p w14:paraId="0A5F9E34">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7、投标人所报的材料及设备单价均为到工地价，即包含原价、采购费、运杂费及运输损耗、仓储保管费、装卸费、吊装费及场内二次转运费等。</w:t>
      </w:r>
    </w:p>
    <w:p w14:paraId="1144E532">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8、投标人填报工程量清单时对招标人提供的工程量清单数据及内容、表格格式除招标文件另有约定和单（合）价分析表中可插入行以外均不得改动并严格按招标文件工程量清单中的项目顺序填写，如有改动因此所造成的责任及后果由投标人自已承担。</w:t>
      </w:r>
    </w:p>
    <w:p w14:paraId="1B195A66">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9、投标人所提供的电子文件必须能够打开，电子文件的内容必须按招标文件的要求格式填报，不得擅自调整格式及顺序，同时电子文件内容必须与纸质投标文件正本内容一致。</w:t>
      </w:r>
    </w:p>
    <w:p w14:paraId="36ADCD7A">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10、所有报价的币种均为人民币；工程数量、单价、合价保留两位小数，第三位小数四舍五入。</w:t>
      </w:r>
    </w:p>
    <w:p w14:paraId="44B093AB">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11、对于工程实施过程中某清单项目或清单项目中的某一项（或某几项）工作内容若实际未发生的，则在结算时应扣除未发生的清单项目或清单项目中未发生部分工程内容的相应费用。</w:t>
      </w:r>
    </w:p>
    <w:p w14:paraId="451DD280">
      <w:pPr>
        <w:pStyle w:val="101"/>
        <w:widowControl/>
        <w:rPr>
          <w:rFonts w:hint="eastAsia" w:asciiTheme="minorEastAsia" w:hAnsiTheme="minorEastAsia" w:eastAsiaTheme="minorEastAsia" w:cstheme="minorEastAsia"/>
        </w:rPr>
      </w:pPr>
      <w:bookmarkStart w:id="967" w:name="_Toc200394245"/>
      <w:bookmarkStart w:id="968" w:name="_Toc19327"/>
      <w:r>
        <w:rPr>
          <w:rFonts w:hint="eastAsia" w:asciiTheme="minorEastAsia" w:hAnsiTheme="minorEastAsia" w:eastAsiaTheme="minorEastAsia" w:cstheme="minorEastAsia"/>
        </w:rPr>
        <w:t>（二） 分部分项工程量清单计价说明</w:t>
      </w:r>
      <w:bookmarkEnd w:id="967"/>
      <w:bookmarkEnd w:id="968"/>
    </w:p>
    <w:p w14:paraId="24214800">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trike/>
          <w:spacing w:val="4"/>
        </w:rPr>
      </w:pPr>
      <w:r>
        <w:rPr>
          <w:rFonts w:hint="eastAsia" w:asciiTheme="minorEastAsia" w:hAnsiTheme="minorEastAsia" w:eastAsiaTheme="minorEastAsia" w:cstheme="minorEastAsia"/>
          <w:spacing w:val="4"/>
          <w:lang w:bidi="ar"/>
        </w:rPr>
        <w:t>分部分项工程量清单报价：指根据招标文件、图纸、国家规范、技术文件标准等内容，采取综合单价包干计价的项目。综合单价是指完成工程量清单中规定计量单位项目全部工作内容所需的所有相关费用，包括人工费、材料费、机具费、管理费、利润、不可预见费、夜间施工增加费、建筑物超高增加人工、机具费进行施工增加费（机电安装工程另计）等。</w:t>
      </w:r>
    </w:p>
    <w:p w14:paraId="2BD3F720">
      <w:pPr>
        <w:pStyle w:val="101"/>
        <w:widowControl/>
        <w:rPr>
          <w:rFonts w:hint="eastAsia" w:asciiTheme="minorEastAsia" w:hAnsiTheme="minorEastAsia" w:eastAsiaTheme="minorEastAsia" w:cstheme="minorEastAsia"/>
        </w:rPr>
      </w:pPr>
      <w:bookmarkStart w:id="969" w:name="_Toc200394246"/>
      <w:bookmarkStart w:id="970" w:name="_Toc2435"/>
      <w:r>
        <w:rPr>
          <w:rFonts w:hint="eastAsia" w:asciiTheme="minorEastAsia" w:hAnsiTheme="minorEastAsia" w:eastAsiaTheme="minorEastAsia" w:cstheme="minorEastAsia"/>
        </w:rPr>
        <w:t>（三） 措施项目清单计价说明</w:t>
      </w:r>
      <w:bookmarkEnd w:id="969"/>
      <w:bookmarkEnd w:id="970"/>
    </w:p>
    <w:p w14:paraId="7DBC5944">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措施项目费指根据招标文件、图纸、国家规范、技术文件标准等内容，完成本招标项目施工，发生于该招标项目承包期内非工程实体项目费用。措施项目的实施须满足政府职能部门及发包人制定的相关规定要求。</w:t>
      </w:r>
    </w:p>
    <w:p w14:paraId="3DB99351">
      <w:pPr>
        <w:pStyle w:val="4"/>
        <w:widowControl/>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绿色施工安全防护措施费</w:t>
      </w:r>
    </w:p>
    <w:p w14:paraId="13556FF5">
      <w:pPr>
        <w:pStyle w:val="29"/>
        <w:topLinePunct/>
        <w:adjustRightInd w:val="0"/>
        <w:snapToGrid w:val="0"/>
        <w:spacing w:before="143" w:beforeAutospacing="0" w:after="143"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指按照国家现行的建筑施工安全、施工现场环境与卫生标准和有关规定，购置和更新施工安全防护用具及设施、保证和改善安全生产条件及作业环境所需要的费用。依据《广东省建筑与装饰工程综合定额(2018)》，绿色施工安全防护措施费由两部分组成，第一部分为按子目计算部分，包括：综合脚手架、靠脚手架安全挡板、密目式安全网、冲孔铝板、围尼龙编织布、模板的支架（钢支撑）、施工现场围挡和临时占地围挡、施工围挡照明、临时钢管架通道、独立安全防护挡板、吊装设备基础、防尘降噪绿色施工防护棚、施工便道、样板引路；第二部分为按系数计算部分，包括绿色施工（含扬尘控制）、临时设施、安全施工、用工实名制、视频监控装置安装费用和网络接入及运行维护费用等。绿色施工安全防护措施费作为非竞争性费用，不低于依据省市工程造价管理机构规定费率计算所需费用总额，所有投标人按招标人公布的固定金额填报。绿色施工安全防护措施费专款专用，要求在承包人财务管理中单独列出安全防护、文明施工措施项目费用清单备查。</w:t>
      </w:r>
    </w:p>
    <w:p w14:paraId="4FB4C233">
      <w:pPr>
        <w:pStyle w:val="4"/>
        <w:widowControl/>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  系统联合调试费用</w:t>
      </w:r>
    </w:p>
    <w:p w14:paraId="648B0135">
      <w:pPr>
        <w:pStyle w:val="102"/>
        <w:spacing w:before="143" w:beforeLines="0" w:after="143" w:afterLines="0"/>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各系统联合调试所发生的费用，包括上述工作的一切费用（含调试所需的水、电、燃料、机油、冷媒等的费用），该费用在投标人投标报价中综合考虑，除合同另有约定外，结算时不予调整。单机及专业系统调试费用已包含在分部分项工程量清单各项目的综合单价中。</w:t>
      </w:r>
    </w:p>
    <w:p w14:paraId="43BA308F">
      <w:pPr>
        <w:pStyle w:val="4"/>
        <w:widowControl/>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 垂直运输及机械使用费</w:t>
      </w:r>
    </w:p>
    <w:p w14:paraId="58E5C3C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施工所需环轨、高空车、汽车吊、玻璃吸盘车、吊葫芦、叉车等的使用费、检修修费等，该费用合价包干，除合同另有约定外，结算时不予调整。</w:t>
      </w:r>
    </w:p>
    <w:p w14:paraId="01947D5E">
      <w:pPr>
        <w:pStyle w:val="4"/>
        <w:widowControl/>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 脚手架搭拆费</w:t>
      </w:r>
    </w:p>
    <w:p w14:paraId="389A2AFB">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bidi="ar"/>
        </w:rPr>
        <w:t>全部安装系统内容所发生的脚手架搭拆费，该费用合价包干，除合同另有约定外，结算时不予调整。</w:t>
      </w:r>
    </w:p>
    <w:p w14:paraId="0D6FC2FE">
      <w:pPr>
        <w:pStyle w:val="4"/>
        <w:widowControl/>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 其他措施费用</w:t>
      </w:r>
    </w:p>
    <w:p w14:paraId="1398471E">
      <w:pPr>
        <w:pStyle w:val="102"/>
        <w:spacing w:before="143" w:beforeLines="0" w:after="143" w:afterLines="0"/>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以上措施项目没有体现的，施工中又必须发生或者投标人认为为完成本工程项目将会发生的其他措施费用。工程内容及其报价由投标人自列，并附单价分析。该费用合价包干。</w:t>
      </w:r>
    </w:p>
    <w:p w14:paraId="53ED1041">
      <w:pPr>
        <w:pStyle w:val="101"/>
        <w:widowControl/>
        <w:rPr>
          <w:rFonts w:hint="eastAsia" w:asciiTheme="minorEastAsia" w:hAnsiTheme="minorEastAsia" w:eastAsiaTheme="minorEastAsia" w:cstheme="minorEastAsia"/>
        </w:rPr>
      </w:pPr>
      <w:bookmarkStart w:id="971" w:name="_Toc1854"/>
      <w:bookmarkStart w:id="972" w:name="_Toc200394247"/>
      <w:r>
        <w:rPr>
          <w:rFonts w:hint="eastAsia" w:asciiTheme="minorEastAsia" w:hAnsiTheme="minorEastAsia" w:eastAsiaTheme="minorEastAsia" w:cstheme="minorEastAsia"/>
        </w:rPr>
        <w:t>（四）其他项目清单计价说明</w:t>
      </w:r>
      <w:bookmarkEnd w:id="971"/>
      <w:bookmarkEnd w:id="972"/>
    </w:p>
    <w:p w14:paraId="48957CF5">
      <w:pPr>
        <w:pStyle w:val="102"/>
        <w:spacing w:before="143" w:beforeLines="0" w:after="143" w:afterLines="0"/>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其他项目清单报价除合同约定和政府针对本项目的文件规定可以调整的以外，合同执行期内固定不变。</w:t>
      </w:r>
    </w:p>
    <w:p w14:paraId="29E799B3">
      <w:pPr>
        <w:pStyle w:val="4"/>
        <w:widowControl/>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 暂列金额</w:t>
      </w:r>
    </w:p>
    <w:p w14:paraId="35002193">
      <w:pPr>
        <w:pStyle w:val="102"/>
        <w:spacing w:before="143" w:beforeLines="0" w:after="143" w:afterLines="0"/>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指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确认等的费用。暂列金额在投标报价时，以招标人正式公布的固定金额进行填报，计量支付时，以合同计列的暂列金额为限额，按合同约定和分包人实际完成的工作量依据合同变更计价原则计量支付，未使用部分仍归发包人所有。</w:t>
      </w:r>
    </w:p>
    <w:p w14:paraId="6114CB0F">
      <w:pPr>
        <w:pStyle w:val="4"/>
        <w:widowControl/>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 预算包干费</w:t>
      </w:r>
    </w:p>
    <w:p w14:paraId="75BEE34D">
      <w:pPr>
        <w:pStyle w:val="102"/>
        <w:spacing w:before="143" w:beforeLines="0" w:after="143" w:afterLines="0"/>
        <w:ind w:firstLine="480"/>
        <w:jc w:val="both"/>
        <w:rPr>
          <w:rFonts w:hint="eastAsia" w:asciiTheme="minorEastAsia" w:hAnsiTheme="minorEastAsia" w:eastAsiaTheme="minorEastAsia" w:cstheme="minorEastAsia"/>
          <w:strike/>
        </w:rPr>
      </w:pPr>
      <w:r>
        <w:rPr>
          <w:rFonts w:hint="eastAsia" w:asciiTheme="minorEastAsia" w:hAnsiTheme="minorEastAsia" w:eastAsiaTheme="minorEastAsia" w:cstheme="minorEastAsia"/>
        </w:rPr>
        <w:t>包括以下内容：因地形、施工组织影响等因素造成的二次运输（包括场内外料具的多次搬迁）；承包范围场地清理及其垃圾外运；施工材料堆放场地的整理；机电安装后的补洞（槽）工料费；补洞工料费；工程半成品、</w:t>
      </w:r>
      <w:r>
        <w:rPr>
          <w:rFonts w:hint="eastAsia" w:asciiTheme="minorEastAsia" w:hAnsiTheme="minorEastAsia" w:eastAsiaTheme="minorEastAsia" w:cstheme="minorEastAsia"/>
          <w:highlight w:val="none"/>
        </w:rPr>
        <w:t>成品保护</w:t>
      </w:r>
      <w:r>
        <w:rPr>
          <w:rFonts w:hint="eastAsia" w:asciiTheme="minorEastAsia" w:hAnsiTheme="minorEastAsia" w:eastAsiaTheme="minorEastAsia" w:cstheme="minorEastAsia"/>
        </w:rPr>
        <w:t>费；施工中的临时停水停电。场地清理及垃圾外运项若分包人未按规定及时进行清运则由承包人另行委托队伍进行清运，实际清运费用由分包人承担。若分包人产生的垃圾与总承包管理单位产生的垃圾责任划分不清且不按规定及时进行清运则由发包人另行委托队伍进行清运，实际清运费用按专业工程承包单位与总承包单位各自合同造价占总合同造价的比例分摊。补洞工料费（含各时期各类设计变更引起的补洞工料）指孔洞的修补、塞洞补洞、塞缝和恢复费用等，补洞工作（含机电安装后的补洞）指孔洞的修补、塞洞补洞、塞缝和恢复等。预算包干费属合价包干项目，除合同另有约定外，结算时不作调整。</w:t>
      </w:r>
    </w:p>
    <w:p w14:paraId="3722ED8B">
      <w:pPr>
        <w:pStyle w:val="4"/>
        <w:widowControl/>
        <w:spacing w:before="0" w:after="0"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 其他费用</w:t>
      </w:r>
    </w:p>
    <w:p w14:paraId="51FFCEFA">
      <w:pPr>
        <w:pStyle w:val="29"/>
        <w:topLinePunct/>
        <w:adjustRightInd w:val="0"/>
        <w:snapToGrid w:val="0"/>
        <w:spacing w:before="0" w:beforeAutospacing="0" w:after="0"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以上其他项目没有体现的，施工中又必须发生或者投标人认为为完成本工程项目将会发生的其他项目费用。工程内容及其报价由投标人自列，并附单价分析。该费用属合价包干项目，除合同另有约定外，结算时不作调整。</w:t>
      </w:r>
    </w:p>
    <w:p w14:paraId="5DB432B9">
      <w:pPr>
        <w:pStyle w:val="101"/>
        <w:widowControl/>
        <w:rPr>
          <w:rFonts w:hint="eastAsia" w:asciiTheme="minorEastAsia" w:hAnsiTheme="minorEastAsia" w:eastAsiaTheme="minorEastAsia" w:cstheme="minorEastAsia"/>
        </w:rPr>
      </w:pPr>
      <w:bookmarkStart w:id="973" w:name="_Toc11749"/>
      <w:bookmarkStart w:id="974" w:name="_Toc200394248"/>
      <w:r>
        <w:rPr>
          <w:rFonts w:hint="eastAsia" w:asciiTheme="minorEastAsia" w:hAnsiTheme="minorEastAsia" w:eastAsiaTheme="minorEastAsia" w:cstheme="minorEastAsia"/>
        </w:rPr>
        <w:t>（五）税金计价说明</w:t>
      </w:r>
      <w:bookmarkEnd w:id="973"/>
      <w:bookmarkEnd w:id="974"/>
    </w:p>
    <w:p w14:paraId="650ABE3E">
      <w:pPr>
        <w:pStyle w:val="102"/>
        <w:spacing w:before="143" w:beforeLines="0" w:after="143" w:afterLines="0"/>
        <w:ind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增值税销项税额：招标当期根据《广东省住房和城乡建设厅关于调整广东省建设工程计价依据增值税税率的通知》（粤建标函[2019]819号）和广州地区税务部门有关规定计算，增值税销项税额按税前工程造价的9%计取。国家及广东省、广州市有最新规定的，从其规定。</w:t>
      </w:r>
    </w:p>
    <w:p w14:paraId="683144F6">
      <w:pPr>
        <w:pStyle w:val="101"/>
        <w:widowControl/>
        <w:rPr>
          <w:rFonts w:hint="eastAsia" w:asciiTheme="minorEastAsia" w:hAnsiTheme="minorEastAsia" w:eastAsiaTheme="minorEastAsia" w:cstheme="minorEastAsia"/>
        </w:rPr>
      </w:pPr>
      <w:bookmarkStart w:id="975" w:name="_Toc200394249"/>
      <w:bookmarkStart w:id="976" w:name="_Toc17625"/>
      <w:r>
        <w:rPr>
          <w:rFonts w:hint="eastAsia" w:asciiTheme="minorEastAsia" w:hAnsiTheme="minorEastAsia" w:eastAsiaTheme="minorEastAsia" w:cstheme="minorEastAsia"/>
        </w:rPr>
        <w:t>（六）通用建筑装饰工程量清单计价补充说明</w:t>
      </w:r>
      <w:bookmarkEnd w:id="975"/>
      <w:bookmarkEnd w:id="976"/>
    </w:p>
    <w:p w14:paraId="452F758C">
      <w:pPr>
        <w:pStyle w:val="29"/>
        <w:topLinePunct/>
        <w:adjustRightInd w:val="0"/>
        <w:snapToGrid w:val="0"/>
        <w:spacing w:before="0" w:after="200"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凡在本说明中已明确的须按本说明执行；在本说明中未明确的则按《关于实施&lt;房屋建筑与装饰工程工程量计算规范&gt;(GB50854-2013)等的若干意见》（粤建造发〔2013〕4号）、《广东省建设工程工程量清单计价指引》（粤建造发〔2013〕6号）、《广东省建设工程计价依据(2018)》的规定执行；在本说明及《关于实施&lt;房屋建筑与装饰工程工程量计算规范&gt;(GB50854-2013)等的若干意见》（粤建造发〔2013〕4号）、《广东省建设工程工程量清单计价指引》（粤建造发〔2013〕6号）、《广东省建设工程计价依据(2018)》中均未明确的，则按《房屋建筑与装饰工程工程量计算规范（GB50854-2013）》、《通用安装工程工程量计算规范（GB50856-2013）》等国标规范的规定执行；以上均未明确的则按《广东省房屋建筑与装饰工程综合定额(2018)》、《广东省通用安装工程综合定额(2018)》等专业定额的规定执行。</w:t>
      </w:r>
    </w:p>
    <w:p w14:paraId="48BD5014">
      <w:pPr>
        <w:pStyle w:val="29"/>
        <w:topLinePunct/>
        <w:adjustRightInd w:val="0"/>
        <w:snapToGrid w:val="0"/>
        <w:spacing w:before="0" w:after="200" w:afterAutospacing="0" w:line="360" w:lineRule="auto"/>
        <w:ind w:firstLine="496" w:firstLineChars="200"/>
        <w:jc w:val="both"/>
        <w:rPr>
          <w:rFonts w:hint="eastAsia" w:asciiTheme="minorEastAsia" w:hAnsiTheme="minorEastAsia" w:eastAsiaTheme="minorEastAsia" w:cstheme="minorEastAsia"/>
          <w:spacing w:val="4"/>
        </w:rPr>
      </w:pPr>
      <w:r>
        <w:rPr>
          <w:rFonts w:hint="eastAsia" w:asciiTheme="minorEastAsia" w:hAnsiTheme="minorEastAsia" w:eastAsiaTheme="minorEastAsia" w:cstheme="minorEastAsia"/>
          <w:spacing w:val="4"/>
          <w:lang w:bidi="ar"/>
        </w:rPr>
        <w:t>本计价补充规定套用顺序：通用项目有明确的按通用项目执行；通用项目没有明确的，按其图纸所属专业优先套用相应专业清单项目，相应专业清单项目没有可套用的则参考其他专业清单项目。</w:t>
      </w:r>
    </w:p>
    <w:p w14:paraId="21B5EF67">
      <w:pPr>
        <w:widowControl/>
        <w:spacing w:line="360" w:lineRule="auto"/>
        <w:jc w:val="both"/>
        <w:rPr>
          <w:rFonts w:hint="eastAsia" w:asciiTheme="minorEastAsia" w:hAnsiTheme="minorEastAsia" w:eastAsiaTheme="minorEastAsia" w:cstheme="minorEastAsia"/>
          <w:kern w:val="0"/>
          <w:sz w:val="24"/>
          <w:lang w:eastAsia="zh"/>
        </w:rPr>
      </w:pPr>
    </w:p>
    <w:p w14:paraId="5BADF79E">
      <w:pPr>
        <w:widowControl/>
        <w:spacing w:line="360" w:lineRule="auto"/>
        <w:jc w:val="both"/>
        <w:rPr>
          <w:rFonts w:hint="eastAsia" w:asciiTheme="minorEastAsia" w:hAnsiTheme="minorEastAsia" w:eastAsiaTheme="minorEastAsia" w:cstheme="minorEastAsia"/>
          <w:kern w:val="0"/>
          <w:sz w:val="24"/>
        </w:rPr>
      </w:pPr>
    </w:p>
    <w:p w14:paraId="3C0140E4">
      <w:pPr>
        <w:tabs>
          <w:tab w:val="left" w:pos="525"/>
          <w:tab w:val="left" w:pos="1155"/>
          <w:tab w:val="left" w:pos="6300"/>
        </w:tabs>
        <w:spacing w:line="360" w:lineRule="auto"/>
        <w:ind w:firstLine="240" w:firstLineChars="100"/>
        <w:rPr>
          <w:rFonts w:hint="eastAsia" w:asciiTheme="minorEastAsia" w:hAnsiTheme="minorEastAsia" w:eastAsiaTheme="minorEastAsia" w:cstheme="minorEastAsia"/>
          <w:sz w:val="24"/>
        </w:rPr>
      </w:pPr>
    </w:p>
    <w:p w14:paraId="1723322A">
      <w:pPr>
        <w:tabs>
          <w:tab w:val="left" w:pos="525"/>
          <w:tab w:val="left" w:pos="1155"/>
          <w:tab w:val="left" w:pos="6300"/>
        </w:tabs>
        <w:spacing w:line="360" w:lineRule="auto"/>
        <w:ind w:firstLine="240" w:firstLineChars="100"/>
        <w:rPr>
          <w:rFonts w:hint="eastAsia" w:asciiTheme="minorEastAsia" w:hAnsiTheme="minorEastAsia" w:eastAsiaTheme="minorEastAsia" w:cstheme="minorEastAsia"/>
          <w:sz w:val="24"/>
        </w:rPr>
      </w:pPr>
    </w:p>
    <w:p w14:paraId="3C4825BD">
      <w:pPr>
        <w:tabs>
          <w:tab w:val="left" w:pos="525"/>
          <w:tab w:val="left" w:pos="1155"/>
          <w:tab w:val="left" w:pos="6300"/>
        </w:tabs>
        <w:spacing w:line="360" w:lineRule="auto"/>
        <w:ind w:firstLine="240" w:firstLineChars="100"/>
        <w:rPr>
          <w:rFonts w:hint="eastAsia" w:asciiTheme="minorEastAsia" w:hAnsiTheme="minorEastAsia" w:eastAsiaTheme="minorEastAsia" w:cstheme="minorEastAsia"/>
          <w:sz w:val="24"/>
        </w:rPr>
      </w:pPr>
    </w:p>
    <w:p w14:paraId="36DC8B25">
      <w:pPr>
        <w:tabs>
          <w:tab w:val="left" w:pos="525"/>
          <w:tab w:val="left" w:pos="1155"/>
          <w:tab w:val="left" w:pos="6300"/>
        </w:tabs>
        <w:spacing w:line="360" w:lineRule="auto"/>
        <w:ind w:firstLine="240" w:firstLineChars="100"/>
        <w:rPr>
          <w:rFonts w:hint="eastAsia" w:asciiTheme="minorEastAsia" w:hAnsiTheme="minorEastAsia" w:eastAsiaTheme="minorEastAsia" w:cstheme="minorEastAsia"/>
          <w:sz w:val="24"/>
        </w:rPr>
      </w:pPr>
    </w:p>
    <w:p w14:paraId="45D2C8DB">
      <w:pPr>
        <w:tabs>
          <w:tab w:val="left" w:pos="525"/>
          <w:tab w:val="left" w:pos="1155"/>
          <w:tab w:val="left" w:pos="6300"/>
        </w:tabs>
        <w:spacing w:line="360" w:lineRule="auto"/>
        <w:ind w:firstLine="240" w:firstLineChars="100"/>
        <w:rPr>
          <w:rFonts w:hint="eastAsia" w:asciiTheme="minorEastAsia" w:hAnsiTheme="minorEastAsia" w:eastAsiaTheme="minorEastAsia" w:cstheme="minorEastAsia"/>
          <w:sz w:val="24"/>
        </w:rPr>
      </w:pPr>
    </w:p>
    <w:p w14:paraId="42705F29">
      <w:pPr>
        <w:pStyle w:val="18"/>
        <w:keepNext/>
        <w:keepLines/>
        <w:numPr>
          <w:ilvl w:val="0"/>
          <w:numId w:val="8"/>
        </w:numPr>
        <w:tabs>
          <w:tab w:val="left" w:pos="420"/>
          <w:tab w:val="left" w:pos="720"/>
          <w:tab w:val="left" w:pos="900"/>
        </w:tabs>
        <w:snapToGrid w:val="0"/>
        <w:spacing w:before="96" w:beforeLines="40" w:after="72" w:afterLines="30" w:line="360" w:lineRule="auto"/>
        <w:ind w:left="0" w:leftChars="0"/>
        <w:jc w:val="both"/>
        <w:outlineLvl w:val="0"/>
        <w:rPr>
          <w:rFonts w:hint="eastAsia" w:ascii="黑体" w:hAnsi="黑体" w:eastAsia="黑体" w:cs="黑体"/>
          <w:b/>
          <w:bCs/>
          <w:sz w:val="32"/>
          <w:szCs w:val="32"/>
          <w:lang w:eastAsia="zh"/>
        </w:rPr>
      </w:pPr>
      <w:r>
        <w:rPr>
          <w:rFonts w:hint="eastAsia" w:asciiTheme="minorEastAsia" w:hAnsiTheme="minorEastAsia" w:eastAsiaTheme="minorEastAsia" w:cstheme="minorEastAsia"/>
          <w:sz w:val="24"/>
        </w:rPr>
        <w:br w:type="page"/>
      </w:r>
      <w:bookmarkStart w:id="977" w:name="_Toc24564"/>
      <w:bookmarkStart w:id="978" w:name="_Toc200394250"/>
      <w:r>
        <w:rPr>
          <w:rFonts w:hint="eastAsia" w:ascii="黑体" w:hAnsi="黑体" w:eastAsia="黑体" w:cs="黑体"/>
          <w:b/>
          <w:bCs/>
          <w:sz w:val="32"/>
          <w:szCs w:val="32"/>
          <w:lang w:eastAsia="zh"/>
        </w:rPr>
        <w:t>资料表格</w:t>
      </w:r>
      <w:bookmarkEnd w:id="977"/>
      <w:bookmarkEnd w:id="978"/>
    </w:p>
    <w:p w14:paraId="5F449189">
      <w:pPr>
        <w:pStyle w:val="18"/>
        <w:keepNext/>
        <w:keepLines/>
        <w:tabs>
          <w:tab w:val="left" w:pos="420"/>
          <w:tab w:val="left" w:pos="720"/>
          <w:tab w:val="left" w:pos="900"/>
        </w:tabs>
        <w:snapToGrid w:val="0"/>
        <w:spacing w:before="96" w:beforeLines="40" w:after="72" w:afterLines="30" w:line="360" w:lineRule="auto"/>
        <w:ind w:left="0" w:leftChars="0" w:firstLine="602" w:firstLineChars="200"/>
        <w:outlineLvl w:val="1"/>
        <w:rPr>
          <w:rFonts w:hint="eastAsia" w:asciiTheme="minorEastAsia" w:hAnsiTheme="minorEastAsia" w:eastAsiaTheme="minorEastAsia" w:cstheme="minorEastAsia"/>
          <w:b/>
          <w:bCs/>
          <w:kern w:val="44"/>
          <w:sz w:val="30"/>
          <w:szCs w:val="30"/>
        </w:rPr>
      </w:pPr>
      <w:bookmarkStart w:id="979" w:name="_Toc200394251"/>
      <w:bookmarkStart w:id="980" w:name="_Toc11437"/>
      <w:r>
        <w:rPr>
          <w:rFonts w:hint="eastAsia" w:asciiTheme="minorEastAsia" w:hAnsiTheme="minorEastAsia" w:eastAsiaTheme="minorEastAsia" w:cstheme="minorEastAsia"/>
          <w:b/>
          <w:bCs/>
          <w:kern w:val="44"/>
          <w:sz w:val="30"/>
          <w:szCs w:val="30"/>
        </w:rPr>
        <w:t>附件1 施工界面划分</w:t>
      </w:r>
      <w:bookmarkEnd w:id="979"/>
      <w:bookmarkEnd w:id="980"/>
    </w:p>
    <w:tbl>
      <w:tblPr>
        <w:tblStyle w:val="34"/>
        <w:tblW w:w="9860" w:type="dxa"/>
        <w:tblInd w:w="0" w:type="dxa"/>
        <w:tblLayout w:type="autofit"/>
        <w:tblCellMar>
          <w:top w:w="0" w:type="dxa"/>
          <w:left w:w="108" w:type="dxa"/>
          <w:bottom w:w="0" w:type="dxa"/>
          <w:right w:w="108" w:type="dxa"/>
        </w:tblCellMar>
      </w:tblPr>
      <w:tblGrid>
        <w:gridCol w:w="9990"/>
      </w:tblGrid>
      <w:tr w14:paraId="6A684EA2">
        <w:tblPrEx>
          <w:tblCellMar>
            <w:top w:w="0" w:type="dxa"/>
            <w:left w:w="108" w:type="dxa"/>
            <w:bottom w:w="0" w:type="dxa"/>
            <w:right w:w="108" w:type="dxa"/>
          </w:tblCellMar>
        </w:tblPrEx>
        <w:trPr>
          <w:trHeight w:val="540" w:hRule="atLeast"/>
        </w:trPr>
        <w:tc>
          <w:tcPr>
            <w:tcW w:w="9860" w:type="dxa"/>
            <w:tcBorders>
              <w:top w:val="nil"/>
              <w:left w:val="nil"/>
              <w:bottom w:val="nil"/>
              <w:right w:val="nil"/>
            </w:tcBorders>
            <w:shd w:val="clear" w:color="auto" w:fill="auto"/>
            <w:noWrap/>
            <w:vAlign w:val="center"/>
          </w:tcPr>
          <w:p w14:paraId="33ED8298">
            <w:pPr>
              <w:spacing w:line="360" w:lineRule="auto"/>
              <w:jc w:val="center"/>
              <w:rPr>
                <w:rFonts w:hint="eastAsia" w:ascii="宋体" w:hAnsi="宋体" w:cs="宋体"/>
                <w:b/>
                <w:color w:val="000000"/>
                <w:szCs w:val="21"/>
              </w:rPr>
            </w:pPr>
            <w:r>
              <w:rPr>
                <w:rFonts w:hint="eastAsia" w:ascii="宋体" w:hAnsi="宋体" w:cs="宋体"/>
                <w:b/>
                <w:color w:val="000000"/>
                <w:szCs w:val="21"/>
                <w:lang w:val="en-US" w:eastAsia="zh-CN"/>
              </w:rPr>
              <w:t>土建</w:t>
            </w:r>
            <w:r>
              <w:rPr>
                <w:rFonts w:hint="eastAsia" w:ascii="宋体" w:hAnsi="宋体" w:cs="宋体"/>
                <w:b/>
                <w:color w:val="000000"/>
                <w:szCs w:val="21"/>
              </w:rPr>
              <w:t>部分</w:t>
            </w:r>
          </w:p>
          <w:tbl>
            <w:tblPr>
              <w:tblStyle w:val="34"/>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419"/>
              <w:gridCol w:w="2631"/>
              <w:gridCol w:w="2809"/>
              <w:gridCol w:w="2347"/>
            </w:tblGrid>
            <w:tr w14:paraId="72D2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31E89A12">
                  <w:pPr>
                    <w:snapToGrid w:val="0"/>
                    <w:spacing w:line="240" w:lineRule="exact"/>
                    <w:jc w:val="center"/>
                    <w:rPr>
                      <w:rFonts w:hint="eastAsia" w:ascii="宋体" w:hAnsi="宋体" w:cs="宋体"/>
                      <w:color w:val="000000"/>
                      <w:szCs w:val="21"/>
                    </w:rPr>
                  </w:pPr>
                  <w:r>
                    <w:rPr>
                      <w:rFonts w:hint="eastAsia" w:ascii="宋体" w:hAnsi="宋体" w:cs="宋体"/>
                      <w:color w:val="000000"/>
                      <w:szCs w:val="21"/>
                    </w:rPr>
                    <w:t>序号</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0C724B12">
                  <w:pPr>
                    <w:snapToGrid w:val="0"/>
                    <w:spacing w:line="240" w:lineRule="exact"/>
                    <w:jc w:val="center"/>
                    <w:rPr>
                      <w:rFonts w:hint="eastAsia" w:ascii="宋体" w:hAnsi="宋体" w:cs="宋体"/>
                      <w:color w:val="000000"/>
                      <w:szCs w:val="21"/>
                    </w:rPr>
                  </w:pPr>
                  <w:r>
                    <w:rPr>
                      <w:rFonts w:hint="eastAsia" w:ascii="宋体" w:hAnsi="宋体" w:cs="宋体"/>
                      <w:color w:val="000000"/>
                      <w:szCs w:val="21"/>
                    </w:rPr>
                    <w:t>位  置</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6F032526">
                  <w:pPr>
                    <w:snapToGrid w:val="0"/>
                    <w:spacing w:line="240" w:lineRule="exact"/>
                    <w:jc w:val="center"/>
                    <w:rPr>
                      <w:rFonts w:hint="eastAsia" w:ascii="宋体" w:hAnsi="宋体" w:cs="宋体"/>
                      <w:color w:val="000000"/>
                      <w:szCs w:val="21"/>
                    </w:rPr>
                  </w:pPr>
                  <w:r>
                    <w:rPr>
                      <w:rFonts w:hint="eastAsia" w:ascii="宋体" w:hAnsi="宋体" w:cs="宋体"/>
                      <w:color w:val="000000"/>
                      <w:szCs w:val="21"/>
                    </w:rPr>
                    <w:t>施工总承包单位自行施工部分</w:t>
                  </w:r>
                </w:p>
              </w:tc>
              <w:tc>
                <w:tcPr>
                  <w:tcW w:w="2809" w:type="dxa"/>
                  <w:tcBorders>
                    <w:top w:val="single" w:color="auto" w:sz="4" w:space="0"/>
                    <w:left w:val="single" w:color="auto" w:sz="4" w:space="0"/>
                    <w:bottom w:val="single" w:color="auto" w:sz="4" w:space="0"/>
                    <w:right w:val="single" w:color="auto" w:sz="4" w:space="0"/>
                  </w:tcBorders>
                  <w:noWrap w:val="0"/>
                  <w:vAlign w:val="center"/>
                </w:tcPr>
                <w:p w14:paraId="5A0371C1">
                  <w:pPr>
                    <w:snapToGrid w:val="0"/>
                    <w:spacing w:line="240" w:lineRule="exact"/>
                    <w:jc w:val="center"/>
                    <w:rPr>
                      <w:rFonts w:hint="eastAsia" w:ascii="宋体" w:hAnsi="宋体" w:cs="宋体"/>
                      <w:color w:val="000000"/>
                      <w:szCs w:val="21"/>
                    </w:rPr>
                  </w:pPr>
                  <w:r>
                    <w:rPr>
                      <w:rFonts w:hint="eastAsia" w:ascii="宋体" w:hAnsi="宋体" w:cs="宋体"/>
                      <w:color w:val="000000"/>
                      <w:szCs w:val="21"/>
                    </w:rPr>
                    <w:t>装修单位</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59DDED7C">
                  <w:pPr>
                    <w:snapToGrid w:val="0"/>
                    <w:spacing w:line="240" w:lineRule="exact"/>
                    <w:jc w:val="center"/>
                    <w:rPr>
                      <w:rFonts w:hint="eastAsia" w:ascii="宋体" w:hAnsi="宋体" w:cs="宋体"/>
                      <w:color w:val="000000"/>
                      <w:szCs w:val="21"/>
                    </w:rPr>
                  </w:pPr>
                  <w:r>
                    <w:rPr>
                      <w:rFonts w:hint="eastAsia" w:ascii="宋体" w:hAnsi="宋体" w:cs="宋体"/>
                      <w:color w:val="000000"/>
                      <w:szCs w:val="21"/>
                    </w:rPr>
                    <w:t>备  注/其他专业单位</w:t>
                  </w:r>
                </w:p>
              </w:tc>
            </w:tr>
            <w:tr w14:paraId="0032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32081CC3">
                  <w:pPr>
                    <w:snapToGrid w:val="0"/>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078A5F7">
                  <w:pPr>
                    <w:snapToGrid w:val="0"/>
                    <w:spacing w:line="24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
                    </w:rPr>
                    <w:t>±</w:t>
                  </w:r>
                  <w:r>
                    <w:rPr>
                      <w:rFonts w:hint="eastAsia" w:ascii="宋体" w:hAnsi="宋体" w:cs="宋体"/>
                      <w:color w:val="auto"/>
                      <w:szCs w:val="21"/>
                      <w:highlight w:val="none"/>
                      <w:lang w:val="en-US" w:eastAsia="zh-CN"/>
                    </w:rPr>
                    <w:t>0.000以下</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3CBB101B">
                  <w:pPr>
                    <w:snapToGrid w:val="0"/>
                    <w:spacing w:line="2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除电梯厅外，其他房间天地墙面完成至饰面层</w:t>
                  </w:r>
                </w:p>
              </w:tc>
              <w:tc>
                <w:tcPr>
                  <w:tcW w:w="2809" w:type="dxa"/>
                  <w:tcBorders>
                    <w:top w:val="single" w:color="auto" w:sz="4" w:space="0"/>
                    <w:left w:val="single" w:color="auto" w:sz="4" w:space="0"/>
                    <w:bottom w:val="single" w:color="auto" w:sz="4" w:space="0"/>
                    <w:right w:val="single" w:color="auto" w:sz="4" w:space="0"/>
                  </w:tcBorders>
                  <w:noWrap w:val="0"/>
                  <w:vAlign w:val="center"/>
                </w:tcPr>
                <w:p w14:paraId="2C4D8720">
                  <w:pPr>
                    <w:snapToGrid w:val="0"/>
                    <w:spacing w:line="24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电梯厅天、地、墙面均完成至饰面层</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3E7F54E4">
                  <w:pPr>
                    <w:snapToGrid w:val="0"/>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需保证满足消防验收、质监验收及其它相关验收的要求。</w:t>
                  </w:r>
                </w:p>
              </w:tc>
            </w:tr>
            <w:tr w14:paraId="711A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5BB33C92">
                  <w:pPr>
                    <w:snapToGrid w:val="0"/>
                    <w:spacing w:line="240" w:lineRule="exact"/>
                    <w:jc w:val="center"/>
                    <w:rPr>
                      <w:rFonts w:hint="eastAsia" w:ascii="宋体" w:hAnsi="宋体" w:cs="宋体"/>
                      <w:color w:val="auto"/>
                      <w:szCs w:val="21"/>
                      <w:lang w:eastAsia="zh"/>
                    </w:rPr>
                  </w:pPr>
                  <w:r>
                    <w:rPr>
                      <w:rFonts w:hint="eastAsia" w:ascii="宋体" w:hAnsi="宋体" w:cs="宋体"/>
                      <w:color w:val="auto"/>
                      <w:szCs w:val="21"/>
                      <w:lang w:eastAsia="zh"/>
                    </w:rPr>
                    <w:t>2</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5D37631">
                  <w:pPr>
                    <w:snapToGrid w:val="0"/>
                    <w:spacing w:line="24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地上及地下所有设备机房</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5907480A">
                  <w:pPr>
                    <w:snapToGrid w:val="0"/>
                    <w:spacing w:line="2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墙、柱面：施工至面层</w:t>
                  </w:r>
                </w:p>
                <w:p w14:paraId="2DF29437">
                  <w:pPr>
                    <w:snapToGrid w:val="0"/>
                    <w:spacing w:line="2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地面：施工至面层</w:t>
                  </w:r>
                </w:p>
                <w:p w14:paraId="52CA5FBF">
                  <w:pPr>
                    <w:snapToGrid w:val="0"/>
                    <w:spacing w:line="240" w:lineRule="exact"/>
                    <w:rPr>
                      <w:rFonts w:hint="default" w:ascii="宋体" w:hAnsi="宋体" w:cs="宋体"/>
                      <w:color w:val="auto"/>
                      <w:szCs w:val="21"/>
                      <w:lang w:val="en-US" w:eastAsia="zh-CN"/>
                    </w:rPr>
                  </w:pPr>
                  <w:r>
                    <w:rPr>
                      <w:rFonts w:hint="eastAsia" w:ascii="宋体" w:hAnsi="宋体" w:cs="宋体"/>
                      <w:color w:val="auto"/>
                      <w:szCs w:val="21"/>
                      <w:lang w:val="en-US" w:eastAsia="zh-CN"/>
                    </w:rPr>
                    <w:t>天花：施工至面层</w:t>
                  </w:r>
                </w:p>
              </w:tc>
              <w:tc>
                <w:tcPr>
                  <w:tcW w:w="2809" w:type="dxa"/>
                  <w:tcBorders>
                    <w:top w:val="single" w:color="auto" w:sz="4" w:space="0"/>
                    <w:left w:val="single" w:color="auto" w:sz="4" w:space="0"/>
                    <w:bottom w:val="single" w:color="auto" w:sz="4" w:space="0"/>
                    <w:right w:val="single" w:color="auto" w:sz="4" w:space="0"/>
                  </w:tcBorders>
                  <w:noWrap w:val="0"/>
                  <w:vAlign w:val="center"/>
                </w:tcPr>
                <w:p w14:paraId="54D73241">
                  <w:pPr>
                    <w:snapToGrid w:val="0"/>
                    <w:spacing w:line="240" w:lineRule="exact"/>
                    <w:jc w:val="left"/>
                    <w:rPr>
                      <w:rFonts w:hint="default" w:ascii="宋体" w:hAnsi="宋体" w:cs="宋体"/>
                      <w:color w:val="auto"/>
                      <w:szCs w:val="21"/>
                      <w:lang w:val="en-US" w:eastAsia="zh-CN"/>
                    </w:rPr>
                  </w:pPr>
                  <w:r>
                    <w:rPr>
                      <w:rFonts w:hint="eastAsia" w:ascii="宋体" w:hAnsi="宋体" w:cs="宋体"/>
                      <w:color w:val="auto"/>
                      <w:szCs w:val="21"/>
                      <w:lang w:val="en-US" w:eastAsia="zh-CN"/>
                    </w:rPr>
                    <w:t>/</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44463B28">
                  <w:pPr>
                    <w:snapToGrid w:val="0"/>
                    <w:spacing w:line="2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通信、发电机等有特殊要求房间按专业供应商要求</w:t>
                  </w:r>
                </w:p>
              </w:tc>
            </w:tr>
            <w:tr w14:paraId="08B9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2F851E48">
                  <w:pPr>
                    <w:snapToGrid w:val="0"/>
                    <w:spacing w:line="24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0E8D76">
                  <w:pPr>
                    <w:snapToGrid w:val="0"/>
                    <w:spacing w:line="240" w:lineRule="exact"/>
                    <w:rPr>
                      <w:rFonts w:hint="default" w:ascii="宋体" w:hAnsi="宋体" w:eastAsia="宋体" w:cs="宋体"/>
                      <w:color w:val="auto"/>
                      <w:szCs w:val="21"/>
                      <w:highlight w:val="none"/>
                      <w:lang w:val="en-US" w:eastAsia="zh"/>
                    </w:rPr>
                  </w:pPr>
                  <w:r>
                    <w:rPr>
                      <w:rFonts w:hint="eastAsia" w:ascii="宋体" w:hAnsi="宋体" w:eastAsia="宋体" w:cs="宋体"/>
                      <w:color w:val="auto"/>
                      <w:szCs w:val="21"/>
                      <w:highlight w:val="none"/>
                      <w:lang w:eastAsia="zh"/>
                    </w:rPr>
                    <w:t>±</w:t>
                  </w:r>
                  <w:r>
                    <w:rPr>
                      <w:rFonts w:hint="eastAsia" w:ascii="宋体" w:hAnsi="宋体" w:cs="宋体"/>
                      <w:color w:val="auto"/>
                      <w:szCs w:val="21"/>
                      <w:highlight w:val="none"/>
                      <w:lang w:val="en-US" w:eastAsia="zh-CN"/>
                    </w:rPr>
                    <w:t>0.000以上室内部分房间（如大堂、电梯厅、公共走道等）</w:t>
                  </w:r>
                </w:p>
              </w:tc>
              <w:tc>
                <w:tcPr>
                  <w:tcW w:w="26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2248FF">
                  <w:pPr>
                    <w:snapToGrid w:val="0"/>
                    <w:spacing w:line="2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墙、柱面：施工至抹灰层</w:t>
                  </w:r>
                </w:p>
                <w:p w14:paraId="20C0C51D">
                  <w:pPr>
                    <w:snapToGrid w:val="0"/>
                    <w:spacing w:line="2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地面：施工至钢筋混凝土楼板（屋面通道、2-5层走道施工至找平层）</w:t>
                  </w:r>
                </w:p>
                <w:p w14:paraId="6C21510D">
                  <w:pPr>
                    <w:snapToGrid w:val="0"/>
                    <w:spacing w:line="2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天花：施工至防水层</w:t>
                  </w:r>
                </w:p>
              </w:tc>
              <w:tc>
                <w:tcPr>
                  <w:tcW w:w="28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0ED25">
                  <w:pPr>
                    <w:snapToGrid w:val="0"/>
                    <w:spacing w:line="2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墙、柱面：施工至饰面层地面：施工至饰面层</w:t>
                  </w:r>
                </w:p>
                <w:p w14:paraId="28E728BF">
                  <w:pPr>
                    <w:snapToGrid w:val="0"/>
                    <w:spacing w:line="24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天花：施工至饰面层</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7DD06">
                  <w:pPr>
                    <w:snapToGrid w:val="0"/>
                    <w:spacing w:line="24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strike w:val="0"/>
                      <w:dstrike w:val="0"/>
                      <w:color w:val="auto"/>
                      <w:kern w:val="2"/>
                      <w:sz w:val="21"/>
                      <w:szCs w:val="21"/>
                      <w:highlight w:val="none"/>
                      <w:lang w:val="en-US" w:eastAsia="zh-CN" w:bidi="ar-SA"/>
                    </w:rPr>
                    <w:t>涉及到防水及相关功能要求的做好场地移交手续，后续所有渗漏等质量问题均由场地接收方负责维修</w:t>
                  </w:r>
                </w:p>
              </w:tc>
            </w:tr>
            <w:tr w14:paraId="292F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6AA928AF">
                  <w:pPr>
                    <w:snapToGrid w:val="0"/>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4</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6D20C1">
                  <w:pPr>
                    <w:snapToGrid w:val="0"/>
                    <w:spacing w:line="240" w:lineRule="exact"/>
                    <w:rPr>
                      <w:rFonts w:hint="eastAsia" w:ascii="宋体" w:hAnsi="宋体" w:eastAsia="宋体" w:cs="宋体"/>
                      <w:color w:val="auto"/>
                      <w:kern w:val="2"/>
                      <w:sz w:val="21"/>
                      <w:szCs w:val="21"/>
                      <w:highlight w:val="none"/>
                      <w:lang w:val="en-US" w:eastAsia="zh" w:bidi="ar-SA"/>
                    </w:rPr>
                  </w:pPr>
                  <w:r>
                    <w:rPr>
                      <w:rFonts w:hint="eastAsia" w:ascii="宋体" w:hAnsi="宋体" w:eastAsia="宋体" w:cs="宋体"/>
                      <w:color w:val="auto"/>
                      <w:szCs w:val="21"/>
                      <w:highlight w:val="none"/>
                      <w:lang w:eastAsia="zh"/>
                    </w:rPr>
                    <w:t>±</w:t>
                  </w:r>
                  <w:r>
                    <w:rPr>
                      <w:rFonts w:hint="eastAsia" w:ascii="宋体" w:hAnsi="宋体" w:cs="宋体"/>
                      <w:color w:val="auto"/>
                      <w:szCs w:val="21"/>
                      <w:highlight w:val="none"/>
                      <w:lang w:val="en-US" w:eastAsia="zh-CN"/>
                    </w:rPr>
                    <w:t>0.000以上室外部分功能房及楼梯、走道</w:t>
                  </w:r>
                </w:p>
              </w:tc>
              <w:tc>
                <w:tcPr>
                  <w:tcW w:w="26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1BC969">
                  <w:pPr>
                    <w:snapToGrid w:val="0"/>
                    <w:spacing w:line="2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墙、柱面：施工至饰面层</w:t>
                  </w:r>
                </w:p>
                <w:p w14:paraId="497D1D18">
                  <w:pPr>
                    <w:snapToGrid w:val="0"/>
                    <w:spacing w:line="2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地面：施工至面层及相关收边收口（包括面层、排水沟、集水沟、盖板等）</w:t>
                  </w:r>
                </w:p>
                <w:p w14:paraId="32DC2B66">
                  <w:pPr>
                    <w:snapToGrid w:val="0"/>
                    <w:spacing w:line="240" w:lineRule="exact"/>
                    <w:rPr>
                      <w:rFonts w:hint="eastAsia" w:ascii="宋体" w:hAnsi="宋体" w:eastAsia="宋体" w:cs="宋体"/>
                      <w:color w:val="auto"/>
                      <w:kern w:val="2"/>
                      <w:sz w:val="21"/>
                      <w:szCs w:val="21"/>
                      <w:highlight w:val="none"/>
                      <w:lang w:val="en-US" w:eastAsia="zh" w:bidi="ar-SA"/>
                    </w:rPr>
                  </w:pPr>
                  <w:r>
                    <w:rPr>
                      <w:rFonts w:hint="eastAsia" w:ascii="宋体" w:hAnsi="宋体" w:cs="宋体"/>
                      <w:color w:val="auto"/>
                      <w:szCs w:val="21"/>
                      <w:highlight w:val="none"/>
                      <w:lang w:val="en-US" w:eastAsia="zh-CN"/>
                    </w:rPr>
                    <w:t>天花：施工至面层</w:t>
                  </w:r>
                </w:p>
              </w:tc>
              <w:tc>
                <w:tcPr>
                  <w:tcW w:w="280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C7BFBC">
                  <w:pPr>
                    <w:snapToGrid w:val="0"/>
                    <w:spacing w:line="240" w:lineRule="exact"/>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E6B227">
                  <w:pPr>
                    <w:snapToGrid w:val="0"/>
                    <w:spacing w:line="240" w:lineRule="exac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钢筋混凝土雨篷外的所有雨篷，外露百叶由幕墙单位负责</w:t>
                  </w:r>
                </w:p>
              </w:tc>
            </w:tr>
            <w:tr w14:paraId="5BF2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7BFE2563">
                  <w:pPr>
                    <w:snapToGrid w:val="0"/>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5</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2131083">
                  <w:pPr>
                    <w:snapToGrid w:val="0"/>
                    <w:spacing w:line="2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门窗工程</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363E052F">
                  <w:pPr>
                    <w:snapToGrid w:val="0"/>
                    <w:spacing w:line="2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防火门及防火窗，土建洞口尺寸偏差不得超过30mm，严格按标准检查施工质量，负责门窗安装，并负责后续门窗塞缝工作</w:t>
                  </w:r>
                </w:p>
              </w:tc>
              <w:tc>
                <w:tcPr>
                  <w:tcW w:w="2809" w:type="dxa"/>
                  <w:tcBorders>
                    <w:top w:val="single" w:color="auto" w:sz="4" w:space="0"/>
                    <w:left w:val="single" w:color="auto" w:sz="4" w:space="0"/>
                    <w:bottom w:val="single" w:color="auto" w:sz="4" w:space="0"/>
                    <w:right w:val="single" w:color="auto" w:sz="4" w:space="0"/>
                  </w:tcBorders>
                  <w:noWrap w:val="0"/>
                  <w:vAlign w:val="center"/>
                </w:tcPr>
                <w:p w14:paraId="25419DFE">
                  <w:pPr>
                    <w:snapToGrid w:val="0"/>
                    <w:spacing w:line="2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精装单位负责门窗四周收边工作</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2FFE7378">
                  <w:pPr>
                    <w:snapToGrid w:val="0"/>
                    <w:spacing w:line="240" w:lineRule="exact"/>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普通门、普通窗及玻璃隔断在幕墙界面范围，</w:t>
                  </w:r>
                  <w:r>
                    <w:rPr>
                      <w:rFonts w:hint="eastAsia" w:ascii="宋体" w:hAnsi="宋体" w:cs="宋体"/>
                      <w:color w:val="auto"/>
                      <w:kern w:val="2"/>
                      <w:sz w:val="21"/>
                      <w:szCs w:val="21"/>
                      <w:highlight w:val="none"/>
                      <w:lang w:val="en-US" w:eastAsia="zh-CN" w:bidi="ar-SA"/>
                    </w:rPr>
                    <w:t>做好场地移交手续，后续所有渗漏等质量问题均由场地接收方负责维修</w:t>
                  </w:r>
                </w:p>
              </w:tc>
            </w:tr>
            <w:tr w14:paraId="0145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0D7F3DFC">
                  <w:pPr>
                    <w:snapToGrid w:val="0"/>
                    <w:spacing w:line="240" w:lineRule="exact"/>
                    <w:jc w:val="center"/>
                    <w:rPr>
                      <w:rFonts w:hint="eastAsia" w:ascii="宋体" w:hAnsi="宋体" w:cs="宋体"/>
                      <w:color w:val="auto"/>
                      <w:szCs w:val="21"/>
                    </w:rPr>
                  </w:pPr>
                  <w:r>
                    <w:rPr>
                      <w:rFonts w:hint="eastAsia" w:ascii="宋体" w:hAnsi="宋体" w:cs="宋体"/>
                      <w:color w:val="auto"/>
                      <w:szCs w:val="21"/>
                      <w:lang w:eastAsia="zh"/>
                    </w:rPr>
                    <w:t>6</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28376749">
                  <w:pPr>
                    <w:snapToGrid w:val="0"/>
                    <w:spacing w:line="240" w:lineRule="exact"/>
                    <w:rPr>
                      <w:rFonts w:hint="eastAsia" w:ascii="宋体" w:hAnsi="宋体" w:eastAsia="宋体" w:cs="宋体"/>
                      <w:color w:val="auto"/>
                      <w:szCs w:val="21"/>
                      <w:lang w:eastAsia="zh-CN"/>
                    </w:rPr>
                  </w:pPr>
                  <w:r>
                    <w:rPr>
                      <w:rFonts w:hint="eastAsia" w:ascii="宋体" w:hAnsi="宋体" w:cs="宋体"/>
                      <w:color w:val="auto"/>
                      <w:szCs w:val="21"/>
                      <w:lang w:eastAsia="zh"/>
                    </w:rPr>
                    <w:t>首层保留建筑</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4D856C76">
                  <w:pPr>
                    <w:numPr>
                      <w:ilvl w:val="0"/>
                      <w:numId w:val="0"/>
                    </w:numPr>
                    <w:snapToGrid w:val="0"/>
                    <w:spacing w:line="240" w:lineRule="exact"/>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1.完成地面回填及混凝土基层施工； </w:t>
                  </w:r>
                </w:p>
                <w:p w14:paraId="0C633065">
                  <w:pPr>
                    <w:numPr>
                      <w:ilvl w:val="0"/>
                      <w:numId w:val="0"/>
                    </w:numPr>
                    <w:snapToGrid w:val="0"/>
                    <w:spacing w:line="240" w:lineRule="exact"/>
                    <w:rPr>
                      <w:rFonts w:hint="default" w:ascii="宋体" w:hAnsi="宋体" w:cs="宋体"/>
                      <w:color w:val="auto"/>
                      <w:szCs w:val="21"/>
                      <w:lang w:val="en-US" w:eastAsia="zh-CN"/>
                    </w:rPr>
                  </w:pPr>
                  <w:r>
                    <w:rPr>
                      <w:rFonts w:hint="eastAsia" w:ascii="宋体" w:hAnsi="宋体" w:cs="宋体"/>
                      <w:color w:val="auto"/>
                      <w:szCs w:val="21"/>
                      <w:lang w:val="en-US" w:eastAsia="zh-CN"/>
                    </w:rPr>
                    <w:t>2.完成主体结构及门窗洞口的开凿切割</w:t>
                  </w:r>
                </w:p>
              </w:tc>
              <w:tc>
                <w:tcPr>
                  <w:tcW w:w="2809" w:type="dxa"/>
                  <w:tcBorders>
                    <w:top w:val="single" w:color="auto" w:sz="4" w:space="0"/>
                    <w:left w:val="single" w:color="auto" w:sz="4" w:space="0"/>
                    <w:bottom w:val="single" w:color="auto" w:sz="4" w:space="0"/>
                    <w:right w:val="single" w:color="auto" w:sz="4" w:space="0"/>
                  </w:tcBorders>
                  <w:noWrap w:val="0"/>
                  <w:vAlign w:val="center"/>
                </w:tcPr>
                <w:p w14:paraId="5D98F922">
                  <w:pPr>
                    <w:numPr>
                      <w:ilvl w:val="0"/>
                      <w:numId w:val="9"/>
                    </w:numPr>
                    <w:snapToGrid w:val="0"/>
                    <w:spacing w:line="240" w:lineRule="exact"/>
                    <w:jc w:val="left"/>
                    <w:rPr>
                      <w:rFonts w:hint="default" w:ascii="宋体" w:hAnsi="宋体" w:cs="宋体"/>
                      <w:color w:val="auto"/>
                      <w:szCs w:val="21"/>
                      <w:lang w:val="en-US" w:eastAsia="zh"/>
                    </w:rPr>
                  </w:pPr>
                  <w:r>
                    <w:rPr>
                      <w:rFonts w:hint="eastAsia" w:ascii="宋体" w:hAnsi="宋体" w:cs="宋体"/>
                      <w:color w:val="auto"/>
                      <w:szCs w:val="21"/>
                      <w:lang w:val="en-US" w:eastAsia="zh-CN"/>
                    </w:rPr>
                    <w:t>完成天、地、墙面层；</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3E844456">
                  <w:pPr>
                    <w:snapToGrid w:val="0"/>
                    <w:spacing w:line="240" w:lineRule="exact"/>
                    <w:rPr>
                      <w:rFonts w:hint="default" w:ascii="宋体" w:hAnsi="宋体" w:cs="宋体"/>
                      <w:color w:val="auto"/>
                      <w:szCs w:val="21"/>
                      <w:lang w:val="en-US"/>
                    </w:rPr>
                  </w:pPr>
                  <w:r>
                    <w:rPr>
                      <w:rFonts w:hint="eastAsia" w:ascii="宋体" w:hAnsi="宋体" w:cs="宋体"/>
                      <w:color w:val="auto"/>
                      <w:szCs w:val="21"/>
                      <w:lang w:val="en-US" w:eastAsia="zh-CN"/>
                    </w:rPr>
                    <w:t>首层保留建筑耐侯钢洞口在幕墙界面范围</w:t>
                  </w:r>
                </w:p>
              </w:tc>
            </w:tr>
            <w:tr w14:paraId="3EEB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22B4A9C5">
                  <w:pPr>
                    <w:snapToGrid w:val="0"/>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7</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7ED0A64D">
                  <w:pPr>
                    <w:snapToGrid w:val="0"/>
                    <w:spacing w:line="24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栏杆</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7E0BD594">
                  <w:pPr>
                    <w:numPr>
                      <w:ilvl w:val="0"/>
                      <w:numId w:val="0"/>
                    </w:numPr>
                    <w:snapToGrid w:val="0"/>
                    <w:spacing w:line="24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1.所有楼梯安全栏杆；</w:t>
                  </w:r>
                </w:p>
                <w:p w14:paraId="58F52765">
                  <w:pPr>
                    <w:snapToGrid w:val="0"/>
                    <w:spacing w:line="24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2.所有临边安全栏杆；</w:t>
                  </w:r>
                </w:p>
              </w:tc>
              <w:tc>
                <w:tcPr>
                  <w:tcW w:w="2809" w:type="dxa"/>
                  <w:tcBorders>
                    <w:top w:val="single" w:color="auto" w:sz="4" w:space="0"/>
                    <w:left w:val="single" w:color="auto" w:sz="4" w:space="0"/>
                    <w:bottom w:val="single" w:color="auto" w:sz="4" w:space="0"/>
                    <w:right w:val="single" w:color="auto" w:sz="4" w:space="0"/>
                  </w:tcBorders>
                  <w:noWrap w:val="0"/>
                  <w:vAlign w:val="center"/>
                </w:tcPr>
                <w:p w14:paraId="7D291E93">
                  <w:pPr>
                    <w:numPr>
                      <w:ilvl w:val="0"/>
                      <w:numId w:val="0"/>
                    </w:numPr>
                    <w:snapToGrid w:val="0"/>
                    <w:spacing w:line="2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184E070C">
                  <w:pPr>
                    <w:snapToGrid w:val="0"/>
                    <w:spacing w:line="2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注意与幕墙界面重叠</w:t>
                  </w:r>
                </w:p>
              </w:tc>
            </w:tr>
            <w:tr w14:paraId="112B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2BCACFFD">
                  <w:pPr>
                    <w:snapToGrid w:val="0"/>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
                    </w:rPr>
                    <w:t>8</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4CE4313B">
                  <w:pPr>
                    <w:snapToGrid w:val="0"/>
                    <w:spacing w:line="2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电梯、扶梯</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7C0F7C15">
                  <w:pPr>
                    <w:snapToGrid w:val="0"/>
                    <w:spacing w:line="2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电梯安装</w:t>
                  </w:r>
                </w:p>
              </w:tc>
              <w:tc>
                <w:tcPr>
                  <w:tcW w:w="2809" w:type="dxa"/>
                  <w:tcBorders>
                    <w:top w:val="single" w:color="auto" w:sz="4" w:space="0"/>
                    <w:left w:val="single" w:color="auto" w:sz="4" w:space="0"/>
                    <w:bottom w:val="single" w:color="auto" w:sz="4" w:space="0"/>
                    <w:right w:val="single" w:color="auto" w:sz="4" w:space="0"/>
                  </w:tcBorders>
                  <w:noWrap w:val="0"/>
                  <w:vAlign w:val="center"/>
                </w:tcPr>
                <w:p w14:paraId="23209D57">
                  <w:pPr>
                    <w:numPr>
                      <w:ilvl w:val="0"/>
                      <w:numId w:val="10"/>
                    </w:numPr>
                    <w:snapToGrid w:val="0"/>
                    <w:spacing w:line="2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电梯轿厢内天地墙面装修（包含配合其他专业的开孔和风口下引及电梯内扶手）； </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061DCAFD">
                  <w:pPr>
                    <w:snapToGrid w:val="0"/>
                    <w:spacing w:line="2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扶梯装修由电梯厂家深化设计</w:t>
                  </w:r>
                </w:p>
              </w:tc>
            </w:tr>
            <w:tr w14:paraId="3BAD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6D1FC439">
                  <w:pPr>
                    <w:snapToGrid w:val="0"/>
                    <w:spacing w:line="240" w:lineRule="exact"/>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9</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66F48843">
                  <w:pPr>
                    <w:snapToGrid w:val="0"/>
                    <w:spacing w:line="240" w:lineRule="exact"/>
                    <w:rPr>
                      <w:rFonts w:hint="eastAsia" w:ascii="宋体" w:hAnsi="宋体" w:cs="宋体"/>
                      <w:color w:val="000000"/>
                      <w:szCs w:val="21"/>
                      <w:highlight w:val="none"/>
                    </w:rPr>
                  </w:pPr>
                  <w:r>
                    <w:rPr>
                      <w:rFonts w:hint="eastAsia" w:ascii="宋体" w:hAnsi="宋体" w:cs="宋体"/>
                      <w:color w:val="000000"/>
                      <w:szCs w:val="21"/>
                      <w:highlight w:val="none"/>
                    </w:rPr>
                    <w:t>卫生间（含公共卫生间）</w:t>
                  </w:r>
                </w:p>
                <w:p w14:paraId="5138D2AF">
                  <w:pPr>
                    <w:snapToGrid w:val="0"/>
                    <w:spacing w:line="240" w:lineRule="exact"/>
                    <w:rPr>
                      <w:rFonts w:hint="eastAsia" w:ascii="宋体" w:hAnsi="宋体" w:cs="宋体"/>
                      <w:color w:val="000000"/>
                      <w:szCs w:val="21"/>
                      <w:highlight w:val="none"/>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15583DCC">
                  <w:pPr>
                    <w:snapToGrid w:val="0"/>
                    <w:spacing w:line="240" w:lineRule="exac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rPr>
                    <w:t>地面：</w:t>
                  </w:r>
                  <w:r>
                    <w:rPr>
                      <w:rFonts w:hint="eastAsia" w:ascii="宋体" w:hAnsi="宋体" w:cs="宋体"/>
                      <w:color w:val="000000"/>
                      <w:szCs w:val="21"/>
                      <w:highlight w:val="none"/>
                      <w:lang w:val="en-US" w:eastAsia="zh-CN"/>
                    </w:rPr>
                    <w:t>钢筋混凝土楼板</w:t>
                  </w:r>
                  <w:r>
                    <w:rPr>
                      <w:rFonts w:hint="eastAsia" w:ascii="宋体" w:hAnsi="宋体" w:cs="宋体"/>
                      <w:color w:val="000000"/>
                      <w:szCs w:val="21"/>
                      <w:highlight w:val="none"/>
                    </w:rPr>
                    <w:t>（结构自防水</w:t>
                  </w:r>
                  <w:r>
                    <w:rPr>
                      <w:rFonts w:hint="eastAsia" w:ascii="宋体" w:hAnsi="宋体" w:cs="宋体"/>
                      <w:color w:val="000000"/>
                      <w:szCs w:val="21"/>
                      <w:highlight w:val="none"/>
                      <w:lang w:val="en-US" w:eastAsia="zh-CN"/>
                    </w:rPr>
                    <w:t>及</w:t>
                  </w:r>
                  <w:r>
                    <w:rPr>
                      <w:rFonts w:hint="eastAsia" w:ascii="宋体" w:hAnsi="宋体" w:cs="宋体"/>
                      <w:color w:val="000000"/>
                      <w:szCs w:val="21"/>
                      <w:highlight w:val="none"/>
                    </w:rPr>
                    <w:t>蓄水试验移交）；</w:t>
                  </w:r>
                  <w:r>
                    <w:rPr>
                      <w:rFonts w:hint="eastAsia" w:ascii="宋体" w:hAnsi="宋体" w:cs="宋体"/>
                      <w:color w:val="000000"/>
                      <w:szCs w:val="21"/>
                      <w:highlight w:val="none"/>
                      <w:lang w:val="en-US" w:eastAsia="zh-CN"/>
                    </w:rPr>
                    <w:t>施工至找平层找坡层</w:t>
                  </w:r>
                </w:p>
                <w:p w14:paraId="40359BEF">
                  <w:pPr>
                    <w:snapToGrid w:val="0"/>
                    <w:spacing w:line="24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墙面：完成至抹灰层；</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2#施工至防水层</w:t>
                  </w:r>
                  <w:r>
                    <w:rPr>
                      <w:rFonts w:hint="eastAsia" w:ascii="宋体" w:hAnsi="宋体" w:cs="宋体"/>
                      <w:color w:val="000000"/>
                      <w:szCs w:val="21"/>
                      <w:highlight w:val="none"/>
                      <w:lang w:eastAsia="zh-CN"/>
                    </w:rPr>
                    <w:t>）</w:t>
                  </w:r>
                </w:p>
                <w:p w14:paraId="2A2E7728">
                  <w:pPr>
                    <w:snapToGrid w:val="0"/>
                    <w:spacing w:line="24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天花：完成至钢筋混凝土结构层。</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如有防水层，施工至防水层</w:t>
                  </w:r>
                  <w:r>
                    <w:rPr>
                      <w:rFonts w:hint="eastAsia" w:ascii="宋体" w:hAnsi="宋体" w:cs="宋体"/>
                      <w:color w:val="000000"/>
                      <w:szCs w:val="21"/>
                      <w:highlight w:val="none"/>
                      <w:lang w:eastAsia="zh-CN"/>
                    </w:rPr>
                    <w:t>）</w:t>
                  </w:r>
                </w:p>
              </w:tc>
              <w:tc>
                <w:tcPr>
                  <w:tcW w:w="2809" w:type="dxa"/>
                  <w:tcBorders>
                    <w:top w:val="single" w:color="auto" w:sz="4" w:space="0"/>
                    <w:left w:val="single" w:color="auto" w:sz="4" w:space="0"/>
                    <w:bottom w:val="single" w:color="auto" w:sz="4" w:space="0"/>
                    <w:right w:val="single" w:color="auto" w:sz="4" w:space="0"/>
                  </w:tcBorders>
                  <w:noWrap w:val="0"/>
                  <w:vAlign w:val="center"/>
                </w:tcPr>
                <w:p w14:paraId="70C95C54">
                  <w:pPr>
                    <w:snapToGrid w:val="0"/>
                    <w:spacing w:line="240" w:lineRule="exact"/>
                    <w:rPr>
                      <w:rFonts w:hint="eastAsia" w:ascii="宋体" w:hAnsi="宋体" w:cs="宋体"/>
                      <w:color w:val="000000"/>
                      <w:szCs w:val="21"/>
                      <w:highlight w:val="none"/>
                    </w:rPr>
                  </w:pPr>
                </w:p>
                <w:p w14:paraId="475629F0">
                  <w:pPr>
                    <w:snapToGrid w:val="0"/>
                    <w:spacing w:line="240" w:lineRule="exact"/>
                    <w:rPr>
                      <w:rFonts w:hint="eastAsia" w:ascii="宋体" w:hAnsi="宋体" w:cs="宋体"/>
                      <w:color w:val="000000"/>
                      <w:szCs w:val="21"/>
                      <w:highlight w:val="none"/>
                    </w:rPr>
                  </w:pPr>
                  <w:r>
                    <w:rPr>
                      <w:rFonts w:hint="eastAsia" w:ascii="宋体" w:hAnsi="宋体" w:cs="宋体"/>
                      <w:color w:val="000000"/>
                      <w:szCs w:val="21"/>
                      <w:highlight w:val="none"/>
                    </w:rPr>
                    <w:t>地面：</w:t>
                  </w:r>
                  <w:r>
                    <w:rPr>
                      <w:rFonts w:hint="eastAsia" w:ascii="宋体" w:hAnsi="宋体" w:cs="宋体"/>
                      <w:color w:val="000000"/>
                      <w:szCs w:val="21"/>
                      <w:highlight w:val="none"/>
                      <w:lang w:val="en-US" w:eastAsia="zh-CN"/>
                    </w:rPr>
                    <w:t>施工至</w:t>
                  </w:r>
                  <w:r>
                    <w:rPr>
                      <w:rFonts w:hint="eastAsia" w:ascii="宋体" w:hAnsi="宋体" w:cs="宋体"/>
                      <w:color w:val="000000"/>
                      <w:szCs w:val="21"/>
                      <w:highlight w:val="none"/>
                    </w:rPr>
                    <w:t>装饰面层；</w:t>
                  </w:r>
                </w:p>
                <w:p w14:paraId="7FA1FCB6">
                  <w:pPr>
                    <w:snapToGrid w:val="0"/>
                    <w:spacing w:line="240" w:lineRule="exact"/>
                    <w:rPr>
                      <w:rFonts w:hint="eastAsia" w:ascii="宋体" w:hAnsi="宋体" w:cs="宋体"/>
                      <w:color w:val="000000"/>
                      <w:szCs w:val="21"/>
                      <w:highlight w:val="none"/>
                    </w:rPr>
                  </w:pPr>
                  <w:r>
                    <w:rPr>
                      <w:rFonts w:hint="eastAsia" w:ascii="宋体" w:hAnsi="宋体" w:cs="宋体"/>
                      <w:color w:val="000000"/>
                      <w:szCs w:val="21"/>
                      <w:highlight w:val="none"/>
                    </w:rPr>
                    <w:t>墙面：</w:t>
                  </w:r>
                  <w:r>
                    <w:rPr>
                      <w:rFonts w:hint="eastAsia" w:ascii="宋体" w:hAnsi="宋体" w:cs="宋体"/>
                      <w:color w:val="000000"/>
                      <w:szCs w:val="21"/>
                      <w:highlight w:val="none"/>
                      <w:lang w:eastAsia="zh"/>
                    </w:rPr>
                    <w:t>抹灰面</w:t>
                  </w:r>
                  <w:r>
                    <w:rPr>
                      <w:rFonts w:hint="eastAsia" w:ascii="宋体" w:hAnsi="宋体" w:cs="宋体"/>
                      <w:color w:val="000000"/>
                      <w:szCs w:val="21"/>
                      <w:highlight w:val="none"/>
                      <w:lang w:val="en-US" w:eastAsia="zh-CN"/>
                    </w:rPr>
                    <w:t>/防水</w:t>
                  </w:r>
                  <w:r>
                    <w:rPr>
                      <w:rFonts w:hint="eastAsia" w:ascii="宋体" w:hAnsi="宋体" w:cs="宋体"/>
                      <w:color w:val="000000"/>
                      <w:szCs w:val="21"/>
                      <w:highlight w:val="none"/>
                    </w:rPr>
                    <w:t>层以上的工作；</w:t>
                  </w:r>
                </w:p>
                <w:p w14:paraId="0536CE22">
                  <w:pPr>
                    <w:snapToGrid w:val="0"/>
                    <w:spacing w:line="240" w:lineRule="exact"/>
                    <w:rPr>
                      <w:rFonts w:hint="eastAsia" w:ascii="宋体" w:hAnsi="宋体" w:cs="宋体"/>
                      <w:color w:val="000000"/>
                      <w:szCs w:val="21"/>
                      <w:highlight w:val="none"/>
                    </w:rPr>
                  </w:pPr>
                  <w:r>
                    <w:rPr>
                      <w:rFonts w:hint="eastAsia" w:ascii="宋体" w:hAnsi="宋体" w:cs="宋体"/>
                      <w:color w:val="000000"/>
                      <w:szCs w:val="21"/>
                      <w:highlight w:val="none"/>
                    </w:rPr>
                    <w:t>天花：结构面</w:t>
                  </w:r>
                  <w:r>
                    <w:rPr>
                      <w:rFonts w:hint="eastAsia" w:ascii="宋体" w:hAnsi="宋体" w:cs="宋体"/>
                      <w:color w:val="000000"/>
                      <w:szCs w:val="21"/>
                      <w:highlight w:val="none"/>
                      <w:lang w:val="en-US" w:eastAsia="zh-CN"/>
                    </w:rPr>
                    <w:t>/防水层</w:t>
                  </w:r>
                  <w:r>
                    <w:rPr>
                      <w:rFonts w:hint="eastAsia" w:ascii="宋体" w:hAnsi="宋体" w:cs="宋体"/>
                      <w:color w:val="000000"/>
                      <w:szCs w:val="21"/>
                      <w:highlight w:val="none"/>
                    </w:rPr>
                    <w:t>以上的工作；</w:t>
                  </w:r>
                </w:p>
                <w:p w14:paraId="3FBF0648">
                  <w:pPr>
                    <w:snapToGrid w:val="0"/>
                    <w:spacing w:line="240" w:lineRule="exact"/>
                    <w:rPr>
                      <w:rFonts w:hint="eastAsia" w:ascii="宋体" w:hAnsi="宋体" w:cs="宋体"/>
                      <w:color w:val="000000"/>
                      <w:szCs w:val="21"/>
                      <w:highlight w:val="none"/>
                    </w:rPr>
                  </w:pPr>
                  <w:r>
                    <w:rPr>
                      <w:rFonts w:hint="eastAsia" w:ascii="宋体" w:hAnsi="宋体" w:cs="宋体"/>
                      <w:color w:val="000000"/>
                      <w:szCs w:val="21"/>
                      <w:highlight w:val="none"/>
                      <w:lang w:eastAsia="zh"/>
                    </w:rPr>
                    <w:t>五金卫浴</w:t>
                  </w:r>
                  <w:r>
                    <w:rPr>
                      <w:rFonts w:hint="eastAsia" w:ascii="宋体" w:hAnsi="宋体" w:cs="宋体"/>
                      <w:color w:val="000000"/>
                      <w:szCs w:val="21"/>
                      <w:highlight w:val="none"/>
                      <w:lang w:val="en-US" w:eastAsia="zh-CN"/>
                    </w:rPr>
                    <w:t>隔断</w:t>
                  </w:r>
                  <w:r>
                    <w:rPr>
                      <w:rFonts w:hint="eastAsia" w:ascii="宋体" w:hAnsi="宋体" w:cs="宋体"/>
                      <w:color w:val="000000"/>
                      <w:szCs w:val="21"/>
                      <w:highlight w:val="none"/>
                      <w:lang w:eastAsia="zh"/>
                    </w:rPr>
                    <w:t>施工</w:t>
                  </w:r>
                  <w:r>
                    <w:rPr>
                      <w:rFonts w:hint="eastAsia" w:ascii="宋体" w:hAnsi="宋体" w:cs="宋体"/>
                      <w:color w:val="000000"/>
                      <w:szCs w:val="21"/>
                      <w:highlight w:val="none"/>
                    </w:rPr>
                    <w:t>。</w:t>
                  </w:r>
                </w:p>
              </w:tc>
              <w:tc>
                <w:tcPr>
                  <w:tcW w:w="2347" w:type="dxa"/>
                  <w:tcBorders>
                    <w:top w:val="single" w:color="auto" w:sz="4" w:space="0"/>
                    <w:left w:val="single" w:color="auto" w:sz="4" w:space="0"/>
                    <w:bottom w:val="single" w:color="auto" w:sz="4" w:space="0"/>
                    <w:right w:val="single" w:color="auto" w:sz="4" w:space="0"/>
                  </w:tcBorders>
                  <w:noWrap w:val="0"/>
                  <w:vAlign w:val="center"/>
                </w:tcPr>
                <w:p w14:paraId="2CA1F008">
                  <w:pPr>
                    <w:snapToGrid w:val="0"/>
                    <w:spacing w:line="240" w:lineRule="exact"/>
                    <w:rPr>
                      <w:rFonts w:hint="eastAsia" w:ascii="宋体" w:hAnsi="宋体" w:cs="宋体"/>
                      <w:color w:val="000000"/>
                      <w:szCs w:val="21"/>
                      <w:highlight w:val="none"/>
                    </w:rPr>
                  </w:pPr>
                  <w:r>
                    <w:rPr>
                      <w:rFonts w:hint="eastAsia" w:ascii="宋体" w:hAnsi="宋体" w:cs="宋体"/>
                      <w:color w:val="000000"/>
                      <w:kern w:val="2"/>
                      <w:sz w:val="21"/>
                      <w:szCs w:val="21"/>
                      <w:highlight w:val="none"/>
                      <w:lang w:val="en-US" w:eastAsia="zh-CN" w:bidi="ar-SA"/>
                    </w:rPr>
                    <w:t>做好场地移交手续，后续所有渗漏等质量问题均由场地接收方负责维修</w:t>
                  </w:r>
                </w:p>
              </w:tc>
            </w:tr>
            <w:tr w14:paraId="7B16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58" w:type="dxa"/>
                  <w:tcBorders>
                    <w:top w:val="single" w:color="auto" w:sz="4" w:space="0"/>
                    <w:left w:val="single" w:color="auto" w:sz="4" w:space="0"/>
                    <w:bottom w:val="single" w:color="auto" w:sz="4" w:space="0"/>
                    <w:right w:val="single" w:color="auto" w:sz="4" w:space="0"/>
                  </w:tcBorders>
                  <w:noWrap w:val="0"/>
                  <w:vAlign w:val="center"/>
                </w:tcPr>
                <w:p w14:paraId="027B2FC9">
                  <w:pPr>
                    <w:snapToGrid w:val="0"/>
                    <w:spacing w:line="240" w:lineRule="exact"/>
                    <w:jc w:val="center"/>
                    <w:rPr>
                      <w:rFonts w:hint="default" w:ascii="宋体" w:hAnsi="宋体" w:eastAsia="宋体" w:cs="宋体"/>
                      <w:color w:val="000000"/>
                      <w:szCs w:val="21"/>
                      <w:lang w:val="en-US" w:eastAsia="zh-CN"/>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14:paraId="144EBDAD">
                  <w:pPr>
                    <w:snapToGrid w:val="0"/>
                    <w:spacing w:line="240" w:lineRule="exact"/>
                    <w:rPr>
                      <w:rFonts w:hint="default" w:ascii="宋体" w:hAnsi="宋体" w:eastAsia="宋体" w:cs="宋体"/>
                      <w:color w:val="000000"/>
                      <w:szCs w:val="21"/>
                      <w:lang w:val="en-US" w:eastAsia="zh-CN"/>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4EEDAF62">
                  <w:pPr>
                    <w:snapToGrid w:val="0"/>
                    <w:spacing w:line="240" w:lineRule="exact"/>
                    <w:rPr>
                      <w:rFonts w:hint="eastAsia" w:ascii="宋体" w:hAnsi="宋体" w:cs="宋体"/>
                      <w:color w:val="000000"/>
                      <w:szCs w:val="21"/>
                    </w:rPr>
                  </w:pPr>
                </w:p>
              </w:tc>
              <w:tc>
                <w:tcPr>
                  <w:tcW w:w="2809" w:type="dxa"/>
                  <w:tcBorders>
                    <w:top w:val="single" w:color="auto" w:sz="4" w:space="0"/>
                    <w:left w:val="single" w:color="auto" w:sz="4" w:space="0"/>
                    <w:bottom w:val="single" w:color="auto" w:sz="4" w:space="0"/>
                    <w:right w:val="single" w:color="auto" w:sz="4" w:space="0"/>
                  </w:tcBorders>
                  <w:noWrap w:val="0"/>
                  <w:vAlign w:val="center"/>
                </w:tcPr>
                <w:p w14:paraId="4B7B6157">
                  <w:pPr>
                    <w:snapToGrid w:val="0"/>
                    <w:spacing w:line="240" w:lineRule="exact"/>
                    <w:rPr>
                      <w:rFonts w:hint="eastAsia" w:ascii="宋体" w:hAnsi="宋体" w:eastAsia="宋体" w:cs="宋体"/>
                      <w:color w:val="000000"/>
                      <w:szCs w:val="21"/>
                      <w:lang w:val="en-US" w:eastAsia="zh-CN"/>
                    </w:rPr>
                  </w:pPr>
                </w:p>
              </w:tc>
              <w:tc>
                <w:tcPr>
                  <w:tcW w:w="2347" w:type="dxa"/>
                  <w:tcBorders>
                    <w:top w:val="single" w:color="auto" w:sz="4" w:space="0"/>
                    <w:left w:val="single" w:color="auto" w:sz="4" w:space="0"/>
                    <w:bottom w:val="single" w:color="auto" w:sz="4" w:space="0"/>
                    <w:right w:val="single" w:color="auto" w:sz="4" w:space="0"/>
                  </w:tcBorders>
                  <w:noWrap w:val="0"/>
                  <w:vAlign w:val="center"/>
                </w:tcPr>
                <w:p w14:paraId="7F8F77E9">
                  <w:pPr>
                    <w:snapToGrid w:val="0"/>
                    <w:spacing w:line="240" w:lineRule="exact"/>
                    <w:rPr>
                      <w:rFonts w:hint="eastAsia" w:ascii="宋体" w:hAnsi="宋体" w:cs="宋体"/>
                      <w:color w:val="000000"/>
                      <w:szCs w:val="21"/>
                    </w:rPr>
                  </w:pPr>
                </w:p>
              </w:tc>
            </w:tr>
          </w:tbl>
          <w:p w14:paraId="7DBE9C41">
            <w:pPr>
              <w:tabs>
                <w:tab w:val="left" w:pos="420"/>
              </w:tabs>
              <w:spacing w:line="360" w:lineRule="auto"/>
              <w:rPr>
                <w:rFonts w:hint="eastAsia" w:ascii="宋体" w:hAnsi="宋体" w:cs="宋体"/>
                <w:b/>
                <w:color w:val="000000"/>
                <w:szCs w:val="21"/>
              </w:rPr>
            </w:pPr>
          </w:p>
          <w:p w14:paraId="24DB6047">
            <w:pPr>
              <w:tabs>
                <w:tab w:val="left" w:pos="420"/>
              </w:tabs>
              <w:rPr>
                <w:rFonts w:hint="eastAsia" w:ascii="宋体" w:hAnsi="宋体" w:cs="宋体"/>
                <w:color w:val="000000"/>
                <w:szCs w:val="21"/>
              </w:rPr>
            </w:pPr>
          </w:p>
          <w:p w14:paraId="1C147893">
            <w:pPr>
              <w:spacing w:line="360" w:lineRule="auto"/>
              <w:jc w:val="center"/>
              <w:rPr>
                <w:rFonts w:hint="eastAsia" w:ascii="宋体" w:hAnsi="宋体" w:cs="宋体"/>
                <w:b/>
                <w:color w:val="000000"/>
                <w:szCs w:val="21"/>
              </w:rPr>
            </w:pPr>
            <w:r>
              <w:rPr>
                <w:rFonts w:hint="eastAsia" w:ascii="宋体" w:hAnsi="宋体" w:cs="宋体"/>
                <w:b/>
                <w:color w:val="000000"/>
                <w:szCs w:val="21"/>
              </w:rPr>
              <w:t>机电部分</w:t>
            </w:r>
          </w:p>
          <w:tbl>
            <w:tblPr>
              <w:tblStyle w:val="3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6"/>
              <w:gridCol w:w="250"/>
              <w:gridCol w:w="678"/>
              <w:gridCol w:w="4645"/>
              <w:gridCol w:w="1700"/>
              <w:gridCol w:w="1831"/>
            </w:tblGrid>
            <w:tr w14:paraId="1CC1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blHeader/>
                <w:jc w:val="center"/>
              </w:trPr>
              <w:tc>
                <w:tcPr>
                  <w:tcW w:w="536" w:type="dxa"/>
                  <w:noWrap w:val="0"/>
                  <w:vAlign w:val="center"/>
                </w:tcPr>
                <w:p w14:paraId="678A21CB">
                  <w:pPr>
                    <w:snapToGrid w:val="0"/>
                    <w:jc w:val="center"/>
                    <w:rPr>
                      <w:rFonts w:hint="eastAsia" w:ascii="宋体" w:hAnsi="宋体" w:cs="宋体"/>
                      <w:color w:val="000000"/>
                      <w:szCs w:val="21"/>
                    </w:rPr>
                  </w:pPr>
                  <w:r>
                    <w:rPr>
                      <w:rFonts w:hint="eastAsia" w:ascii="宋体" w:hAnsi="宋体" w:cs="宋体"/>
                      <w:color w:val="000000"/>
                      <w:szCs w:val="21"/>
                    </w:rPr>
                    <w:t>序号</w:t>
                  </w:r>
                </w:p>
              </w:tc>
              <w:tc>
                <w:tcPr>
                  <w:tcW w:w="928" w:type="dxa"/>
                  <w:gridSpan w:val="2"/>
                  <w:noWrap w:val="0"/>
                  <w:vAlign w:val="center"/>
                </w:tcPr>
                <w:p w14:paraId="5199D0BF">
                  <w:pPr>
                    <w:snapToGrid w:val="0"/>
                    <w:jc w:val="center"/>
                    <w:rPr>
                      <w:rFonts w:hint="eastAsia" w:ascii="宋体" w:hAnsi="宋体" w:cs="宋体"/>
                      <w:color w:val="000000"/>
                      <w:szCs w:val="21"/>
                    </w:rPr>
                  </w:pPr>
                  <w:r>
                    <w:rPr>
                      <w:rFonts w:hint="eastAsia" w:ascii="宋体" w:hAnsi="宋体" w:cs="宋体"/>
                      <w:color w:val="000000"/>
                      <w:szCs w:val="21"/>
                    </w:rPr>
                    <w:t>施工内容</w:t>
                  </w:r>
                </w:p>
              </w:tc>
              <w:tc>
                <w:tcPr>
                  <w:tcW w:w="4645" w:type="dxa"/>
                  <w:noWrap w:val="0"/>
                  <w:vAlign w:val="center"/>
                </w:tcPr>
                <w:p w14:paraId="2EB73E21">
                  <w:pPr>
                    <w:snapToGrid w:val="0"/>
                    <w:jc w:val="center"/>
                    <w:rPr>
                      <w:rFonts w:hint="eastAsia" w:ascii="宋体" w:hAnsi="宋体" w:cs="宋体"/>
                      <w:color w:val="000000"/>
                      <w:szCs w:val="21"/>
                    </w:rPr>
                  </w:pPr>
                  <w:r>
                    <w:rPr>
                      <w:rFonts w:hint="eastAsia" w:ascii="宋体" w:hAnsi="宋体" w:cs="宋体"/>
                      <w:color w:val="000000"/>
                      <w:szCs w:val="21"/>
                    </w:rPr>
                    <w:t>施工总承包单位自行施工部分</w:t>
                  </w:r>
                </w:p>
              </w:tc>
              <w:tc>
                <w:tcPr>
                  <w:tcW w:w="1700" w:type="dxa"/>
                  <w:noWrap w:val="0"/>
                  <w:vAlign w:val="center"/>
                </w:tcPr>
                <w:p w14:paraId="2E575AFB">
                  <w:pPr>
                    <w:snapToGrid w:val="0"/>
                    <w:jc w:val="center"/>
                    <w:rPr>
                      <w:rFonts w:hint="eastAsia" w:ascii="宋体" w:hAnsi="宋体" w:cs="宋体"/>
                      <w:color w:val="000000"/>
                      <w:szCs w:val="21"/>
                    </w:rPr>
                  </w:pPr>
                  <w:r>
                    <w:rPr>
                      <w:rFonts w:hint="eastAsia" w:ascii="宋体" w:hAnsi="宋体" w:cs="宋体"/>
                      <w:color w:val="000000"/>
                      <w:szCs w:val="21"/>
                    </w:rPr>
                    <w:t>二次装修单位</w:t>
                  </w:r>
                </w:p>
              </w:tc>
              <w:tc>
                <w:tcPr>
                  <w:tcW w:w="1831" w:type="dxa"/>
                  <w:noWrap w:val="0"/>
                  <w:vAlign w:val="center"/>
                </w:tcPr>
                <w:p w14:paraId="5E097EC5">
                  <w:pPr>
                    <w:snapToGrid w:val="0"/>
                    <w:jc w:val="center"/>
                    <w:rPr>
                      <w:rFonts w:hint="eastAsia" w:ascii="宋体" w:hAnsi="宋体" w:cs="宋体"/>
                      <w:color w:val="000000"/>
                      <w:szCs w:val="21"/>
                    </w:rPr>
                  </w:pPr>
                  <w:r>
                    <w:rPr>
                      <w:rFonts w:hint="eastAsia" w:ascii="宋体" w:hAnsi="宋体" w:cs="宋体"/>
                      <w:color w:val="000000"/>
                      <w:szCs w:val="21"/>
                    </w:rPr>
                    <w:t>其他专业单位</w:t>
                  </w:r>
                </w:p>
              </w:tc>
            </w:tr>
            <w:tr w14:paraId="35D5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9" w:hRule="exact"/>
                <w:jc w:val="center"/>
              </w:trPr>
              <w:tc>
                <w:tcPr>
                  <w:tcW w:w="536" w:type="dxa"/>
                  <w:noWrap w:val="0"/>
                  <w:vAlign w:val="center"/>
                </w:tcPr>
                <w:p w14:paraId="79383292">
                  <w:pPr>
                    <w:snapToGrid w:val="0"/>
                    <w:jc w:val="left"/>
                    <w:rPr>
                      <w:rFonts w:hint="eastAsia" w:ascii="宋体" w:hAnsi="宋体" w:cs="宋体"/>
                      <w:color w:val="000000"/>
                      <w:szCs w:val="21"/>
                    </w:rPr>
                  </w:pPr>
                  <w:r>
                    <w:rPr>
                      <w:rFonts w:hint="eastAsia" w:ascii="宋体" w:hAnsi="宋体" w:cs="宋体"/>
                      <w:color w:val="000000"/>
                      <w:szCs w:val="21"/>
                    </w:rPr>
                    <w:t>1</w:t>
                  </w:r>
                </w:p>
              </w:tc>
              <w:tc>
                <w:tcPr>
                  <w:tcW w:w="928" w:type="dxa"/>
                  <w:gridSpan w:val="2"/>
                  <w:noWrap w:val="0"/>
                  <w:vAlign w:val="center"/>
                </w:tcPr>
                <w:p w14:paraId="4DB3066B">
                  <w:pPr>
                    <w:snapToGrid w:val="0"/>
                    <w:jc w:val="left"/>
                    <w:rPr>
                      <w:rFonts w:hint="eastAsia" w:ascii="宋体" w:hAnsi="宋体" w:cs="宋体"/>
                      <w:color w:val="000000"/>
                      <w:szCs w:val="21"/>
                    </w:rPr>
                  </w:pPr>
                  <w:r>
                    <w:rPr>
                      <w:rFonts w:hint="eastAsia" w:ascii="宋体" w:hAnsi="宋体" w:cs="宋体"/>
                      <w:color w:val="000000"/>
                      <w:szCs w:val="21"/>
                    </w:rPr>
                    <w:t>套管或预留孔及封堵</w:t>
                  </w:r>
                </w:p>
              </w:tc>
              <w:tc>
                <w:tcPr>
                  <w:tcW w:w="4645" w:type="dxa"/>
                  <w:noWrap w:val="0"/>
                  <w:vAlign w:val="center"/>
                </w:tcPr>
                <w:p w14:paraId="4F705E80">
                  <w:pPr>
                    <w:snapToGrid w:val="0"/>
                    <w:rPr>
                      <w:rFonts w:hint="eastAsia" w:ascii="宋体" w:hAnsi="宋体" w:cs="宋体"/>
                      <w:color w:val="000000"/>
                      <w:szCs w:val="21"/>
                    </w:rPr>
                  </w:pPr>
                  <w:r>
                    <w:rPr>
                      <w:rFonts w:hint="eastAsia" w:ascii="宋体" w:hAnsi="宋体" w:cs="宋体"/>
                      <w:color w:val="000000"/>
                      <w:szCs w:val="21"/>
                    </w:rPr>
                    <w:t>1、负责高精预埋实施；</w:t>
                  </w:r>
                </w:p>
                <w:p w14:paraId="734DEDFA">
                  <w:pPr>
                    <w:snapToGrid w:val="0"/>
                    <w:rPr>
                      <w:rFonts w:hint="eastAsia" w:ascii="宋体" w:hAnsi="宋体" w:cs="宋体"/>
                      <w:color w:val="000000"/>
                      <w:szCs w:val="21"/>
                    </w:rPr>
                  </w:pPr>
                  <w:r>
                    <w:rPr>
                      <w:rFonts w:hint="eastAsia" w:ascii="宋体" w:hAnsi="宋体" w:cs="宋体"/>
                      <w:color w:val="000000"/>
                      <w:szCs w:val="21"/>
                    </w:rPr>
                    <w:t>2、承担钢筋混凝土结构及砌筑预留洞口的一次性封堵；</w:t>
                  </w:r>
                </w:p>
                <w:p w14:paraId="3394DDC6">
                  <w:pPr>
                    <w:snapToGrid w:val="0"/>
                    <w:rPr>
                      <w:rFonts w:hint="eastAsia" w:ascii="宋体" w:hAnsi="宋体" w:cs="宋体"/>
                      <w:color w:val="000000"/>
                      <w:szCs w:val="21"/>
                    </w:rPr>
                  </w:pPr>
                  <w:r>
                    <w:rPr>
                      <w:rFonts w:hint="eastAsia" w:ascii="宋体" w:hAnsi="宋体" w:cs="宋体"/>
                      <w:color w:val="000000"/>
                      <w:szCs w:val="21"/>
                    </w:rPr>
                    <w:t>3、砌体上专业单位所打凿的洞口及墙面线槽底盒的一次性挂网和修补，包括设计变更补充的开孔封堵；</w:t>
                  </w:r>
                </w:p>
                <w:p w14:paraId="12C83780">
                  <w:pPr>
                    <w:snapToGrid w:val="0"/>
                    <w:rPr>
                      <w:rFonts w:hint="eastAsia" w:ascii="宋体" w:hAnsi="宋体" w:cs="宋体"/>
                      <w:color w:val="000000"/>
                      <w:szCs w:val="21"/>
                    </w:rPr>
                  </w:pPr>
                  <w:r>
                    <w:rPr>
                      <w:rFonts w:hint="eastAsia" w:ascii="宋体" w:hAnsi="宋体" w:cs="宋体"/>
                      <w:color w:val="000000"/>
                      <w:szCs w:val="21"/>
                    </w:rPr>
                    <w:t>4、承担混凝土结构中防水套管和穿梁（楼板）套管预埋、机电安装工程中须预留的洞口（也包括套管预留洞口）预留工作，包括孔洞的封塞、防水以及后期的饰面工程（包括电气、给排水、消防、通风、智能化系统、永久供电、电信、有线电视等）；</w:t>
                  </w:r>
                </w:p>
                <w:p w14:paraId="53F15774">
                  <w:pPr>
                    <w:snapToGrid w:val="0"/>
                    <w:rPr>
                      <w:rFonts w:hint="eastAsia" w:ascii="宋体" w:hAnsi="宋体" w:cs="宋体"/>
                      <w:color w:val="000000"/>
                      <w:szCs w:val="21"/>
                    </w:rPr>
                  </w:pPr>
                  <w:r>
                    <w:rPr>
                      <w:rFonts w:hint="eastAsia" w:ascii="宋体" w:hAnsi="宋体" w:cs="宋体"/>
                      <w:color w:val="000000"/>
                      <w:szCs w:val="21"/>
                    </w:rPr>
                    <w:t>5、承担设备基础螺栓孔洞预留及二次灌浆的责任；</w:t>
                  </w:r>
                </w:p>
                <w:p w14:paraId="3F14E29F">
                  <w:pPr>
                    <w:snapToGrid w:val="0"/>
                    <w:rPr>
                      <w:rFonts w:hint="eastAsia" w:ascii="宋体" w:hAnsi="宋体" w:cs="宋体"/>
                      <w:color w:val="000000"/>
                      <w:szCs w:val="21"/>
                    </w:rPr>
                  </w:pPr>
                  <w:r>
                    <w:rPr>
                      <w:rFonts w:hint="eastAsia" w:ascii="宋体" w:hAnsi="宋体" w:cs="宋体"/>
                      <w:color w:val="000000"/>
                      <w:szCs w:val="21"/>
                    </w:rPr>
                    <w:t>6、机电线管穿越砌体的预留洞口位置标识或线槽、洞口打凿；</w:t>
                  </w:r>
                </w:p>
                <w:p w14:paraId="2CC52200">
                  <w:pPr>
                    <w:snapToGrid w:val="0"/>
                    <w:rPr>
                      <w:rFonts w:hint="eastAsia" w:ascii="宋体" w:hAnsi="宋体" w:cs="宋体"/>
                      <w:color w:val="000000"/>
                      <w:szCs w:val="21"/>
                    </w:rPr>
                  </w:pPr>
                  <w:r>
                    <w:rPr>
                      <w:rFonts w:hint="eastAsia" w:ascii="宋体" w:hAnsi="宋体" w:cs="宋体"/>
                      <w:color w:val="000000"/>
                      <w:szCs w:val="21"/>
                    </w:rPr>
                    <w:t>7、承担水电管井土建封堵后桥架内外细缝、管道与套管内的封堵；</w:t>
                  </w:r>
                </w:p>
                <w:p w14:paraId="1BCBF424">
                  <w:pPr>
                    <w:snapToGrid w:val="0"/>
                    <w:rPr>
                      <w:rFonts w:hint="eastAsia" w:ascii="宋体" w:hAnsi="宋体" w:cs="宋体"/>
                      <w:color w:val="000000"/>
                      <w:szCs w:val="21"/>
                    </w:rPr>
                  </w:pPr>
                  <w:r>
                    <w:rPr>
                      <w:rFonts w:hint="eastAsia" w:ascii="宋体" w:hAnsi="宋体" w:cs="宋体"/>
                      <w:color w:val="000000"/>
                      <w:szCs w:val="21"/>
                    </w:rPr>
                    <w:t>8、套管高精预埋；</w:t>
                  </w:r>
                </w:p>
                <w:p w14:paraId="5438385D">
                  <w:pPr>
                    <w:snapToGrid w:val="0"/>
                    <w:rPr>
                      <w:rFonts w:hint="eastAsia" w:ascii="宋体" w:hAnsi="宋体" w:cs="宋体"/>
                      <w:color w:val="000000"/>
                      <w:szCs w:val="21"/>
                    </w:rPr>
                  </w:pPr>
                  <w:r>
                    <w:rPr>
                      <w:rFonts w:hint="eastAsia" w:ascii="宋体" w:hAnsi="宋体" w:cs="宋体"/>
                      <w:color w:val="000000"/>
                      <w:szCs w:val="21"/>
                    </w:rPr>
                    <w:t>9、承担设备吊装、安装时的开墙及墙体恢复的责任，承担一次性因设备安装造成的地面、楼面、墙面破坏后的恢复责任。</w:t>
                  </w:r>
                </w:p>
              </w:tc>
              <w:tc>
                <w:tcPr>
                  <w:tcW w:w="1700" w:type="dxa"/>
                  <w:noWrap w:val="0"/>
                  <w:vAlign w:val="center"/>
                </w:tcPr>
                <w:p w14:paraId="43CEB1FA">
                  <w:pPr>
                    <w:snapToGrid w:val="0"/>
                    <w:jc w:val="center"/>
                    <w:rPr>
                      <w:rFonts w:hint="eastAsia" w:ascii="宋体" w:hAnsi="宋体" w:cs="宋体"/>
                      <w:color w:val="000000"/>
                      <w:szCs w:val="21"/>
                    </w:rPr>
                  </w:pPr>
                  <w:r>
                    <w:rPr>
                      <w:rFonts w:hint="eastAsia" w:ascii="宋体" w:hAnsi="宋体" w:cs="宋体"/>
                      <w:color w:val="000000"/>
                      <w:szCs w:val="21"/>
                    </w:rPr>
                    <w:t>/</w:t>
                  </w:r>
                </w:p>
              </w:tc>
              <w:tc>
                <w:tcPr>
                  <w:tcW w:w="1831" w:type="dxa"/>
                  <w:noWrap w:val="0"/>
                  <w:vAlign w:val="center"/>
                </w:tcPr>
                <w:p w14:paraId="270E81B9">
                  <w:pPr>
                    <w:snapToGrid w:val="0"/>
                    <w:jc w:val="center"/>
                    <w:rPr>
                      <w:rFonts w:hint="eastAsia" w:ascii="宋体" w:hAnsi="宋体" w:cs="宋体"/>
                      <w:color w:val="000000"/>
                      <w:szCs w:val="21"/>
                    </w:rPr>
                  </w:pPr>
                  <w:r>
                    <w:rPr>
                      <w:rFonts w:hint="eastAsia" w:ascii="宋体" w:hAnsi="宋体" w:cs="宋体"/>
                      <w:color w:val="000000"/>
                      <w:szCs w:val="21"/>
                    </w:rPr>
                    <w:t>/</w:t>
                  </w:r>
                </w:p>
              </w:tc>
            </w:tr>
            <w:tr w14:paraId="3940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 w:hRule="atLeast"/>
                <w:jc w:val="center"/>
              </w:trPr>
              <w:tc>
                <w:tcPr>
                  <w:tcW w:w="536" w:type="dxa"/>
                  <w:vMerge w:val="restart"/>
                  <w:noWrap w:val="0"/>
                  <w:vAlign w:val="center"/>
                </w:tcPr>
                <w:p w14:paraId="5094FE24">
                  <w:pPr>
                    <w:snapToGrid w:val="0"/>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250" w:type="dxa"/>
                  <w:vMerge w:val="restart"/>
                  <w:noWrap w:val="0"/>
                  <w:vAlign w:val="center"/>
                </w:tcPr>
                <w:p w14:paraId="66520C3C">
                  <w:pPr>
                    <w:snapToGrid w:val="0"/>
                    <w:jc w:val="left"/>
                    <w:rPr>
                      <w:rFonts w:hint="eastAsia" w:ascii="宋体" w:hAnsi="宋体" w:cs="宋体"/>
                      <w:color w:val="000000"/>
                      <w:szCs w:val="21"/>
                    </w:rPr>
                  </w:pPr>
                  <w:r>
                    <w:rPr>
                      <w:rFonts w:hint="eastAsia" w:ascii="宋体" w:hAnsi="宋体" w:cs="宋体"/>
                      <w:color w:val="000000"/>
                      <w:szCs w:val="21"/>
                    </w:rPr>
                    <w:t>电气</w:t>
                  </w:r>
                </w:p>
              </w:tc>
              <w:tc>
                <w:tcPr>
                  <w:tcW w:w="678" w:type="dxa"/>
                  <w:noWrap w:val="0"/>
                  <w:vAlign w:val="center"/>
                </w:tcPr>
                <w:p w14:paraId="6459C5D4">
                  <w:pPr>
                    <w:snapToGrid w:val="0"/>
                    <w:jc w:val="left"/>
                    <w:rPr>
                      <w:rFonts w:hint="eastAsia" w:ascii="宋体" w:hAnsi="宋体" w:eastAsia="宋体" w:cs="宋体"/>
                      <w:color w:val="000000"/>
                      <w:szCs w:val="21"/>
                      <w:lang w:val="en-US" w:eastAsia="zh-CN"/>
                    </w:rPr>
                  </w:pPr>
                  <w:r>
                    <w:rPr>
                      <w:rFonts w:hint="eastAsia" w:ascii="宋体" w:hAnsi="宋体" w:cs="宋体"/>
                      <w:color w:val="000000"/>
                      <w:szCs w:val="21"/>
                    </w:rPr>
                    <w:t>低压配电系统、</w:t>
                  </w:r>
                  <w:r>
                    <w:rPr>
                      <w:rFonts w:hint="eastAsia" w:ascii="宋体" w:hAnsi="宋体" w:cs="宋体"/>
                      <w:color w:val="000000"/>
                      <w:szCs w:val="21"/>
                      <w:lang w:val="en-US" w:eastAsia="zh-CN"/>
                    </w:rPr>
                    <w:t>火灾报警系统</w:t>
                  </w:r>
                  <w:r>
                    <w:rPr>
                      <w:rFonts w:hint="eastAsia" w:ascii="宋体" w:hAnsi="宋体" w:cs="宋体"/>
                      <w:color w:val="000000"/>
                      <w:szCs w:val="21"/>
                    </w:rPr>
                    <w:t>、</w:t>
                  </w:r>
                  <w:r>
                    <w:rPr>
                      <w:rFonts w:hint="eastAsia" w:ascii="宋体" w:hAnsi="宋体" w:cs="宋体"/>
                      <w:color w:val="000000"/>
                      <w:szCs w:val="21"/>
                      <w:lang w:val="en-US" w:eastAsia="zh-CN"/>
                    </w:rPr>
                    <w:t>智能化</w:t>
                  </w:r>
                </w:p>
              </w:tc>
              <w:tc>
                <w:tcPr>
                  <w:tcW w:w="4645" w:type="dxa"/>
                  <w:noWrap w:val="0"/>
                  <w:vAlign w:val="center"/>
                </w:tcPr>
                <w:p w14:paraId="70B05C04">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1、承担在混凝土结构中线管敷设、防水套管和穿梁（楼板）套管预埋、机电安装工程中须预留的洞口（也包括套管预留洞口）预留工作，包括孔洞的封塞、防水以及后期的饰面工程，和设备安装要求的设备基础；</w:t>
                  </w:r>
                </w:p>
                <w:p w14:paraId="5DF97975">
                  <w:pPr>
                    <w:snapToGrid w:val="0"/>
                    <w:jc w:val="left"/>
                    <w:rPr>
                      <w:rFonts w:hint="eastAsia" w:ascii="宋体" w:hAnsi="宋体" w:cs="宋体"/>
                      <w:color w:val="000000"/>
                      <w:szCs w:val="21"/>
                      <w:highlight w:val="none"/>
                      <w:lang w:eastAsia="zh"/>
                    </w:rPr>
                  </w:pPr>
                  <w:r>
                    <w:rPr>
                      <w:rFonts w:hint="eastAsia" w:ascii="宋体" w:hAnsi="宋体" w:cs="宋体"/>
                      <w:color w:val="000000"/>
                      <w:szCs w:val="21"/>
                      <w:highlight w:val="none"/>
                    </w:rPr>
                    <w:t>2、一般动力系统：从物业电房低压柜出线(不含低压柜)至施工范围各动力末端（水泵、风机、电梯、配电箱等各专业设备配电箱）配电系统，包含但不限于下述的工作内容：配电箱、控制柜、双电源切换箱、线槽桥架、电气管道、电缆电线、灯具及开关插座等用电终端、电缆沟及其土方工程；整个防雷接地（含结构、门窗、栏杆、设备、管道）系统等。</w:t>
                  </w:r>
                  <w:r>
                    <w:rPr>
                      <w:rFonts w:hint="eastAsia" w:ascii="宋体" w:hAnsi="宋体" w:cs="宋体"/>
                      <w:color w:val="000000"/>
                      <w:szCs w:val="21"/>
                      <w:highlight w:val="none"/>
                      <w:lang w:eastAsia="zh"/>
                    </w:rPr>
                    <w:t>不含高低压电房内照明。</w:t>
                  </w:r>
                </w:p>
                <w:p w14:paraId="28320AB8">
                  <w:pPr>
                    <w:snapToGrid w:val="0"/>
                    <w:jc w:val="left"/>
                    <w:rPr>
                      <w:rFonts w:hint="eastAsia" w:ascii="宋体" w:hAnsi="宋体" w:cs="宋体"/>
                      <w:color w:val="000000"/>
                      <w:szCs w:val="21"/>
                      <w:highlight w:val="none"/>
                    </w:rPr>
                  </w:pPr>
                  <w:r>
                    <w:rPr>
                      <w:rFonts w:hint="eastAsia" w:ascii="宋体" w:hAnsi="宋体" w:cs="宋体"/>
                      <w:color w:val="000000"/>
                      <w:szCs w:val="21"/>
                      <w:highlight w:val="none"/>
                      <w:lang w:eastAsia="zh"/>
                    </w:rPr>
                    <w:t>3</w:t>
                  </w:r>
                  <w:r>
                    <w:rPr>
                      <w:rFonts w:hint="eastAsia" w:ascii="宋体" w:hAnsi="宋体" w:cs="宋体"/>
                      <w:color w:val="000000"/>
                      <w:szCs w:val="21"/>
                      <w:highlight w:val="none"/>
                    </w:rPr>
                    <w:t>、公共区域照明系统：公共区域指电梯前室、地下室、</w:t>
                  </w:r>
                  <w:r>
                    <w:rPr>
                      <w:rFonts w:hint="eastAsia" w:ascii="宋体" w:hAnsi="宋体" w:cs="宋体"/>
                      <w:color w:val="000000"/>
                      <w:szCs w:val="21"/>
                      <w:highlight w:val="none"/>
                      <w:lang w:eastAsia="zh"/>
                    </w:rPr>
                    <w:t>楼梯间</w:t>
                  </w:r>
                  <w:r>
                    <w:rPr>
                      <w:rFonts w:hint="eastAsia" w:ascii="宋体" w:hAnsi="宋体" w:cs="宋体"/>
                      <w:color w:val="000000"/>
                      <w:szCs w:val="21"/>
                      <w:highlight w:val="none"/>
                    </w:rPr>
                    <w:t>、设备房（不包括配电房）、</w:t>
                  </w:r>
                  <w:r>
                    <w:rPr>
                      <w:rFonts w:hint="eastAsia" w:ascii="宋体" w:hAnsi="宋体" w:cs="宋体"/>
                      <w:color w:val="000000"/>
                      <w:szCs w:val="21"/>
                      <w:highlight w:val="none"/>
                      <w:lang w:eastAsia="zh"/>
                    </w:rPr>
                    <w:t>地上各层公区</w:t>
                  </w:r>
                  <w:r>
                    <w:rPr>
                      <w:rFonts w:hint="eastAsia" w:ascii="宋体" w:hAnsi="宋体" w:cs="宋体"/>
                      <w:color w:val="000000"/>
                      <w:szCs w:val="21"/>
                      <w:highlight w:val="none"/>
                    </w:rPr>
                    <w:t>。公共区域照明系统的范围为从物业电房低压柜出线(不含低压柜)至照明末端配电系统，包括但不限于配电箱、电缆电线、线槽桥架、线管、灯具、应急照明、开关插座等；</w:t>
                  </w:r>
                  <w:r>
                    <w:rPr>
                      <w:rFonts w:hint="eastAsia" w:ascii="宋体" w:hAnsi="宋体" w:cs="宋体"/>
                      <w:color w:val="000000"/>
                      <w:szCs w:val="21"/>
                      <w:highlight w:val="none"/>
                      <w:lang w:eastAsia="zh"/>
                    </w:rPr>
                    <w:t>楼层</w:t>
                  </w:r>
                  <w:r>
                    <w:rPr>
                      <w:rFonts w:hint="eastAsia" w:ascii="宋体" w:hAnsi="宋体" w:cs="宋体"/>
                      <w:color w:val="000000"/>
                      <w:szCs w:val="21"/>
                      <w:highlight w:val="none"/>
                    </w:rPr>
                    <w:t>配电：地下室电表箱（不含电表箱）至</w:t>
                  </w:r>
                  <w:r>
                    <w:rPr>
                      <w:rFonts w:hint="eastAsia" w:ascii="宋体" w:hAnsi="宋体" w:cs="宋体"/>
                      <w:color w:val="000000"/>
                      <w:szCs w:val="21"/>
                      <w:highlight w:val="none"/>
                      <w:lang w:eastAsia="zh"/>
                    </w:rPr>
                    <w:t>楼层</w:t>
                  </w:r>
                  <w:r>
                    <w:rPr>
                      <w:rFonts w:hint="eastAsia" w:ascii="宋体" w:hAnsi="宋体" w:cs="宋体"/>
                      <w:color w:val="000000"/>
                      <w:szCs w:val="21"/>
                      <w:highlight w:val="none"/>
                    </w:rPr>
                    <w:t>配电箱（含配电箱）的电缆电线、线槽桥架、线管、配电箱；户内电气预埋工作（包括预埋线管、线盒）。</w:t>
                  </w:r>
                </w:p>
                <w:p w14:paraId="4DDA834B">
                  <w:pPr>
                    <w:snapToGrid w:val="0"/>
                    <w:jc w:val="left"/>
                    <w:rPr>
                      <w:rFonts w:hint="eastAsia" w:ascii="宋体" w:hAnsi="宋体" w:cs="宋体"/>
                      <w:color w:val="000000"/>
                      <w:szCs w:val="21"/>
                      <w:highlight w:val="none"/>
                    </w:rPr>
                  </w:pPr>
                  <w:r>
                    <w:rPr>
                      <w:rFonts w:hint="eastAsia" w:ascii="宋体" w:hAnsi="宋体" w:cs="宋体"/>
                      <w:color w:val="000000"/>
                      <w:szCs w:val="21"/>
                      <w:highlight w:val="none"/>
                      <w:lang w:eastAsia="zh"/>
                    </w:rPr>
                    <w:t>4</w:t>
                  </w:r>
                  <w:r>
                    <w:rPr>
                      <w:rFonts w:hint="eastAsia" w:ascii="宋体" w:hAnsi="宋体" w:cs="宋体"/>
                      <w:color w:val="000000"/>
                      <w:szCs w:val="21"/>
                      <w:highlight w:val="none"/>
                    </w:rPr>
                    <w:t>、不包括高低压配电房的电气工程；</w:t>
                  </w:r>
                </w:p>
                <w:p w14:paraId="3A38670A">
                  <w:pPr>
                    <w:snapToGrid w:val="0"/>
                    <w:jc w:val="left"/>
                    <w:rPr>
                      <w:rFonts w:hint="eastAsia" w:ascii="宋体" w:hAnsi="宋体" w:cs="宋体"/>
                      <w:color w:val="000000"/>
                      <w:szCs w:val="21"/>
                      <w:highlight w:val="none"/>
                    </w:rPr>
                  </w:pPr>
                  <w:r>
                    <w:rPr>
                      <w:rFonts w:hint="eastAsia" w:ascii="宋体" w:hAnsi="宋体" w:cs="宋体"/>
                      <w:color w:val="000000"/>
                      <w:szCs w:val="21"/>
                      <w:highlight w:val="none"/>
                      <w:lang w:eastAsia="zh"/>
                    </w:rPr>
                    <w:t>5</w:t>
                  </w:r>
                  <w:r>
                    <w:rPr>
                      <w:rFonts w:hint="eastAsia" w:ascii="宋体" w:hAnsi="宋体" w:cs="宋体"/>
                      <w:color w:val="000000"/>
                      <w:szCs w:val="21"/>
                      <w:highlight w:val="none"/>
                    </w:rPr>
                    <w:t>、包括预埋套管。</w:t>
                  </w:r>
                </w:p>
                <w:p w14:paraId="2340A3CA">
                  <w:pPr>
                    <w:snapToGrid w:val="0"/>
                    <w:jc w:val="left"/>
                    <w:rPr>
                      <w:rFonts w:hint="default" w:ascii="宋体" w:hAnsi="宋体" w:eastAsia="宋体" w:cs="宋体"/>
                      <w:color w:val="000000"/>
                      <w:szCs w:val="21"/>
                      <w:highlight w:val="none"/>
                      <w:lang w:val="en-US" w:eastAsia="zh-CN"/>
                    </w:rPr>
                  </w:pPr>
                </w:p>
              </w:tc>
              <w:tc>
                <w:tcPr>
                  <w:tcW w:w="1700" w:type="dxa"/>
                  <w:noWrap w:val="0"/>
                  <w:vAlign w:val="center"/>
                </w:tcPr>
                <w:p w14:paraId="6506262F">
                  <w:pPr>
                    <w:snapToGrid w:val="0"/>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装修区域以总包电箱为界，出线及至末端（一般照明</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开关</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插座等）由装修单位负责定位开孔、安装、调试及收口工作。</w:t>
                  </w:r>
                </w:p>
                <w:p w14:paraId="0D12314A">
                  <w:pPr>
                    <w:snapToGrid w:val="0"/>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装修区域电箱等的收口和检修口预留。</w:t>
                  </w:r>
                </w:p>
                <w:p w14:paraId="78AF8FDC">
                  <w:pPr>
                    <w:snapToGrid w:val="0"/>
                    <w:jc w:val="left"/>
                    <w:rPr>
                      <w:rFonts w:hint="eastAsia" w:ascii="宋体" w:hAnsi="宋体" w:cs="宋体"/>
                      <w:color w:val="000000"/>
                      <w:szCs w:val="21"/>
                      <w:highlight w:val="none"/>
                    </w:rPr>
                  </w:pPr>
                </w:p>
              </w:tc>
              <w:tc>
                <w:tcPr>
                  <w:tcW w:w="1831" w:type="dxa"/>
                  <w:noWrap w:val="0"/>
                  <w:vAlign w:val="center"/>
                </w:tcPr>
                <w:p w14:paraId="6C3A38F8">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【永久供电施工单位】 1、承担高低压配电的土建及机电的施工，以低压配电柜为界，承担低压配电柜（含柜）前的电气工程及高低压电房内照明。</w:t>
                  </w:r>
                </w:p>
                <w:p w14:paraId="171D95C8">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【园林单位】</w:t>
                  </w:r>
                </w:p>
                <w:p w14:paraId="1A55BE27">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园林配电箱及以后电气工程。</w:t>
                  </w:r>
                </w:p>
                <w:p w14:paraId="27E43D48">
                  <w:pPr>
                    <w:snapToGrid w:val="0"/>
                    <w:jc w:val="left"/>
                    <w:rPr>
                      <w:rFonts w:hint="eastAsia" w:ascii="宋体" w:hAnsi="宋体" w:cs="宋体"/>
                      <w:color w:val="000000"/>
                      <w:szCs w:val="21"/>
                      <w:highlight w:val="none"/>
                    </w:rPr>
                  </w:pPr>
                </w:p>
              </w:tc>
            </w:tr>
            <w:tr w14:paraId="015F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536" w:type="dxa"/>
                  <w:vMerge w:val="continue"/>
                  <w:noWrap w:val="0"/>
                  <w:vAlign w:val="center"/>
                </w:tcPr>
                <w:p w14:paraId="27EEB584">
                  <w:pPr>
                    <w:snapToGrid w:val="0"/>
                    <w:jc w:val="left"/>
                    <w:rPr>
                      <w:rFonts w:hint="eastAsia" w:ascii="宋体" w:hAnsi="宋体" w:cs="宋体"/>
                      <w:color w:val="000000"/>
                      <w:szCs w:val="21"/>
                    </w:rPr>
                  </w:pPr>
                </w:p>
              </w:tc>
              <w:tc>
                <w:tcPr>
                  <w:tcW w:w="250" w:type="dxa"/>
                  <w:vMerge w:val="continue"/>
                  <w:noWrap w:val="0"/>
                  <w:vAlign w:val="center"/>
                </w:tcPr>
                <w:p w14:paraId="1362B89B">
                  <w:pPr>
                    <w:snapToGrid w:val="0"/>
                    <w:jc w:val="left"/>
                    <w:rPr>
                      <w:rFonts w:hint="eastAsia" w:ascii="宋体" w:hAnsi="宋体" w:cs="宋体"/>
                      <w:color w:val="000000"/>
                      <w:szCs w:val="21"/>
                    </w:rPr>
                  </w:pPr>
                </w:p>
              </w:tc>
              <w:tc>
                <w:tcPr>
                  <w:tcW w:w="678" w:type="dxa"/>
                  <w:noWrap w:val="0"/>
                  <w:vAlign w:val="center"/>
                </w:tcPr>
                <w:p w14:paraId="1A3442C0">
                  <w:pPr>
                    <w:snapToGrid w:val="0"/>
                    <w:jc w:val="left"/>
                    <w:rPr>
                      <w:rFonts w:hint="eastAsia" w:ascii="宋体" w:hAnsi="宋体" w:cs="宋体"/>
                      <w:color w:val="000000"/>
                      <w:szCs w:val="21"/>
                    </w:rPr>
                  </w:pPr>
                  <w:r>
                    <w:rPr>
                      <w:rFonts w:hint="eastAsia" w:ascii="宋体" w:hAnsi="宋体" w:cs="宋体"/>
                      <w:color w:val="000000"/>
                      <w:szCs w:val="21"/>
                    </w:rPr>
                    <w:t>防雷系统</w:t>
                  </w:r>
                </w:p>
              </w:tc>
              <w:tc>
                <w:tcPr>
                  <w:tcW w:w="4645" w:type="dxa"/>
                  <w:noWrap w:val="0"/>
                  <w:vAlign w:val="center"/>
                </w:tcPr>
                <w:p w14:paraId="7339BB34">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1、完成所有防雷系统的全部施工内容；</w:t>
                  </w:r>
                </w:p>
                <w:p w14:paraId="73F844BE">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2、预留各设备的接地点；</w:t>
                  </w:r>
                </w:p>
                <w:p w14:paraId="5A639CF0">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3、承担从预留的接地点引接地线至相关设备、管道，并做好标识，包括并不限于栏杆、</w:t>
                  </w:r>
                  <w:r>
                    <w:rPr>
                      <w:rFonts w:hint="eastAsia" w:ascii="宋体" w:hAnsi="宋体" w:cs="宋体"/>
                      <w:color w:val="000000"/>
                      <w:szCs w:val="21"/>
                      <w:highlight w:val="none"/>
                      <w:lang w:eastAsia="zh"/>
                    </w:rPr>
                    <w:t>幕墙</w:t>
                  </w:r>
                  <w:r>
                    <w:rPr>
                      <w:rFonts w:hint="eastAsia" w:ascii="宋体" w:hAnsi="宋体" w:cs="宋体"/>
                      <w:color w:val="000000"/>
                      <w:szCs w:val="21"/>
                      <w:highlight w:val="none"/>
                    </w:rPr>
                    <w:t>及机电设备。</w:t>
                  </w:r>
                </w:p>
              </w:tc>
              <w:tc>
                <w:tcPr>
                  <w:tcW w:w="1700" w:type="dxa"/>
                  <w:noWrap w:val="0"/>
                  <w:vAlign w:val="center"/>
                </w:tcPr>
                <w:p w14:paraId="6A820227">
                  <w:pPr>
                    <w:snapToGrid w:val="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装修单位负责金属洁具接地</w:t>
                  </w:r>
                </w:p>
              </w:tc>
              <w:tc>
                <w:tcPr>
                  <w:tcW w:w="1831" w:type="dxa"/>
                  <w:noWrap w:val="0"/>
                  <w:vAlign w:val="center"/>
                </w:tcPr>
                <w:p w14:paraId="43FF25DB">
                  <w:pPr>
                    <w:snapToGrid w:val="0"/>
                    <w:jc w:val="left"/>
                    <w:rPr>
                      <w:rFonts w:hint="eastAsia" w:ascii="宋体" w:hAnsi="宋体" w:cs="宋体"/>
                      <w:color w:val="000000"/>
                      <w:szCs w:val="21"/>
                    </w:rPr>
                  </w:pPr>
                </w:p>
              </w:tc>
            </w:tr>
            <w:tr w14:paraId="410A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2" w:hRule="atLeast"/>
                <w:jc w:val="center"/>
              </w:trPr>
              <w:tc>
                <w:tcPr>
                  <w:tcW w:w="536" w:type="dxa"/>
                  <w:vMerge w:val="restart"/>
                  <w:noWrap w:val="0"/>
                  <w:vAlign w:val="center"/>
                </w:tcPr>
                <w:p w14:paraId="54CAFDA0">
                  <w:pPr>
                    <w:snapToGrid w:val="0"/>
                    <w:jc w:val="left"/>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c>
                <w:tcPr>
                  <w:tcW w:w="250" w:type="dxa"/>
                  <w:vMerge w:val="restart"/>
                  <w:noWrap w:val="0"/>
                  <w:vAlign w:val="center"/>
                </w:tcPr>
                <w:p w14:paraId="0D0C2EF2">
                  <w:pPr>
                    <w:snapToGrid w:val="0"/>
                    <w:jc w:val="left"/>
                    <w:rPr>
                      <w:rFonts w:hint="eastAsia" w:ascii="宋体" w:hAnsi="宋体" w:cs="宋体"/>
                      <w:color w:val="000000"/>
                      <w:szCs w:val="21"/>
                    </w:rPr>
                  </w:pPr>
                  <w:r>
                    <w:rPr>
                      <w:rFonts w:hint="eastAsia" w:ascii="宋体" w:hAnsi="宋体" w:cs="宋体"/>
                      <w:color w:val="000000"/>
                      <w:szCs w:val="21"/>
                    </w:rPr>
                    <w:t>给排水系统</w:t>
                  </w:r>
                </w:p>
              </w:tc>
              <w:tc>
                <w:tcPr>
                  <w:tcW w:w="678" w:type="dxa"/>
                  <w:noWrap w:val="0"/>
                  <w:vAlign w:val="center"/>
                </w:tcPr>
                <w:p w14:paraId="2FA67656">
                  <w:pPr>
                    <w:snapToGrid w:val="0"/>
                    <w:jc w:val="left"/>
                    <w:rPr>
                      <w:rFonts w:hint="default" w:ascii="宋体" w:hAnsi="宋体" w:eastAsia="宋体" w:cs="宋体"/>
                      <w:color w:val="000000"/>
                      <w:szCs w:val="21"/>
                      <w:lang w:val="en-US" w:eastAsia="zh-CN"/>
                    </w:rPr>
                  </w:pPr>
                  <w:r>
                    <w:rPr>
                      <w:rFonts w:hint="eastAsia" w:ascii="宋体" w:hAnsi="宋体" w:cs="宋体"/>
                      <w:color w:val="000000"/>
                      <w:szCs w:val="21"/>
                    </w:rPr>
                    <w:t>给水系统、</w:t>
                  </w:r>
                  <w:r>
                    <w:rPr>
                      <w:rFonts w:hint="eastAsia" w:ascii="宋体" w:hAnsi="宋体" w:cs="宋体"/>
                      <w:color w:val="000000"/>
                      <w:szCs w:val="21"/>
                      <w:lang w:val="en-US" w:eastAsia="zh-CN"/>
                    </w:rPr>
                    <w:t>消防水系统</w:t>
                  </w:r>
                </w:p>
              </w:tc>
              <w:tc>
                <w:tcPr>
                  <w:tcW w:w="4645" w:type="dxa"/>
                  <w:noWrap w:val="0"/>
                  <w:vAlign w:val="center"/>
                </w:tcPr>
                <w:p w14:paraId="5F489B8F">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1、承担防水套管和穿梁（楼板）套管预埋、机电安装工程中须预留的洞口（也包括套管预留洞口）预留工作，包括孔洞的封塞、防水以及后期的饰面工程，和设备安装要求的设备基础；</w:t>
                  </w:r>
                </w:p>
                <w:p w14:paraId="76D15B83">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2、包括从市政水表后(不含市政水表组及水表井)至末端的整个给水系统；</w:t>
                  </w:r>
                </w:p>
                <w:p w14:paraId="301643AF">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3、不包括园林绿化用水水表至园林绿化用水末端的整个系统；</w:t>
                  </w:r>
                </w:p>
                <w:p w14:paraId="150963E9">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4、但包括预埋管道、套管；</w:t>
                  </w:r>
                </w:p>
                <w:p w14:paraId="4637DF8A">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5、从市政水表组后至各用水末端</w:t>
                  </w:r>
                  <w:r>
                    <w:rPr>
                      <w:rFonts w:hint="eastAsia" w:ascii="宋体" w:hAnsi="宋体" w:cs="宋体"/>
                      <w:color w:val="000000"/>
                      <w:szCs w:val="21"/>
                      <w:highlight w:val="none"/>
                      <w:lang w:eastAsia="zh"/>
                    </w:rPr>
                    <w:t>所有图纸范围施工</w:t>
                  </w:r>
                  <w:r>
                    <w:rPr>
                      <w:rFonts w:hint="eastAsia" w:ascii="宋体" w:hAnsi="宋体" w:cs="宋体"/>
                      <w:color w:val="000000"/>
                      <w:szCs w:val="21"/>
                      <w:highlight w:val="none"/>
                    </w:rPr>
                    <w:t>。包括但不限于下述内容：设备、阀门、各种管道及其附件、土方工程等；</w:t>
                  </w:r>
                </w:p>
                <w:p w14:paraId="5E42D984">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其中：二次加压供水水表柱由供水公司负责施工，水表柱范围为从楼层立管三通至表后阀门(含水表)，水表柱后由总包施工。自行解决试压冲洗等验收相关的准备工作及配件。具体见附图一。</w:t>
                  </w:r>
                </w:p>
                <w:p w14:paraId="4B6E2B7C">
                  <w:pPr>
                    <w:snapToGrid w:val="0"/>
                    <w:jc w:val="left"/>
                    <w:rPr>
                      <w:rFonts w:hint="eastAsia" w:ascii="宋体" w:hAnsi="宋体" w:cs="宋体"/>
                      <w:color w:val="000000"/>
                      <w:szCs w:val="21"/>
                      <w:highlight w:val="none"/>
                    </w:rPr>
                  </w:pPr>
                  <w:r>
                    <w:rPr>
                      <w:rFonts w:hint="eastAsia" w:ascii="宋体" w:hAnsi="宋体" w:cs="宋体"/>
                      <w:b/>
                      <w:bCs/>
                      <w:color w:val="000000"/>
                      <w:kern w:val="0"/>
                      <w:sz w:val="18"/>
                      <w:szCs w:val="18"/>
                      <w:highlight w:val="none"/>
                    </w:rPr>
                    <w:drawing>
                      <wp:inline distT="0" distB="0" distL="114300" distR="114300">
                        <wp:extent cx="1172210" cy="1062355"/>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172210" cy="1062355"/>
                                </a:xfrm>
                                <a:prstGeom prst="rect">
                                  <a:avLst/>
                                </a:prstGeom>
                                <a:noFill/>
                                <a:ln>
                                  <a:noFill/>
                                </a:ln>
                              </pic:spPr>
                            </pic:pic>
                          </a:graphicData>
                        </a:graphic>
                      </wp:inline>
                    </w:drawing>
                  </w:r>
                </w:p>
                <w:p w14:paraId="781FBD54">
                  <w:pPr>
                    <w:numPr>
                      <w:ilvl w:val="0"/>
                      <w:numId w:val="11"/>
                    </w:num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生活水泵房图纸的深化</w:t>
                  </w:r>
                  <w:r>
                    <w:rPr>
                      <w:rFonts w:hint="eastAsia" w:ascii="宋体" w:hAnsi="宋体" w:cs="宋体"/>
                      <w:color w:val="000000"/>
                      <w:szCs w:val="21"/>
                      <w:highlight w:val="none"/>
                      <w:lang w:eastAsia="zh"/>
                    </w:rPr>
                    <w:t>及施工</w:t>
                  </w:r>
                  <w:r>
                    <w:rPr>
                      <w:rFonts w:hint="eastAsia" w:ascii="宋体" w:hAnsi="宋体" w:cs="宋体"/>
                      <w:color w:val="000000"/>
                      <w:szCs w:val="21"/>
                      <w:highlight w:val="none"/>
                    </w:rPr>
                    <w:t>，并取得供水公司确认。</w:t>
                  </w:r>
                </w:p>
                <w:p w14:paraId="589768AE">
                  <w:pPr>
                    <w:numPr>
                      <w:ilvl w:val="0"/>
                      <w:numId w:val="11"/>
                    </w:numPr>
                    <w:snapToGrid w:val="0"/>
                    <w:jc w:val="left"/>
                    <w:rPr>
                      <w:rFonts w:hint="eastAsia" w:ascii="宋体" w:hAnsi="宋体" w:cs="宋体"/>
                      <w:color w:val="000000"/>
                      <w:szCs w:val="21"/>
                      <w:highlight w:val="none"/>
                    </w:rPr>
                  </w:pPr>
                  <w:r>
                    <w:rPr>
                      <w:rFonts w:hint="eastAsia" w:ascii="宋体" w:hAnsi="宋体" w:cs="宋体"/>
                      <w:color w:val="000000"/>
                      <w:szCs w:val="21"/>
                      <w:highlight w:val="none"/>
                      <w:lang w:val="en-US" w:eastAsia="zh-CN"/>
                    </w:rPr>
                    <w:t>消防水系统。</w:t>
                  </w:r>
                </w:p>
              </w:tc>
              <w:tc>
                <w:tcPr>
                  <w:tcW w:w="1700" w:type="dxa"/>
                  <w:noWrap w:val="0"/>
                  <w:vAlign w:val="center"/>
                </w:tcPr>
                <w:p w14:paraId="2D7FD028">
                  <w:pPr>
                    <w:numPr>
                      <w:ilvl w:val="0"/>
                      <w:numId w:val="12"/>
                    </w:numPr>
                    <w:snapToGrid w:val="0"/>
                    <w:jc w:val="left"/>
                    <w:rPr>
                      <w:rFonts w:hint="eastAsia" w:ascii="宋体" w:hAnsi="宋体" w:cs="宋体"/>
                      <w:color w:val="000000"/>
                      <w:szCs w:val="21"/>
                      <w:highlight w:val="none"/>
                      <w:lang w:eastAsia="zh-CN"/>
                    </w:rPr>
                  </w:pPr>
                  <w:r>
                    <w:rPr>
                      <w:rFonts w:hint="eastAsia" w:ascii="宋体" w:hAnsi="宋体" w:cs="宋体"/>
                      <w:color w:val="000000"/>
                      <w:szCs w:val="21"/>
                      <w:highlight w:val="none"/>
                      <w:lang w:val="en-US" w:eastAsia="zh-CN"/>
                    </w:rPr>
                    <w:t>装修区域</w:t>
                  </w:r>
                  <w:r>
                    <w:rPr>
                      <w:rFonts w:hint="eastAsia" w:ascii="宋体" w:hAnsi="宋体" w:cs="宋体"/>
                      <w:color w:val="000000"/>
                      <w:szCs w:val="21"/>
                      <w:highlight w:val="none"/>
                    </w:rPr>
                    <w:t>卫生间，预留接驳口后至末端用水点由精装修单位完成（包含给水管穿墙穿楼板洞口、因涉及装修卫生洁具选型不同不进行预留）</w:t>
                  </w:r>
                  <w:r>
                    <w:rPr>
                      <w:rFonts w:hint="eastAsia" w:ascii="宋体" w:hAnsi="宋体" w:cs="宋体"/>
                      <w:color w:val="000000"/>
                      <w:szCs w:val="21"/>
                      <w:highlight w:val="none"/>
                      <w:lang w:eastAsia="zh-CN"/>
                    </w:rPr>
                    <w:t>；</w:t>
                  </w:r>
                </w:p>
              </w:tc>
              <w:tc>
                <w:tcPr>
                  <w:tcW w:w="1831" w:type="dxa"/>
                  <w:noWrap w:val="0"/>
                  <w:vAlign w:val="center"/>
                </w:tcPr>
                <w:p w14:paraId="529172B4">
                  <w:pPr>
                    <w:numPr>
                      <w:ilvl w:val="0"/>
                      <w:numId w:val="13"/>
                    </w:numPr>
                    <w:snapToGrid w:val="0"/>
                    <w:jc w:val="left"/>
                    <w:rPr>
                      <w:rFonts w:hint="eastAsia" w:ascii="宋体" w:hAnsi="宋体" w:cs="宋体"/>
                      <w:color w:val="000000"/>
                      <w:szCs w:val="21"/>
                    </w:rPr>
                  </w:pPr>
                  <w:r>
                    <w:rPr>
                      <w:rFonts w:hint="eastAsia" w:ascii="宋体" w:hAnsi="宋体" w:cs="宋体"/>
                      <w:color w:val="000000"/>
                      <w:szCs w:val="21"/>
                    </w:rPr>
                    <w:t>【自来水公司】市政供水、水表柱；</w:t>
                  </w:r>
                </w:p>
                <w:p w14:paraId="0F22830F">
                  <w:pPr>
                    <w:numPr>
                      <w:ilvl w:val="0"/>
                      <w:numId w:val="13"/>
                    </w:numPr>
                    <w:snapToGrid w:val="0"/>
                    <w:jc w:val="left"/>
                    <w:rPr>
                      <w:rFonts w:hint="eastAsia" w:ascii="宋体" w:hAnsi="宋体" w:cs="宋体"/>
                      <w:color w:val="000000"/>
                      <w:szCs w:val="21"/>
                    </w:rPr>
                  </w:pPr>
                  <w:r>
                    <w:rPr>
                      <w:rFonts w:hint="eastAsia" w:ascii="宋体" w:hAnsi="宋体" w:cs="宋体"/>
                      <w:color w:val="000000"/>
                      <w:szCs w:val="21"/>
                    </w:rPr>
                    <w:t>【园林单位】</w:t>
                  </w:r>
                </w:p>
                <w:p w14:paraId="4075E54D">
                  <w:pPr>
                    <w:snapToGrid w:val="0"/>
                    <w:jc w:val="left"/>
                    <w:rPr>
                      <w:rFonts w:hint="eastAsia" w:ascii="宋体" w:hAnsi="宋体" w:cs="宋体"/>
                      <w:color w:val="000000"/>
                      <w:szCs w:val="21"/>
                    </w:rPr>
                  </w:pPr>
                  <w:r>
                    <w:rPr>
                      <w:rFonts w:hint="eastAsia" w:ascii="宋体" w:hAnsi="宋体" w:cs="宋体"/>
                      <w:color w:val="000000"/>
                      <w:szCs w:val="21"/>
                    </w:rPr>
                    <w:t>1.包括园林绿化用水水表至园林绿化用水末端的整个系统（含室外</w:t>
                  </w:r>
                  <w:r>
                    <w:rPr>
                      <w:rFonts w:hint="eastAsia" w:ascii="宋体" w:hAnsi="宋体" w:cs="宋体"/>
                      <w:color w:val="000000"/>
                      <w:szCs w:val="21"/>
                      <w:lang w:eastAsia="zh"/>
                    </w:rPr>
                    <w:t>水景</w:t>
                  </w:r>
                  <w:r>
                    <w:rPr>
                      <w:rFonts w:hint="eastAsia" w:ascii="宋体" w:hAnsi="宋体" w:cs="宋体"/>
                      <w:color w:val="000000"/>
                      <w:szCs w:val="21"/>
                    </w:rPr>
                    <w:t>中的整个水系统部分）；</w:t>
                  </w:r>
                </w:p>
                <w:p w14:paraId="2D0187BE">
                  <w:pPr>
                    <w:snapToGrid w:val="0"/>
                    <w:jc w:val="left"/>
                    <w:rPr>
                      <w:rFonts w:hint="eastAsia" w:ascii="宋体" w:hAnsi="宋体" w:cs="宋体"/>
                      <w:color w:val="000000"/>
                      <w:szCs w:val="21"/>
                    </w:rPr>
                  </w:pPr>
                </w:p>
              </w:tc>
            </w:tr>
            <w:tr w14:paraId="7E74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8" w:hRule="atLeast"/>
                <w:jc w:val="center"/>
              </w:trPr>
              <w:tc>
                <w:tcPr>
                  <w:tcW w:w="536" w:type="dxa"/>
                  <w:vMerge w:val="continue"/>
                  <w:noWrap w:val="0"/>
                  <w:vAlign w:val="center"/>
                </w:tcPr>
                <w:p w14:paraId="594AF12E">
                  <w:pPr>
                    <w:snapToGrid w:val="0"/>
                    <w:jc w:val="left"/>
                    <w:rPr>
                      <w:rFonts w:hint="eastAsia" w:ascii="宋体" w:hAnsi="宋体" w:cs="宋体"/>
                      <w:color w:val="000000"/>
                      <w:szCs w:val="21"/>
                    </w:rPr>
                  </w:pPr>
                </w:p>
              </w:tc>
              <w:tc>
                <w:tcPr>
                  <w:tcW w:w="250" w:type="dxa"/>
                  <w:vMerge w:val="continue"/>
                  <w:noWrap w:val="0"/>
                  <w:vAlign w:val="center"/>
                </w:tcPr>
                <w:p w14:paraId="2BED805E">
                  <w:pPr>
                    <w:snapToGrid w:val="0"/>
                    <w:jc w:val="left"/>
                    <w:rPr>
                      <w:rFonts w:hint="eastAsia" w:ascii="宋体" w:hAnsi="宋体" w:cs="宋体"/>
                      <w:color w:val="000000"/>
                      <w:szCs w:val="21"/>
                    </w:rPr>
                  </w:pPr>
                </w:p>
              </w:tc>
              <w:tc>
                <w:tcPr>
                  <w:tcW w:w="678" w:type="dxa"/>
                  <w:noWrap w:val="0"/>
                  <w:vAlign w:val="center"/>
                </w:tcPr>
                <w:p w14:paraId="178C0E2F">
                  <w:pPr>
                    <w:snapToGrid w:val="0"/>
                    <w:jc w:val="left"/>
                    <w:rPr>
                      <w:rFonts w:hint="eastAsia" w:ascii="宋体" w:hAnsi="宋体" w:cs="宋体"/>
                      <w:color w:val="000000"/>
                      <w:szCs w:val="21"/>
                    </w:rPr>
                  </w:pPr>
                  <w:r>
                    <w:rPr>
                      <w:rFonts w:hint="eastAsia" w:ascii="宋体" w:hAnsi="宋体" w:cs="宋体"/>
                      <w:color w:val="000000"/>
                      <w:szCs w:val="21"/>
                    </w:rPr>
                    <w:t>排水系统</w:t>
                  </w:r>
                </w:p>
              </w:tc>
              <w:tc>
                <w:tcPr>
                  <w:tcW w:w="4645" w:type="dxa"/>
                  <w:noWrap w:val="0"/>
                  <w:vAlign w:val="center"/>
                </w:tcPr>
                <w:p w14:paraId="58BE7A96">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1、承担防水套管和穿梁（楼板）套管预埋、机电安装工程中须预留的洞口（也包括套管预留洞口）预留工作，包括孔洞的封塞、防水以及后期的饰面工程，和设备安装要求的设备基础；</w:t>
                  </w:r>
                </w:p>
                <w:p w14:paraId="0E9B35CC">
                  <w:pPr>
                    <w:snapToGrid w:val="0"/>
                    <w:jc w:val="left"/>
                    <w:rPr>
                      <w:rFonts w:hint="eastAsia" w:ascii="宋体" w:hAnsi="宋体" w:cs="宋体"/>
                      <w:color w:val="000000"/>
                      <w:szCs w:val="21"/>
                      <w:highlight w:val="none"/>
                    </w:rPr>
                  </w:pPr>
                  <w:r>
                    <w:rPr>
                      <w:rFonts w:hint="eastAsia" w:ascii="宋体" w:hAnsi="宋体" w:cs="宋体"/>
                      <w:color w:val="000000"/>
                      <w:szCs w:val="21"/>
                      <w:highlight w:val="none"/>
                      <w:lang w:eastAsia="zh"/>
                    </w:rPr>
                    <w:t>2</w:t>
                  </w:r>
                  <w:r>
                    <w:rPr>
                      <w:rFonts w:hint="eastAsia" w:ascii="宋体" w:hAnsi="宋体" w:cs="宋体"/>
                      <w:color w:val="000000"/>
                      <w:szCs w:val="21"/>
                      <w:highlight w:val="none"/>
                    </w:rPr>
                    <w:t>、室内排水（含污水、废水、雨水、空调冷凝水）从各排水起源点计至外墙检查井</w:t>
                  </w:r>
                  <w:r>
                    <w:rPr>
                      <w:rFonts w:hint="eastAsia" w:ascii="宋体" w:hAnsi="宋体" w:cs="宋体"/>
                      <w:color w:val="000000"/>
                      <w:szCs w:val="21"/>
                      <w:highlight w:val="none"/>
                      <w:lang w:eastAsia="zh"/>
                    </w:rPr>
                    <w:t>（不含检查井）</w:t>
                  </w:r>
                  <w:r>
                    <w:rPr>
                      <w:rFonts w:hint="eastAsia" w:ascii="宋体" w:hAnsi="宋体" w:cs="宋体"/>
                      <w:color w:val="000000"/>
                      <w:szCs w:val="21"/>
                      <w:highlight w:val="none"/>
                    </w:rPr>
                    <w:t>，包括但不限于下述内容：设备、阀门、各种管道及其附件、土石方工程等；</w:t>
                  </w:r>
                </w:p>
                <w:p w14:paraId="34474043">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特别说明：</w:t>
                  </w:r>
                </w:p>
                <w:p w14:paraId="1CDDCBFA">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1）防暴地漏的预埋；</w:t>
                  </w:r>
                </w:p>
                <w:p w14:paraId="7F143C5D">
                  <w:pPr>
                    <w:snapToGrid w:val="0"/>
                    <w:jc w:val="left"/>
                    <w:rPr>
                      <w:rFonts w:hint="eastAsia" w:ascii="宋体" w:hAnsi="宋体" w:cs="宋体"/>
                      <w:color w:val="000000"/>
                      <w:szCs w:val="21"/>
                      <w:highlight w:val="none"/>
                      <w:lang w:eastAsia="zh"/>
                    </w:rPr>
                  </w:pPr>
                  <w:r>
                    <w:rPr>
                      <w:rFonts w:hint="eastAsia" w:ascii="宋体" w:hAnsi="宋体" w:cs="宋体"/>
                      <w:color w:val="000000"/>
                      <w:szCs w:val="21"/>
                      <w:highlight w:val="none"/>
                    </w:rPr>
                    <w:t>2）地下室地漏、阳台地漏、管井地漏的供货安装</w:t>
                  </w:r>
                  <w:r>
                    <w:rPr>
                      <w:rFonts w:hint="eastAsia" w:ascii="宋体" w:hAnsi="宋体" w:cs="宋体"/>
                      <w:color w:val="000000"/>
                      <w:szCs w:val="21"/>
                      <w:highlight w:val="none"/>
                      <w:lang w:eastAsia="zh"/>
                    </w:rPr>
                    <w:t>；</w:t>
                  </w:r>
                </w:p>
                <w:p w14:paraId="53C09EE5">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3）卫生间、厨房污废水预留接口并安装临时堵头（户内入户或包管外边横管预留长度20CM），用红油漆在卫生间及厨房管道预留接口处喷字标识；</w:t>
                  </w:r>
                </w:p>
                <w:p w14:paraId="576D9117">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4）空调室内机与室外机连接管的套管预埋；</w:t>
                  </w:r>
                </w:p>
                <w:p w14:paraId="5FF43FA9">
                  <w:pPr>
                    <w:snapToGrid w:val="0"/>
                    <w:jc w:val="left"/>
                    <w:rPr>
                      <w:rFonts w:hint="eastAsia" w:ascii="宋体" w:hAnsi="宋体" w:cs="宋体"/>
                      <w:color w:val="000000"/>
                      <w:szCs w:val="21"/>
                      <w:highlight w:val="none"/>
                    </w:rPr>
                  </w:pPr>
                  <w:r>
                    <w:rPr>
                      <w:rFonts w:hint="eastAsia" w:ascii="宋体" w:hAnsi="宋体" w:cs="宋体"/>
                      <w:color w:val="000000"/>
                      <w:szCs w:val="21"/>
                      <w:highlight w:val="none"/>
                    </w:rPr>
                    <w:t>5）室外排水</w:t>
                  </w:r>
                  <w:r>
                    <w:rPr>
                      <w:rFonts w:hint="eastAsia" w:ascii="宋体" w:hAnsi="宋体" w:cs="宋体"/>
                      <w:color w:val="000000"/>
                      <w:szCs w:val="21"/>
                      <w:highlight w:val="none"/>
                      <w:lang w:eastAsia="zh"/>
                    </w:rPr>
                    <w:t>不在本次招标范围</w:t>
                  </w:r>
                </w:p>
              </w:tc>
              <w:tc>
                <w:tcPr>
                  <w:tcW w:w="1700" w:type="dxa"/>
                  <w:noWrap w:val="0"/>
                  <w:vAlign w:val="center"/>
                </w:tcPr>
                <w:p w14:paraId="0851D2BE">
                  <w:pPr>
                    <w:snapToGrid w:val="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装修区域的</w:t>
                  </w:r>
                  <w:r>
                    <w:rPr>
                      <w:rFonts w:hint="eastAsia" w:ascii="宋体" w:hAnsi="宋体" w:cs="宋体"/>
                      <w:color w:val="000000"/>
                      <w:szCs w:val="21"/>
                      <w:highlight w:val="none"/>
                    </w:rPr>
                    <w:t>楼层管井检查口饰面</w:t>
                  </w:r>
                  <w:r>
                    <w:rPr>
                      <w:rFonts w:hint="eastAsia" w:ascii="宋体" w:hAnsi="宋体" w:cs="宋体"/>
                      <w:color w:val="000000"/>
                      <w:szCs w:val="21"/>
                      <w:highlight w:val="none"/>
                      <w:lang w:val="en-US" w:eastAsia="zh-CN"/>
                    </w:rPr>
                    <w:t>预留口；</w:t>
                  </w:r>
                </w:p>
                <w:p w14:paraId="0C5EF1F6">
                  <w:pPr>
                    <w:snapToGrid w:val="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卫生间</w:t>
                  </w:r>
                  <w:r>
                    <w:rPr>
                      <w:rFonts w:hint="eastAsia" w:ascii="宋体" w:hAnsi="宋体" w:cs="宋体"/>
                      <w:color w:val="000000"/>
                      <w:szCs w:val="21"/>
                      <w:highlight w:val="none"/>
                    </w:rPr>
                    <w:t>排水</w:t>
                  </w:r>
                  <w:r>
                    <w:rPr>
                      <w:rFonts w:hint="eastAsia" w:ascii="宋体" w:hAnsi="宋体" w:cs="宋体"/>
                      <w:color w:val="000000"/>
                      <w:szCs w:val="21"/>
                      <w:highlight w:val="none"/>
                      <w:lang w:val="en-US" w:eastAsia="zh-CN"/>
                    </w:rPr>
                    <w:t>接</w:t>
                  </w:r>
                  <w:r>
                    <w:rPr>
                      <w:rFonts w:hint="eastAsia" w:ascii="宋体" w:hAnsi="宋体" w:cs="宋体"/>
                      <w:color w:val="000000"/>
                      <w:szCs w:val="21"/>
                      <w:highlight w:val="none"/>
                    </w:rPr>
                    <w:t>头后工程由精装修单位完成（包含排水管穿墙穿楼板洞口、因涉及装修卫生洁具选型不同不进行预留）</w:t>
                  </w:r>
                </w:p>
              </w:tc>
              <w:tc>
                <w:tcPr>
                  <w:tcW w:w="1831" w:type="dxa"/>
                  <w:noWrap w:val="0"/>
                  <w:vAlign w:val="center"/>
                </w:tcPr>
                <w:p w14:paraId="430CBF8A">
                  <w:pPr>
                    <w:snapToGrid w:val="0"/>
                    <w:jc w:val="left"/>
                    <w:rPr>
                      <w:rFonts w:hint="eastAsia" w:ascii="宋体" w:hAnsi="宋体" w:cs="宋体"/>
                      <w:color w:val="000000"/>
                      <w:szCs w:val="21"/>
                    </w:rPr>
                  </w:pPr>
                  <w:r>
                    <w:rPr>
                      <w:rFonts w:hint="eastAsia" w:ascii="宋体" w:hAnsi="宋体" w:cs="宋体"/>
                      <w:color w:val="000000"/>
                      <w:szCs w:val="21"/>
                    </w:rPr>
                    <w:t>园林图纸中排水排污管井</w:t>
                  </w:r>
                </w:p>
                <w:p w14:paraId="16FF5374">
                  <w:pPr>
                    <w:snapToGrid w:val="0"/>
                    <w:jc w:val="left"/>
                    <w:rPr>
                      <w:rFonts w:hint="eastAsia" w:ascii="宋体" w:hAnsi="宋体" w:cs="宋体"/>
                      <w:color w:val="000000"/>
                      <w:szCs w:val="21"/>
                    </w:rPr>
                  </w:pPr>
                  <w:r>
                    <w:rPr>
                      <w:rFonts w:hint="eastAsia" w:ascii="宋体" w:hAnsi="宋体" w:cs="宋体"/>
                      <w:color w:val="000000"/>
                      <w:szCs w:val="21"/>
                    </w:rPr>
                    <w:t>园林单位</w:t>
                  </w:r>
                  <w:r>
                    <w:rPr>
                      <w:rFonts w:hint="eastAsia" w:ascii="宋体" w:hAnsi="宋体" w:cs="宋体"/>
                      <w:color w:val="000000"/>
                      <w:szCs w:val="21"/>
                      <w:lang w:eastAsia="zh"/>
                    </w:rPr>
                    <w:t>：</w:t>
                  </w:r>
                </w:p>
                <w:p w14:paraId="1E5BF7D8">
                  <w:pPr>
                    <w:snapToGrid w:val="0"/>
                    <w:jc w:val="left"/>
                    <w:rPr>
                      <w:rFonts w:hint="eastAsia" w:ascii="宋体" w:hAnsi="宋体" w:cs="宋体"/>
                      <w:color w:val="000000"/>
                      <w:szCs w:val="21"/>
                    </w:rPr>
                  </w:pPr>
                  <w:r>
                    <w:rPr>
                      <w:rFonts w:hint="eastAsia" w:ascii="宋体" w:hAnsi="宋体" w:cs="宋体"/>
                      <w:color w:val="000000"/>
                      <w:szCs w:val="21"/>
                    </w:rPr>
                    <w:t>包括从园林绿化排水点至就近的检查井或雨水口间的挖填土方、埋地管道等；</w:t>
                  </w:r>
                </w:p>
                <w:p w14:paraId="5B1EB862">
                  <w:pPr>
                    <w:tabs>
                      <w:tab w:val="left" w:pos="312"/>
                    </w:tabs>
                    <w:snapToGrid w:val="0"/>
                    <w:jc w:val="left"/>
                    <w:rPr>
                      <w:rFonts w:hint="eastAsia" w:ascii="宋体" w:hAnsi="宋体" w:cs="宋体"/>
                      <w:color w:val="000000"/>
                      <w:szCs w:val="21"/>
                    </w:rPr>
                  </w:pPr>
                  <w:r>
                    <w:rPr>
                      <w:rFonts w:hint="eastAsia" w:ascii="宋体" w:hAnsi="宋体" w:cs="宋体"/>
                      <w:color w:val="000000"/>
                      <w:szCs w:val="21"/>
                    </w:rPr>
                    <w:t>市政道路及排水单位：负责由第一个</w:t>
                  </w:r>
                  <w:r>
                    <w:rPr>
                      <w:rFonts w:hint="eastAsia" w:ascii="宋体" w:hAnsi="宋体" w:cs="宋体"/>
                      <w:color w:val="000000"/>
                      <w:szCs w:val="21"/>
                      <w:lang w:eastAsia="zh"/>
                    </w:rPr>
                    <w:t>外墙检查</w:t>
                  </w:r>
                  <w:r>
                    <w:rPr>
                      <w:rFonts w:hint="eastAsia" w:ascii="宋体" w:hAnsi="宋体" w:cs="宋体"/>
                      <w:color w:val="000000"/>
                      <w:szCs w:val="21"/>
                    </w:rPr>
                    <w:t>井（含此井）接驳至市政管网。</w:t>
                  </w:r>
                </w:p>
                <w:p w14:paraId="36880DEF">
                  <w:pPr>
                    <w:snapToGrid w:val="0"/>
                    <w:jc w:val="left"/>
                    <w:rPr>
                      <w:rFonts w:hint="eastAsia" w:ascii="宋体" w:hAnsi="宋体" w:cs="宋体"/>
                      <w:color w:val="000000"/>
                      <w:szCs w:val="21"/>
                    </w:rPr>
                  </w:pPr>
                </w:p>
              </w:tc>
            </w:tr>
            <w:tr w14:paraId="519E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36" w:type="dxa"/>
                  <w:noWrap w:val="0"/>
                  <w:vAlign w:val="center"/>
                </w:tcPr>
                <w:p w14:paraId="6AE616A2">
                  <w:pPr>
                    <w:snapToGrid w:val="0"/>
                    <w:jc w:val="left"/>
                    <w:rPr>
                      <w:rFonts w:hint="eastAsia" w:ascii="宋体" w:hAnsi="宋体" w:cs="宋体"/>
                      <w:color w:val="000000"/>
                      <w:szCs w:val="21"/>
                    </w:rPr>
                  </w:pPr>
                </w:p>
              </w:tc>
              <w:tc>
                <w:tcPr>
                  <w:tcW w:w="250" w:type="dxa"/>
                  <w:noWrap w:val="0"/>
                  <w:vAlign w:val="center"/>
                </w:tcPr>
                <w:p w14:paraId="6A7266E1">
                  <w:pPr>
                    <w:snapToGrid w:val="0"/>
                    <w:jc w:val="left"/>
                    <w:rPr>
                      <w:rFonts w:hint="eastAsia" w:ascii="宋体" w:hAnsi="宋体" w:cs="宋体"/>
                      <w:color w:val="000000"/>
                      <w:szCs w:val="21"/>
                    </w:rPr>
                  </w:pPr>
                </w:p>
              </w:tc>
              <w:tc>
                <w:tcPr>
                  <w:tcW w:w="678" w:type="dxa"/>
                  <w:noWrap w:val="0"/>
                  <w:vAlign w:val="center"/>
                </w:tcPr>
                <w:p w14:paraId="18D20AF6">
                  <w:pPr>
                    <w:snapToGrid w:val="0"/>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弱电工程</w:t>
                  </w:r>
                </w:p>
              </w:tc>
              <w:tc>
                <w:tcPr>
                  <w:tcW w:w="4645" w:type="dxa"/>
                  <w:noWrap w:val="0"/>
                  <w:vAlign w:val="center"/>
                </w:tcPr>
                <w:p w14:paraId="22C834B3">
                  <w:pPr>
                    <w:snapToGrid w:val="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完成图纸全部施工内容</w:t>
                  </w:r>
                </w:p>
              </w:tc>
              <w:tc>
                <w:tcPr>
                  <w:tcW w:w="1700" w:type="dxa"/>
                  <w:noWrap w:val="0"/>
                  <w:vAlign w:val="center"/>
                </w:tcPr>
                <w:p w14:paraId="6821393B">
                  <w:pPr>
                    <w:snapToGrid w:val="0"/>
                    <w:jc w:val="left"/>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配合弱电智能化装修区域面板</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监控</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门禁等点位的定位</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开孔</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收口及检修口配合。</w:t>
                  </w:r>
                </w:p>
                <w:p w14:paraId="3098470D">
                  <w:pPr>
                    <w:snapToGrid w:val="0"/>
                    <w:jc w:val="left"/>
                    <w:rPr>
                      <w:rFonts w:hint="eastAsia" w:ascii="宋体" w:hAnsi="宋体" w:cs="宋体"/>
                      <w:color w:val="000000"/>
                      <w:szCs w:val="21"/>
                      <w:highlight w:val="none"/>
                      <w:lang w:val="en-US" w:eastAsia="zh-CN"/>
                    </w:rPr>
                  </w:pPr>
                </w:p>
              </w:tc>
              <w:tc>
                <w:tcPr>
                  <w:tcW w:w="1831" w:type="dxa"/>
                  <w:noWrap w:val="0"/>
                  <w:vAlign w:val="center"/>
                </w:tcPr>
                <w:p w14:paraId="5BF0A6F0">
                  <w:pPr>
                    <w:snapToGrid w:val="0"/>
                    <w:jc w:val="left"/>
                    <w:rPr>
                      <w:rFonts w:hint="eastAsia" w:ascii="宋体" w:hAnsi="宋体" w:cs="宋体"/>
                      <w:color w:val="000000"/>
                      <w:szCs w:val="21"/>
                      <w:highlight w:val="none"/>
                    </w:rPr>
                  </w:pPr>
                </w:p>
              </w:tc>
            </w:tr>
            <w:tr w14:paraId="3170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9" w:hRule="atLeast"/>
                <w:jc w:val="center"/>
              </w:trPr>
              <w:tc>
                <w:tcPr>
                  <w:tcW w:w="536" w:type="dxa"/>
                  <w:noWrap w:val="0"/>
                  <w:vAlign w:val="center"/>
                </w:tcPr>
                <w:p w14:paraId="75B06FE1">
                  <w:pPr>
                    <w:snapToGrid w:val="0"/>
                    <w:jc w:val="left"/>
                    <w:rPr>
                      <w:rFonts w:hint="eastAsia" w:ascii="宋体" w:hAnsi="宋体" w:cs="宋体"/>
                      <w:color w:val="000000"/>
                      <w:szCs w:val="21"/>
                    </w:rPr>
                  </w:pPr>
                </w:p>
              </w:tc>
              <w:tc>
                <w:tcPr>
                  <w:tcW w:w="250" w:type="dxa"/>
                  <w:noWrap w:val="0"/>
                  <w:vAlign w:val="center"/>
                </w:tcPr>
                <w:p w14:paraId="6290D39A">
                  <w:pPr>
                    <w:snapToGrid w:val="0"/>
                    <w:jc w:val="left"/>
                    <w:rPr>
                      <w:rFonts w:hint="eastAsia" w:ascii="宋体" w:hAnsi="宋体" w:cs="宋体"/>
                      <w:color w:val="000000"/>
                      <w:szCs w:val="21"/>
                    </w:rPr>
                  </w:pPr>
                </w:p>
              </w:tc>
              <w:tc>
                <w:tcPr>
                  <w:tcW w:w="678" w:type="dxa"/>
                  <w:noWrap w:val="0"/>
                  <w:vAlign w:val="center"/>
                </w:tcPr>
                <w:p w14:paraId="48DC895C">
                  <w:pPr>
                    <w:snapToGrid w:val="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消防系统</w:t>
                  </w:r>
                </w:p>
              </w:tc>
              <w:tc>
                <w:tcPr>
                  <w:tcW w:w="4645" w:type="dxa"/>
                  <w:noWrap w:val="0"/>
                  <w:vAlign w:val="center"/>
                </w:tcPr>
                <w:p w14:paraId="73E77509">
                  <w:pPr>
                    <w:snapToGrid w:val="0"/>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完成图纸全部施工内容</w:t>
                  </w:r>
                </w:p>
              </w:tc>
              <w:tc>
                <w:tcPr>
                  <w:tcW w:w="1700" w:type="dxa"/>
                  <w:noWrap w:val="0"/>
                  <w:vAlign w:val="center"/>
                </w:tcPr>
                <w:p w14:paraId="41CCB41F">
                  <w:pPr>
                    <w:numPr>
                      <w:ilvl w:val="0"/>
                      <w:numId w:val="14"/>
                    </w:numPr>
                    <w:snapToGrid w:val="0"/>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配合消防应急照明</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疏散指示</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消防按钮及手报等点位定位</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开孔</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收口及检修口配合。</w:t>
                  </w:r>
                </w:p>
                <w:p w14:paraId="06AC8A00">
                  <w:pPr>
                    <w:numPr>
                      <w:ilvl w:val="0"/>
                      <w:numId w:val="14"/>
                    </w:numPr>
                    <w:snapToGrid w:val="0"/>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装修区域配合喷淋等的定位</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开孔</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收口及检修口配合。</w:t>
                  </w:r>
                </w:p>
                <w:p w14:paraId="2DBC6ACD">
                  <w:pPr>
                    <w:numPr>
                      <w:ilvl w:val="0"/>
                      <w:numId w:val="14"/>
                    </w:numPr>
                    <w:snapToGrid w:val="0"/>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装修区域配合风口等的定位</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开孔</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收口及检修口配合。</w:t>
                  </w:r>
                </w:p>
                <w:p w14:paraId="59CADB1A">
                  <w:pPr>
                    <w:snapToGrid w:val="0"/>
                    <w:jc w:val="left"/>
                    <w:rPr>
                      <w:rFonts w:hint="default" w:ascii="宋体" w:hAnsi="宋体" w:cs="宋体"/>
                      <w:color w:val="000000"/>
                      <w:szCs w:val="21"/>
                      <w:highlight w:val="none"/>
                      <w:lang w:val="en-US" w:eastAsia="zh-CN"/>
                    </w:rPr>
                  </w:pPr>
                </w:p>
              </w:tc>
              <w:tc>
                <w:tcPr>
                  <w:tcW w:w="1831" w:type="dxa"/>
                  <w:noWrap w:val="0"/>
                  <w:vAlign w:val="center"/>
                </w:tcPr>
                <w:p w14:paraId="3E801AE7">
                  <w:pPr>
                    <w:snapToGrid w:val="0"/>
                    <w:jc w:val="left"/>
                    <w:rPr>
                      <w:rFonts w:hint="eastAsia" w:ascii="宋体" w:hAnsi="宋体" w:cs="宋体"/>
                      <w:color w:val="000000"/>
                      <w:szCs w:val="21"/>
                      <w:highlight w:val="none"/>
                    </w:rPr>
                  </w:pPr>
                </w:p>
              </w:tc>
            </w:tr>
            <w:tr w14:paraId="4FB9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jc w:val="center"/>
              </w:trPr>
              <w:tc>
                <w:tcPr>
                  <w:tcW w:w="536" w:type="dxa"/>
                  <w:noWrap w:val="0"/>
                  <w:vAlign w:val="center"/>
                </w:tcPr>
                <w:p w14:paraId="7BAA533B">
                  <w:pPr>
                    <w:snapToGrid w:val="0"/>
                    <w:jc w:val="left"/>
                    <w:rPr>
                      <w:rFonts w:hint="eastAsia" w:ascii="宋体" w:hAnsi="宋体" w:cs="宋体"/>
                      <w:color w:val="000000"/>
                      <w:szCs w:val="21"/>
                    </w:rPr>
                  </w:pPr>
                </w:p>
              </w:tc>
              <w:tc>
                <w:tcPr>
                  <w:tcW w:w="250" w:type="dxa"/>
                  <w:noWrap w:val="0"/>
                  <w:vAlign w:val="center"/>
                </w:tcPr>
                <w:p w14:paraId="2C3B5EE7">
                  <w:pPr>
                    <w:snapToGrid w:val="0"/>
                    <w:jc w:val="left"/>
                    <w:rPr>
                      <w:rFonts w:hint="eastAsia" w:ascii="宋体" w:hAnsi="宋体" w:cs="宋体"/>
                      <w:color w:val="000000"/>
                      <w:szCs w:val="21"/>
                    </w:rPr>
                  </w:pPr>
                </w:p>
              </w:tc>
              <w:tc>
                <w:tcPr>
                  <w:tcW w:w="678" w:type="dxa"/>
                  <w:noWrap w:val="0"/>
                  <w:vAlign w:val="center"/>
                </w:tcPr>
                <w:p w14:paraId="50AE5A39">
                  <w:pPr>
                    <w:snapToGrid w:val="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空调通风系统</w:t>
                  </w:r>
                </w:p>
              </w:tc>
              <w:tc>
                <w:tcPr>
                  <w:tcW w:w="4645" w:type="dxa"/>
                  <w:noWrap w:val="0"/>
                  <w:vAlign w:val="center"/>
                </w:tcPr>
                <w:p w14:paraId="6C7E5C8E">
                  <w:pPr>
                    <w:snapToGrid w:val="0"/>
                    <w:jc w:val="left"/>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完成图纸全部施工内容</w:t>
                  </w:r>
                </w:p>
              </w:tc>
              <w:tc>
                <w:tcPr>
                  <w:tcW w:w="1700" w:type="dxa"/>
                  <w:noWrap w:val="0"/>
                  <w:vAlign w:val="center"/>
                </w:tcPr>
                <w:p w14:paraId="1EA35381">
                  <w:pPr>
                    <w:snapToGrid w:val="0"/>
                    <w:jc w:val="left"/>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装修区域配合风口等的定位、提供风口百叶</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开孔</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收口及检修口配合。</w:t>
                  </w:r>
                </w:p>
              </w:tc>
              <w:tc>
                <w:tcPr>
                  <w:tcW w:w="1831" w:type="dxa"/>
                  <w:noWrap w:val="0"/>
                  <w:vAlign w:val="center"/>
                </w:tcPr>
                <w:p w14:paraId="44F308F1">
                  <w:pPr>
                    <w:snapToGrid w:val="0"/>
                    <w:jc w:val="left"/>
                    <w:rPr>
                      <w:rFonts w:hint="eastAsia" w:ascii="宋体" w:hAnsi="宋体" w:cs="宋体"/>
                      <w:color w:val="000000"/>
                      <w:szCs w:val="21"/>
                      <w:highlight w:val="none"/>
                    </w:rPr>
                  </w:pPr>
                </w:p>
              </w:tc>
            </w:tr>
          </w:tbl>
          <w:p w14:paraId="1839F520">
            <w:pPr>
              <w:widowControl/>
              <w:jc w:val="left"/>
              <w:rPr>
                <w:rFonts w:hint="eastAsia" w:ascii="宋体" w:hAnsi="宋体" w:cs="宋体"/>
                <w:color w:val="000000"/>
                <w:kern w:val="0"/>
                <w:sz w:val="22"/>
                <w:szCs w:val="22"/>
              </w:rPr>
            </w:pPr>
          </w:p>
        </w:tc>
      </w:tr>
    </w:tbl>
    <w:p w14:paraId="3221D70F">
      <w:pPr>
        <w:keepNext/>
        <w:keepLines/>
        <w:snapToGrid w:val="0"/>
        <w:spacing w:before="96" w:beforeLines="40" w:after="72" w:afterLines="30"/>
        <w:ind w:left="0" w:leftChars="0" w:firstLineChars="0"/>
        <w:outlineLvl w:val="9"/>
        <w:rPr>
          <w:rFonts w:hint="eastAsia" w:eastAsia="宋体"/>
          <w:lang w:eastAsia="zh-CN"/>
        </w:rPr>
      </w:pPr>
      <w:r>
        <w:rPr>
          <w:rFonts w:hint="eastAsia"/>
          <w:lang w:eastAsia="zh-CN"/>
        </w:rPr>
        <w:t>（</w:t>
      </w:r>
      <w:r>
        <w:rPr>
          <w:rFonts w:hint="eastAsia"/>
          <w:lang w:val="en-US" w:eastAsia="zh-CN"/>
        </w:rPr>
        <w:t>说明:最终实际施工范围以装修图纸为准</w:t>
      </w:r>
      <w:r>
        <w:rPr>
          <w:rFonts w:hint="eastAsia"/>
          <w:lang w:eastAsia="zh-CN"/>
        </w:rPr>
        <w:t>）</w:t>
      </w:r>
    </w:p>
    <w:p w14:paraId="62731D34">
      <w:pPr>
        <w:widowControl/>
        <w:jc w:val="left"/>
        <w:rPr>
          <w:rFonts w:hint="eastAsia" w:asciiTheme="minorEastAsia" w:hAnsiTheme="minorEastAsia" w:eastAsiaTheme="minorEastAsia" w:cstheme="minorEastAsia"/>
          <w:b/>
          <w:bCs/>
          <w:kern w:val="44"/>
          <w:sz w:val="30"/>
          <w:szCs w:val="30"/>
        </w:rPr>
      </w:pPr>
      <w:r>
        <w:rPr>
          <w:rFonts w:hint="eastAsia" w:asciiTheme="minorEastAsia" w:hAnsiTheme="minorEastAsia" w:eastAsiaTheme="minorEastAsia" w:cstheme="minorEastAsia"/>
          <w:b/>
          <w:bCs/>
          <w:kern w:val="44"/>
          <w:sz w:val="30"/>
          <w:szCs w:val="30"/>
        </w:rPr>
        <w:br w:type="page"/>
      </w:r>
    </w:p>
    <w:p w14:paraId="6BFF8D6C">
      <w:pPr>
        <w:pStyle w:val="18"/>
        <w:keepNext/>
        <w:keepLines/>
        <w:tabs>
          <w:tab w:val="left" w:pos="420"/>
          <w:tab w:val="left" w:pos="720"/>
          <w:tab w:val="left" w:pos="900"/>
        </w:tabs>
        <w:snapToGrid w:val="0"/>
        <w:spacing w:before="96" w:beforeLines="40" w:after="72" w:afterLines="30" w:line="360" w:lineRule="auto"/>
        <w:ind w:left="0" w:leftChars="0" w:firstLine="602" w:firstLineChars="200"/>
        <w:outlineLvl w:val="1"/>
        <w:rPr>
          <w:rFonts w:hint="eastAsia" w:asciiTheme="minorEastAsia" w:hAnsiTheme="minorEastAsia" w:eastAsiaTheme="minorEastAsia" w:cstheme="minorEastAsia"/>
          <w:b/>
          <w:bCs/>
          <w:kern w:val="44"/>
          <w:sz w:val="30"/>
          <w:szCs w:val="30"/>
        </w:rPr>
      </w:pPr>
      <w:bookmarkStart w:id="981" w:name="_Toc200394252"/>
      <w:bookmarkStart w:id="982" w:name="_Toc29327"/>
      <w:r>
        <w:rPr>
          <w:rFonts w:hint="eastAsia" w:asciiTheme="minorEastAsia" w:hAnsiTheme="minorEastAsia" w:eastAsiaTheme="minorEastAsia" w:cstheme="minorEastAsia"/>
          <w:b/>
          <w:bCs/>
          <w:kern w:val="44"/>
          <w:sz w:val="30"/>
          <w:szCs w:val="30"/>
        </w:rPr>
        <w:t>附件2 材料设备品牌参考表</w:t>
      </w:r>
      <w:bookmarkEnd w:id="981"/>
      <w:bookmarkEnd w:id="982"/>
    </w:p>
    <w:p w14:paraId="7DC7A45E">
      <w:pPr>
        <w:pStyle w:val="18"/>
        <w:keepNext/>
        <w:keepLines/>
        <w:tabs>
          <w:tab w:val="left" w:pos="420"/>
          <w:tab w:val="left" w:pos="720"/>
          <w:tab w:val="left" w:pos="900"/>
        </w:tabs>
        <w:snapToGrid w:val="0"/>
        <w:spacing w:before="96" w:beforeLines="40" w:after="72" w:afterLines="30" w:line="360" w:lineRule="auto"/>
        <w:ind w:left="0" w:leftChars="0" w:firstLine="602" w:firstLineChars="200"/>
        <w:outlineLvl w:val="9"/>
        <w:rPr>
          <w:rFonts w:hint="eastAsia" w:asciiTheme="minorEastAsia" w:hAnsiTheme="minorEastAsia" w:eastAsiaTheme="minorEastAsia" w:cstheme="minorEastAsia"/>
          <w:b/>
          <w:bCs/>
          <w:kern w:val="44"/>
          <w:sz w:val="30"/>
          <w:szCs w:val="30"/>
          <w:lang w:eastAsia="zh-CN"/>
        </w:rPr>
      </w:pPr>
      <w:r>
        <w:rPr>
          <w:rFonts w:hint="eastAsia" w:asciiTheme="minorEastAsia" w:hAnsiTheme="minorEastAsia" w:eastAsiaTheme="minorEastAsia" w:cstheme="minorEastAsia"/>
          <w:b/>
          <w:bCs/>
          <w:kern w:val="44"/>
          <w:sz w:val="30"/>
          <w:szCs w:val="30"/>
          <w:lang w:eastAsia="zh-CN"/>
        </w:rPr>
        <w:t>（</w:t>
      </w:r>
      <w:r>
        <w:rPr>
          <w:rFonts w:hint="eastAsia" w:asciiTheme="minorEastAsia" w:hAnsiTheme="minorEastAsia" w:eastAsiaTheme="minorEastAsia" w:cstheme="minorEastAsia"/>
          <w:b/>
          <w:bCs/>
          <w:kern w:val="44"/>
          <w:sz w:val="30"/>
          <w:szCs w:val="30"/>
          <w:lang w:val="en-US" w:eastAsia="zh-CN"/>
        </w:rPr>
        <w:t>另册</w:t>
      </w:r>
      <w:r>
        <w:rPr>
          <w:rFonts w:hint="eastAsia" w:asciiTheme="minorEastAsia" w:hAnsiTheme="minorEastAsia" w:eastAsiaTheme="minorEastAsia" w:cstheme="minorEastAsia"/>
          <w:b/>
          <w:bCs/>
          <w:kern w:val="44"/>
          <w:sz w:val="30"/>
          <w:szCs w:val="30"/>
          <w:lang w:eastAsia="zh-CN"/>
        </w:rPr>
        <w:t>）</w:t>
      </w:r>
    </w:p>
    <w:p w14:paraId="122FB907">
      <w:pPr>
        <w:widowControl/>
        <w:jc w:val="left"/>
        <w:rPr>
          <w:rFonts w:hint="eastAsia" w:asciiTheme="minorEastAsia" w:hAnsiTheme="minorEastAsia" w:eastAsiaTheme="minorEastAsia" w:cstheme="minorEastAsia"/>
          <w:b/>
          <w:bCs/>
          <w:kern w:val="44"/>
          <w:sz w:val="30"/>
          <w:szCs w:val="30"/>
        </w:rPr>
      </w:pPr>
      <w:r>
        <w:rPr>
          <w:rFonts w:hint="eastAsia" w:asciiTheme="minorEastAsia" w:hAnsiTheme="minorEastAsia" w:eastAsiaTheme="minorEastAsia" w:cstheme="minorEastAsia"/>
          <w:b/>
          <w:bCs/>
          <w:kern w:val="44"/>
          <w:sz w:val="30"/>
          <w:szCs w:val="30"/>
        </w:rPr>
        <w:br w:type="page"/>
      </w:r>
    </w:p>
    <w:p w14:paraId="36CFD690">
      <w:pPr>
        <w:pStyle w:val="18"/>
        <w:keepNext/>
        <w:keepLines/>
        <w:widowControl/>
        <w:tabs>
          <w:tab w:val="left" w:pos="420"/>
          <w:tab w:val="left" w:pos="720"/>
          <w:tab w:val="left" w:pos="900"/>
        </w:tabs>
        <w:snapToGrid w:val="0"/>
        <w:spacing w:before="96" w:beforeLines="40" w:after="72" w:afterLines="30" w:line="360" w:lineRule="auto"/>
        <w:ind w:left="0" w:leftChars="0" w:firstLine="602" w:firstLineChars="200"/>
        <w:outlineLvl w:val="1"/>
        <w:rPr>
          <w:rFonts w:hint="eastAsia" w:asciiTheme="minorEastAsia" w:hAnsiTheme="minorEastAsia" w:eastAsiaTheme="minorEastAsia" w:cstheme="minorEastAsia"/>
          <w:kern w:val="44"/>
          <w:sz w:val="30"/>
          <w:szCs w:val="30"/>
        </w:rPr>
      </w:pPr>
      <w:bookmarkStart w:id="983" w:name="_Toc18996"/>
      <w:bookmarkStart w:id="984" w:name="_Toc200394253"/>
      <w:r>
        <w:rPr>
          <w:rFonts w:hint="eastAsia" w:asciiTheme="minorEastAsia" w:hAnsiTheme="minorEastAsia" w:eastAsiaTheme="minorEastAsia" w:cstheme="minorEastAsia"/>
          <w:b/>
          <w:bCs/>
          <w:kern w:val="44"/>
          <w:sz w:val="30"/>
          <w:szCs w:val="30"/>
        </w:rPr>
        <w:t>附件3 工程质量保修书</w:t>
      </w:r>
      <w:bookmarkEnd w:id="983"/>
      <w:bookmarkEnd w:id="984"/>
    </w:p>
    <w:p w14:paraId="5E67197E">
      <w:pPr>
        <w:spacing w:line="360" w:lineRule="auto"/>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bidi="ar"/>
        </w:rPr>
        <w:t>质量保修书</w:t>
      </w:r>
    </w:p>
    <w:p w14:paraId="3449E60B">
      <w:pPr>
        <w:spacing w:line="360" w:lineRule="auto"/>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承包人（全称）：【                       】（以下简称甲方）</w:t>
      </w:r>
    </w:p>
    <w:p w14:paraId="120B03B9">
      <w:pPr>
        <w:spacing w:line="360" w:lineRule="auto"/>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分包人（全称）：【                       】（以下简称乙方）</w:t>
      </w:r>
    </w:p>
    <w:p w14:paraId="4B9A8D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承包人和分包人根据《中华人民共和国建筑法》和《建设工程质量管理条例》，经协商一致就 琶</w:t>
      </w:r>
      <w:r>
        <w:rPr>
          <w:rFonts w:hint="eastAsia" w:ascii="宋体" w:hAnsi="宋体"/>
          <w:kern w:val="0"/>
          <w:sz w:val="24"/>
        </w:rPr>
        <w:t>洲</w:t>
      </w:r>
      <w:r>
        <w:rPr>
          <w:rFonts w:hint="eastAsia" w:ascii="宋体" w:hAnsi="宋体" w:eastAsia="宋体" w:cs="Times New Roman"/>
          <w:kern w:val="0"/>
          <w:sz w:val="24"/>
          <w:szCs w:val="24"/>
          <w:u w:val="none"/>
        </w:rPr>
        <w:t>南区AH090633地块项目</w:t>
      </w:r>
      <w:r>
        <w:rPr>
          <w:rFonts w:hint="eastAsia" w:ascii="宋体" w:hAnsi="宋体"/>
          <w:kern w:val="0"/>
          <w:sz w:val="24"/>
        </w:rPr>
        <w:t>精装修专业承包工程</w:t>
      </w:r>
      <w:r>
        <w:rPr>
          <w:rFonts w:hint="eastAsia" w:asciiTheme="minorEastAsia" w:hAnsiTheme="minorEastAsia" w:eastAsiaTheme="minorEastAsia" w:cstheme="minorEastAsia"/>
          <w:sz w:val="24"/>
          <w:lang w:bidi="ar"/>
        </w:rPr>
        <w:t>质量保修书。</w:t>
      </w:r>
    </w:p>
    <w:p w14:paraId="034190A9">
      <w:pPr>
        <w:spacing w:before="221" w:line="360" w:lineRule="auto"/>
        <w:ind w:left="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lang w:bidi="ar"/>
        </w:rPr>
        <w:t>一、工程质量保修范围和内容</w:t>
      </w:r>
    </w:p>
    <w:p w14:paraId="0557656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承包人在质量保修期内，按照有关法律规定和合同约定，承担工程质量保修责任。</w:t>
      </w:r>
    </w:p>
    <w:p w14:paraId="04DA219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F47BAB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lang w:bidi="ar"/>
        </w:rPr>
        <w:t>琶</w:t>
      </w:r>
      <w:r>
        <w:rPr>
          <w:rFonts w:hint="eastAsia" w:ascii="宋体" w:hAnsi="宋体"/>
          <w:kern w:val="0"/>
          <w:sz w:val="24"/>
        </w:rPr>
        <w:t>洲</w:t>
      </w:r>
      <w:r>
        <w:rPr>
          <w:rFonts w:hint="eastAsia" w:ascii="宋体" w:hAnsi="宋体" w:eastAsia="宋体" w:cs="Times New Roman"/>
          <w:kern w:val="0"/>
          <w:sz w:val="24"/>
          <w:szCs w:val="24"/>
          <w:u w:val="none"/>
        </w:rPr>
        <w:t>南区AH090633地块项目</w:t>
      </w:r>
      <w:r>
        <w:rPr>
          <w:rFonts w:hint="eastAsia" w:ascii="宋体" w:hAnsi="宋体"/>
          <w:kern w:val="0"/>
          <w:sz w:val="24"/>
        </w:rPr>
        <w:t>精装修专业承包工程</w:t>
      </w:r>
      <w:r>
        <w:rPr>
          <w:rFonts w:hint="eastAsia" w:asciiTheme="minorEastAsia" w:hAnsiTheme="minorEastAsia" w:eastAsiaTheme="minorEastAsia" w:cstheme="minorEastAsia"/>
          <w:sz w:val="24"/>
          <w:u w:val="single"/>
          <w:lang w:bidi="ar"/>
        </w:rPr>
        <w:t>合同约定属于分包人承包范围的所有工程内容</w:t>
      </w:r>
      <w:r>
        <w:rPr>
          <w:rFonts w:hint="eastAsia" w:asciiTheme="minorEastAsia" w:hAnsiTheme="minorEastAsia" w:eastAsiaTheme="minorEastAsia" w:cstheme="minorEastAsia"/>
          <w:sz w:val="24"/>
          <w:lang w:bidi="ar"/>
        </w:rPr>
        <w:t>。</w:t>
      </w:r>
    </w:p>
    <w:p w14:paraId="3DD4099B">
      <w:pPr>
        <w:spacing w:before="221" w:line="360" w:lineRule="auto"/>
        <w:ind w:left="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2"/>
          <w:sz w:val="24"/>
          <w:lang w:bidi="ar"/>
        </w:rPr>
        <w:t>二、质量保修期</w:t>
      </w:r>
    </w:p>
    <w:p w14:paraId="0A81588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根据《建设工程质量管理条例》及有关规定，工程的质量保修期如下：</w:t>
      </w:r>
    </w:p>
    <w:p w14:paraId="1F2ED98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1.地基基础工程和主体结构工程为设计文件规定的工程合理使用年限；</w:t>
      </w:r>
    </w:p>
    <w:p w14:paraId="635B4A9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2.屋面防水工程、有防水要求的卫生间、房间和外墙面的防渗为</w:t>
      </w:r>
      <w:r>
        <w:rPr>
          <w:rFonts w:hint="eastAsia" w:asciiTheme="minorEastAsia" w:hAnsiTheme="minorEastAsia" w:eastAsiaTheme="minorEastAsia" w:cstheme="minorEastAsia"/>
          <w:sz w:val="24"/>
          <w:u w:val="single"/>
          <w:lang w:bidi="ar"/>
        </w:rPr>
        <w:t>五</w:t>
      </w:r>
      <w:r>
        <w:rPr>
          <w:rFonts w:hint="eastAsia" w:asciiTheme="minorEastAsia" w:hAnsiTheme="minorEastAsia" w:eastAsiaTheme="minorEastAsia" w:cstheme="minorEastAsia"/>
          <w:sz w:val="24"/>
          <w:lang w:bidi="ar"/>
        </w:rPr>
        <w:t>年；</w:t>
      </w:r>
    </w:p>
    <w:p w14:paraId="404927B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3.装修工程为</w:t>
      </w:r>
      <w:r>
        <w:rPr>
          <w:rFonts w:hint="eastAsia" w:asciiTheme="minorEastAsia" w:hAnsiTheme="minorEastAsia" w:eastAsiaTheme="minorEastAsia" w:cstheme="minorEastAsia"/>
          <w:sz w:val="24"/>
          <w:u w:val="single"/>
          <w:lang w:bidi="ar"/>
        </w:rPr>
        <w:t>二</w:t>
      </w:r>
      <w:r>
        <w:rPr>
          <w:rFonts w:hint="eastAsia" w:asciiTheme="minorEastAsia" w:hAnsiTheme="minorEastAsia" w:eastAsiaTheme="minorEastAsia" w:cstheme="minorEastAsia"/>
          <w:sz w:val="24"/>
          <w:lang w:bidi="ar"/>
        </w:rPr>
        <w:t>年；</w:t>
      </w:r>
    </w:p>
    <w:p w14:paraId="5185A5C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4.电气管线、给排水管道、设备安装工程为</w:t>
      </w:r>
      <w:r>
        <w:rPr>
          <w:rFonts w:hint="eastAsia" w:asciiTheme="minorEastAsia" w:hAnsiTheme="minorEastAsia" w:eastAsiaTheme="minorEastAsia" w:cstheme="minorEastAsia"/>
          <w:sz w:val="24"/>
          <w:u w:val="single"/>
          <w:lang w:bidi="ar"/>
        </w:rPr>
        <w:t xml:space="preserve"> 二 </w:t>
      </w:r>
      <w:r>
        <w:rPr>
          <w:rFonts w:hint="eastAsia" w:asciiTheme="minorEastAsia" w:hAnsiTheme="minorEastAsia" w:eastAsiaTheme="minorEastAsia" w:cstheme="minorEastAsia"/>
          <w:sz w:val="24"/>
          <w:lang w:bidi="ar"/>
        </w:rPr>
        <w:t>年；</w:t>
      </w:r>
    </w:p>
    <w:p w14:paraId="0F354DF0">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5.供热与供冷系统为</w:t>
      </w:r>
      <w:r>
        <w:rPr>
          <w:rFonts w:hint="eastAsia" w:asciiTheme="minorEastAsia" w:hAnsiTheme="minorEastAsia" w:eastAsiaTheme="minorEastAsia" w:cstheme="minorEastAsia"/>
          <w:sz w:val="24"/>
          <w:u w:val="single"/>
          <w:lang w:bidi="ar"/>
        </w:rPr>
        <w:t>二</w:t>
      </w:r>
      <w:r>
        <w:rPr>
          <w:rFonts w:hint="eastAsia" w:asciiTheme="minorEastAsia" w:hAnsiTheme="minorEastAsia" w:eastAsiaTheme="minorEastAsia" w:cstheme="minorEastAsia"/>
          <w:sz w:val="24"/>
          <w:lang w:bidi="ar"/>
        </w:rPr>
        <w:t>个采暖期、供冷期；</w:t>
      </w:r>
    </w:p>
    <w:p w14:paraId="0AFB9BB9">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6.住宅小区内的给排水设施 、道路等配套工程为</w:t>
      </w:r>
      <w:r>
        <w:rPr>
          <w:rFonts w:hint="eastAsia" w:asciiTheme="minorEastAsia" w:hAnsiTheme="minorEastAsia" w:eastAsiaTheme="minorEastAsia" w:cstheme="minorEastAsia"/>
          <w:sz w:val="24"/>
          <w:u w:val="single"/>
          <w:lang w:bidi="ar"/>
        </w:rPr>
        <w:t xml:space="preserve"> 二</w:t>
      </w:r>
      <w:r>
        <w:rPr>
          <w:rFonts w:hint="eastAsia" w:asciiTheme="minorEastAsia" w:hAnsiTheme="minorEastAsia" w:eastAsiaTheme="minorEastAsia" w:cstheme="minorEastAsia"/>
          <w:sz w:val="24"/>
          <w:lang w:bidi="ar"/>
        </w:rPr>
        <w:t>年；</w:t>
      </w:r>
    </w:p>
    <w:p w14:paraId="7191D02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7.其他项目保修期限约定如下：</w:t>
      </w:r>
      <w:r>
        <w:rPr>
          <w:rFonts w:hint="eastAsia" w:asciiTheme="minorEastAsia" w:hAnsiTheme="minorEastAsia" w:eastAsiaTheme="minorEastAsia" w:cstheme="minorEastAsia"/>
          <w:sz w:val="24"/>
          <w:u w:val="single"/>
          <w:lang w:bidi="ar"/>
        </w:rPr>
        <w:t xml:space="preserve"> 二 </w:t>
      </w:r>
      <w:r>
        <w:rPr>
          <w:rFonts w:hint="eastAsia" w:asciiTheme="minorEastAsia" w:hAnsiTheme="minorEastAsia" w:eastAsiaTheme="minorEastAsia" w:cstheme="minorEastAsia"/>
          <w:sz w:val="24"/>
          <w:lang w:bidi="ar"/>
        </w:rPr>
        <w:t>年。</w:t>
      </w:r>
    </w:p>
    <w:p w14:paraId="01EAB6F2">
      <w:pPr>
        <w:spacing w:line="360" w:lineRule="auto"/>
        <w:ind w:firstLine="48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24"/>
          <w:lang w:bidi="ar"/>
        </w:rPr>
        <w:t>质量保修期自工程竣工验收合格之日起计算</w:t>
      </w:r>
      <w:r>
        <w:rPr>
          <w:rFonts w:hint="eastAsia" w:asciiTheme="minorEastAsia" w:hAnsiTheme="minorEastAsia" w:eastAsiaTheme="minorEastAsia" w:cstheme="minorEastAsia"/>
          <w:spacing w:val="-2"/>
          <w:sz w:val="30"/>
          <w:szCs w:val="30"/>
          <w:lang w:bidi="ar"/>
        </w:rPr>
        <w:t>。</w:t>
      </w:r>
    </w:p>
    <w:p w14:paraId="24790881">
      <w:pPr>
        <w:spacing w:before="225" w:line="360" w:lineRule="auto"/>
        <w:ind w:left="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2"/>
          <w:sz w:val="24"/>
          <w:lang w:bidi="ar"/>
        </w:rPr>
        <w:t>三、缺陷责任期</w:t>
      </w:r>
    </w:p>
    <w:p w14:paraId="5248053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工程缺陷责任期为</w:t>
      </w:r>
      <w:r>
        <w:rPr>
          <w:rFonts w:hint="eastAsia" w:asciiTheme="minorEastAsia" w:hAnsiTheme="minorEastAsia" w:eastAsiaTheme="minorEastAsia" w:cstheme="minorEastAsia"/>
          <w:sz w:val="24"/>
          <w:u w:val="single"/>
          <w:lang w:bidi="ar"/>
        </w:rPr>
        <w:t xml:space="preserve"> 24 </w:t>
      </w:r>
      <w:r>
        <w:rPr>
          <w:rFonts w:hint="eastAsia" w:asciiTheme="minorEastAsia" w:hAnsiTheme="minorEastAsia" w:eastAsiaTheme="minorEastAsia" w:cstheme="minorEastAsia"/>
          <w:sz w:val="24"/>
          <w:lang w:bidi="ar"/>
        </w:rPr>
        <w:t>个月，缺陷责任期自工程通过竣工验收之日起计算。单位工程先于全部工程进行验收，单位工程缺陷责任期自单位工程验收合格之日起算。</w:t>
      </w:r>
    </w:p>
    <w:p w14:paraId="2FFE1E3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缺陷责任期终止后，建设单位应无息退还剩余的质量保证金。承包人提交与质量保证金等额的保函（保险）的，缺陷责任期终止后退回。</w:t>
      </w:r>
    </w:p>
    <w:p w14:paraId="42D95BF9">
      <w:pPr>
        <w:spacing w:before="224" w:line="360" w:lineRule="auto"/>
        <w:ind w:left="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2"/>
          <w:sz w:val="24"/>
          <w:lang w:bidi="ar"/>
        </w:rPr>
        <w:t>四、质量保修责任</w:t>
      </w:r>
    </w:p>
    <w:p w14:paraId="27AA4A4E">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1.属于保修范围、内容的项目，承包人应当在接到保修通知之日起</w:t>
      </w:r>
      <w:r>
        <w:rPr>
          <w:rFonts w:hint="eastAsia" w:asciiTheme="minorEastAsia" w:hAnsiTheme="minorEastAsia" w:eastAsiaTheme="minorEastAsia" w:cstheme="minorEastAsia"/>
          <w:sz w:val="24"/>
          <w:u w:val="single"/>
          <w:lang w:bidi="ar"/>
        </w:rPr>
        <w:t xml:space="preserve"> 7 </w:t>
      </w:r>
      <w:r>
        <w:rPr>
          <w:rFonts w:hint="eastAsia" w:asciiTheme="minorEastAsia" w:hAnsiTheme="minorEastAsia" w:eastAsiaTheme="minorEastAsia" w:cstheme="minorEastAsia"/>
          <w:sz w:val="24"/>
          <w:lang w:bidi="ar"/>
        </w:rPr>
        <w:t>天内派人保修。承包人不在约定期限内派人保修的，发包人可以委托他人修理。</w:t>
      </w:r>
    </w:p>
    <w:p w14:paraId="4AF16CE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2.发生紧急事故需抢修的，承包人在接到事故通知后，应当立即到达事故现场抢修。</w:t>
      </w:r>
    </w:p>
    <w:p w14:paraId="2AEC8ABA">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3.对于涉及结构安全的质量问题，应当按照《建设工程质量管理条例》的规定，立即向当地建设行政主管部门和有关部门报告， 采取安全防范措施，并由原设计人或者具有相应资质等级的设计人提出保修方案，承包人实施保修。</w:t>
      </w:r>
    </w:p>
    <w:p w14:paraId="4F92D81D">
      <w:pPr>
        <w:spacing w:line="360" w:lineRule="auto"/>
        <w:ind w:firstLine="48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24"/>
          <w:lang w:bidi="ar"/>
        </w:rPr>
        <w:t>4.质量保修完成后，由发包人组织验收。</w:t>
      </w:r>
    </w:p>
    <w:p w14:paraId="4F79A282">
      <w:pPr>
        <w:spacing w:line="360" w:lineRule="auto"/>
        <w:ind w:firstLine="47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2"/>
          <w:sz w:val="24"/>
          <w:lang w:bidi="ar"/>
        </w:rPr>
        <w:t>五、保修费用</w:t>
      </w:r>
    </w:p>
    <w:p w14:paraId="085C2421">
      <w:pPr>
        <w:spacing w:line="360" w:lineRule="auto"/>
        <w:ind w:firstLine="480" w:firstLineChars="200"/>
        <w:rPr>
          <w:rFonts w:hint="eastAsia" w:asciiTheme="minorEastAsia" w:hAnsiTheme="minorEastAsia" w:eastAsiaTheme="minorEastAsia" w:cstheme="minorEastAsia"/>
          <w:spacing w:val="-2"/>
          <w:sz w:val="30"/>
          <w:szCs w:val="30"/>
        </w:rPr>
      </w:pPr>
      <w:r>
        <w:rPr>
          <w:rFonts w:hint="eastAsia" w:asciiTheme="minorEastAsia" w:hAnsiTheme="minorEastAsia" w:eastAsiaTheme="minorEastAsia" w:cstheme="minorEastAsia"/>
          <w:sz w:val="24"/>
          <w:lang w:bidi="ar"/>
        </w:rPr>
        <w:t>保修费用由造成质量缺陷的责任方承担。</w:t>
      </w:r>
    </w:p>
    <w:p w14:paraId="51E2C3BA">
      <w:pPr>
        <w:spacing w:line="360" w:lineRule="auto"/>
        <w:ind w:firstLine="47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pacing w:val="-2"/>
          <w:sz w:val="24"/>
          <w:lang w:bidi="ar"/>
        </w:rPr>
        <w:t>六、双方约定的其他工程质量保修事项：</w:t>
      </w:r>
      <w:r>
        <w:rPr>
          <w:rFonts w:hint="eastAsia" w:asciiTheme="minorEastAsia" w:hAnsiTheme="minorEastAsia" w:eastAsiaTheme="minorEastAsia" w:cstheme="minorEastAsia"/>
          <w:spacing w:val="-2"/>
          <w:sz w:val="24"/>
          <w:u w:val="single"/>
          <w:lang w:bidi="ar"/>
        </w:rPr>
        <w:t xml:space="preserve">  /  </w:t>
      </w:r>
      <w:r>
        <w:rPr>
          <w:rFonts w:hint="eastAsia" w:asciiTheme="minorEastAsia" w:hAnsiTheme="minorEastAsia" w:eastAsiaTheme="minorEastAsia" w:cstheme="minorEastAsia"/>
          <w:spacing w:val="-2"/>
          <w:sz w:val="24"/>
          <w:lang w:bidi="ar"/>
        </w:rPr>
        <w:t>。</w:t>
      </w:r>
    </w:p>
    <w:p w14:paraId="037BAA30">
      <w:pPr>
        <w:adjustRightInd w:val="0"/>
        <w:spacing w:line="360" w:lineRule="auto"/>
        <w:ind w:left="0" w:leftChars="0" w:right="0" w:rightChars="0" w:firstLine="480" w:firstLineChars="200"/>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工程质量保修书由承包人、分包人在工程竣工验收前共同签署，作为施工合同附件，其有效期限至保修期满。 </w:t>
      </w:r>
    </w:p>
    <w:p w14:paraId="3A3CB154">
      <w:pPr>
        <w:pStyle w:val="29"/>
        <w:widowControl w:val="0"/>
        <w:adjustRightInd w:val="0"/>
        <w:spacing w:before="0" w:after="60" w:afterAutospacing="0" w:line="360" w:lineRule="auto"/>
        <w:ind w:left="0" w:leftChars="0" w:right="0" w:rightChars="0"/>
        <w:jc w:val="both"/>
        <w:textAlignment w:val="baseline"/>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lang w:bidi="ar"/>
        </w:rPr>
        <w:t xml:space="preserve"> </w:t>
      </w:r>
    </w:p>
    <w:p w14:paraId="456BBEB4">
      <w:pPr>
        <w:spacing w:before="97" w:line="360" w:lineRule="auto"/>
        <w:ind w:right="0" w:firstLine="11"/>
        <w:rPr>
          <w:rFonts w:hint="eastAsia" w:asciiTheme="minorEastAsia" w:hAnsiTheme="minorEastAsia" w:eastAsiaTheme="minorEastAsia" w:cstheme="minorEastAsia"/>
          <w:spacing w:val="-3"/>
          <w:sz w:val="24"/>
        </w:rPr>
      </w:pPr>
      <w:r>
        <w:rPr>
          <w:rFonts w:hint="eastAsia" w:asciiTheme="minorEastAsia" w:hAnsiTheme="minorEastAsia" w:eastAsiaTheme="minorEastAsia" w:cstheme="minorEastAsia"/>
          <w:spacing w:val="-2"/>
          <w:sz w:val="24"/>
          <w:lang w:bidi="ar"/>
        </w:rPr>
        <w:t>承包人(公章)：</w:t>
      </w:r>
      <w:r>
        <w:rPr>
          <w:rFonts w:hint="eastAsia" w:asciiTheme="minorEastAsia" w:hAnsiTheme="minorEastAsia" w:eastAsiaTheme="minorEastAsia" w:cstheme="minorEastAsia"/>
          <w:spacing w:val="5"/>
          <w:sz w:val="24"/>
          <w:u w:val="single"/>
          <w:lang w:bidi="ar"/>
        </w:rPr>
        <w:t xml:space="preserve">             </w:t>
      </w:r>
      <w:r>
        <w:rPr>
          <w:rFonts w:hint="eastAsia" w:asciiTheme="minorEastAsia" w:hAnsiTheme="minorEastAsia" w:eastAsiaTheme="minorEastAsia" w:cstheme="minorEastAsia"/>
          <w:spacing w:val="-2"/>
          <w:sz w:val="24"/>
          <w:lang w:bidi="ar"/>
        </w:rPr>
        <w:t xml:space="preserve">          分包人(公章)：</w:t>
      </w:r>
      <w:r>
        <w:rPr>
          <w:rFonts w:hint="eastAsia" w:asciiTheme="minorEastAsia" w:hAnsiTheme="minorEastAsia" w:eastAsiaTheme="minorEastAsia" w:cstheme="minorEastAsia"/>
          <w:spacing w:val="-2"/>
          <w:sz w:val="24"/>
          <w:u w:val="single"/>
          <w:lang w:bidi="ar"/>
        </w:rPr>
        <w:t xml:space="preserve">            </w:t>
      </w:r>
      <w:r>
        <w:rPr>
          <w:rFonts w:hint="eastAsia" w:asciiTheme="minorEastAsia" w:hAnsiTheme="minorEastAsia" w:eastAsiaTheme="minorEastAsia" w:cstheme="minorEastAsia"/>
          <w:spacing w:val="-3"/>
          <w:sz w:val="24"/>
          <w:u w:val="single"/>
          <w:lang w:bidi="ar"/>
        </w:rPr>
        <w:t xml:space="preserve">   </w:t>
      </w:r>
      <w:r>
        <w:rPr>
          <w:rFonts w:hint="eastAsia" w:asciiTheme="minorEastAsia" w:hAnsiTheme="minorEastAsia" w:eastAsiaTheme="minorEastAsia" w:cstheme="minorEastAsia"/>
          <w:spacing w:val="-3"/>
          <w:sz w:val="24"/>
          <w:lang w:bidi="ar"/>
        </w:rPr>
        <w:t xml:space="preserve">  </w:t>
      </w:r>
    </w:p>
    <w:p w14:paraId="517FDB67">
      <w:pPr>
        <w:spacing w:before="97" w:line="360" w:lineRule="auto"/>
        <w:ind w:right="0" w:firstLine="11"/>
        <w:rPr>
          <w:rFonts w:hint="eastAsia" w:asciiTheme="minorEastAsia" w:hAnsiTheme="minorEastAsia" w:eastAsiaTheme="minorEastAsia" w:cstheme="minorEastAsia"/>
          <w:spacing w:val="4"/>
          <w:sz w:val="24"/>
        </w:rPr>
      </w:pPr>
      <w:r>
        <w:rPr>
          <w:rFonts w:hint="eastAsia" w:asciiTheme="minorEastAsia" w:hAnsiTheme="minorEastAsia" w:eastAsiaTheme="minorEastAsia" w:cstheme="minorEastAsia"/>
          <w:spacing w:val="-8"/>
          <w:sz w:val="24"/>
          <w:lang w:bidi="ar"/>
        </w:rPr>
        <w:t>地</w:t>
      </w:r>
      <w:r>
        <w:rPr>
          <w:rFonts w:hint="eastAsia" w:asciiTheme="minorEastAsia" w:hAnsiTheme="minorEastAsia" w:eastAsiaTheme="minorEastAsia" w:cstheme="minorEastAsia"/>
          <w:spacing w:val="12"/>
          <w:sz w:val="24"/>
          <w:lang w:bidi="ar"/>
        </w:rPr>
        <w:t xml:space="preserve">  </w:t>
      </w:r>
      <w:r>
        <w:rPr>
          <w:rFonts w:hint="eastAsia" w:asciiTheme="minorEastAsia" w:hAnsiTheme="minorEastAsia" w:eastAsiaTheme="minorEastAsia" w:cstheme="minorEastAsia"/>
          <w:spacing w:val="-8"/>
          <w:sz w:val="24"/>
          <w:lang w:bidi="ar"/>
        </w:rPr>
        <w:t>址：</w:t>
      </w:r>
      <w:r>
        <w:rPr>
          <w:rFonts w:hint="eastAsia" w:asciiTheme="minorEastAsia" w:hAnsiTheme="minorEastAsia" w:eastAsiaTheme="minorEastAsia" w:cstheme="minorEastAsia"/>
          <w:spacing w:val="-8"/>
          <w:sz w:val="24"/>
          <w:u w:val="single"/>
          <w:lang w:bidi="ar"/>
        </w:rPr>
        <w:t xml:space="preserve">                    </w:t>
      </w:r>
      <w:r>
        <w:rPr>
          <w:rFonts w:hint="eastAsia" w:asciiTheme="minorEastAsia" w:hAnsiTheme="minorEastAsia" w:eastAsiaTheme="minorEastAsia" w:cstheme="minorEastAsia"/>
          <w:spacing w:val="-9"/>
          <w:sz w:val="24"/>
          <w:lang w:bidi="ar"/>
        </w:rPr>
        <w:t xml:space="preserve">              地</w:t>
      </w:r>
      <w:r>
        <w:rPr>
          <w:rFonts w:hint="eastAsia" w:asciiTheme="minorEastAsia" w:hAnsiTheme="minorEastAsia" w:eastAsiaTheme="minorEastAsia" w:cstheme="minorEastAsia"/>
          <w:spacing w:val="13"/>
          <w:sz w:val="24"/>
          <w:lang w:bidi="ar"/>
        </w:rPr>
        <w:t xml:space="preserve">  </w:t>
      </w:r>
      <w:r>
        <w:rPr>
          <w:rFonts w:hint="eastAsia" w:asciiTheme="minorEastAsia" w:hAnsiTheme="minorEastAsia" w:eastAsiaTheme="minorEastAsia" w:cstheme="minorEastAsia"/>
          <w:spacing w:val="-9"/>
          <w:sz w:val="24"/>
          <w:lang w:bidi="ar"/>
        </w:rPr>
        <w:t>址：</w:t>
      </w:r>
      <w:r>
        <w:rPr>
          <w:rFonts w:hint="eastAsia" w:asciiTheme="minorEastAsia" w:hAnsiTheme="minorEastAsia" w:eastAsiaTheme="minorEastAsia" w:cstheme="minorEastAsia"/>
          <w:spacing w:val="3"/>
          <w:sz w:val="24"/>
          <w:u w:val="single"/>
          <w:lang w:bidi="ar"/>
        </w:rPr>
        <w:t xml:space="preserve">                    </w:t>
      </w:r>
      <w:r>
        <w:rPr>
          <w:rFonts w:hint="eastAsia" w:asciiTheme="minorEastAsia" w:hAnsiTheme="minorEastAsia" w:eastAsiaTheme="minorEastAsia" w:cstheme="minorEastAsia"/>
          <w:spacing w:val="4"/>
          <w:sz w:val="24"/>
          <w:lang w:bidi="ar"/>
        </w:rPr>
        <w:t xml:space="preserve">  </w:t>
      </w:r>
    </w:p>
    <w:p w14:paraId="3110DA5B">
      <w:pPr>
        <w:spacing w:before="97" w:line="360" w:lineRule="auto"/>
        <w:ind w:right="0" w:firstLine="1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法定代表人(签字)：</w:t>
      </w:r>
      <w:r>
        <w:rPr>
          <w:rFonts w:hint="eastAsia" w:asciiTheme="minorEastAsia" w:hAnsiTheme="minorEastAsia" w:eastAsiaTheme="minorEastAsia" w:cstheme="minorEastAsia"/>
          <w:sz w:val="24"/>
          <w:u w:val="single"/>
          <w:lang w:bidi="ar"/>
        </w:rPr>
        <w:t xml:space="preserve">          </w:t>
      </w:r>
      <w:r>
        <w:rPr>
          <w:rFonts w:hint="eastAsia" w:asciiTheme="minorEastAsia" w:hAnsiTheme="minorEastAsia" w:eastAsiaTheme="minorEastAsia" w:cstheme="minorEastAsia"/>
          <w:sz w:val="24"/>
          <w:lang w:bidi="ar"/>
        </w:rPr>
        <w:t xml:space="preserve">          法定代</w:t>
      </w:r>
      <w:r>
        <w:rPr>
          <w:rFonts w:hint="eastAsia" w:asciiTheme="minorEastAsia" w:hAnsiTheme="minorEastAsia" w:eastAsiaTheme="minorEastAsia" w:cstheme="minorEastAsia"/>
          <w:spacing w:val="-1"/>
          <w:sz w:val="24"/>
          <w:lang w:bidi="ar"/>
        </w:rPr>
        <w:t>表人(签字)：</w:t>
      </w:r>
      <w:r>
        <w:rPr>
          <w:rFonts w:hint="eastAsia" w:asciiTheme="minorEastAsia" w:hAnsiTheme="minorEastAsia" w:eastAsiaTheme="minorEastAsia" w:cstheme="minorEastAsia"/>
          <w:spacing w:val="-1"/>
          <w:sz w:val="24"/>
          <w:u w:val="single"/>
          <w:lang w:bidi="ar"/>
        </w:rPr>
        <w:t xml:space="preserve">           </w:t>
      </w:r>
      <w:r>
        <w:rPr>
          <w:rFonts w:hint="eastAsia" w:asciiTheme="minorEastAsia" w:hAnsiTheme="minorEastAsia" w:eastAsiaTheme="minorEastAsia" w:cstheme="minorEastAsia"/>
          <w:sz w:val="24"/>
          <w:lang w:bidi="ar"/>
        </w:rPr>
        <w:t xml:space="preserve">  </w:t>
      </w:r>
    </w:p>
    <w:p w14:paraId="6E95AA06">
      <w:pPr>
        <w:spacing w:before="97" w:line="360" w:lineRule="auto"/>
        <w:ind w:right="0" w:firstLine="1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委托代理人(签字)：</w:t>
      </w:r>
      <w:r>
        <w:rPr>
          <w:rFonts w:hint="eastAsia" w:asciiTheme="minorEastAsia" w:hAnsiTheme="minorEastAsia" w:eastAsiaTheme="minorEastAsia" w:cstheme="minorEastAsia"/>
          <w:sz w:val="24"/>
          <w:u w:val="single"/>
          <w:lang w:bidi="ar"/>
        </w:rPr>
        <w:t xml:space="preserve">          </w:t>
      </w:r>
      <w:r>
        <w:rPr>
          <w:rFonts w:hint="eastAsia" w:asciiTheme="minorEastAsia" w:hAnsiTheme="minorEastAsia" w:eastAsiaTheme="minorEastAsia" w:cstheme="minorEastAsia"/>
          <w:sz w:val="24"/>
          <w:lang w:bidi="ar"/>
        </w:rPr>
        <w:t xml:space="preserve">          委托代</w:t>
      </w:r>
      <w:r>
        <w:rPr>
          <w:rFonts w:hint="eastAsia" w:asciiTheme="minorEastAsia" w:hAnsiTheme="minorEastAsia" w:eastAsiaTheme="minorEastAsia" w:cstheme="minorEastAsia"/>
          <w:spacing w:val="-1"/>
          <w:sz w:val="24"/>
          <w:lang w:bidi="ar"/>
        </w:rPr>
        <w:t>理人(签字)：</w:t>
      </w:r>
      <w:r>
        <w:rPr>
          <w:rFonts w:hint="eastAsia" w:asciiTheme="minorEastAsia" w:hAnsiTheme="minorEastAsia" w:eastAsiaTheme="minorEastAsia" w:cstheme="minorEastAsia"/>
          <w:spacing w:val="-1"/>
          <w:sz w:val="24"/>
          <w:u w:val="single"/>
          <w:lang w:bidi="ar"/>
        </w:rPr>
        <w:t xml:space="preserve">           </w:t>
      </w:r>
      <w:r>
        <w:rPr>
          <w:rFonts w:hint="eastAsia" w:asciiTheme="minorEastAsia" w:hAnsiTheme="minorEastAsia" w:eastAsiaTheme="minorEastAsia" w:cstheme="minorEastAsia"/>
          <w:sz w:val="24"/>
          <w:lang w:bidi="ar"/>
        </w:rPr>
        <w:t xml:space="preserve">  </w:t>
      </w:r>
    </w:p>
    <w:p w14:paraId="7EA8A7A1">
      <w:pPr>
        <w:spacing w:before="97" w:line="360" w:lineRule="auto"/>
        <w:ind w:right="0" w:firstLine="11"/>
        <w:rPr>
          <w:rFonts w:hint="eastAsia"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10"/>
          <w:sz w:val="24"/>
          <w:lang w:bidi="ar"/>
        </w:rPr>
        <w:t>电</w:t>
      </w:r>
      <w:r>
        <w:rPr>
          <w:rFonts w:hint="eastAsia" w:asciiTheme="minorEastAsia" w:hAnsiTheme="minorEastAsia" w:eastAsiaTheme="minorEastAsia" w:cstheme="minorEastAsia"/>
          <w:spacing w:val="10"/>
          <w:sz w:val="24"/>
          <w:lang w:bidi="ar"/>
        </w:rPr>
        <w:t xml:space="preserve">  </w:t>
      </w:r>
      <w:r>
        <w:rPr>
          <w:rFonts w:hint="eastAsia" w:asciiTheme="minorEastAsia" w:hAnsiTheme="minorEastAsia" w:eastAsiaTheme="minorEastAsia" w:cstheme="minorEastAsia"/>
          <w:spacing w:val="-10"/>
          <w:sz w:val="24"/>
          <w:lang w:bidi="ar"/>
        </w:rPr>
        <w:t>话：</w:t>
      </w:r>
      <w:r>
        <w:rPr>
          <w:rFonts w:hint="eastAsia" w:asciiTheme="minorEastAsia" w:hAnsiTheme="minorEastAsia" w:eastAsiaTheme="minorEastAsia" w:cstheme="minorEastAsia"/>
          <w:spacing w:val="-10"/>
          <w:sz w:val="24"/>
          <w:u w:val="single"/>
          <w:lang w:bidi="ar"/>
        </w:rPr>
        <w:t xml:space="preserve">                    </w:t>
      </w:r>
      <w:r>
        <w:rPr>
          <w:rFonts w:hint="eastAsia" w:asciiTheme="minorEastAsia" w:hAnsiTheme="minorEastAsia" w:eastAsiaTheme="minorEastAsia" w:cstheme="minorEastAsia"/>
          <w:spacing w:val="51"/>
          <w:sz w:val="24"/>
          <w:lang w:bidi="ar"/>
        </w:rPr>
        <w:t xml:space="preserve">       </w:t>
      </w:r>
      <w:r>
        <w:rPr>
          <w:rFonts w:hint="eastAsia" w:asciiTheme="minorEastAsia" w:hAnsiTheme="minorEastAsia" w:eastAsiaTheme="minorEastAsia" w:cstheme="minorEastAsia"/>
          <w:spacing w:val="-10"/>
          <w:sz w:val="24"/>
          <w:lang w:bidi="ar"/>
        </w:rPr>
        <w:t>电</w:t>
      </w:r>
      <w:r>
        <w:rPr>
          <w:rFonts w:hint="eastAsia" w:asciiTheme="minorEastAsia" w:hAnsiTheme="minorEastAsia" w:eastAsiaTheme="minorEastAsia" w:cstheme="minorEastAsia"/>
          <w:spacing w:val="10"/>
          <w:sz w:val="24"/>
          <w:lang w:bidi="ar"/>
        </w:rPr>
        <w:t xml:space="preserve">  </w:t>
      </w:r>
      <w:r>
        <w:rPr>
          <w:rFonts w:hint="eastAsia" w:asciiTheme="minorEastAsia" w:hAnsiTheme="minorEastAsia" w:eastAsiaTheme="minorEastAsia" w:cstheme="minorEastAsia"/>
          <w:spacing w:val="-10"/>
          <w:sz w:val="24"/>
          <w:lang w:bidi="ar"/>
        </w:rPr>
        <w:t>话：</w:t>
      </w:r>
      <w:r>
        <w:rPr>
          <w:rFonts w:hint="eastAsia" w:asciiTheme="minorEastAsia" w:hAnsiTheme="minorEastAsia" w:eastAsiaTheme="minorEastAsia" w:cstheme="minorEastAsia"/>
          <w:sz w:val="24"/>
          <w:u w:val="single"/>
          <w:lang w:bidi="ar"/>
        </w:rPr>
        <w:t xml:space="preserve">                     </w:t>
      </w:r>
      <w:r>
        <w:rPr>
          <w:rFonts w:hint="eastAsia" w:asciiTheme="minorEastAsia" w:hAnsiTheme="minorEastAsia" w:eastAsiaTheme="minorEastAsia" w:cstheme="minorEastAsia"/>
          <w:spacing w:val="2"/>
          <w:sz w:val="24"/>
          <w:lang w:bidi="ar"/>
        </w:rPr>
        <w:t xml:space="preserve"> </w:t>
      </w:r>
    </w:p>
    <w:p w14:paraId="2733CAA5">
      <w:pPr>
        <w:spacing w:before="97" w:line="360" w:lineRule="auto"/>
        <w:ind w:right="0" w:firstLine="11"/>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pacing w:val="-8"/>
          <w:sz w:val="24"/>
          <w:lang w:bidi="ar"/>
        </w:rPr>
        <w:t>传</w:t>
      </w:r>
      <w:r>
        <w:rPr>
          <w:rFonts w:hint="eastAsia" w:asciiTheme="minorEastAsia" w:hAnsiTheme="minorEastAsia" w:eastAsiaTheme="minorEastAsia" w:cstheme="minorEastAsia"/>
          <w:spacing w:val="15"/>
          <w:sz w:val="24"/>
          <w:lang w:bidi="ar"/>
        </w:rPr>
        <w:t xml:space="preserve">  </w:t>
      </w:r>
      <w:r>
        <w:rPr>
          <w:rFonts w:hint="eastAsia" w:asciiTheme="minorEastAsia" w:hAnsiTheme="minorEastAsia" w:eastAsiaTheme="minorEastAsia" w:cstheme="minorEastAsia"/>
          <w:spacing w:val="-8"/>
          <w:sz w:val="24"/>
          <w:lang w:bidi="ar"/>
        </w:rPr>
        <w:t>真：</w:t>
      </w:r>
      <w:r>
        <w:rPr>
          <w:rFonts w:hint="eastAsia" w:asciiTheme="minorEastAsia" w:hAnsiTheme="minorEastAsia" w:eastAsiaTheme="minorEastAsia" w:cstheme="minorEastAsia"/>
          <w:spacing w:val="-8"/>
          <w:sz w:val="24"/>
          <w:u w:val="single"/>
          <w:lang w:bidi="ar"/>
        </w:rPr>
        <w:t xml:space="preserve">                    </w:t>
      </w:r>
      <w:r>
        <w:rPr>
          <w:rFonts w:hint="eastAsia" w:asciiTheme="minorEastAsia" w:hAnsiTheme="minorEastAsia" w:eastAsiaTheme="minorEastAsia" w:cstheme="minorEastAsia"/>
          <w:spacing w:val="22"/>
          <w:sz w:val="24"/>
          <w:lang w:bidi="ar"/>
        </w:rPr>
        <w:t xml:space="preserve">         </w:t>
      </w:r>
      <w:r>
        <w:rPr>
          <w:rFonts w:hint="eastAsia" w:asciiTheme="minorEastAsia" w:hAnsiTheme="minorEastAsia" w:eastAsiaTheme="minorEastAsia" w:cstheme="minorEastAsia"/>
          <w:spacing w:val="-8"/>
          <w:sz w:val="24"/>
          <w:lang w:bidi="ar"/>
        </w:rPr>
        <w:t>传</w:t>
      </w:r>
      <w:r>
        <w:rPr>
          <w:rFonts w:hint="eastAsia" w:asciiTheme="minorEastAsia" w:hAnsiTheme="minorEastAsia" w:eastAsiaTheme="minorEastAsia" w:cstheme="minorEastAsia"/>
          <w:spacing w:val="14"/>
          <w:sz w:val="24"/>
          <w:lang w:bidi="ar"/>
        </w:rPr>
        <w:t xml:space="preserve">  </w:t>
      </w:r>
      <w:r>
        <w:rPr>
          <w:rFonts w:hint="eastAsia" w:asciiTheme="minorEastAsia" w:hAnsiTheme="minorEastAsia" w:eastAsiaTheme="minorEastAsia" w:cstheme="minorEastAsia"/>
          <w:spacing w:val="-8"/>
          <w:sz w:val="24"/>
          <w:lang w:bidi="ar"/>
        </w:rPr>
        <w:t>真：</w:t>
      </w:r>
      <w:r>
        <w:rPr>
          <w:rFonts w:hint="eastAsia" w:asciiTheme="minorEastAsia" w:hAnsiTheme="minorEastAsia" w:eastAsiaTheme="minorEastAsia" w:cstheme="minorEastAsia"/>
          <w:spacing w:val="-8"/>
          <w:sz w:val="24"/>
          <w:u w:val="single"/>
          <w:lang w:bidi="ar"/>
        </w:rPr>
        <w:t xml:space="preserve">        </w:t>
      </w:r>
      <w:r>
        <w:rPr>
          <w:rFonts w:hint="eastAsia" w:asciiTheme="minorEastAsia" w:hAnsiTheme="minorEastAsia" w:eastAsiaTheme="minorEastAsia" w:cstheme="minorEastAsia"/>
          <w:spacing w:val="-9"/>
          <w:sz w:val="24"/>
          <w:u w:val="single"/>
          <w:lang w:bidi="ar"/>
        </w:rPr>
        <w:t xml:space="preserve">              </w:t>
      </w:r>
      <w:r>
        <w:rPr>
          <w:rFonts w:hint="eastAsia" w:asciiTheme="minorEastAsia" w:hAnsiTheme="minorEastAsia" w:eastAsiaTheme="minorEastAsia" w:cstheme="minorEastAsia"/>
          <w:spacing w:val="1"/>
          <w:sz w:val="24"/>
          <w:lang w:bidi="ar"/>
        </w:rPr>
        <w:t xml:space="preserve"> </w:t>
      </w:r>
    </w:p>
    <w:p w14:paraId="08F1D8DD">
      <w:pPr>
        <w:spacing w:before="97" w:line="360" w:lineRule="auto"/>
        <w:ind w:right="0" w:firstLine="11"/>
        <w:rPr>
          <w:rFonts w:hint="eastAsia" w:asciiTheme="minorEastAsia" w:hAnsiTheme="minorEastAsia" w:eastAsiaTheme="minorEastAsia" w:cstheme="minorEastAsia"/>
          <w:spacing w:val="-1"/>
          <w:sz w:val="24"/>
          <w:u w:val="single"/>
        </w:rPr>
      </w:pPr>
      <w:r>
        <w:rPr>
          <w:rFonts w:hint="eastAsia" w:asciiTheme="minorEastAsia" w:hAnsiTheme="minorEastAsia" w:eastAsiaTheme="minorEastAsia" w:cstheme="minorEastAsia"/>
          <w:spacing w:val="-1"/>
          <w:sz w:val="24"/>
          <w:lang w:bidi="ar"/>
        </w:rPr>
        <w:t>开户银行：</w:t>
      </w:r>
      <w:r>
        <w:rPr>
          <w:rFonts w:hint="eastAsia" w:asciiTheme="minorEastAsia" w:hAnsiTheme="minorEastAsia" w:eastAsiaTheme="minorEastAsia" w:cstheme="minorEastAsia"/>
          <w:spacing w:val="-1"/>
          <w:sz w:val="24"/>
          <w:u w:val="single"/>
          <w:lang w:bidi="ar"/>
        </w:rPr>
        <w:t xml:space="preserve">                 </w:t>
      </w:r>
      <w:r>
        <w:rPr>
          <w:rFonts w:hint="eastAsia" w:asciiTheme="minorEastAsia" w:hAnsiTheme="minorEastAsia" w:eastAsiaTheme="minorEastAsia" w:cstheme="minorEastAsia"/>
          <w:spacing w:val="29"/>
          <w:sz w:val="24"/>
          <w:lang w:bidi="ar"/>
        </w:rPr>
        <w:t xml:space="preserve">        </w:t>
      </w:r>
      <w:r>
        <w:rPr>
          <w:rFonts w:hint="eastAsia" w:asciiTheme="minorEastAsia" w:hAnsiTheme="minorEastAsia" w:eastAsiaTheme="minorEastAsia" w:cstheme="minorEastAsia"/>
          <w:spacing w:val="-1"/>
          <w:sz w:val="24"/>
          <w:lang w:bidi="ar"/>
        </w:rPr>
        <w:t>开户银行：</w:t>
      </w:r>
      <w:r>
        <w:rPr>
          <w:rFonts w:hint="eastAsia" w:asciiTheme="minorEastAsia" w:hAnsiTheme="minorEastAsia" w:eastAsiaTheme="minorEastAsia" w:cstheme="minorEastAsia"/>
          <w:spacing w:val="-1"/>
          <w:sz w:val="24"/>
          <w:u w:val="single"/>
          <w:lang w:bidi="ar"/>
        </w:rPr>
        <w:t xml:space="preserve">                   </w:t>
      </w:r>
    </w:p>
    <w:p w14:paraId="41193D40">
      <w:pPr>
        <w:spacing w:before="97" w:line="360" w:lineRule="auto"/>
        <w:ind w:right="0" w:firstLine="1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5"/>
          <w:sz w:val="24"/>
          <w:lang w:bidi="ar"/>
        </w:rPr>
        <w:t>账</w:t>
      </w:r>
      <w:r>
        <w:rPr>
          <w:rFonts w:hint="eastAsia" w:asciiTheme="minorEastAsia" w:hAnsiTheme="minorEastAsia" w:eastAsiaTheme="minorEastAsia" w:cstheme="minorEastAsia"/>
          <w:spacing w:val="14"/>
          <w:sz w:val="24"/>
          <w:lang w:bidi="ar"/>
        </w:rPr>
        <w:t xml:space="preserve">  </w:t>
      </w:r>
      <w:r>
        <w:rPr>
          <w:rFonts w:hint="eastAsia" w:asciiTheme="minorEastAsia" w:hAnsiTheme="minorEastAsia" w:eastAsiaTheme="minorEastAsia" w:cstheme="minorEastAsia"/>
          <w:spacing w:val="-15"/>
          <w:sz w:val="24"/>
          <w:lang w:bidi="ar"/>
        </w:rPr>
        <w:t>号：</w:t>
      </w:r>
      <w:r>
        <w:rPr>
          <w:rFonts w:hint="eastAsia" w:asciiTheme="minorEastAsia" w:hAnsiTheme="minorEastAsia" w:eastAsiaTheme="minorEastAsia" w:cstheme="minorEastAsia"/>
          <w:spacing w:val="3"/>
          <w:sz w:val="24"/>
          <w:u w:val="single"/>
          <w:lang w:bidi="ar"/>
        </w:rPr>
        <w:t xml:space="preserve">                  </w:t>
      </w:r>
      <w:r>
        <w:rPr>
          <w:rFonts w:hint="eastAsia" w:asciiTheme="minorEastAsia" w:hAnsiTheme="minorEastAsia" w:eastAsiaTheme="minorEastAsia" w:cstheme="minorEastAsia"/>
          <w:spacing w:val="15"/>
          <w:sz w:val="24"/>
          <w:lang w:bidi="ar"/>
        </w:rPr>
        <w:t xml:space="preserve">         </w:t>
      </w:r>
      <w:r>
        <w:rPr>
          <w:rFonts w:hint="eastAsia" w:asciiTheme="minorEastAsia" w:hAnsiTheme="minorEastAsia" w:eastAsiaTheme="minorEastAsia" w:cstheme="minorEastAsia"/>
          <w:spacing w:val="-15"/>
          <w:sz w:val="24"/>
          <w:lang w:bidi="ar"/>
        </w:rPr>
        <w:t>账</w:t>
      </w:r>
      <w:r>
        <w:rPr>
          <w:rFonts w:hint="eastAsia" w:asciiTheme="minorEastAsia" w:hAnsiTheme="minorEastAsia" w:eastAsiaTheme="minorEastAsia" w:cstheme="minorEastAsia"/>
          <w:spacing w:val="13"/>
          <w:sz w:val="24"/>
          <w:lang w:bidi="ar"/>
        </w:rPr>
        <w:t xml:space="preserve">  </w:t>
      </w:r>
      <w:r>
        <w:rPr>
          <w:rFonts w:hint="eastAsia" w:asciiTheme="minorEastAsia" w:hAnsiTheme="minorEastAsia" w:eastAsiaTheme="minorEastAsia" w:cstheme="minorEastAsia"/>
          <w:spacing w:val="-15"/>
          <w:sz w:val="24"/>
          <w:lang w:bidi="ar"/>
        </w:rPr>
        <w:t>号：</w:t>
      </w:r>
      <w:r>
        <w:rPr>
          <w:rFonts w:hint="eastAsia" w:asciiTheme="minorEastAsia" w:hAnsiTheme="minorEastAsia" w:eastAsiaTheme="minorEastAsia" w:cstheme="minorEastAsia"/>
          <w:sz w:val="24"/>
          <w:u w:val="single"/>
          <w:lang w:bidi="ar"/>
        </w:rPr>
        <w:t xml:space="preserve">                      </w:t>
      </w:r>
    </w:p>
    <w:p w14:paraId="004F851D">
      <w:pPr>
        <w:spacing w:line="360" w:lineRule="auto"/>
        <w:ind w:firstLine="444" w:firstLineChars="200"/>
        <w:jc w:val="both"/>
        <w:rPr>
          <w:rFonts w:hint="eastAsia" w:asciiTheme="minorEastAsia" w:hAnsiTheme="minorEastAsia" w:eastAsiaTheme="minorEastAsia" w:cstheme="minorEastAsia"/>
          <w:sz w:val="24"/>
          <w:u w:val="single"/>
          <w:lang w:bidi="ar"/>
        </w:rPr>
      </w:pPr>
      <w:r>
        <w:rPr>
          <w:rFonts w:hint="eastAsia" w:asciiTheme="minorEastAsia" w:hAnsiTheme="minorEastAsia" w:eastAsiaTheme="minorEastAsia" w:cstheme="minorEastAsia"/>
          <w:spacing w:val="-9"/>
          <w:sz w:val="24"/>
          <w:lang w:bidi="ar"/>
        </w:rPr>
        <w:t>邮政编码：</w:t>
      </w:r>
      <w:r>
        <w:rPr>
          <w:rFonts w:hint="eastAsia" w:asciiTheme="minorEastAsia" w:hAnsiTheme="minorEastAsia" w:eastAsiaTheme="minorEastAsia" w:cstheme="minorEastAsia"/>
          <w:sz w:val="24"/>
          <w:u w:val="single"/>
          <w:lang w:bidi="ar"/>
        </w:rPr>
        <w:t xml:space="preserve">                 </w:t>
      </w:r>
      <w:r>
        <w:rPr>
          <w:rFonts w:hint="eastAsia" w:asciiTheme="minorEastAsia" w:hAnsiTheme="minorEastAsia" w:eastAsiaTheme="minorEastAsia" w:cstheme="minorEastAsia"/>
          <w:spacing w:val="45"/>
          <w:sz w:val="24"/>
          <w:lang w:bidi="ar"/>
        </w:rPr>
        <w:t xml:space="preserve">       </w:t>
      </w:r>
      <w:r>
        <w:rPr>
          <w:rFonts w:hint="eastAsia" w:asciiTheme="minorEastAsia" w:hAnsiTheme="minorEastAsia" w:eastAsiaTheme="minorEastAsia" w:cstheme="minorEastAsia"/>
          <w:spacing w:val="-9"/>
          <w:sz w:val="24"/>
          <w:lang w:bidi="ar"/>
        </w:rPr>
        <w:t>邮政编码：</w:t>
      </w:r>
      <w:r>
        <w:rPr>
          <w:rFonts w:hint="eastAsia" w:asciiTheme="minorEastAsia" w:hAnsiTheme="minorEastAsia" w:eastAsiaTheme="minorEastAsia" w:cstheme="minorEastAsia"/>
          <w:sz w:val="24"/>
          <w:u w:val="single"/>
          <w:lang w:bidi="ar"/>
        </w:rPr>
        <w:t xml:space="preserve">                </w:t>
      </w:r>
      <w:r>
        <w:rPr>
          <w:rFonts w:hint="eastAsia" w:asciiTheme="minorEastAsia" w:hAnsiTheme="minorEastAsia" w:eastAsiaTheme="minorEastAsia" w:cstheme="minorEastAsia"/>
          <w:sz w:val="24"/>
          <w:lang w:bidi="ar"/>
        </w:rPr>
        <w:t xml:space="preserve"> </w:t>
      </w:r>
      <w:r>
        <w:rPr>
          <w:rFonts w:hint="eastAsia" w:asciiTheme="minorEastAsia" w:hAnsiTheme="minorEastAsia" w:eastAsiaTheme="minorEastAsia" w:cstheme="minorEastAsia"/>
          <w:sz w:val="24"/>
          <w:u w:val="single"/>
          <w:lang w:bidi="ar"/>
        </w:rPr>
        <w:t xml:space="preserve"> </w:t>
      </w:r>
    </w:p>
    <w:p w14:paraId="263CB28D">
      <w:pPr>
        <w:spacing w:line="360" w:lineRule="auto"/>
        <w:ind w:firstLine="480" w:firstLineChars="200"/>
        <w:jc w:val="both"/>
        <w:rPr>
          <w:rFonts w:hint="eastAsia" w:asciiTheme="minorEastAsia" w:hAnsiTheme="minorEastAsia" w:eastAsiaTheme="minorEastAsia" w:cstheme="minorEastAsia"/>
          <w:sz w:val="24"/>
          <w:u w:val="single"/>
          <w:lang w:bidi="ar"/>
        </w:rPr>
      </w:pPr>
    </w:p>
    <w:p w14:paraId="019A8BA7">
      <w:pPr>
        <w:spacing w:line="360" w:lineRule="auto"/>
        <w:ind w:firstLine="480" w:firstLineChars="200"/>
        <w:jc w:val="both"/>
        <w:rPr>
          <w:rFonts w:hint="eastAsia" w:asciiTheme="minorEastAsia" w:hAnsiTheme="minorEastAsia" w:eastAsiaTheme="minorEastAsia" w:cstheme="minorEastAsia"/>
          <w:sz w:val="24"/>
          <w:u w:val="single"/>
          <w:lang w:bidi="ar"/>
        </w:rPr>
      </w:pPr>
    </w:p>
    <w:p w14:paraId="20EC2A59">
      <w:pPr>
        <w:widowControl/>
        <w:jc w:val="left"/>
        <w:rPr>
          <w:rFonts w:hint="eastAsia" w:asciiTheme="minorEastAsia" w:hAnsiTheme="minorEastAsia" w:eastAsiaTheme="minorEastAsia" w:cstheme="minorEastAsia"/>
          <w:sz w:val="24"/>
          <w:u w:val="single"/>
          <w:lang w:bidi="ar"/>
        </w:rPr>
      </w:pPr>
      <w:r>
        <w:rPr>
          <w:rFonts w:hint="eastAsia" w:asciiTheme="minorEastAsia" w:hAnsiTheme="minorEastAsia" w:eastAsiaTheme="minorEastAsia" w:cstheme="minorEastAsia"/>
          <w:sz w:val="24"/>
          <w:u w:val="single"/>
          <w:lang w:bidi="ar"/>
        </w:rPr>
        <w:br w:type="page"/>
      </w:r>
    </w:p>
    <w:p w14:paraId="1F215BA9">
      <w:pPr>
        <w:spacing w:line="360" w:lineRule="auto"/>
        <w:jc w:val="both"/>
        <w:outlineLvl w:val="1"/>
        <w:rPr>
          <w:rFonts w:hint="eastAsia" w:asciiTheme="minorEastAsia" w:hAnsiTheme="minorEastAsia" w:eastAsiaTheme="minorEastAsia" w:cstheme="minorEastAsia"/>
          <w:b/>
          <w:bCs/>
          <w:kern w:val="44"/>
          <w:sz w:val="28"/>
          <w:szCs w:val="28"/>
        </w:rPr>
      </w:pPr>
      <w:bookmarkStart w:id="985" w:name="_Toc200394254"/>
      <w:bookmarkStart w:id="986" w:name="_Toc32534"/>
      <w:r>
        <w:rPr>
          <w:rFonts w:hint="eastAsia" w:asciiTheme="minorEastAsia" w:hAnsiTheme="minorEastAsia" w:eastAsiaTheme="minorEastAsia" w:cstheme="minorEastAsia"/>
          <w:b/>
          <w:bCs/>
          <w:kern w:val="44"/>
          <w:sz w:val="28"/>
          <w:szCs w:val="28"/>
        </w:rPr>
        <w:t>附件4施工技术要求（另册）</w:t>
      </w:r>
      <w:bookmarkEnd w:id="985"/>
      <w:bookmarkEnd w:id="986"/>
    </w:p>
    <w:p w14:paraId="5DC61605">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13479D6E">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3D6F2FBF">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6D87815C">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027A9180">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332C7E58">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4CF7BB34">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56D5A470">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5D1241C4">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2071D751">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4A5E1378">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161DC2A8">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0EC15544">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29F0C7F4">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1533A29A">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78F1A1F1">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68DE9D00">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3F39EBFB">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2C1ED400">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35B7D958">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6919DA89">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1FE1A43F">
      <w:pPr>
        <w:spacing w:line="360" w:lineRule="auto"/>
        <w:ind w:firstLine="562" w:firstLineChars="200"/>
        <w:jc w:val="both"/>
        <w:rPr>
          <w:rFonts w:hint="eastAsia" w:asciiTheme="minorEastAsia" w:hAnsiTheme="minorEastAsia" w:eastAsiaTheme="minorEastAsia" w:cstheme="minorEastAsia"/>
          <w:b/>
          <w:bCs/>
          <w:kern w:val="44"/>
          <w:sz w:val="28"/>
          <w:szCs w:val="28"/>
        </w:rPr>
      </w:pPr>
    </w:p>
    <w:p w14:paraId="2E66BCA3">
      <w:pPr>
        <w:widowControl/>
        <w:jc w:val="left"/>
        <w:rPr>
          <w:rFonts w:hint="eastAsia" w:asciiTheme="minorEastAsia" w:hAnsiTheme="minorEastAsia" w:eastAsiaTheme="minorEastAsia" w:cstheme="minorEastAsia"/>
          <w:b/>
          <w:bCs/>
          <w:kern w:val="44"/>
          <w:sz w:val="28"/>
          <w:szCs w:val="28"/>
        </w:rPr>
      </w:pPr>
      <w:r>
        <w:rPr>
          <w:rFonts w:hint="eastAsia" w:asciiTheme="minorEastAsia" w:hAnsiTheme="minorEastAsia" w:eastAsiaTheme="minorEastAsia" w:cstheme="minorEastAsia"/>
          <w:b/>
          <w:bCs/>
          <w:kern w:val="44"/>
          <w:sz w:val="28"/>
          <w:szCs w:val="28"/>
        </w:rPr>
        <w:br w:type="page"/>
      </w:r>
    </w:p>
    <w:p w14:paraId="06A88AAA">
      <w:pPr>
        <w:pStyle w:val="18"/>
        <w:keepNext/>
        <w:keepLines/>
        <w:widowControl/>
        <w:tabs>
          <w:tab w:val="left" w:pos="420"/>
          <w:tab w:val="left" w:pos="720"/>
          <w:tab w:val="left" w:pos="900"/>
        </w:tabs>
        <w:snapToGrid w:val="0"/>
        <w:spacing w:before="96" w:beforeLines="40" w:after="72" w:afterLines="30" w:line="360" w:lineRule="auto"/>
        <w:ind w:left="0" w:leftChars="0" w:firstLine="602" w:firstLineChars="200"/>
        <w:outlineLvl w:val="1"/>
        <w:rPr>
          <w:rFonts w:hint="eastAsia" w:asciiTheme="minorEastAsia" w:hAnsiTheme="minorEastAsia" w:eastAsiaTheme="minorEastAsia" w:cstheme="minorEastAsia"/>
          <w:kern w:val="44"/>
          <w:sz w:val="30"/>
          <w:szCs w:val="30"/>
        </w:rPr>
      </w:pPr>
      <w:bookmarkStart w:id="987" w:name="_Toc200394255"/>
      <w:bookmarkStart w:id="988" w:name="_Toc17902"/>
      <w:r>
        <w:rPr>
          <w:rFonts w:hint="eastAsia" w:asciiTheme="minorEastAsia" w:hAnsiTheme="minorEastAsia" w:eastAsiaTheme="minorEastAsia" w:cstheme="minorEastAsia"/>
          <w:b/>
          <w:bCs/>
          <w:kern w:val="44"/>
          <w:sz w:val="30"/>
          <w:szCs w:val="30"/>
        </w:rPr>
        <w:t>附件5 工程建设项目</w:t>
      </w:r>
      <w:r>
        <w:rPr>
          <w:rFonts w:hint="eastAsia" w:asciiTheme="minorEastAsia" w:hAnsiTheme="minorEastAsia" w:eastAsiaTheme="minorEastAsia" w:cstheme="minorEastAsia"/>
          <w:b/>
          <w:bCs/>
          <w:kern w:val="44"/>
          <w:sz w:val="30"/>
          <w:szCs w:val="30"/>
          <w:u w:val="dotted"/>
        </w:rPr>
        <w:t>廉政合同书</w:t>
      </w:r>
      <w:bookmarkEnd w:id="987"/>
      <w:bookmarkEnd w:id="988"/>
      <w:r>
        <w:rPr>
          <w:rFonts w:hint="eastAsia" w:asciiTheme="minorEastAsia" w:hAnsiTheme="minorEastAsia" w:eastAsiaTheme="minorEastAsia" w:cstheme="minorEastAsia"/>
          <w:kern w:val="44"/>
          <w:sz w:val="30"/>
          <w:szCs w:val="30"/>
        </w:rPr>
        <w:t xml:space="preserve"> </w:t>
      </w:r>
    </w:p>
    <w:p w14:paraId="0ADC58FA">
      <w:pPr>
        <w:spacing w:line="360" w:lineRule="auto"/>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bidi="ar"/>
        </w:rPr>
        <w:t>项目廉政合同书</w:t>
      </w:r>
    </w:p>
    <w:p w14:paraId="424E31A8">
      <w:pPr>
        <w:spacing w:line="360" w:lineRule="auto"/>
        <w:ind w:firstLine="562" w:firstLineChars="200"/>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承包人（全称）：【                       】（以下简称甲方）</w:t>
      </w:r>
    </w:p>
    <w:p w14:paraId="4CD3D4C5">
      <w:pPr>
        <w:spacing w:line="360" w:lineRule="auto"/>
        <w:ind w:firstLine="562" w:firstLineChars="200"/>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分包人（全称）：【                       】（以下简称乙方）</w:t>
      </w:r>
    </w:p>
    <w:p w14:paraId="7596622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为确保甲方对建设单位的承诺，高效、优质共同完成施工任务，争创优质工程，保证合同双方能够高效廉洁地履行，维护双方合法权益，经双方协商，特订立如下廉政合同书。</w:t>
      </w:r>
    </w:p>
    <w:p w14:paraId="253F80A7">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第一条 甲乙双方的权利和义务</w:t>
      </w:r>
    </w:p>
    <w:p w14:paraId="1037597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1.甲乙双方应本着“公开、公平、公正、诚信、透明”的原则开展工作，自觉遵守党和国家、工程项目所在省、市、区工程建设有关法律法规以及廉政建设的各项规定。</w:t>
      </w:r>
    </w:p>
    <w:p w14:paraId="366FF90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2.甲乙双方应建立健全廉政教育制度，开展经常性教育活动，积极宣贯“合规诚信 自律清正”的廉洁从业核心理念，加强廉政教育。</w:t>
      </w:r>
    </w:p>
    <w:p w14:paraId="00B26B3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3.加强相互监督，发现对方有违反廉政合同书规定的行为，应及时提醒对方纠正。</w:t>
      </w:r>
    </w:p>
    <w:p w14:paraId="57C83B14">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第二条 甲方的责任</w:t>
      </w:r>
    </w:p>
    <w:p w14:paraId="378F5226">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甲方工作人员不得有以下行为：</w:t>
      </w:r>
    </w:p>
    <w:p w14:paraId="104F3F9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w:t>
      </w:r>
      <w:r>
        <w:rPr>
          <w:rFonts w:hint="eastAsia" w:asciiTheme="minorEastAsia" w:hAnsiTheme="minorEastAsia" w:eastAsiaTheme="minorEastAsia" w:cstheme="minorEastAsia"/>
          <w:kern w:val="0"/>
          <w:sz w:val="24"/>
          <w:szCs w:val="24"/>
          <w:lang w:bidi="ar"/>
        </w:rPr>
        <w:t>为乙方多结算工程量、多签证、多付工程款等，并</w:t>
      </w:r>
      <w:r>
        <w:rPr>
          <w:rFonts w:hint="eastAsia" w:asciiTheme="minorEastAsia" w:hAnsiTheme="minorEastAsia" w:eastAsiaTheme="minorEastAsia" w:cstheme="minorEastAsia"/>
          <w:sz w:val="24"/>
          <w:szCs w:val="24"/>
          <w:lang w:bidi="ar"/>
        </w:rPr>
        <w:t>向乙方索要或接受贿赂、回扣、礼金、有价证券（卡）、贵重物品和好处费等；</w:t>
      </w:r>
    </w:p>
    <w:p w14:paraId="4B4852A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（2）在乙方报销任何应由甲方或个人支付的费用；</w:t>
      </w:r>
    </w:p>
    <w:p w14:paraId="3097009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（3）参加有可能影响公正执行公务的超标准宴请和娱乐、健身等活动；</w:t>
      </w:r>
    </w:p>
    <w:p w14:paraId="2BFDB43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（4）接受乙方提供的通讯工具、交通工具和高档办公用品；</w:t>
      </w:r>
    </w:p>
    <w:p w14:paraId="3EF746E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（5）要求、暗示或接受乙方为个人住房装修、婚丧嫁娶、配偶子女工作的安排以及出国（境）、旅游提供的方便；</w:t>
      </w:r>
    </w:p>
    <w:p w14:paraId="2F68944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（6）向乙方介绍或推荐配偶、子女、亲属参与的工程施工合同有关的设备、材料、工程分包、劳务等；</w:t>
      </w:r>
    </w:p>
    <w:p w14:paraId="5A0CC7F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（7）向乙方推荐分包单位或要求乙方购买合同规定以外的材料、机具设备等；</w:t>
      </w:r>
    </w:p>
    <w:p w14:paraId="375F878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（8）因乙方拒绝本人的不合理要求，而故意刁难乙方。</w:t>
      </w:r>
    </w:p>
    <w:p w14:paraId="66DFF0A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第三条乙方的责任</w:t>
      </w:r>
    </w:p>
    <w:p w14:paraId="381F4A7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乙方应当通过正常途径开展业务，不得有以下行为：</w:t>
      </w:r>
    </w:p>
    <w:p w14:paraId="2378D2B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（1）为</w:t>
      </w:r>
      <w:r>
        <w:rPr>
          <w:rFonts w:hint="eastAsia" w:asciiTheme="minorEastAsia" w:hAnsiTheme="minorEastAsia" w:eastAsiaTheme="minorEastAsia" w:cstheme="minorEastAsia"/>
          <w:kern w:val="0"/>
          <w:sz w:val="24"/>
          <w:szCs w:val="24"/>
          <w:lang w:bidi="ar"/>
        </w:rPr>
        <w:t>多结算工程量、多签证、多收工程款等，</w:t>
      </w:r>
      <w:r>
        <w:rPr>
          <w:rFonts w:hint="eastAsia" w:asciiTheme="minorEastAsia" w:hAnsiTheme="minorEastAsia" w:eastAsiaTheme="minorEastAsia" w:cstheme="minorEastAsia"/>
          <w:sz w:val="24"/>
          <w:szCs w:val="24"/>
          <w:lang w:bidi="ar"/>
        </w:rPr>
        <w:t>向甲方及其管理人员行贿或馈赠礼金、有价证券（卡）、贵重礼品；</w:t>
      </w:r>
    </w:p>
    <w:p w14:paraId="6D383FE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（2）为甲方及其工作人员报销应由甲方单位或个人支付的任何费用；</w:t>
      </w:r>
    </w:p>
    <w:p w14:paraId="21F9163B">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（3）安排甲方人员参加超标准宴请、娱乐活动及带有黄、赌性质的娱乐活动；</w:t>
      </w:r>
    </w:p>
    <w:p w14:paraId="6BD692A6">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（4）为甲方人员购置或提供通讯工具、交通工具和高档办公用品等；</w:t>
      </w:r>
    </w:p>
    <w:p w14:paraId="21C4D38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（5）乙方向甲方工作人员及其家属或者亲友介绍从事与甲乙双方工程有关的工程分包及材料设备、周转工具的供应、租赁等经营活动。</w:t>
      </w:r>
    </w:p>
    <w:p w14:paraId="16F2D69B">
      <w:pPr>
        <w:spacing w:line="360" w:lineRule="auto"/>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第四条 违约责任</w:t>
      </w:r>
    </w:p>
    <w:p w14:paraId="7D1FAA8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如甲方工作人员有违反本廉政合同书的行为，由甲方纪委查处，追究相应的党纪、政务责任，涉嫌犯罪的，移交司法机关追究刑事责任；对实名举报的，甲方要立即调查，并采取有效措施保障乙方的合法权益，防止报复事件发生。</w:t>
      </w:r>
    </w:p>
    <w:p w14:paraId="42DD31E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2.如乙方单位或个人有违反本廉政合同书的行为，甲方视情节对乙方处以签约合同价0.5%—1%的罚款，情节较重并给甲方造成损失的，乙方另需赔偿甲方全部经济损失，并取消乙方工程分包资格。</w:t>
      </w:r>
    </w:p>
    <w:p w14:paraId="3ACFCAA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第五条 甲方举报电话：纪委书记【           】，纪检监察部【           】。</w:t>
      </w:r>
    </w:p>
    <w:p w14:paraId="509D2AF3">
      <w:pPr>
        <w:tabs>
          <w:tab w:val="left" w:pos="1870"/>
        </w:tabs>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第六条 本廉政合同书作为分包合同的附件，具有同等法律效力，本协议与合同同日生效,至甲乙双方工程合同履约完止。</w:t>
      </w:r>
    </w:p>
    <w:p w14:paraId="3885896A">
      <w:pPr>
        <w:tabs>
          <w:tab w:val="left" w:pos="1870"/>
        </w:tabs>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bidi="ar"/>
        </w:rPr>
      </w:pPr>
    </w:p>
    <w:p w14:paraId="75F578E1">
      <w:pPr>
        <w:tabs>
          <w:tab w:val="left" w:pos="1870"/>
        </w:tabs>
        <w:adjustRightInd w:val="0"/>
        <w:snapToGrid w:val="0"/>
        <w:spacing w:line="360" w:lineRule="auto"/>
        <w:ind w:firstLine="560" w:firstLineChars="200"/>
        <w:textAlignment w:val="baseline"/>
        <w:rPr>
          <w:rFonts w:hint="eastAsia" w:asciiTheme="minorEastAsia" w:hAnsiTheme="minorEastAsia" w:eastAsiaTheme="minorEastAsia" w:cstheme="minorEastAsia"/>
          <w:sz w:val="28"/>
          <w:szCs w:val="28"/>
          <w:lang w:bidi="ar"/>
        </w:rPr>
      </w:pPr>
    </w:p>
    <w:p w14:paraId="652B339E">
      <w:pPr>
        <w:widowControl/>
        <w:jc w:val="left"/>
        <w:rPr>
          <w:rFonts w:hint="eastAsia" w:asciiTheme="minorEastAsia" w:hAnsiTheme="minorEastAsia" w:eastAsiaTheme="minorEastAsia" w:cstheme="minorEastAsia"/>
          <w:sz w:val="28"/>
          <w:szCs w:val="28"/>
          <w:lang w:bidi="ar"/>
        </w:rPr>
      </w:pPr>
      <w:r>
        <w:rPr>
          <w:rFonts w:hint="eastAsia" w:asciiTheme="minorEastAsia" w:hAnsiTheme="minorEastAsia" w:eastAsiaTheme="minorEastAsia" w:cstheme="minorEastAsia"/>
          <w:sz w:val="28"/>
          <w:szCs w:val="28"/>
          <w:lang w:bidi="ar"/>
        </w:rPr>
        <w:br w:type="page"/>
      </w:r>
    </w:p>
    <w:p w14:paraId="65B5108D">
      <w:pPr>
        <w:widowControl/>
        <w:spacing w:line="360" w:lineRule="auto"/>
        <w:jc w:val="both"/>
        <w:outlineLvl w:val="1"/>
        <w:rPr>
          <w:rFonts w:hint="eastAsia" w:asciiTheme="minorEastAsia" w:hAnsiTheme="minorEastAsia" w:eastAsiaTheme="minorEastAsia" w:cstheme="minorEastAsia"/>
          <w:b/>
          <w:bCs/>
          <w:kern w:val="44"/>
          <w:sz w:val="30"/>
          <w:szCs w:val="30"/>
        </w:rPr>
      </w:pPr>
      <w:bookmarkStart w:id="989" w:name="_Toc200394256"/>
      <w:bookmarkStart w:id="990" w:name="_Toc13859"/>
      <w:r>
        <w:rPr>
          <w:rFonts w:hint="eastAsia" w:asciiTheme="minorEastAsia" w:hAnsiTheme="minorEastAsia" w:eastAsiaTheme="minorEastAsia" w:cstheme="minorEastAsia"/>
          <w:b/>
          <w:bCs/>
          <w:kern w:val="44"/>
          <w:sz w:val="30"/>
          <w:szCs w:val="30"/>
          <w:lang w:bidi="ar"/>
        </w:rPr>
        <w:t>附件6 施工现场安全生产协议书</w:t>
      </w:r>
      <w:bookmarkEnd w:id="989"/>
      <w:bookmarkEnd w:id="990"/>
    </w:p>
    <w:p w14:paraId="6E48D82C">
      <w:pPr>
        <w:spacing w:line="360" w:lineRule="auto"/>
        <w:ind w:firstLine="562" w:firstLineChars="200"/>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承包人（全称）：【                       】（以下简称甲方）</w:t>
      </w:r>
    </w:p>
    <w:p w14:paraId="7B99FFD9">
      <w:pPr>
        <w:spacing w:line="360" w:lineRule="auto"/>
        <w:ind w:firstLine="562" w:firstLineChars="200"/>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分包人（全称）：【                       】（以下简称乙方）</w:t>
      </w:r>
    </w:p>
    <w:p w14:paraId="5DF92F60">
      <w:pPr>
        <w:spacing w:line="360" w:lineRule="auto"/>
        <w:ind w:left="0" w:leftChars="0" w:right="0" w:firstLine="48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工程名称：【                            】</w:t>
      </w:r>
    </w:p>
    <w:p w14:paraId="3B9B6658">
      <w:pPr>
        <w:spacing w:line="360" w:lineRule="auto"/>
        <w:ind w:left="0" w:leftChars="0" w:right="0" w:firstLine="48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工程地点：【                            】</w:t>
      </w:r>
    </w:p>
    <w:p w14:paraId="53B20A18">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根据现行的《中华人民共和国安全生产法》《中华人民共和国建筑法》《建筑工程安全生产管理条例》等法律、法规和建筑施工行业安全生产管理标准、规范等，甲、乙双方就本工程现场的安全生产、职业健康、文明施工管理工作达成如下协议。</w:t>
      </w:r>
    </w:p>
    <w:p w14:paraId="703A2989">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一、双方权责</w:t>
      </w:r>
    </w:p>
    <w:p w14:paraId="02585F6A">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（一）甲乙双方共同的责任：</w:t>
      </w:r>
    </w:p>
    <w:p w14:paraId="135115B1">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严格执行国家、地方有关安全生产的法律、法规，坚持“安全第一、预防为主、综合治理”的方针，全面落实国家、地方和行业管理部门有关安全生产的标准规范，严格落实各项安全生产管理措施，消除生产安全事故隐患，确保员工生命、财产安全。</w:t>
      </w:r>
    </w:p>
    <w:p w14:paraId="28B9D2EA">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（二）甲方的权责</w:t>
      </w:r>
    </w:p>
    <w:p w14:paraId="7BDD1A8B">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 对施工现场所有施工生产活动进行全面安全管理，制定全员安全生产责任制、安全生产规章制度和安全操作规程，督促乙方落实。</w:t>
      </w:r>
    </w:p>
    <w:p w14:paraId="6C5047E5">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 建立安全例会制度。组织召开安全生产周例会，研究、部署和落实项目安全生产有关工作。遇有特殊情况时，随时召开安全会议。</w:t>
      </w:r>
    </w:p>
    <w:p w14:paraId="5EE310B4">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 建立安全生产检查制度。组织开展安全生产周检查工作和定期安全生产隐患排查工作，发出整改通知单，督促乙方完成整改事项。对乙方现场施工生产活动进行日常监督检查，纠正违章作业、违章指挥和违反劳动纪律的现象。</w:t>
      </w:r>
    </w:p>
    <w:p w14:paraId="4804B49D">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 建立安全教育培训制度。组织乙方进场工人进行入场安全教育。组织进行乙方特种作业人员月度安全教育。在节假日及季节转换时，进行专题教育。督促乙方开展每日早班会安全教育活动。督促乙方开展三级安全教育活动。收集有关安全生产教育培训资料。督促乙方清退安全生产教育培训考核不合格的人员。</w:t>
      </w:r>
    </w:p>
    <w:p w14:paraId="7791C219">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5. 负责编制工程施工组织设计，审查乙方编制的危大工程和超危工程等安全专项方案，组织开展超危工程方案专家论证。督促乙方开展安全技术交底工作，并留存安全技术交底资料。</w:t>
      </w:r>
    </w:p>
    <w:p w14:paraId="2DD03BD5">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监督乙方按照施工组织设计和安全专项施工方案要求组织施工生产，落实安全保障措施。</w:t>
      </w:r>
    </w:p>
    <w:p w14:paraId="289432DF">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6. 足额投入安全生产措施费用，督促乙方按规定足额使用安全措施费。</w:t>
      </w:r>
    </w:p>
    <w:p w14:paraId="58705C58">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7. 督促乙方按照规定配齐安全管理人员，监督乙方现场代表、安全员、班组长和作业人员履行安全生产责任和义务，定期对乙方现场代表、安全员、班组长进行安全生产履职考核。为乙方专职安全生产管理人员提供办公场所。</w:t>
      </w:r>
    </w:p>
    <w:p w14:paraId="699372CF">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8. 编制施工现场应急救援预案，根据方案要求储备应急救援物资、设备，并定期组织演练。</w:t>
      </w:r>
    </w:p>
    <w:p w14:paraId="58A85D0B">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9. 组织基坑工程、模板工程、临时用电、机械设备、防护设施、防护用品、高处作业、脚手架等分部分项工程的安全验收，提出验收意见，督促乙方对不合格项进行整改。</w:t>
      </w:r>
    </w:p>
    <w:p w14:paraId="4E0653C6">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10. 在施工现场显要位置公布施工现场危险源，在施工现场危险作业部位设置警示标识。</w:t>
      </w:r>
    </w:p>
    <w:p w14:paraId="63C8B888">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（三）乙方的权责</w:t>
      </w:r>
    </w:p>
    <w:p w14:paraId="265C1EF0">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 层层落实安全生产责任，杜绝死亡、重伤、火灾、交通、职业病、食品中毒等事故。</w:t>
      </w:r>
    </w:p>
    <w:p w14:paraId="371B9562">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 加强自身安全管理工作，服从甲方的管理，按照甲方的管理制度、操作规程、安全施工方案、安全策划、安全交底等开展现场的施工生产工作。若不服从甲方管理，导致事故的，承担事故主要责任。</w:t>
      </w:r>
    </w:p>
    <w:p w14:paraId="383EB348">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 按国家有关规定配足安全管理人员，安全管理人员需持建设行政主管部门颁发的安全生产考核合格证，且注册单位与用人单位一致。安全管理人员应当先于作业人员进场并晚于施工人员退场。</w:t>
      </w:r>
    </w:p>
    <w:p w14:paraId="5870B376">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乙方未按照建质〔2008〕91号文件规定配备专职安全管理人员的，或专职安全管理人员配备不足的，按照合同条款进行处置。乙方专职安全管理人员应当与甲方专职安全管理人员合署办公，乙方专职安全生产管理人员应当服从甲方的统一管理。</w:t>
      </w:r>
    </w:p>
    <w:p w14:paraId="76A19BB1">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 新工人进场前，应当完成所有工人的三级安全教育工作，并向甲方提供教育培训档案。</w:t>
      </w:r>
    </w:p>
    <w:p w14:paraId="30DECFBC">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工人进场前，应当向甲方提供现场管理人员和工人的花名册、特种作业人员台账。调出和调进人员应提前向甲方报告。</w:t>
      </w:r>
    </w:p>
    <w:p w14:paraId="6ED431A4">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乙方应当在新工人进场3天内，安排所有新工人接受甲方组织的入场安全教育，清退入场安全教育考核不合格的工人。未经三级安全教育和入场安全教育的工人不得进入施工现场工作，否则产生的后果由乙方承担。</w:t>
      </w:r>
    </w:p>
    <w:p w14:paraId="5D815251">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每日组织开展安全生产早班会。督促每一个班组、每一名参加当天生产活动的工人接受早班会教育。每天早班会教育活动完成后，应及时向甲方报送早班会活动相关资料。</w:t>
      </w:r>
    </w:p>
    <w:p w14:paraId="453FE370">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工人进场前，乙方应对工人年龄、健康状况进行筛查，不得安排60周岁以上男普通工人、50周岁以上女普通工人、55周岁以上男特殊工种、45周岁以上女特殊工种、有身体残疾、有不适合施工现场作业疾病（心脏病、精神疾病、癫痫病等）的人员进入施工现场。不得安排年龄超过55周岁的工人从事登高、有限空间作业等高危险作业。为预防传染病，在进场前，需提供最近三个月内的体检报告。若因乙方筛查工作不到位或刻意隐瞒作业人员身体疾病，导致出现意外的，相应责任由乙方承担。</w:t>
      </w:r>
    </w:p>
    <w:p w14:paraId="3F051CC0">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5.配备齐全各专业特种作业人员，特种作业人员数量和操作技能应当满足现场生产安全需要。不得安排无证人员从事现场特种作业，特种作业人员进场前应当主动向甲方提供特种作业人员操作证，并对证件的有效性、真实性负责。施工期间，乙方特殊工种工人应每季度体检一次，并将体检报告提供至甲方。乙方要按照甲方管理要求对工人进行安全教育培训，完善考核及签字手续，未经安全教育即进场施工的，责令停工整改的同时，按照【  】元/人次收取违约金。</w:t>
      </w:r>
    </w:p>
    <w:p w14:paraId="422CBC27">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6. 项目负责人和安全管理人员应参加甲方组织的安全检查、巡查工作，参加甲方组织的安全生产会议，认真落实甲方做出的有关决定。在规定的期限内完成甲方发出的整改事项。</w:t>
      </w:r>
    </w:p>
    <w:p w14:paraId="493B0C2B">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7. 进行受限空间作业、防护设施拆除、脚手架拆除作业、动火作业、爆破作业、起重机械安装、拆除及顶升作业、建（构）筑物拆除作业、电梯井内施工作业、起重吊装作业等危险作业时，应当经过甲方的批准，并办理审批手续。危险作业实施过程中，乙方应当安排专人进行全程监护，督促作业人员按章作业。</w:t>
      </w:r>
    </w:p>
    <w:p w14:paraId="794EABF4">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8. 应当使用甲方提供的合格防护用品。督促所属的每一名工人规范佩戴和使用防护用品，防护用品包括安全帽、安全带、马甲、绑腿、护目镜、劳保鞋等。现场工人使用的安全帽、马甲等应当样式统一，执行甲方的标准。工人进行高处作业、电梯井作业等有高处坠落风险的作业时，乙方应当督促工人佩戴并正确使用安全带。</w:t>
      </w:r>
    </w:p>
    <w:p w14:paraId="5A27A3C7">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9. 加强自带起重机械、吊篮、运输工具、电箱、电缆、工具、器具等设备设施的检查和验收，不使用无合格证、不能满足规范要求、安全性能不足或存在明显安全缺陷的工具、器具、设备和设施等。</w:t>
      </w:r>
    </w:p>
    <w:p w14:paraId="3DC2F81D">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特种设备、吊篮等必须经过具备相应资质的第三方单位进行安装检测和定期检测，检测合格后，经现场建设单位、监理单位、总承包单位、安装单位和使用单位联合验收合格后，方可投入使用。</w:t>
      </w:r>
    </w:p>
    <w:p w14:paraId="7BB53CCF">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10. 加强工人交通安全法制观念的教育，督促工人在上、下班途中遵守交通安全法律、法规，及时发现和制止工人的交通违法和违规行为。</w:t>
      </w:r>
    </w:p>
    <w:p w14:paraId="72EACDF4">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11. 加强零散、突击用工安全管理，零散和突击用工进场前，应当向甲方报告，由甲方进行入场安全教育和安全作业能力审查，未经三级教育、入场教育和安全技术交底的人员，不得安排进入施工现场施工。零散、突击用工施工时，要安排专人进行旁站监督，要加强巡视检查。</w:t>
      </w:r>
    </w:p>
    <w:p w14:paraId="34EBF41D">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12. 不得超时间、超强度、超能力安排工人进行生产作业活动。应当根据甲方制定的作息时间表安排工人上、下班，禁止工人在非正常工作时段进入施工现场，应当督促工人在下班后及时离开施工现场。</w:t>
      </w:r>
    </w:p>
    <w:p w14:paraId="5B00DAB8">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加班期间，乙方应当每天安排专人负责值班，在所有工人撤场后，值班人员方可离开现场。施工现场禁止工人午休及留宿。</w:t>
      </w:r>
    </w:p>
    <w:p w14:paraId="4AD3AB0C">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13. 负责编制合同范围内的危险性较大的工程和超过一定规模的危险性较大的分部分项工程安全专项施工方案，履行内部审核程序，将危大工程和超危工程方案报送总承包单位审查。按照超危工程方案专家论证意见，对专项方案进行修改。</w:t>
      </w:r>
    </w:p>
    <w:p w14:paraId="3555BBE9">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组织作业工人进行书面安全技术交底，所有作业工人均应当接受安全技术交底。安全技术交底活动应当接受甲方安全生产监督管理人员的监督。技术交底工作完成后，应当及时将相关资料（安全技术交底表、工人签名、交底图片等）交甲方留存备查。</w:t>
      </w:r>
    </w:p>
    <w:p w14:paraId="3516973D">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14. 工人作业时，应当安排专职安全管理人员在施工区域范围内进行不间断安全巡查，巡查应当以发现和制止工人的违章操作和违反劳动纪律行为为重点。巡查部位、巡查内容、巡查反馈等巡查要求应当按照甲方的要求执行。在巡查过程中，发现不能立即消除的安全隐患时，应当向甲方报告。发现危及工人安全的险情时，应当安排工人立即撤离，并立即向甲方报告。</w:t>
      </w:r>
    </w:p>
    <w:p w14:paraId="3EB4BE7A">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参加甲方组织的周检查、日巡查、季节性检查等安全检查，负责对自身所属范围内容的隐患问题进行整改，在规定的期限内完成整改，并向甲方反馈整改情况。</w:t>
      </w:r>
    </w:p>
    <w:p w14:paraId="36FC1474">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15. 现场危大工程和超危工程实施到一定阶段时，应当向总承包单位提出验收申请，经建设单位、监理单位、总承包单位等验收合格后，方可进入下一道工序。</w:t>
      </w:r>
    </w:p>
    <w:p w14:paraId="7FA98093">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16. 参加甲方组织的生产安全事故应急救援演练，掌握应急救援相关要求。</w:t>
      </w:r>
    </w:p>
    <w:p w14:paraId="24B690D3">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17. 按照甲方的要求和施工现场的具体情况，足额使用本单位掌握的安全措施费用。</w:t>
      </w:r>
    </w:p>
    <w:p w14:paraId="0ADEA73A">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18. 在同一场地与其他分包单位交叉作业，有可能危及对方安全时，应主动向甲方报告，听从甲方的统一指挥，按照甲方指定的施工顺序进行施工，并安排专职安全生产管理人员进行监护。</w:t>
      </w:r>
    </w:p>
    <w:p w14:paraId="1AC214DE">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19. 不得在建的建筑物内布置工人宿舍。按照甲方的生活区管理制度，配合甲方做好生活区的卫生、防火、防盗和治安管理等工作。严禁在工人生活区私自使用大功率电器、私拉乱接、破坏临时消防设施；严禁在工人宿舍区聚众赌博。</w:t>
      </w:r>
    </w:p>
    <w:p w14:paraId="22A7565A">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20. 食堂工作人员须持健康证上岗；每半年检查一次身体，做好饭菜留样，落实各项预防食物中毒的制度和措施。</w:t>
      </w:r>
    </w:p>
    <w:p w14:paraId="08A87C09">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二、事故处理</w:t>
      </w:r>
    </w:p>
    <w:p w14:paraId="42AB27BB">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一旦发生生产安全事故，要依据《生产安全事故报告和调查处理条例》的规定进行处理。保护事故现场，及时抢救伤员，防止事故扩大，减少事故损失。由甲方安排向有关方面报告。事故调查处理期间，配合有关部门进行事故调查，按照“四不放过”原则进行事故处理。</w:t>
      </w:r>
    </w:p>
    <w:p w14:paraId="3B200F32">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事故发生后，乙方应调动一切资源，做好家属的接待和服务工作，并负责洽谈有关赔偿事宜。乙方在事故中负有责任的，乙方应赔偿甲方在安全事故中支出的各种费用和所遭受的各种损失，相关费用直接从结算价款中直接扣除。</w:t>
      </w:r>
    </w:p>
    <w:p w14:paraId="57F3B7F8">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三、其他</w:t>
      </w:r>
    </w:p>
    <w:p w14:paraId="3BE597E2">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乙方不执行本协议的有关要求，由甲方按照本协议附件：《专业分包现场安全生产违约处罚细则》进行处罚，处罚由甲方管理人员发出书面告知，乙方收到书面告知后，可在7天内提出书面异议。乙方对甲方的处罚有异议时，可书面向甲方现场代表提出复议；对甲方现场代表的决定仍然有异议时，可向甲方上级安全管理部门书面申请复议，甲方上级安全管理部门的决定是最终决定。若在规定的时间内不提出书面异议，处罚自动生效，在乙方当月工程款中直接扣除。</w:t>
      </w:r>
    </w:p>
    <w:p w14:paraId="72009D6E">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甲方鼓励乙方采取创新举措加强现场安全生产管理工作，提出改进安全生产工作的有效措施建议，乙方对项目安全生产工作有突出贡献的，由甲方进行奖励，奖励经甲方现场代表事先签字同意后，按照甲方商务、财务有关规定办理。</w:t>
      </w:r>
    </w:p>
    <w:p w14:paraId="1CA4671F">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在施工过程中遇有本协议未约定情况，甲乙双方需共同遵守国家、地方的有关现行法律、法规、规范、标准等的要求，共同做好现场安全生产工作，确保生产安全。</w:t>
      </w:r>
    </w:p>
    <w:p w14:paraId="6A14C1F0">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本协议适用范围：（1）人员：甲乙双方所有进入施工现场、项目部、生活区的人员；（2）区域：工程地点围墙以内，大门处门边3米以内；（3）时间：自本协议书签字之日起至乙方完成合同约定工程量之日止。</w:t>
      </w:r>
    </w:p>
    <w:p w14:paraId="3960FE70">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甲方现场安全生产监督管理负责人：</w:t>
      </w:r>
    </w:p>
    <w:p w14:paraId="590DD7E4">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安全员：1.【      】2.【      】3.【      】4.【      】5.【      】</w:t>
      </w:r>
    </w:p>
    <w:p w14:paraId="0320316E">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乙方现场安全负责人：</w:t>
      </w:r>
    </w:p>
    <w:p w14:paraId="0514F626">
      <w:pPr>
        <w:spacing w:line="360" w:lineRule="auto"/>
        <w:ind w:left="0" w:leftChars="0" w:right="0"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安全员：1.【      】2.【      】3.【      】4.【      】5.【      】</w:t>
      </w:r>
    </w:p>
    <w:p w14:paraId="1033B13A">
      <w:pPr>
        <w:spacing w:line="360" w:lineRule="auto"/>
        <w:ind w:left="0" w:leftChars="0" w:right="0" w:firstLine="48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bidi="ar"/>
        </w:rPr>
        <w:t>本协议作为附件与分包合同同时签订。</w:t>
      </w:r>
    </w:p>
    <w:p w14:paraId="2A22C8FE">
      <w:pPr>
        <w:spacing w:line="360" w:lineRule="auto"/>
        <w:ind w:right="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b/>
          <w:bCs/>
          <w:sz w:val="30"/>
          <w:szCs w:val="30"/>
          <w:lang w:bidi="ar"/>
        </w:rPr>
        <w:t>专业分包现场安全生产违约责任承担细则</w:t>
      </w:r>
    </w:p>
    <w:tbl>
      <w:tblPr>
        <w:tblStyle w:val="3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245"/>
        <w:gridCol w:w="1559"/>
        <w:gridCol w:w="788"/>
      </w:tblGrid>
      <w:tr w14:paraId="4FD4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3857515">
            <w:pPr>
              <w:spacing w:line="360" w:lineRule="auto"/>
              <w:ind w:right="0"/>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bidi="ar"/>
              </w:rPr>
              <w:t>序号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1E95653">
            <w:pPr>
              <w:spacing w:line="360" w:lineRule="auto"/>
              <w:ind w:right="0"/>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bidi="ar"/>
              </w:rPr>
              <w:t>违约情形</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FA16602">
            <w:pPr>
              <w:spacing w:line="360" w:lineRule="auto"/>
              <w:ind w:right="0"/>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bidi="ar"/>
              </w:rPr>
              <w:t>违约金</w:t>
            </w:r>
          </w:p>
        </w:tc>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14:paraId="1DD35799">
            <w:pPr>
              <w:spacing w:line="360" w:lineRule="auto"/>
              <w:ind w:right="0"/>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bidi="ar"/>
              </w:rPr>
              <w:t>备注</w:t>
            </w:r>
          </w:p>
        </w:tc>
      </w:tr>
      <w:tr w14:paraId="46B8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0B127D7">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752329B">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未按照规定配齐专职安全生产管理人员</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76C336F">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1000元/天/人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4CFDFBF8">
            <w:pPr>
              <w:spacing w:line="360" w:lineRule="auto"/>
              <w:ind w:right="0"/>
              <w:jc w:val="both"/>
              <w:rPr>
                <w:rFonts w:hint="eastAsia" w:asciiTheme="minorEastAsia" w:hAnsiTheme="minorEastAsia" w:eastAsiaTheme="minorEastAsia" w:cstheme="minorEastAsia"/>
                <w:sz w:val="24"/>
              </w:rPr>
            </w:pPr>
          </w:p>
        </w:tc>
      </w:tr>
      <w:tr w14:paraId="083D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5895559">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209C07F5">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专职安全生产管理人员兼职其他工作</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CEA0691">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590AA3DE">
            <w:pPr>
              <w:spacing w:line="360" w:lineRule="auto"/>
              <w:ind w:right="0"/>
              <w:jc w:val="both"/>
              <w:rPr>
                <w:rFonts w:hint="eastAsia" w:asciiTheme="minorEastAsia" w:hAnsiTheme="minorEastAsia" w:eastAsiaTheme="minorEastAsia" w:cstheme="minorEastAsia"/>
                <w:sz w:val="24"/>
              </w:rPr>
            </w:pPr>
          </w:p>
        </w:tc>
      </w:tr>
      <w:tr w14:paraId="3658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6DF8D3C">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393A053F">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安全管理人员未持有效执业资格证</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1E8228C">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1000元</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41821479">
            <w:pPr>
              <w:spacing w:line="360" w:lineRule="auto"/>
              <w:ind w:right="0"/>
              <w:jc w:val="both"/>
              <w:rPr>
                <w:rFonts w:hint="eastAsia" w:asciiTheme="minorEastAsia" w:hAnsiTheme="minorEastAsia" w:eastAsiaTheme="minorEastAsia" w:cstheme="minorEastAsia"/>
                <w:sz w:val="24"/>
              </w:rPr>
            </w:pPr>
          </w:p>
        </w:tc>
      </w:tr>
      <w:tr w14:paraId="5944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3CDAFAF">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4</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34D9CE6D">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未完成合同约定工程量，专职安全员提前退场</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2D0FD32">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1000元/天/人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468E3996">
            <w:pPr>
              <w:spacing w:line="360" w:lineRule="auto"/>
              <w:ind w:right="0"/>
              <w:jc w:val="both"/>
              <w:rPr>
                <w:rFonts w:hint="eastAsia" w:asciiTheme="minorEastAsia" w:hAnsiTheme="minorEastAsia" w:eastAsiaTheme="minorEastAsia" w:cstheme="minorEastAsia"/>
                <w:sz w:val="24"/>
              </w:rPr>
            </w:pPr>
          </w:p>
        </w:tc>
      </w:tr>
      <w:tr w14:paraId="1D06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107607C">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330D448C">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专职安全生产管理人员未与甲方合并办公</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F0B7DFC">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16ECFF32">
            <w:pPr>
              <w:spacing w:line="360" w:lineRule="auto"/>
              <w:ind w:right="0"/>
              <w:jc w:val="both"/>
              <w:rPr>
                <w:rFonts w:hint="eastAsia" w:asciiTheme="minorEastAsia" w:hAnsiTheme="minorEastAsia" w:eastAsiaTheme="minorEastAsia" w:cstheme="minorEastAsia"/>
                <w:sz w:val="24"/>
              </w:rPr>
            </w:pPr>
          </w:p>
        </w:tc>
      </w:tr>
      <w:tr w14:paraId="0BD0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C1AF21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6</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20C6A012">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专职安全生产管理人员未按照甲方要求开展工作</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EF79718">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7B6C7BA3">
            <w:pPr>
              <w:spacing w:line="360" w:lineRule="auto"/>
              <w:ind w:right="0"/>
              <w:jc w:val="both"/>
              <w:rPr>
                <w:rFonts w:hint="eastAsia" w:asciiTheme="minorEastAsia" w:hAnsiTheme="minorEastAsia" w:eastAsiaTheme="minorEastAsia" w:cstheme="minorEastAsia"/>
                <w:sz w:val="24"/>
              </w:rPr>
            </w:pPr>
          </w:p>
        </w:tc>
      </w:tr>
      <w:tr w14:paraId="3DFC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6FF27B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7</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5A3D7BF">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未安排专职安全生产管理人员在现场巡查</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99897AC">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2DFF80CB">
            <w:pPr>
              <w:spacing w:line="360" w:lineRule="auto"/>
              <w:ind w:right="0"/>
              <w:jc w:val="both"/>
              <w:rPr>
                <w:rFonts w:hint="eastAsia" w:asciiTheme="minorEastAsia" w:hAnsiTheme="minorEastAsia" w:eastAsiaTheme="minorEastAsia" w:cstheme="minorEastAsia"/>
                <w:sz w:val="24"/>
              </w:rPr>
            </w:pPr>
          </w:p>
        </w:tc>
      </w:tr>
      <w:tr w14:paraId="0D03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579DA10">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8</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EAF5B06">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未向甲方提供进场人员名单、身份证复印件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843CC66">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200元/人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1C052904">
            <w:pPr>
              <w:spacing w:line="360" w:lineRule="auto"/>
              <w:ind w:right="0"/>
              <w:jc w:val="both"/>
              <w:rPr>
                <w:rFonts w:hint="eastAsia" w:asciiTheme="minorEastAsia" w:hAnsiTheme="minorEastAsia" w:eastAsiaTheme="minorEastAsia" w:cstheme="minorEastAsia"/>
                <w:sz w:val="24"/>
              </w:rPr>
            </w:pPr>
          </w:p>
        </w:tc>
      </w:tr>
      <w:tr w14:paraId="70BE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2EC379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9</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B1DE2DD">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未提供进场工人进行三级安全教育资料</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49522E8">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200元/人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78690A53">
            <w:pPr>
              <w:spacing w:line="360" w:lineRule="auto"/>
              <w:ind w:right="0"/>
              <w:jc w:val="both"/>
              <w:rPr>
                <w:rFonts w:hint="eastAsia" w:asciiTheme="minorEastAsia" w:hAnsiTheme="minorEastAsia" w:eastAsiaTheme="minorEastAsia" w:cstheme="minorEastAsia"/>
                <w:sz w:val="24"/>
              </w:rPr>
            </w:pPr>
          </w:p>
        </w:tc>
      </w:tr>
      <w:tr w14:paraId="3267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665C3B8">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9124D6C">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安排超过60周岁的工人进入现场作业</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E31116F">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500元/人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1B76AA11">
            <w:pPr>
              <w:spacing w:line="360" w:lineRule="auto"/>
              <w:ind w:right="0"/>
              <w:jc w:val="both"/>
              <w:rPr>
                <w:rFonts w:hint="eastAsia" w:asciiTheme="minorEastAsia" w:hAnsiTheme="minorEastAsia" w:eastAsiaTheme="minorEastAsia" w:cstheme="minorEastAsia"/>
                <w:sz w:val="24"/>
              </w:rPr>
            </w:pPr>
          </w:p>
        </w:tc>
      </w:tr>
      <w:tr w14:paraId="63A6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486578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11</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20D91BDB">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特种作业人员未持有效证件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40E686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2000元/人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77C88BC3">
            <w:pPr>
              <w:spacing w:line="360" w:lineRule="auto"/>
              <w:ind w:right="0"/>
              <w:jc w:val="both"/>
              <w:rPr>
                <w:rFonts w:hint="eastAsia" w:asciiTheme="minorEastAsia" w:hAnsiTheme="minorEastAsia" w:eastAsiaTheme="minorEastAsia" w:cstheme="minorEastAsia"/>
                <w:sz w:val="24"/>
              </w:rPr>
            </w:pPr>
          </w:p>
        </w:tc>
      </w:tr>
      <w:tr w14:paraId="17D4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C9C1F02">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12</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5C5E3D48">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不参加甲方组织的安全生产检查</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661DDC8">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13860758">
            <w:pPr>
              <w:spacing w:line="360" w:lineRule="auto"/>
              <w:ind w:right="0"/>
              <w:jc w:val="both"/>
              <w:rPr>
                <w:rFonts w:hint="eastAsia" w:asciiTheme="minorEastAsia" w:hAnsiTheme="minorEastAsia" w:eastAsiaTheme="minorEastAsia" w:cstheme="minorEastAsia"/>
                <w:sz w:val="24"/>
              </w:rPr>
            </w:pPr>
          </w:p>
        </w:tc>
      </w:tr>
      <w:tr w14:paraId="326F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B30A200">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13</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23C3B68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不参加甲方组织的安全会议</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63E8C20">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48925FBF">
            <w:pPr>
              <w:spacing w:line="360" w:lineRule="auto"/>
              <w:ind w:right="0"/>
              <w:jc w:val="both"/>
              <w:rPr>
                <w:rFonts w:hint="eastAsia" w:asciiTheme="minorEastAsia" w:hAnsiTheme="minorEastAsia" w:eastAsiaTheme="minorEastAsia" w:cstheme="minorEastAsia"/>
                <w:sz w:val="24"/>
              </w:rPr>
            </w:pPr>
          </w:p>
        </w:tc>
      </w:tr>
      <w:tr w14:paraId="07AB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D73EB83">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14</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331EBFAE">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未在规定的期限内，完成隐患整改（一般隐患）</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DAC4DCD">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500元/条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16319847">
            <w:pPr>
              <w:spacing w:line="360" w:lineRule="auto"/>
              <w:ind w:right="0"/>
              <w:jc w:val="both"/>
              <w:rPr>
                <w:rFonts w:hint="eastAsia" w:asciiTheme="minorEastAsia" w:hAnsiTheme="minorEastAsia" w:eastAsiaTheme="minorEastAsia" w:cstheme="minorEastAsia"/>
                <w:sz w:val="24"/>
              </w:rPr>
            </w:pPr>
          </w:p>
        </w:tc>
      </w:tr>
      <w:tr w14:paraId="6570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CDA8DC5">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15</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77DA73E">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出现三大“攻坚”隐患</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A85C5D9">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1000元/条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3903E4E2">
            <w:pPr>
              <w:spacing w:line="360" w:lineRule="auto"/>
              <w:ind w:right="0"/>
              <w:jc w:val="both"/>
              <w:rPr>
                <w:rFonts w:hint="eastAsia" w:asciiTheme="minorEastAsia" w:hAnsiTheme="minorEastAsia" w:eastAsiaTheme="minorEastAsia" w:cstheme="minorEastAsia"/>
                <w:sz w:val="24"/>
              </w:rPr>
            </w:pPr>
          </w:p>
        </w:tc>
      </w:tr>
      <w:tr w14:paraId="48A1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79626AB">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16</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6562CC3">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不安排工人接受甲方入场安全教育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30008FB">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200元/人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636584B6">
            <w:pPr>
              <w:spacing w:line="360" w:lineRule="auto"/>
              <w:ind w:right="0"/>
              <w:jc w:val="both"/>
              <w:rPr>
                <w:rFonts w:hint="eastAsia" w:asciiTheme="minorEastAsia" w:hAnsiTheme="minorEastAsia" w:eastAsiaTheme="minorEastAsia" w:cstheme="minorEastAsia"/>
                <w:sz w:val="24"/>
              </w:rPr>
            </w:pPr>
          </w:p>
        </w:tc>
      </w:tr>
      <w:tr w14:paraId="4A9E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76D6554">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17</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6AD5307D">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经过入场安全教育工人安全帽未贴标识</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FB2179C">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50元/人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3E407A3D">
            <w:pPr>
              <w:spacing w:line="360" w:lineRule="auto"/>
              <w:ind w:right="0"/>
              <w:jc w:val="both"/>
              <w:rPr>
                <w:rFonts w:hint="eastAsia" w:asciiTheme="minorEastAsia" w:hAnsiTheme="minorEastAsia" w:eastAsiaTheme="minorEastAsia" w:cstheme="minorEastAsia"/>
                <w:sz w:val="24"/>
              </w:rPr>
            </w:pPr>
          </w:p>
        </w:tc>
      </w:tr>
      <w:tr w14:paraId="4929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48A1787">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18</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30B5755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使用未经安全教育培训考核合格的工人</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C63D955">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1000元/人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5D957156">
            <w:pPr>
              <w:spacing w:line="360" w:lineRule="auto"/>
              <w:ind w:right="0"/>
              <w:jc w:val="both"/>
              <w:rPr>
                <w:rFonts w:hint="eastAsia" w:asciiTheme="minorEastAsia" w:hAnsiTheme="minorEastAsia" w:eastAsiaTheme="minorEastAsia" w:cstheme="minorEastAsia"/>
                <w:sz w:val="24"/>
              </w:rPr>
            </w:pPr>
          </w:p>
        </w:tc>
      </w:tr>
      <w:tr w14:paraId="5C9C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595FE24">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19</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6439567">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未组织开展安全生产早班会</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9C76098">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60D16854">
            <w:pPr>
              <w:spacing w:line="360" w:lineRule="auto"/>
              <w:ind w:right="0"/>
              <w:jc w:val="both"/>
              <w:rPr>
                <w:rFonts w:hint="eastAsia" w:asciiTheme="minorEastAsia" w:hAnsiTheme="minorEastAsia" w:eastAsiaTheme="minorEastAsia" w:cstheme="minorEastAsia"/>
                <w:sz w:val="24"/>
              </w:rPr>
            </w:pPr>
          </w:p>
        </w:tc>
      </w:tr>
      <w:tr w14:paraId="0DBC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50774BB">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3A1615FB">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参加早班会人员不全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C561552">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50元/人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0D7CF483">
            <w:pPr>
              <w:spacing w:line="360" w:lineRule="auto"/>
              <w:ind w:right="0"/>
              <w:jc w:val="both"/>
              <w:rPr>
                <w:rFonts w:hint="eastAsia" w:asciiTheme="minorEastAsia" w:hAnsiTheme="minorEastAsia" w:eastAsiaTheme="minorEastAsia" w:cstheme="minorEastAsia"/>
                <w:sz w:val="24"/>
              </w:rPr>
            </w:pPr>
          </w:p>
        </w:tc>
      </w:tr>
      <w:tr w14:paraId="1A02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4DCDC29">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21</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7F6E018">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未及时向甲方报送安全生产早班会资料</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4FFD255">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4534EA02">
            <w:pPr>
              <w:spacing w:line="360" w:lineRule="auto"/>
              <w:ind w:right="0"/>
              <w:jc w:val="both"/>
              <w:rPr>
                <w:rFonts w:hint="eastAsia" w:asciiTheme="minorEastAsia" w:hAnsiTheme="minorEastAsia" w:eastAsiaTheme="minorEastAsia" w:cstheme="minorEastAsia"/>
                <w:sz w:val="24"/>
              </w:rPr>
            </w:pPr>
          </w:p>
        </w:tc>
      </w:tr>
      <w:tr w14:paraId="623A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1A41FC8">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22</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70643856">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高风险作业未经许可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FD21EAC">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4AEF87D2">
            <w:pPr>
              <w:spacing w:line="360" w:lineRule="auto"/>
              <w:ind w:right="0"/>
              <w:jc w:val="both"/>
              <w:rPr>
                <w:rFonts w:hint="eastAsia" w:asciiTheme="minorEastAsia" w:hAnsiTheme="minorEastAsia" w:eastAsiaTheme="minorEastAsia" w:cstheme="minorEastAsia"/>
                <w:sz w:val="24"/>
              </w:rPr>
            </w:pPr>
          </w:p>
        </w:tc>
      </w:tr>
      <w:tr w14:paraId="2518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67D90D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23</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A2AF747">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拆除现场防护后，未采取临时措施防护或及时恢复</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D5D30D6">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2B277DFA">
            <w:pPr>
              <w:spacing w:line="360" w:lineRule="auto"/>
              <w:ind w:right="0"/>
              <w:jc w:val="both"/>
              <w:rPr>
                <w:rFonts w:hint="eastAsia" w:asciiTheme="minorEastAsia" w:hAnsiTheme="minorEastAsia" w:eastAsiaTheme="minorEastAsia" w:cstheme="minorEastAsia"/>
                <w:sz w:val="24"/>
              </w:rPr>
            </w:pPr>
          </w:p>
        </w:tc>
      </w:tr>
      <w:tr w14:paraId="6C7E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BC9116B">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24</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2BAE0E5D">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高风险作业未安排专人进行监护</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F69CD1E">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1000元</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28EECEBE">
            <w:pPr>
              <w:spacing w:line="360" w:lineRule="auto"/>
              <w:ind w:right="0"/>
              <w:jc w:val="both"/>
              <w:rPr>
                <w:rFonts w:hint="eastAsia" w:asciiTheme="minorEastAsia" w:hAnsiTheme="minorEastAsia" w:eastAsiaTheme="minorEastAsia" w:cstheme="minorEastAsia"/>
                <w:sz w:val="24"/>
              </w:rPr>
            </w:pPr>
          </w:p>
        </w:tc>
      </w:tr>
      <w:tr w14:paraId="10CE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C3237A4">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25</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6D8D7441">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高处作业人员未佩戴和使用安全带</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6B1CE1B">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4E3CE29C">
            <w:pPr>
              <w:spacing w:line="360" w:lineRule="auto"/>
              <w:ind w:right="0"/>
              <w:jc w:val="both"/>
              <w:rPr>
                <w:rFonts w:hint="eastAsia" w:asciiTheme="minorEastAsia" w:hAnsiTheme="minorEastAsia" w:eastAsiaTheme="minorEastAsia" w:cstheme="minorEastAsia"/>
                <w:sz w:val="24"/>
              </w:rPr>
            </w:pPr>
          </w:p>
        </w:tc>
      </w:tr>
      <w:tr w14:paraId="6F9F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7EE875A">
            <w:pPr>
              <w:spacing w:line="360" w:lineRule="auto"/>
              <w:ind w:right="0"/>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lang w:bidi="ar"/>
              </w:rPr>
              <w:t>26</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74CB7F47">
            <w:pPr>
              <w:spacing w:line="360" w:lineRule="auto"/>
              <w:ind w:right="0"/>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lang w:bidi="ar"/>
              </w:rPr>
              <w:t>工人未佩戴安全帽或规范佩戴安全帽</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DDEC319">
            <w:pPr>
              <w:spacing w:line="360" w:lineRule="auto"/>
              <w:ind w:right="0"/>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sz w:val="24"/>
                <w:lang w:bidi="ar"/>
              </w:rPr>
              <w:t>100元/次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25EF7D1C">
            <w:pPr>
              <w:spacing w:line="360" w:lineRule="auto"/>
              <w:ind w:right="0"/>
              <w:jc w:val="both"/>
              <w:rPr>
                <w:rFonts w:hint="eastAsia" w:asciiTheme="minorEastAsia" w:hAnsiTheme="minorEastAsia" w:eastAsiaTheme="minorEastAsia" w:cstheme="minorEastAsia"/>
                <w:b/>
                <w:bCs/>
                <w:sz w:val="24"/>
              </w:rPr>
            </w:pPr>
          </w:p>
        </w:tc>
      </w:tr>
      <w:tr w14:paraId="4251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1F175ED">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27</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3745EEF9">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工人未穿马甲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0ED9330">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05344BEB">
            <w:pPr>
              <w:spacing w:line="360" w:lineRule="auto"/>
              <w:ind w:right="0"/>
              <w:jc w:val="both"/>
              <w:rPr>
                <w:rFonts w:hint="eastAsia" w:asciiTheme="minorEastAsia" w:hAnsiTheme="minorEastAsia" w:eastAsiaTheme="minorEastAsia" w:cstheme="minorEastAsia"/>
                <w:sz w:val="24"/>
              </w:rPr>
            </w:pPr>
          </w:p>
        </w:tc>
      </w:tr>
      <w:tr w14:paraId="142E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D85E99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28</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555F872B">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使用自带不合格电箱、电缆、配电盘等电气设备</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CD16EBD">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199214A4">
            <w:pPr>
              <w:spacing w:line="360" w:lineRule="auto"/>
              <w:ind w:right="0"/>
              <w:jc w:val="both"/>
              <w:rPr>
                <w:rFonts w:hint="eastAsia" w:asciiTheme="minorEastAsia" w:hAnsiTheme="minorEastAsia" w:eastAsiaTheme="minorEastAsia" w:cstheme="minorEastAsia"/>
                <w:sz w:val="24"/>
              </w:rPr>
            </w:pPr>
          </w:p>
        </w:tc>
      </w:tr>
      <w:tr w14:paraId="61A1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9A79D9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29</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0E55F297">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自带工具、器具、设备未经验收即使用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24855F0">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7C158BCF">
            <w:pPr>
              <w:spacing w:line="360" w:lineRule="auto"/>
              <w:ind w:right="0"/>
              <w:jc w:val="both"/>
              <w:rPr>
                <w:rFonts w:hint="eastAsia" w:asciiTheme="minorEastAsia" w:hAnsiTheme="minorEastAsia" w:eastAsiaTheme="minorEastAsia" w:cstheme="minorEastAsia"/>
                <w:sz w:val="24"/>
              </w:rPr>
            </w:pPr>
          </w:p>
        </w:tc>
      </w:tr>
      <w:tr w14:paraId="48E3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D3E8B23">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30</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336C6654">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使用自带安全性能明显不足的工具、器具、设备等</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09E6939">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38379F33">
            <w:pPr>
              <w:spacing w:line="360" w:lineRule="auto"/>
              <w:ind w:right="0"/>
              <w:jc w:val="both"/>
              <w:rPr>
                <w:rFonts w:hint="eastAsia" w:asciiTheme="minorEastAsia" w:hAnsiTheme="minorEastAsia" w:eastAsiaTheme="minorEastAsia" w:cstheme="minorEastAsia"/>
                <w:sz w:val="24"/>
              </w:rPr>
            </w:pPr>
          </w:p>
        </w:tc>
      </w:tr>
      <w:tr w14:paraId="412A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2ED7232">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31</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7A42D5EE">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未安排工人接受安全技术交底</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1160FA2">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200元/人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7662A393">
            <w:pPr>
              <w:spacing w:line="360" w:lineRule="auto"/>
              <w:ind w:right="0"/>
              <w:jc w:val="both"/>
              <w:rPr>
                <w:rFonts w:hint="eastAsia" w:asciiTheme="minorEastAsia" w:hAnsiTheme="minorEastAsia" w:eastAsiaTheme="minorEastAsia" w:cstheme="minorEastAsia"/>
                <w:sz w:val="24"/>
              </w:rPr>
            </w:pPr>
          </w:p>
        </w:tc>
      </w:tr>
      <w:tr w14:paraId="569E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8A5C09E">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32</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59DB1ACE">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零散用工、突击用工未经入场安全教育</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5A02D86">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200元/人</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2CFF3B9B">
            <w:pPr>
              <w:spacing w:line="360" w:lineRule="auto"/>
              <w:ind w:right="0"/>
              <w:jc w:val="both"/>
              <w:rPr>
                <w:rFonts w:hint="eastAsia" w:asciiTheme="minorEastAsia" w:hAnsiTheme="minorEastAsia" w:eastAsiaTheme="minorEastAsia" w:cstheme="minorEastAsia"/>
                <w:sz w:val="24"/>
              </w:rPr>
            </w:pPr>
          </w:p>
        </w:tc>
      </w:tr>
      <w:tr w14:paraId="2D12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99020B0">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33</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942B8F5">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零散用工、突击用工作业时，无专人监护</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FBE719D">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68194902">
            <w:pPr>
              <w:spacing w:line="360" w:lineRule="auto"/>
              <w:ind w:right="0"/>
              <w:jc w:val="both"/>
              <w:rPr>
                <w:rFonts w:hint="eastAsia" w:asciiTheme="minorEastAsia" w:hAnsiTheme="minorEastAsia" w:eastAsiaTheme="minorEastAsia" w:cstheme="minorEastAsia"/>
                <w:sz w:val="24"/>
              </w:rPr>
            </w:pPr>
          </w:p>
        </w:tc>
      </w:tr>
      <w:tr w14:paraId="0916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2B6AF8B">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34</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75793D36">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加班时段，现场无专人值班</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72E3907">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534E977C">
            <w:pPr>
              <w:spacing w:line="360" w:lineRule="auto"/>
              <w:ind w:right="0"/>
              <w:jc w:val="both"/>
              <w:rPr>
                <w:rFonts w:hint="eastAsia" w:asciiTheme="minorEastAsia" w:hAnsiTheme="minorEastAsia" w:eastAsiaTheme="minorEastAsia" w:cstheme="minorEastAsia"/>
                <w:sz w:val="24"/>
              </w:rPr>
            </w:pPr>
          </w:p>
        </w:tc>
      </w:tr>
      <w:tr w14:paraId="7E72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9146481">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35</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5E6089F8">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不执行交叉作业安全管理有关规定</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3899D885">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01142F9A">
            <w:pPr>
              <w:spacing w:line="360" w:lineRule="auto"/>
              <w:ind w:right="0"/>
              <w:jc w:val="both"/>
              <w:rPr>
                <w:rFonts w:hint="eastAsia" w:asciiTheme="minorEastAsia" w:hAnsiTheme="minorEastAsia" w:eastAsiaTheme="minorEastAsia" w:cstheme="minorEastAsia"/>
                <w:sz w:val="24"/>
              </w:rPr>
            </w:pPr>
          </w:p>
        </w:tc>
      </w:tr>
      <w:tr w14:paraId="2AB4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5270A73">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36</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15C88B1D">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不参加甲方组织的应急演练</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98D86E4">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557CAAE0">
            <w:pPr>
              <w:spacing w:line="360" w:lineRule="auto"/>
              <w:ind w:right="0"/>
              <w:jc w:val="both"/>
              <w:rPr>
                <w:rFonts w:hint="eastAsia" w:asciiTheme="minorEastAsia" w:hAnsiTheme="minorEastAsia" w:eastAsiaTheme="minorEastAsia" w:cstheme="minorEastAsia"/>
                <w:sz w:val="24"/>
              </w:rPr>
            </w:pPr>
          </w:p>
        </w:tc>
      </w:tr>
      <w:tr w14:paraId="6C94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C9F0F81">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37</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5D22BBD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危大工程和超危工程，关键节点未经甲方验收，即进入下一道工序施工</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88D7AEE">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20000元/次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06B1C30C">
            <w:pPr>
              <w:spacing w:line="360" w:lineRule="auto"/>
              <w:ind w:right="0"/>
              <w:jc w:val="both"/>
              <w:rPr>
                <w:rFonts w:hint="eastAsia" w:asciiTheme="minorEastAsia" w:hAnsiTheme="minorEastAsia" w:eastAsiaTheme="minorEastAsia" w:cstheme="minorEastAsia"/>
                <w:sz w:val="24"/>
              </w:rPr>
            </w:pPr>
          </w:p>
        </w:tc>
      </w:tr>
      <w:tr w14:paraId="737B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26F5A6F">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38</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54ED0EFE">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生活区无专人负责安全管理</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56508BB">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3000元</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300CBB56">
            <w:pPr>
              <w:spacing w:line="360" w:lineRule="auto"/>
              <w:ind w:right="0"/>
              <w:jc w:val="both"/>
              <w:rPr>
                <w:rFonts w:hint="eastAsia" w:asciiTheme="minorEastAsia" w:hAnsiTheme="minorEastAsia" w:eastAsiaTheme="minorEastAsia" w:cstheme="minorEastAsia"/>
                <w:sz w:val="24"/>
              </w:rPr>
            </w:pPr>
          </w:p>
        </w:tc>
      </w:tr>
      <w:tr w14:paraId="0519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86BEB7C">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39</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0F35D0E3">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不执行动火作业有关规定，导致现场火灾</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E9B49F7">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467156BB">
            <w:pPr>
              <w:spacing w:line="360" w:lineRule="auto"/>
              <w:ind w:right="0"/>
              <w:jc w:val="both"/>
              <w:rPr>
                <w:rFonts w:hint="eastAsia" w:asciiTheme="minorEastAsia" w:hAnsiTheme="minorEastAsia" w:eastAsiaTheme="minorEastAsia" w:cstheme="minorEastAsia"/>
                <w:sz w:val="24"/>
              </w:rPr>
            </w:pPr>
          </w:p>
        </w:tc>
      </w:tr>
      <w:tr w14:paraId="4407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01960C8">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40</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58A2B86A">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违反生活区消防管理规定，导致生活区火灾</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5899997">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3AD622F4">
            <w:pPr>
              <w:spacing w:line="360" w:lineRule="auto"/>
              <w:ind w:right="0"/>
              <w:jc w:val="both"/>
              <w:rPr>
                <w:rFonts w:hint="eastAsia" w:asciiTheme="minorEastAsia" w:hAnsiTheme="minorEastAsia" w:eastAsiaTheme="minorEastAsia" w:cstheme="minorEastAsia"/>
                <w:sz w:val="24"/>
              </w:rPr>
            </w:pPr>
          </w:p>
        </w:tc>
      </w:tr>
      <w:tr w14:paraId="5510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5FB9787">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41</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4FF11E30">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违反食堂卫生制度，发生食物中毒事件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01FF2EC">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50000元/次</w:t>
            </w: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14B73F9F">
            <w:pPr>
              <w:spacing w:line="360" w:lineRule="auto"/>
              <w:ind w:right="0"/>
              <w:jc w:val="both"/>
              <w:rPr>
                <w:rFonts w:hint="eastAsia" w:asciiTheme="minorEastAsia" w:hAnsiTheme="minorEastAsia" w:eastAsiaTheme="minorEastAsia" w:cstheme="minorEastAsia"/>
                <w:sz w:val="24"/>
              </w:rPr>
            </w:pPr>
          </w:p>
        </w:tc>
      </w:tr>
      <w:tr w14:paraId="4C23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tcPr>
          <w:p w14:paraId="75604E72">
            <w:pPr>
              <w:spacing w:line="360" w:lineRule="auto"/>
              <w:ind w:right="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w:t>
            </w:r>
          </w:p>
        </w:tc>
        <w:tc>
          <w:tcPr>
            <w:tcW w:w="5245" w:type="dxa"/>
            <w:tcBorders>
              <w:top w:val="single" w:color="auto" w:sz="4" w:space="0"/>
              <w:left w:val="single" w:color="auto" w:sz="4" w:space="0"/>
              <w:bottom w:val="single" w:color="auto" w:sz="4" w:space="0"/>
              <w:right w:val="single" w:color="auto" w:sz="4" w:space="0"/>
            </w:tcBorders>
            <w:shd w:val="clear" w:color="auto" w:fill="auto"/>
          </w:tcPr>
          <w:p w14:paraId="0AAE5CC9">
            <w:pPr>
              <w:spacing w:line="360" w:lineRule="auto"/>
              <w:ind w:right="0"/>
              <w:jc w:val="both"/>
              <w:rPr>
                <w:rFonts w:hint="eastAsia" w:asciiTheme="minorEastAsia" w:hAnsiTheme="minorEastAsia" w:eastAsiaTheme="minorEastAsia" w:cstheme="minorEastAsia"/>
                <w:sz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tcPr>
          <w:p w14:paraId="5E2A37C0">
            <w:pPr>
              <w:spacing w:line="360" w:lineRule="auto"/>
              <w:ind w:right="0"/>
              <w:jc w:val="both"/>
              <w:rPr>
                <w:rFonts w:hint="eastAsia" w:asciiTheme="minorEastAsia" w:hAnsiTheme="minorEastAsia" w:eastAsiaTheme="minorEastAsia" w:cstheme="minorEastAsia"/>
                <w:sz w:val="24"/>
              </w:rPr>
            </w:pPr>
          </w:p>
        </w:tc>
        <w:tc>
          <w:tcPr>
            <w:tcW w:w="788" w:type="dxa"/>
            <w:tcBorders>
              <w:top w:val="single" w:color="auto" w:sz="4" w:space="0"/>
              <w:left w:val="single" w:color="auto" w:sz="4" w:space="0"/>
              <w:bottom w:val="single" w:color="auto" w:sz="4" w:space="0"/>
              <w:right w:val="single" w:color="auto" w:sz="4" w:space="0"/>
            </w:tcBorders>
            <w:shd w:val="clear" w:color="auto" w:fill="auto"/>
          </w:tcPr>
          <w:p w14:paraId="14A9AB73">
            <w:pPr>
              <w:spacing w:line="360" w:lineRule="auto"/>
              <w:ind w:right="0"/>
              <w:jc w:val="both"/>
              <w:rPr>
                <w:rFonts w:hint="eastAsia" w:asciiTheme="minorEastAsia" w:hAnsiTheme="minorEastAsia" w:eastAsiaTheme="minorEastAsia" w:cstheme="minorEastAsia"/>
                <w:sz w:val="24"/>
              </w:rPr>
            </w:pPr>
          </w:p>
        </w:tc>
      </w:tr>
    </w:tbl>
    <w:p w14:paraId="7BAC79D4">
      <w:pPr>
        <w:widowControl/>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22CAB62D">
      <w:pPr>
        <w:widowControl/>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p>
    <w:p w14:paraId="55BB8F13">
      <w:pPr>
        <w:spacing w:line="360" w:lineRule="auto"/>
        <w:outlineLvl w:val="1"/>
        <w:rPr>
          <w:rFonts w:hint="eastAsia" w:asciiTheme="minorEastAsia" w:hAnsiTheme="minorEastAsia" w:eastAsiaTheme="minorEastAsia" w:cstheme="minorEastAsia"/>
          <w:b/>
          <w:bCs/>
          <w:sz w:val="30"/>
          <w:szCs w:val="30"/>
        </w:rPr>
      </w:pPr>
      <w:bookmarkStart w:id="991" w:name="_Toc30651"/>
      <w:bookmarkStart w:id="992" w:name="_Toc200394257"/>
      <w:r>
        <w:rPr>
          <w:rFonts w:hint="eastAsia" w:asciiTheme="minorEastAsia" w:hAnsiTheme="minorEastAsia" w:eastAsiaTheme="minorEastAsia" w:cstheme="minorEastAsia"/>
          <w:b/>
          <w:bCs/>
          <w:sz w:val="30"/>
          <w:szCs w:val="30"/>
          <w:lang w:bidi="ar"/>
        </w:rPr>
        <w:t>附件7 项目管理班子及其他管理人员配备情况表（按投标文件）</w:t>
      </w:r>
      <w:bookmarkEnd w:id="991"/>
      <w:bookmarkEnd w:id="992"/>
    </w:p>
    <w:p w14:paraId="176CA49F">
      <w:pPr>
        <w:spacing w:line="360" w:lineRule="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bidi="ar"/>
        </w:rPr>
        <w:t xml:space="preserve"> </w:t>
      </w:r>
    </w:p>
    <w:p w14:paraId="3DF41DA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5921C0B1">
      <w:pPr>
        <w:spacing w:line="360" w:lineRule="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bidi="ar"/>
        </w:rPr>
        <w:br w:type="page"/>
      </w:r>
    </w:p>
    <w:p w14:paraId="7EEA3544">
      <w:pPr>
        <w:spacing w:line="360" w:lineRule="auto"/>
        <w:outlineLvl w:val="1"/>
        <w:rPr>
          <w:rFonts w:hint="eastAsia" w:asciiTheme="minorEastAsia" w:hAnsiTheme="minorEastAsia" w:eastAsiaTheme="minorEastAsia" w:cstheme="minorEastAsia"/>
          <w:sz w:val="24"/>
        </w:rPr>
      </w:pPr>
      <w:bookmarkStart w:id="993" w:name="_Toc6908"/>
      <w:bookmarkStart w:id="994" w:name="_Toc200394258"/>
      <w:r>
        <w:rPr>
          <w:rFonts w:hint="eastAsia" w:asciiTheme="minorEastAsia" w:hAnsiTheme="minorEastAsia" w:eastAsiaTheme="minorEastAsia" w:cstheme="minorEastAsia"/>
          <w:b/>
          <w:bCs/>
          <w:sz w:val="30"/>
          <w:szCs w:val="30"/>
          <w:lang w:bidi="ar"/>
        </w:rPr>
        <w:t>附件8 主要施工机械设备表（按投标文件）</w:t>
      </w:r>
      <w:bookmarkEnd w:id="993"/>
      <w:bookmarkEnd w:id="994"/>
    </w:p>
    <w:p w14:paraId="7A0A7247">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7DCF024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09985590">
      <w:pPr>
        <w:spacing w:line="360" w:lineRule="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bidi="ar"/>
        </w:rPr>
        <w:br w:type="page"/>
      </w:r>
    </w:p>
    <w:p w14:paraId="34172618">
      <w:pPr>
        <w:spacing w:line="360" w:lineRule="auto"/>
        <w:outlineLvl w:val="1"/>
        <w:rPr>
          <w:rFonts w:hint="eastAsia" w:asciiTheme="minorEastAsia" w:hAnsiTheme="minorEastAsia" w:eastAsiaTheme="minorEastAsia" w:cstheme="minorEastAsia"/>
          <w:b/>
          <w:bCs/>
          <w:sz w:val="30"/>
          <w:szCs w:val="30"/>
        </w:rPr>
      </w:pPr>
      <w:bookmarkStart w:id="995" w:name="_Toc200394259"/>
      <w:bookmarkStart w:id="996" w:name="_Toc23823"/>
      <w:r>
        <w:rPr>
          <w:rFonts w:hint="eastAsia" w:asciiTheme="minorEastAsia" w:hAnsiTheme="minorEastAsia" w:eastAsiaTheme="minorEastAsia" w:cstheme="minorEastAsia"/>
          <w:b/>
          <w:bCs/>
          <w:sz w:val="30"/>
          <w:szCs w:val="30"/>
          <w:lang w:bidi="ar"/>
        </w:rPr>
        <w:t>附件9 答疑补遗纪要</w:t>
      </w:r>
      <w:bookmarkEnd w:id="995"/>
      <w:bookmarkEnd w:id="996"/>
    </w:p>
    <w:p w14:paraId="771D23B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33EFD16A">
      <w:pPr>
        <w:widowControl/>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p>
    <w:p w14:paraId="12419053">
      <w:pPr>
        <w:spacing w:line="360" w:lineRule="auto"/>
        <w:outlineLvl w:val="1"/>
        <w:rPr>
          <w:rFonts w:hint="eastAsia" w:asciiTheme="minorEastAsia" w:hAnsiTheme="minorEastAsia" w:eastAsiaTheme="minorEastAsia" w:cstheme="minorEastAsia"/>
          <w:b/>
          <w:bCs/>
          <w:sz w:val="30"/>
          <w:szCs w:val="30"/>
        </w:rPr>
      </w:pPr>
      <w:bookmarkStart w:id="997" w:name="_Toc200394260"/>
      <w:bookmarkStart w:id="998" w:name="_Toc10113"/>
      <w:r>
        <w:rPr>
          <w:rFonts w:hint="eastAsia" w:asciiTheme="minorEastAsia" w:hAnsiTheme="minorEastAsia" w:eastAsiaTheme="minorEastAsia" w:cstheme="minorEastAsia"/>
          <w:b/>
          <w:bCs/>
          <w:sz w:val="30"/>
          <w:szCs w:val="30"/>
          <w:lang w:bidi="ar"/>
        </w:rPr>
        <w:t>附件10  工程质量专项管理协议书</w:t>
      </w:r>
      <w:bookmarkEnd w:id="997"/>
      <w:bookmarkEnd w:id="998"/>
    </w:p>
    <w:p w14:paraId="784A7832">
      <w:pPr>
        <w:keepNext/>
        <w:keepLines/>
        <w:spacing w:before="120" w:beforeLines="50" w:after="120" w:afterLines="50" w:line="360" w:lineRule="auto"/>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bidi="ar"/>
        </w:rPr>
        <w:t>工程质量专项管理协议书</w:t>
      </w:r>
    </w:p>
    <w:p w14:paraId="5BF21145">
      <w:pPr>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bidi="ar"/>
        </w:rPr>
        <w:t>工程名称：【</w:t>
      </w:r>
      <w:r>
        <w:rPr>
          <w:rFonts w:hint="eastAsia" w:asciiTheme="minorEastAsia" w:hAnsiTheme="minorEastAsia" w:eastAsiaTheme="minorEastAsia" w:cstheme="minorEastAsia"/>
          <w:bCs/>
          <w:sz w:val="28"/>
          <w:szCs w:val="28"/>
          <w:lang w:bidi="ar"/>
        </w:rPr>
        <w:t xml:space="preserve">                             </w:t>
      </w:r>
      <w:r>
        <w:rPr>
          <w:rFonts w:hint="eastAsia" w:asciiTheme="minorEastAsia" w:hAnsiTheme="minorEastAsia" w:eastAsiaTheme="minorEastAsia" w:cstheme="minorEastAsia"/>
          <w:b/>
          <w:sz w:val="28"/>
          <w:szCs w:val="28"/>
          <w:lang w:bidi="ar"/>
        </w:rPr>
        <w:t>】</w:t>
      </w:r>
    </w:p>
    <w:p w14:paraId="708D6EB0">
      <w:pPr>
        <w:spacing w:line="360" w:lineRule="auto"/>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承包人（全称）：【                        】（以下简称甲方）</w:t>
      </w:r>
    </w:p>
    <w:p w14:paraId="7CDC41FB">
      <w:pPr>
        <w:spacing w:line="360" w:lineRule="auto"/>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分包人（全称）：【                        】（以下简称乙方）</w:t>
      </w:r>
    </w:p>
    <w:p w14:paraId="28DC37B1">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8"/>
          <w:szCs w:val="28"/>
          <w:lang w:bidi="ar"/>
        </w:rPr>
        <w:t xml:space="preserve">   </w:t>
      </w:r>
      <w:r>
        <w:rPr>
          <w:rFonts w:hint="eastAsia" w:asciiTheme="minorEastAsia" w:hAnsiTheme="minorEastAsia" w:eastAsiaTheme="minorEastAsia" w:cstheme="minorEastAsia"/>
          <w:bCs/>
          <w:sz w:val="28"/>
          <w:szCs w:val="28"/>
          <w:lang w:bidi="ar"/>
        </w:rPr>
        <w:t xml:space="preserve"> </w:t>
      </w:r>
      <w:r>
        <w:rPr>
          <w:rFonts w:hint="eastAsia" w:asciiTheme="minorEastAsia" w:hAnsiTheme="minorEastAsia" w:eastAsiaTheme="minorEastAsia" w:cstheme="minorEastAsia"/>
          <w:bCs/>
          <w:sz w:val="24"/>
          <w:szCs w:val="24"/>
          <w:lang w:bidi="ar"/>
        </w:rPr>
        <w:t>为明确双方质量责任，加强施工质量过程管控，进一步促进分包人在质量管理和质量效果上的有效落实，提高项目质量管理水平；经双方协商一致，订立本协议：</w:t>
      </w:r>
    </w:p>
    <w:p w14:paraId="23513E5F">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lang w:bidi="ar"/>
        </w:rPr>
        <w:t>第一条：甲乙双方都必须严格执行以下法律法规及规章制度。</w:t>
      </w:r>
    </w:p>
    <w:p w14:paraId="7ED27768">
      <w:pPr>
        <w:spacing w:line="360" w:lineRule="auto"/>
        <w:ind w:firstLine="360" w:firstLineChars="1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《中华人民共和国建筑法》《中华人民共和国民法典》《中华人民共和国招投投标法》《建设工程质量管理条例》《建筑工程质量验收统一标准》（GB50300</w:t>
      </w:r>
      <w:r>
        <w:rPr>
          <w:rFonts w:hint="eastAsia" w:asciiTheme="minorEastAsia" w:hAnsiTheme="minorEastAsia" w:eastAsiaTheme="minorEastAsia" w:cstheme="minorEastAsia"/>
          <w:bCs/>
          <w:sz w:val="24"/>
          <w:szCs w:val="24"/>
          <w:lang w:bidi="ar"/>
        </w:rPr>
        <w:softHyphen/>
      </w:r>
      <w:r>
        <w:rPr>
          <w:rFonts w:hint="eastAsia" w:asciiTheme="minorEastAsia" w:hAnsiTheme="minorEastAsia" w:eastAsiaTheme="minorEastAsia" w:cstheme="minorEastAsia"/>
          <w:bCs/>
          <w:sz w:val="24"/>
          <w:szCs w:val="24"/>
          <w:lang w:bidi="ar"/>
        </w:rPr>
        <w:t>-2013）、《建筑工程施工质量评价标准》（GB／T50375-2016）等相关法律法规或规范性文件。</w:t>
      </w:r>
    </w:p>
    <w:p w14:paraId="6B3BDA1F">
      <w:pPr>
        <w:spacing w:line="360" w:lineRule="auto"/>
        <w:rPr>
          <w:rFonts w:hint="eastAsia" w:asciiTheme="minorEastAsia" w:hAnsiTheme="minorEastAsia" w:eastAsiaTheme="minorEastAsia" w:cstheme="minorEastAsia"/>
          <w:bCs/>
          <w:sz w:val="24"/>
          <w:szCs w:val="24"/>
          <w:lang w:bidi="ar"/>
        </w:rPr>
      </w:pPr>
      <w:r>
        <w:rPr>
          <w:rFonts w:hint="eastAsia" w:asciiTheme="minorEastAsia" w:hAnsiTheme="minorEastAsia" w:eastAsiaTheme="minorEastAsia" w:cstheme="minorEastAsia"/>
          <w:bCs/>
          <w:sz w:val="24"/>
          <w:szCs w:val="24"/>
          <w:lang w:bidi="ar"/>
        </w:rPr>
        <w:t>涉及分包工程的相按照相关准、规范、规程等：《建筑电气与智能化通用规范》GB 55024-2022；《建筑与市政工程抗震通用规范》GB 55002-2021；《建筑节能与可再生能源利用通用规范》GB 55015-2021；《建筑防火通用规范》GB 55037-2022《建筑环境通用规范》GB 55016-2021；《民用建筑电气设计标准》GB 51348-2019；《低压配电设计规范》GB 50054-2011；</w:t>
      </w:r>
    </w:p>
    <w:p w14:paraId="722BD583">
      <w:pPr>
        <w:spacing w:line="360" w:lineRule="auto"/>
        <w:rPr>
          <w:rFonts w:hint="eastAsia" w:asciiTheme="minorEastAsia" w:hAnsiTheme="minorEastAsia" w:eastAsiaTheme="minorEastAsia" w:cstheme="minorEastAsia"/>
          <w:bCs/>
          <w:sz w:val="24"/>
          <w:szCs w:val="24"/>
          <w:lang w:bidi="ar"/>
        </w:rPr>
      </w:pPr>
      <w:r>
        <w:rPr>
          <w:rFonts w:hint="eastAsia" w:asciiTheme="minorEastAsia" w:hAnsiTheme="minorEastAsia" w:eastAsiaTheme="minorEastAsia" w:cstheme="minorEastAsia"/>
          <w:bCs/>
          <w:sz w:val="24"/>
          <w:szCs w:val="24"/>
          <w:lang w:bidi="ar"/>
        </w:rPr>
        <w:t>《建筑照明设计标准》GB 50034-2024；《建筑物防雷设计规范》GB 50057-2010；《建筑物电子信息系统防雷技术规范》GB 50343-2012；《电力工程电缆设计标准》GB 50217-2018；《城市夜景照明设计规范》JGJ/T163-2008；《市容环卫工程项目规范》GB55013-2021；</w:t>
      </w:r>
    </w:p>
    <w:p w14:paraId="16AB0558">
      <w:pPr>
        <w:spacing w:line="360" w:lineRule="auto"/>
        <w:rPr>
          <w:rFonts w:hint="eastAsia" w:asciiTheme="minorEastAsia" w:hAnsiTheme="minorEastAsia" w:eastAsiaTheme="minorEastAsia" w:cstheme="minorEastAsia"/>
          <w:bCs/>
          <w:sz w:val="24"/>
          <w:szCs w:val="24"/>
          <w:lang w:bidi="ar"/>
        </w:rPr>
      </w:pPr>
    </w:p>
    <w:p w14:paraId="39F8B319">
      <w:pPr>
        <w:widowControl/>
        <w:spacing w:line="360" w:lineRule="auto"/>
        <w:jc w:val="both"/>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lang w:bidi="ar"/>
        </w:rPr>
        <w:t>公司的各项规章制度：【</w:t>
      </w:r>
      <w:r>
        <w:rPr>
          <w:rFonts w:hint="eastAsia" w:asciiTheme="minorEastAsia" w:hAnsiTheme="minorEastAsia" w:eastAsiaTheme="minorEastAsia" w:cstheme="minorEastAsia"/>
          <w:sz w:val="24"/>
          <w:szCs w:val="24"/>
          <w:lang w:bidi="ar"/>
        </w:rPr>
        <w:t>《施工方案编制及审批制度》、《质量管理制度》、《现场临电管理制度》、《消防安全管理制度》、《高处作业安全管理制度》、《临时工程管理制度》、《分部及单位工程验收制度》、《工程建设创优管理制度》、《工程资料管理制度》、《起重机械资料管理制度》、《样板引路实施管理制度》、《工程实体实测实量制度》、《工程分包管理制度》、《工程回访、保修制度》等。</w:t>
      </w:r>
      <w:r>
        <w:rPr>
          <w:rFonts w:hint="eastAsia" w:asciiTheme="minorEastAsia" w:hAnsiTheme="minorEastAsia" w:eastAsiaTheme="minorEastAsia" w:cstheme="minorEastAsia"/>
          <w:b/>
          <w:bCs/>
          <w:sz w:val="24"/>
          <w:szCs w:val="24"/>
          <w:lang w:bidi="ar"/>
        </w:rPr>
        <w:t>】</w:t>
      </w:r>
    </w:p>
    <w:p w14:paraId="14FB8D6B">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bidi="ar"/>
        </w:rPr>
        <w:t>第二条：本协议的期限自分包工程开工之日起至分包工程质量保修期结束止。</w:t>
      </w:r>
    </w:p>
    <w:p w14:paraId="116CF25A">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bidi="ar"/>
        </w:rPr>
        <w:t>第三条：质量管理：</w:t>
      </w:r>
    </w:p>
    <w:p w14:paraId="1B9A2E2E">
      <w:pPr>
        <w:spacing w:line="360" w:lineRule="auto"/>
        <w:ind w:firstLine="422" w:firstLineChars="17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bidi="ar"/>
        </w:rPr>
        <w:t>3.1  项目负责人及专职质量管理人员</w:t>
      </w:r>
    </w:p>
    <w:p w14:paraId="04EA5921">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甲方委派【           】为甲方现场代表（身份证号：【          】）、【         】为质量检查员（身份证号：【          】），代表甲方对工程质量进行全面管理。</w:t>
      </w:r>
    </w:p>
    <w:p w14:paraId="2D6A063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乙方委派【           】为乙方现场代表（身份证号：【           】）、【           】为质量检查员（身份证号：【           】），代表乙方对工程质量进行全面管理。</w:t>
      </w:r>
    </w:p>
    <w:p w14:paraId="577DC499">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甲方技术质量部门对工程质量的控制过程进行监督检查。</w:t>
      </w:r>
    </w:p>
    <w:p w14:paraId="0EEC0025">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乙方进场后，不按要求配备专职质量管理人员的，限七日内改正，逾期不改的，每缺少一人，按照【  】元/天承担违约金。乙方进行专职质量管理人员变动（更换或调离）必须得到甲方现场代表事先同意并书面确认，否则按缺少人员承担违约金。</w:t>
      </w:r>
    </w:p>
    <w:p w14:paraId="0ECE47C3">
      <w:pPr>
        <w:spacing w:line="360" w:lineRule="auto"/>
        <w:ind w:firstLine="422" w:firstLineChars="17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bidi="ar"/>
        </w:rPr>
        <w:t>3.2  本项目质量管理目标</w:t>
      </w:r>
    </w:p>
    <w:p w14:paraId="1AA3BFC9">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3.2.1  工程质量目标：合格</w:t>
      </w:r>
    </w:p>
    <w:p w14:paraId="1701417D">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3.2.2  土建质量目标：【 / 】优质结构奖</w:t>
      </w:r>
    </w:p>
    <w:p w14:paraId="263A061E">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3.2.3  钢结构专业目标：【 / 】奖</w:t>
      </w:r>
    </w:p>
    <w:p w14:paraId="1B097F19">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3.2.4  装饰装修目标：【广东省优秀建筑装饰工程奖】优质工程奖</w:t>
      </w:r>
    </w:p>
    <w:p w14:paraId="565D9F86">
      <w:pPr>
        <w:spacing w:line="360" w:lineRule="auto"/>
        <w:ind w:firstLine="420" w:firstLineChars="175"/>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3.2.5  安装专业目标：【 / 】奖</w:t>
      </w:r>
    </w:p>
    <w:p w14:paraId="60BDAF6B">
      <w:pPr>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lang w:bidi="ar"/>
        </w:rPr>
        <w:t>第四条：甲方责任及义务：</w:t>
      </w:r>
    </w:p>
    <w:p w14:paraId="67FF909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4.1  甲方负责施工现场工程质量的统一管理，负责监督检查乙方在工程质量控制过程中的一切活动。</w:t>
      </w:r>
    </w:p>
    <w:p w14:paraId="525B8A5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4.2  甲方负责组织协调各单位在工程开工前，编制完成施工组织总设计及工程质量保证措施、创优策划、验收程序等，并进行现场指导。</w:t>
      </w:r>
    </w:p>
    <w:p w14:paraId="1CD7D58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4.3  甲方负责向乙方发放图纸、设计变更等。甲方为乙方提供每个楼层（按楼座或功能分区考虑）的标高、定位的基准点（线），乙方应严格按甲方提供的标高、定位的基准点（线）进行工程细部放线。</w:t>
      </w:r>
    </w:p>
    <w:p w14:paraId="1F2730F3">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lang w:bidi="ar"/>
        </w:rPr>
        <w:t>4.4  甲方在施工过程中，发现乙方不按设计图纸、施工方案、技术交底组织施工，违章操作，严重危害工程质量时，有权要求立即停止施工，并对乙方进行经济处罚；</w:t>
      </w:r>
      <w:r>
        <w:rPr>
          <w:rFonts w:hint="eastAsia" w:asciiTheme="minorEastAsia" w:hAnsiTheme="minorEastAsia" w:eastAsiaTheme="minorEastAsia" w:cstheme="minorEastAsia"/>
          <w:b/>
          <w:bCs/>
          <w:sz w:val="24"/>
          <w:szCs w:val="24"/>
          <w:lang w:bidi="ar"/>
        </w:rPr>
        <w:t>情节严重的，甲方有权终止合同。</w:t>
      </w:r>
    </w:p>
    <w:p w14:paraId="3D8DA7C1">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lang w:bidi="ar"/>
        </w:rPr>
        <w:t>4.5  经甲方质检员口头要求，或下发整改通知单后，未整改或整改后达不到合格标准的，甲方有权按照甲方项目部所制订的《工程项目质量奖罚管理规定》进行质量罚款，对质量管理较好的项目根据质量评比情况进行奖励，质量奖罚由甲方向乙方出具书面质量奖罚单。</w:t>
      </w:r>
      <w:r>
        <w:rPr>
          <w:rFonts w:hint="eastAsia" w:asciiTheme="minorEastAsia" w:hAnsiTheme="minorEastAsia" w:eastAsiaTheme="minorEastAsia" w:cstheme="minorEastAsia"/>
          <w:b/>
          <w:bCs/>
          <w:sz w:val="24"/>
          <w:szCs w:val="24"/>
          <w:lang w:bidi="ar"/>
        </w:rPr>
        <w:t>对于甲方出具的罚款通知单，以罚款通知单下发之日为生效之日。</w:t>
      </w:r>
    </w:p>
    <w:p w14:paraId="7E6969E8">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4.6  甲方有权对乙方未经自检的工程拒绝验收，由此产生的费用由乙方自行承担。</w:t>
      </w:r>
    </w:p>
    <w:p w14:paraId="2D10DE78">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bidi="ar"/>
        </w:rPr>
        <w:t>第五条：乙方的责任及义务</w:t>
      </w:r>
    </w:p>
    <w:p w14:paraId="7B337EB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5.1  乙方必须遵守甲方相关质量管理制度。</w:t>
      </w:r>
    </w:p>
    <w:p w14:paraId="01919D4F">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5.2  乙方在施工过程中必须严格按照设计图纸、现行有效规程、规范施工，工程质量必须达到本协议约定的质量目标。</w:t>
      </w:r>
    </w:p>
    <w:p w14:paraId="4A4C9D5D">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5.3  在工程开工前，乙方须建立健全现场质量管理体系，并将质量管理体系、质量保证措施等报甲方确认备案。乙方备案质量管理人员必须与在现场质量管理人员相符，必须持证上岗。</w:t>
      </w:r>
    </w:p>
    <w:p w14:paraId="783DE56E">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lang w:bidi="ar"/>
        </w:rPr>
        <w:t>5.4  乙方必须按照</w:t>
      </w:r>
      <w:r>
        <w:rPr>
          <w:rFonts w:hint="eastAsia" w:asciiTheme="minorEastAsia" w:hAnsiTheme="minorEastAsia" w:eastAsiaTheme="minorEastAsia" w:cstheme="minorEastAsia"/>
          <w:b/>
          <w:bCs/>
          <w:sz w:val="24"/>
          <w:szCs w:val="24"/>
          <w:lang w:bidi="ar"/>
        </w:rPr>
        <w:t>甲方的“样板引路”制度</w:t>
      </w:r>
      <w:r>
        <w:rPr>
          <w:rFonts w:hint="eastAsia" w:asciiTheme="minorEastAsia" w:hAnsiTheme="minorEastAsia" w:eastAsiaTheme="minorEastAsia" w:cstheme="minorEastAsia"/>
          <w:bCs/>
          <w:sz w:val="24"/>
          <w:szCs w:val="24"/>
          <w:lang w:bidi="ar"/>
        </w:rPr>
        <w:t>进行施工，任何分项工程施工前，乙方要先做好样板，经甲方、监理或建设单位验收批准后方可大面积施工，未经验收批准不得进行大面积施工；</w:t>
      </w:r>
      <w:r>
        <w:rPr>
          <w:rFonts w:hint="eastAsia" w:asciiTheme="minorEastAsia" w:hAnsiTheme="minorEastAsia" w:eastAsiaTheme="minorEastAsia" w:cstheme="minorEastAsia"/>
          <w:b/>
          <w:bCs/>
          <w:sz w:val="24"/>
          <w:szCs w:val="24"/>
          <w:lang w:bidi="ar"/>
        </w:rPr>
        <w:t>无样板验收而擅自施工的分项工程，不计入乙方工程量。</w:t>
      </w:r>
    </w:p>
    <w:p w14:paraId="7997A0C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5.5  乙方班组进入现场施工前，乙方班组长必须对工人进行技术交底。乙方项目专业技术负责人自行组织对专项施工作业人员进行操作交底。内容应符合现行、有效的各类法规、规范及文件、甲方项目部技术质量要求，交底材料和内容应签字并交甲方项目部备案。</w:t>
      </w:r>
    </w:p>
    <w:p w14:paraId="4900AB6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5.6  乙方在施工过程中必须严格按照施工组织设计及方案、技术交底施工，要随时接受政府、建设单位、监理、甲方的质量监督检查。</w:t>
      </w:r>
    </w:p>
    <w:p w14:paraId="39BD04B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5.7  施工过程各阶段要严格执行自检、互检、交接检制度，逐道工序由操作和验收人员签字确认。乙方不按要求落实自检、互检、交接检制度并填报相应资料的，按照【  】元/次承担违约金。乙方不履行质量交接检查程序，擅自进行下一道工序施工的按照【  】元/次承担违约金。</w:t>
      </w:r>
    </w:p>
    <w:p w14:paraId="236A6F9E">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5.8  工程的隐蔽工程、检验批等验收，乙方自检合格后，报甲方验收，乙方质检员、乙方技术人员参加验收，监理确认后签字。过程验收检验不合格时，甲方质检员行使否决权，检验验收不予通过。乙方要服从甲方质检员的意见组织返修，直至合格后，重新组织检验验收。</w:t>
      </w:r>
    </w:p>
    <w:p w14:paraId="4548CE6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5.9  未经验收合格，不得擅自进入下道工序施工，否则，责令其拆除并无条件重新施工，所发生的费用及损失，均由乙方承担，并对相关人员进行罚款处理。</w:t>
      </w:r>
    </w:p>
    <w:p w14:paraId="1522FC4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5.10  乙方必须配合甲方和监理人做好验收工作，及时处理验收过程中存在的问题。</w:t>
      </w:r>
    </w:p>
    <w:p w14:paraId="7A34950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5.11  工程实体在具备实测实量条件后一周内乙方应完成实测实量工作，并对工程实体实测实量数据进行统计，查找问题、分析原因和制定改进措施，逐步提高实测实量合格率。对连续三次实体质量实测实量合格率低于80%的乙方要被清理出场。</w:t>
      </w:r>
    </w:p>
    <w:p w14:paraId="4E46A6C1">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5.12  乙方在施工过程中，必须服从甲方的质量管理，按时参加甲方组织的质量检查和质量专题会议，接受甲方的质量罚款，并对质量问题按甲方的要求及时整改，直至达到合格标准；</w:t>
      </w:r>
    </w:p>
    <w:p w14:paraId="0778195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5.13  如出现质量问题或严重缺陷，乙方要及时通知甲方，不得隐瞒，必须按处理措施或方案进行整改，严禁私自处理。</w:t>
      </w:r>
    </w:p>
    <w:p w14:paraId="25714001">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5.14  当甲方要求对已经隐蔽的工程重新检验时，乙方应按要求进行剥离或开孔，并在检验后重新覆盖或修复。</w:t>
      </w:r>
    </w:p>
    <w:p w14:paraId="04B1239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5.15  乙方符合甲方《工程项目质量奖罚管理规定》奖励条款的，有权获得奖励。</w:t>
      </w:r>
    </w:p>
    <w:p w14:paraId="1AAECDF8">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5.16  对于甲方不按协议或规范要求违章指挥，乙方有权拒绝进行施工。</w:t>
      </w:r>
    </w:p>
    <w:p w14:paraId="3F205778">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5.17  材料、设备进场验收必须按照要求进行验收，严禁材料、设备未经验收而进场使用。乙方施工现场的检验、试验、测量器具应按有关规定使用、管理和校验，并建立台账报甲方现场技术管理部门备案，严禁使用未经鉴定或鉴定不合格的试检验及测量设备。</w:t>
      </w:r>
    </w:p>
    <w:p w14:paraId="56C86F28">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bidi="ar"/>
        </w:rPr>
        <w:t>第六条：违反规定的处罚细则</w:t>
      </w:r>
    </w:p>
    <w:p w14:paraId="625D4631">
      <w:pPr>
        <w:spacing w:line="360" w:lineRule="auto"/>
        <w:ind w:left="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6.1  违反建设工程强制性条文规定，每次处罚2000元。</w:t>
      </w:r>
    </w:p>
    <w:p w14:paraId="2F5ABEE3">
      <w:pPr>
        <w:spacing w:line="360" w:lineRule="auto"/>
        <w:ind w:left="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6.2  不按设计图进行施工或擅自改变设计图纸施工的，处罚5000元/次。</w:t>
      </w:r>
    </w:p>
    <w:p w14:paraId="4759D25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6.3  违反施工方案、技术交底要求野蛮施工，处罚2000元/次。造成质量与安全隐患的按照5000元/次承担违约金，并且承担相应的经济损失。</w:t>
      </w:r>
    </w:p>
    <w:p w14:paraId="5BE6750B">
      <w:pPr>
        <w:spacing w:line="360" w:lineRule="auto"/>
        <w:ind w:left="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6.4  分项工程（工序）未经验收而擅自进行下道工序施工的，处罚1000元/次。</w:t>
      </w:r>
    </w:p>
    <w:p w14:paraId="33251E5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6.5  未落实“三检”验收制度，处罚500元/次，未经自检合格报验的，处罚500元/次。</w:t>
      </w:r>
    </w:p>
    <w:p w14:paraId="320A7076">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6.6  分包材料进场前必须按要求进行报验，未按程序报验或使用不合格材料的，罚款1000～5000元/次。</w:t>
      </w:r>
    </w:p>
    <w:p w14:paraId="55892BD1">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6.7  乙方违背合同约定，材料以次充好，检验弄虚作假，施工偷工减料，将不合格物资用于工程的按照5000-20000元/次承担违约金，并且承担相应经济损失。</w:t>
      </w:r>
    </w:p>
    <w:p w14:paraId="0A62DFA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6.8  未经事先书面同意擅自修补，隐瞒施工质量问题，处罚1000～2000元/处。</w:t>
      </w:r>
    </w:p>
    <w:p w14:paraId="0E2B8EC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6.9  出现质量问题未及时按甲方要求进行整改或修复，处罚1000元/次。</w:t>
      </w:r>
    </w:p>
    <w:p w14:paraId="3811DC43">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6.10  不服从甲方及上级单位质量管理和要求，处罚2000元/次。</w:t>
      </w:r>
    </w:p>
    <w:p w14:paraId="203BBA01">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6.11  未按时参加甲方组织的验收和检查，处罚2000元/次。</w:t>
      </w:r>
    </w:p>
    <w:p w14:paraId="2E5B6CA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6.12  对质量整改通知单必须在限定时间内整改及书面回复（回复附整改后照片），如不按要求整改或不落实整改，处罚500～2000元/次。</w:t>
      </w:r>
    </w:p>
    <w:p w14:paraId="0464875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6.13  连续两次出现同种质量问题，每增加一次罚款金额增加1000～2000元（以甲方发出的质量整改通知单中存在的问题为准）。</w:t>
      </w:r>
    </w:p>
    <w:p w14:paraId="1FA9807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6.14  施工样板未经确认而大面积施工或未按照要求进行样板施工的，处罚2000元。</w:t>
      </w:r>
    </w:p>
    <w:p w14:paraId="44B2C108">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6.15  未按规定对施工成品采取保护措施，根据损坏程度赔偿，并处罚500～1000元/处。</w:t>
      </w:r>
    </w:p>
    <w:p w14:paraId="18A41B49">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6.16  甲方发出的质量整改通知单，必须及时落实整改，如发现班组反应缓慢或者不落实整改，每次处罚500～3000元。</w:t>
      </w:r>
    </w:p>
    <w:p w14:paraId="6AB78F04">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6.17 因质量原因出现以下情形的，乙方按照下述承担违约责任。</w:t>
      </w:r>
    </w:p>
    <w:p w14:paraId="1EF681F1">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1、被建设单位、甲方公司及其上级单位质量检查通报排名倒数后两名的，乙方按照3000～5000元/次承担违约金。同一项目，被连续通报倒数后两名的，违约金加倍。</w:t>
      </w:r>
    </w:p>
    <w:p w14:paraId="71E3CD3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2、被建设单位投诉到公司及其上级单位主管部门的，乙方按照10000～50000元/次承担违约金。同一项目，半年期内连续被投诉，违约金加倍。</w:t>
      </w:r>
    </w:p>
    <w:p w14:paraId="4B43DE6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3、被新闻媒体曝光的，乙方按照20000～100000元/次承担违约金。</w:t>
      </w:r>
    </w:p>
    <w:p w14:paraId="05B86E0A">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4、被政府主管部门行政处罚的，分包单位除按处罚金额交款外，另外按照罚款金额的两倍承担违约金。</w:t>
      </w:r>
    </w:p>
    <w:p w14:paraId="0F622DD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5、被政府主管部门责令停工、限制投标以及降低资质的，乙方按照100000～500000元/次承担违约金。</w:t>
      </w:r>
    </w:p>
    <w:p w14:paraId="448500B2">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6、被国家、地方政府建设主管部门在执法检查中典型通报，违反国家强制性标准，或质量较差造成恶劣影响的，乙方按照100000～500000元/次承担违约金。</w:t>
      </w:r>
    </w:p>
    <w:p w14:paraId="3D788EF8">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6.18发生质量事故的，乙方按照下述承担违约责任。</w:t>
      </w:r>
    </w:p>
    <w:p w14:paraId="5511A5EC">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1、特别重大质量事故</w:t>
      </w:r>
    </w:p>
    <w:p w14:paraId="211722CE">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特别重大质量事故的直接责任人应依法追究其刑事责任及民事责任。乙方按照500000～1000000元/次承担违约金。</w:t>
      </w:r>
    </w:p>
    <w:p w14:paraId="0F9F0B09">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2、重大质量事故</w:t>
      </w:r>
    </w:p>
    <w:p w14:paraId="637715B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重大质量事故的直接责任人应依法追究其刑事责任及民事责任。乙方按照100000～200000元/次承担违约金。</w:t>
      </w:r>
    </w:p>
    <w:p w14:paraId="6A88BEDB">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3、较大质量事故</w:t>
      </w:r>
    </w:p>
    <w:p w14:paraId="1B0ECC4D">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较大质量事故的直接责任人应依法追究其民事责任，因事故造成人员死亡时应依法追究其刑事责任。乙方按照50000～200000元/次承担违约金。</w:t>
      </w:r>
    </w:p>
    <w:p w14:paraId="21C0594D">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4、一般质量事故</w:t>
      </w:r>
    </w:p>
    <w:p w14:paraId="6B2EA2B5">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一般质量事故的直接责任人违约金额度不应低于事故直接经济损失的5%，亦不应低于100000元。乙方按照10000～50000元/次承担违约金。</w:t>
      </w:r>
    </w:p>
    <w:p w14:paraId="7724DB62">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bidi="ar"/>
        </w:rPr>
        <w:t>注：上述罚款行为视为乙方的违约行为，罚款视为乙方应支付的违约金，甲方可选择在当期工程款中扣除，也可在最终结算后在应支付乙方工程款中扣除。</w:t>
      </w:r>
    </w:p>
    <w:p w14:paraId="5C013284">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bidi="ar"/>
        </w:rPr>
        <w:t>第七条：</w:t>
      </w:r>
      <w:r>
        <w:rPr>
          <w:rFonts w:hint="eastAsia" w:asciiTheme="minorEastAsia" w:hAnsiTheme="minorEastAsia" w:eastAsiaTheme="minorEastAsia" w:cstheme="minorEastAsia"/>
          <w:bCs/>
          <w:sz w:val="24"/>
          <w:szCs w:val="24"/>
          <w:lang w:bidi="ar"/>
        </w:rPr>
        <w:t>本协议作为附件与分包合同同时签订，自乙方于分包合同盖章之日起生效，乙方必须严格执行，由于乙方违反本协议而造成质量问题，由乙方承担经济损失。</w:t>
      </w:r>
    </w:p>
    <w:p w14:paraId="34FBCBCB">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xml:space="preserve"> </w:t>
      </w:r>
    </w:p>
    <w:p w14:paraId="3AC5FC6B">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xml:space="preserve"> </w:t>
      </w:r>
    </w:p>
    <w:p w14:paraId="58716E42">
      <w:pPr>
        <w:spacing w:line="360" w:lineRule="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bidi="ar"/>
        </w:rPr>
        <w:br w:type="page"/>
      </w:r>
    </w:p>
    <w:p w14:paraId="129FCE91">
      <w:pPr>
        <w:spacing w:line="360" w:lineRule="auto"/>
        <w:outlineLvl w:val="1"/>
        <w:rPr>
          <w:rFonts w:hint="eastAsia" w:asciiTheme="minorEastAsia" w:hAnsiTheme="minorEastAsia" w:eastAsiaTheme="minorEastAsia" w:cstheme="minorEastAsia"/>
          <w:b/>
          <w:bCs/>
          <w:sz w:val="30"/>
          <w:szCs w:val="30"/>
        </w:rPr>
      </w:pPr>
      <w:bookmarkStart w:id="999" w:name="_Toc6555"/>
      <w:bookmarkStart w:id="1000" w:name="_Toc200394261"/>
      <w:r>
        <w:rPr>
          <w:rFonts w:hint="eastAsia" w:asciiTheme="minorEastAsia" w:hAnsiTheme="minorEastAsia" w:eastAsiaTheme="minorEastAsia" w:cstheme="minorEastAsia"/>
          <w:b/>
          <w:bCs/>
          <w:sz w:val="30"/>
          <w:szCs w:val="30"/>
          <w:lang w:bidi="ar"/>
        </w:rPr>
        <w:t>附件11  农民工工资委托支付协议</w:t>
      </w:r>
      <w:bookmarkEnd w:id="999"/>
      <w:bookmarkEnd w:id="1000"/>
    </w:p>
    <w:p w14:paraId="17C45C6E">
      <w:pPr>
        <w:keepNext/>
        <w:keepLines/>
        <w:spacing w:before="120" w:beforeLines="50" w:after="120" w:afterLines="50" w:line="360" w:lineRule="auto"/>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bidi="ar"/>
        </w:rPr>
        <w:t>农民工工资委托支付协议</w:t>
      </w:r>
    </w:p>
    <w:p w14:paraId="631AB3F0">
      <w:pPr>
        <w:spacing w:line="360" w:lineRule="auto"/>
        <w:ind w:firstLine="562" w:firstLineChars="200"/>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承包人（全称）：【                       】（以下简称甲方）</w:t>
      </w:r>
    </w:p>
    <w:p w14:paraId="1275DF13">
      <w:pPr>
        <w:spacing w:line="360" w:lineRule="auto"/>
        <w:ind w:firstLine="562" w:firstLineChars="200"/>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分包人（全称）：【                       】（以下简称乙方）</w:t>
      </w:r>
    </w:p>
    <w:p w14:paraId="4EFB8A0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为保障工程建设顺利实施，保障农民工合法权益，现甲乙双方根据国家对农民工工资专项支付的相关要求，在公平公正、友好协商的基础上，就【           】项目农民工工资委托支付事宜签订本协议。</w:t>
      </w:r>
    </w:p>
    <w:p w14:paraId="22EC3718">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bidi="ar"/>
        </w:rPr>
        <w:t>1.实名登记与考勤管理</w:t>
      </w:r>
    </w:p>
    <w:p w14:paraId="5B0A5EC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1.1 甲方委派【           】为本工程劳资专管员（劳务管理员），全面负责劳务实名制工资管理。</w:t>
      </w:r>
    </w:p>
    <w:p w14:paraId="37E39219">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乙方委派【           】（须与原合同授权委托书中</w:t>
      </w:r>
      <w:r>
        <w:rPr>
          <w:rFonts w:hint="eastAsia" w:asciiTheme="minorEastAsia" w:hAnsiTheme="minorEastAsia" w:eastAsiaTheme="minorEastAsia" w:cstheme="minorEastAsia"/>
          <w:b/>
          <w:bCs/>
          <w:sz w:val="24"/>
          <w:szCs w:val="24"/>
          <w:lang w:bidi="ar"/>
        </w:rPr>
        <w:t>受委托人</w:t>
      </w:r>
      <w:r>
        <w:rPr>
          <w:rFonts w:hint="eastAsia" w:asciiTheme="minorEastAsia" w:hAnsiTheme="minorEastAsia" w:eastAsiaTheme="minorEastAsia" w:cstheme="minorEastAsia"/>
          <w:sz w:val="24"/>
          <w:szCs w:val="24"/>
          <w:lang w:bidi="ar"/>
        </w:rPr>
        <w:t>保持一致）（身份证号【           】）为本工程项目劳资管理负责人，负责乙方农民工进退场信息登记、日常考勤、工资发放等劳务实名制工资管理工作。</w:t>
      </w:r>
    </w:p>
    <w:p w14:paraId="3068A8B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1.2 乙方应向甲方提供如下资料并确保其真实性：农民工花名册、身份证原件及其复印件、工资卡信息（开户行和卡号）、合法劳动用工合同（或加盖乙方公章的复印件）、操作证件等资料。由甲方项目劳资专管员（劳务管理员）逐一核实、登记、建立基础信息，并办理进入施工现场的门禁（考勤）卡。</w:t>
      </w:r>
    </w:p>
    <w:p w14:paraId="3A1C5F7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1.3乙方须对进入工程施工现场的农民工进行登记造册，注明工种、所在班组、工资标准等，并及时报甲方审核。</w:t>
      </w:r>
    </w:p>
    <w:p w14:paraId="6D868DC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1.4 甲方应根据施工现场实际需要配备考勤刷卡系统。乙方需指派管理人员督导农民工刷卡（考勤）进出施工现场，并及时确认当期（月）考勤记录。由乙方项目劳资管理负责人对出勤统计确认，并经甲、乙双方会签，视为当日农民工出勤。乙方不确认或者延迟确认的，以考勤系统数据为准，乙方对此无异议。</w:t>
      </w:r>
    </w:p>
    <w:p w14:paraId="5DF8E9D2">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bidi="ar"/>
        </w:rPr>
        <w:t>2.农民工工资发放管理</w:t>
      </w:r>
    </w:p>
    <w:p w14:paraId="312F0CD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2.1 乙方委托甲方通过《【           】项目农民工工资专用账户》代发农民工工资，承诺每月【  】日按时将上月施工班组及农民工本人签字确认（捺指印）的农民工工资清单报甲方项目部审核，农民工实名登记、工资金额、农民工个人银行卡申请资料等信息真实性、完整性、有效性由乙方负责。</w:t>
      </w:r>
    </w:p>
    <w:p w14:paraId="750D192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2.2甲方农民工工资专用账户信息：以甲方财务部门发布的账户信息为准。</w:t>
      </w:r>
    </w:p>
    <w:p w14:paraId="128AE71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2.3 每月【  】日前，乙方须按劳动合同及相关约定，对照考勤记录，核算当期农民工工资（税后工资），并汇总造册，在农民工本人签字捺指印确认并由乙方项目劳资管理负责人签字并加盖公章后，提交甲方作为农民工工资发放依据。</w:t>
      </w:r>
    </w:p>
    <w:p w14:paraId="75CFB21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2.4甲方根据本协议2.3条中乙方提供的农民工工资表计算出当期乙方应付农民工工资总额，乙方委托甲方通过项目农民工工资专用账户逐一向每名农民工的银行卡支付工资，乙方对此无异议。</w:t>
      </w:r>
    </w:p>
    <w:p w14:paraId="3BF13085">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如2.3条中所列当期农民工工资高于甲方当期应付款，甲方以当期应付款为限，不足部分由乙方支付，另有约定的按书面确认后的约定执行（应加盖甲方单位公章，仅由甲方人员签字、加盖甲方项目印章的对甲方不发生效力）。</w:t>
      </w:r>
    </w:p>
    <w:p w14:paraId="2EDF2F7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当乙方与农民工有协议先支付一定比例的部分工资，最后按节点工期一次性结算时，乙方应将双方确认的书面协议，提交一份至甲方备案，甲方将以此为依据，按照双方确认的工资表和协商比例支付农民工工资。</w:t>
      </w:r>
    </w:p>
    <w:p w14:paraId="432CB73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2.5 甲方对支付的每笔工资，都要留存支付记录，并将支付信息传送给乙方核实。当期农民工工资发放结束后【  】天内，由乙方向甲方提供所有农民工工资全部发放完毕的确认书。逾期不确认，视为乙方默认当期农民工工资全部发放完毕，乙方无异议。</w:t>
      </w:r>
    </w:p>
    <w:p w14:paraId="257D30F7">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2.6 甲方支付到农民工个人银行账户，即视为乙方已收到相应款项，甲乙双方进行工程结算时，乙方应无条件予以认可。所支付的农民工工资从乙方每月工程进度款中扣除，并视为已向乙方支付相应工程款。</w:t>
      </w:r>
    </w:p>
    <w:p w14:paraId="4ECC3CD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2.7 乙方承担其农民工工人相关税费（包括但不限于个人所得税、五险一金等）的代扣代缴义务，具体缴纳方式由乙方与农民工工人协商确定，由此引发的纠纷与甲方无关。</w:t>
      </w:r>
    </w:p>
    <w:p w14:paraId="0C47A88E">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bidi="ar"/>
        </w:rPr>
        <w:t>2.8乙方农民工工人退场应及时到甲方办理退场手续，在退还门禁卡和领用物资、结算当期工资等手续后方可退场。乙方应督促农民工办理退场手续。</w:t>
      </w:r>
    </w:p>
    <w:p w14:paraId="341A00E4">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bidi="ar"/>
        </w:rPr>
        <w:t>3.违约责任</w:t>
      </w:r>
    </w:p>
    <w:p w14:paraId="64A0F23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3.1 甲方未按照乙方项目劳资管理负责人确认盖章后的农民工工资表进行及时支付，由相关部门按规定进行处罚。</w:t>
      </w:r>
    </w:p>
    <w:p w14:paraId="0D79C59C">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3.2 乙方须积极按本委托协议的约定，做好劳务用工合同签订、农民工信息收集更新、工资计量等工作，并对以上信息的真实完整性负责。因乙方伪造出勤信息、提供虚假身份信息套取、高估冒算农民工工资的，一经核实，乙方需按高估冒算部分金额的两倍向甲方承担违约金，该违约金从乙方剩余工程款中扣除，且该违约金不需经乙方同意或确认。</w:t>
      </w:r>
    </w:p>
    <w:p w14:paraId="139EB50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3.3 因乙方给甲方提供的资料不准确导致甲方代发工资超过或小于实际应代发工资，产生的相应后果由乙方承担。</w:t>
      </w:r>
    </w:p>
    <w:p w14:paraId="4A93D90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3.4 因乙方不服从实名制管理致使农民工工人登记、考勤遗漏，导致农民工工资无法通过农民工工资专用账户发放，由乙方补发工资，产生的后果由乙方承担。</w:t>
      </w:r>
    </w:p>
    <w:p w14:paraId="24FAF68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3.5 甲方依照本协议约定支付农民工工资后，若乙方与农民工因工资问题发生争议的，乙方应积极妥善处理，甲方有权敦促乙方及时解决相关问题，但不承担任何责任。</w:t>
      </w:r>
    </w:p>
    <w:p w14:paraId="4AD0905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3.6 乙方应赔偿因此给甲方造成的损失（包括但不限于罚款、利息、律师费、诉讼费、甲方为处理相关事宜支出的合理费用等）。</w:t>
      </w:r>
    </w:p>
    <w:p w14:paraId="3E3DC6F3">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bidi="ar"/>
        </w:rPr>
        <w:t>4.其他</w:t>
      </w:r>
    </w:p>
    <w:p w14:paraId="6306295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4.1 乙方须积极配合执行甲方及甲方上级单位制定的关于推动劳务实名制工资管理的各项制度和办法。</w:t>
      </w:r>
    </w:p>
    <w:p w14:paraId="7E6D29B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4.2甲乙双方对本协议及相关文件均负有保密责任，任何一方或其雇员或代理人获得的本协议及本协议所有资料和文件，未经甲方事先书面同意，不得对外透露或公开，并承诺在本协议终止后仍然有效。</w:t>
      </w:r>
    </w:p>
    <w:p w14:paraId="3CE5A73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本农民工工资委托支付协议作为分包合同的附件，具有同等法律效力，与合同同日生效。</w:t>
      </w:r>
    </w:p>
    <w:p w14:paraId="514CFE76">
      <w:pPr>
        <w:widowControl/>
        <w:spacing w:line="360" w:lineRule="auto"/>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br w:type="page"/>
      </w:r>
    </w:p>
    <w:p w14:paraId="11CADD05">
      <w:pPr>
        <w:spacing w:line="360" w:lineRule="auto"/>
        <w:outlineLvl w:val="1"/>
        <w:rPr>
          <w:rFonts w:hint="eastAsia" w:asciiTheme="minorEastAsia" w:hAnsiTheme="minorEastAsia" w:eastAsiaTheme="minorEastAsia" w:cstheme="minorEastAsia"/>
          <w:b/>
          <w:bCs/>
          <w:sz w:val="30"/>
          <w:szCs w:val="30"/>
        </w:rPr>
      </w:pPr>
      <w:bookmarkStart w:id="1001" w:name="_Toc200394262"/>
      <w:bookmarkStart w:id="1002" w:name="_Toc1192"/>
      <w:r>
        <w:rPr>
          <w:rFonts w:hint="eastAsia" w:asciiTheme="minorEastAsia" w:hAnsiTheme="minorEastAsia" w:eastAsiaTheme="minorEastAsia" w:cstheme="minorEastAsia"/>
          <w:b/>
          <w:bCs/>
          <w:sz w:val="30"/>
          <w:szCs w:val="30"/>
          <w:lang w:bidi="ar"/>
        </w:rPr>
        <w:t>附件12  施工现场消防安全管理协议</w:t>
      </w:r>
      <w:bookmarkEnd w:id="1001"/>
      <w:bookmarkEnd w:id="1002"/>
    </w:p>
    <w:p w14:paraId="2E8DCEBA">
      <w:pPr>
        <w:keepNext/>
        <w:keepLines/>
        <w:spacing w:before="120" w:beforeLines="50" w:after="120" w:afterLines="5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bidi="ar"/>
        </w:rPr>
        <w:t>施工现场消防安全管理协议</w:t>
      </w:r>
    </w:p>
    <w:p w14:paraId="11407B1B">
      <w:pPr>
        <w:spacing w:line="360" w:lineRule="auto"/>
        <w:ind w:firstLine="562" w:firstLineChars="200"/>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承包人（全称）：【                       】（以下简称甲方）</w:t>
      </w:r>
    </w:p>
    <w:p w14:paraId="71BF83DC">
      <w:pPr>
        <w:spacing w:line="360" w:lineRule="auto"/>
        <w:ind w:firstLine="562" w:firstLineChars="200"/>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分包人（全称）：【                       】（以下简称乙方）</w:t>
      </w:r>
    </w:p>
    <w:p w14:paraId="5B3292F2">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为了加强和规范施工现场消防安全管理，落实逐级消防安全责任制，依据《中华人民共和国消防法》《机关、团体、企业、事业单位消防安全管理规定》（公安部令第61号）等法律、法规，本着“谁主管，谁负责”的原则，就【           】工程消防安全管理等签订本协议书，双方应严格遵守和执行本协议书规定的权利、责任和义务，确保施工现场的消防安全。</w:t>
      </w:r>
    </w:p>
    <w:p w14:paraId="3E3C29DA">
      <w:pP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bidi="ar"/>
        </w:rPr>
        <w:t>一、甲方的权利、责任和义务</w:t>
      </w:r>
    </w:p>
    <w:p w14:paraId="251E652A">
      <w:pPr>
        <w:tabs>
          <w:tab w:val="left" w:pos="312"/>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1.贯彻落实国家消防安全法规和总包的消防安全管理制度，总包单位对施工现场、生活区的消防安全负总责，对施工现场、生活区的消防安全进行全面管理、监督、检查和指导。</w:t>
      </w:r>
    </w:p>
    <w:p w14:paraId="1A1BD55A">
      <w:pPr>
        <w:tabs>
          <w:tab w:val="left" w:pos="312"/>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2.运用多种形式开展经常性的消防安全宣传教育，对现场所有人员每年至少进行一次消防安全培训，并有培训记录和登记；对采用新工艺、新技术、新材料或者使用新设备有火灾危险的，要对从业人员进行专门的消防安全教育和培训；对不接受培训、教育、考核或考核不合格以及经审查有其他不符合规定要求的人员，有权拒绝其进入施工现场或清退出现场。</w:t>
      </w:r>
    </w:p>
    <w:p w14:paraId="38D4900C">
      <w:pPr>
        <w:tabs>
          <w:tab w:val="left" w:pos="312"/>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3.建立健全各项消防安全管理制度和操作规程，并督促落实。明确逐级和岗位消防安全职责，确定现场各栋号、分包、外包单位和各职能部门、各工种和各区域、层段等各级别和岗位的消防安全责任人；建立健全施工现场各级消防安全组织机构和义务消防队组织；对重点工种人员如电气焊人员、防水作业人员进行登记，建立档案。</w:t>
      </w:r>
    </w:p>
    <w:p w14:paraId="4DA6F898">
      <w:pPr>
        <w:tabs>
          <w:tab w:val="left" w:pos="312"/>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strike/>
          <w:kern w:val="0"/>
          <w:sz w:val="24"/>
          <w:szCs w:val="24"/>
        </w:rPr>
      </w:pPr>
      <w:r>
        <w:rPr>
          <w:rFonts w:hint="eastAsia" w:asciiTheme="minorEastAsia" w:hAnsiTheme="minorEastAsia" w:eastAsiaTheme="minorEastAsia" w:cstheme="minorEastAsia"/>
          <w:kern w:val="0"/>
          <w:sz w:val="24"/>
          <w:szCs w:val="24"/>
          <w:lang w:bidi="ar"/>
        </w:rPr>
        <w:t>4.严格落实有关运用明火的管理制度，做到“四不动火”。施工现场动用明火，应当按照规定事先办理审批手续；用火操作前，须对乙方电气焊工作业人员以班组或分包为单位进行用火操作交底，对乙方填写的《动火作业审批表及动火证》，由甲方项目主管负责人审批签字，并开具当天动火证。开具动火证人员必须符合甲方公司管理手册要求，其他人员代理应有书面委托；开具动火证时应严格把关，根据施工情况提出有针对性的防火措施。高层、外檐和孔洞周围作业，必须要求乙方和有关作业人员配备接挡工具，并在动火证上注明具体要求和措施。</w:t>
      </w:r>
    </w:p>
    <w:p w14:paraId="199BD010">
      <w:pPr>
        <w:tabs>
          <w:tab w:val="left" w:pos="312"/>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5.负责对乙方在施工现场、生活区的用火、用电、使用易燃易爆化学危险物品、防水作业及材料存储进行审查、批准和监督、检查。做到工程内不设置宿舍和住人，不做仓库使用和存放易燃易爆化学危险物品可燃材料；对违章指挥、违规操作等违章、违纪行为进行制止、纠正，并按有关规定进行处理。</w:t>
      </w:r>
    </w:p>
    <w:p w14:paraId="0989BE6C">
      <w:pPr>
        <w:tabs>
          <w:tab w:val="left" w:pos="312"/>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6.负责在施工现场、生活区、办公区内，按有关规定设置、配备相应的消防设施和灭火器材，设置消防应急疏散通道和指示标志；制定整体的灭火和应急疏散预案，并至少每半年进行一次演练。</w:t>
      </w:r>
    </w:p>
    <w:p w14:paraId="045AE917">
      <w:pPr>
        <w:tabs>
          <w:tab w:val="left" w:pos="312"/>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7.定期召开施工现场安全会议，组织防火检查，督促落实火灾隐患整改；有针对性地部署做好施工各阶段的防火工作；协调和处理本施工现场的有关消防安全问题。</w:t>
      </w:r>
    </w:p>
    <w:p w14:paraId="2EACBF25">
      <w:pPr>
        <w:tabs>
          <w:tab w:val="left" w:pos="312"/>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8.发生火灾，应及时报警、迅速组织扑救和人员疏散。紧急情况下甲方有权调用乙方的相关人员及物资。</w:t>
      </w:r>
    </w:p>
    <w:p w14:paraId="342DB33A">
      <w:pPr>
        <w:tabs>
          <w:tab w:val="left" w:pos="312"/>
        </w:tabs>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9.积极配合各级消防监督检查机关进行消防安全检查，参与对火灾事故的调查、处理。</w:t>
      </w:r>
    </w:p>
    <w:p w14:paraId="5841882B">
      <w:pPr>
        <w:tabs>
          <w:tab w:val="left" w:pos="312"/>
        </w:tabs>
        <w:autoSpaceDE w:val="0"/>
        <w:autoSpaceDN w:val="0"/>
        <w:adjustRightInd w:val="0"/>
        <w:snapToGrid w:val="0"/>
        <w:spacing w:line="360" w:lineRule="auto"/>
        <w:ind w:left="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lang w:bidi="ar"/>
        </w:rPr>
        <w:t>二、乙方的权利、责任和义务</w:t>
      </w:r>
    </w:p>
    <w:p w14:paraId="6511BA20">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1.贯彻落实各级政府及相关部门有关施工现场消防安全的法规和总包的消防安全管理制度，对所属施工区域、生活区宿舍、办公区的消防安全管理负全面责任。</w:t>
      </w:r>
    </w:p>
    <w:p w14:paraId="741E5C07">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2.负责建立健全本单位的防火组织，明确消防安全责任人、消防安全管理人、义务消防队伍。负责在施工现场内，按有关规定设置、配备相应的消防设施和灭火器材，设置消防应急疏散通道和指示标志；按照甲方的要求提供施工人员花名册及特殊工种的证件复印件及有关资料，在本施工区域内，尤其是重点部位按规定配备相应的灭火器材，并保证灵敏有效。</w:t>
      </w:r>
    </w:p>
    <w:p w14:paraId="4BBD62CA">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3.电气焊等特种作业人员必须持证上岗。用火操作前，必须到甲方用火审批部门办理动火证，不得由他人代理。在操作中应确保高层、外檐和孔洞周围作业对电气焊割产生的火花、焊渣有接挡和封堵措施，并避免与易燃危险性作业同时交叉进行；要清除周围易燃可燃物，配备灭火器材、灭火用水，设专人看火监护。禁止非焊工进行电气焊操作。</w:t>
      </w:r>
    </w:p>
    <w:p w14:paraId="3B83CF1A">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4.负责对本单位在施人员进行消防法规、制度、操作规程和施工现场火灾危险性教育；进行报火警、扑救初起火灾和自救逃生知识、技能教育。对施工现场采用的新工艺、新技术、新材料或使用的新设备必须了解、掌握其安全消防技术特性，经培训教育后方可上岗作业。在消防安全教育或安全活动中，可要求甲方提供帮助。</w:t>
      </w:r>
    </w:p>
    <w:p w14:paraId="4AACEB9E">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5.工程不准作为仓库使用，不准存放易燃、易爆化学危险物品和易燃可燃材料，不得在建设工程内设置宿舍。甲方指令乙方违反上述规定的，乙方有权拒绝。在建设工程外设置宿舍和库房的，禁止使用可燃材料做分割和围挡。严禁在宿舍内私接乱拉电线，严禁使用“热得快”、电饭锅、电褥子等大功率电热器具。乙方使用或存储易燃易爆化学危险品，应向甲方有关部门提出申请，经甲方批准和登记，并有可靠的防火安全措施后才准许使用和存储。</w:t>
      </w:r>
    </w:p>
    <w:p w14:paraId="66D7D7B3">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6.负责所在施工区域及所属生活区宿舍内的消防安全管理，制定消防应急预案，保证所施工区域内的消防设施、器材等配置到位、完好无损、灵敏有效，确保消防应急通道畅通，并有权拒绝甲方违反消防安全法规的指令。</w:t>
      </w:r>
    </w:p>
    <w:p w14:paraId="017ADCED">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7.落实日检及周检要求，进行自我防火安全检查，及时制止、纠正各种违章用火、用电和违章操作行为，在防火安全检查中发现的消防隐患及问题，应及时整改或采取必要的安全措施，并及时通报甲方有关部门共同协商解决，消除消防隐患。</w:t>
      </w:r>
    </w:p>
    <w:p w14:paraId="617A1CFA">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8.积极配合、服从各级消防机关、部门及甲方消防安全监督、检查和管理，对于查出的防火安全问题及时进行整改，并将整改情况书面报甲方备案。</w:t>
      </w:r>
    </w:p>
    <w:p w14:paraId="24B69B75">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9.发生火灾事故，立即向甲方报告，并迅速组织扑救，事后积极协助有关部门进行调查，迟报或隐瞒不报造成严重后果的，要承担相应责任。</w:t>
      </w:r>
    </w:p>
    <w:p w14:paraId="0C76A762">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10.因乙方责任造成火灾事故，导致甲方或第三方人身伤亡和经济损失的，乙方承担全部经济损失和法律责任。</w:t>
      </w:r>
    </w:p>
    <w:p w14:paraId="3EFFFFD7">
      <w:pPr>
        <w:autoSpaceDE w:val="0"/>
        <w:autoSpaceDN w:val="0"/>
        <w:adjustRightInd w:val="0"/>
        <w:snapToGrid w:val="0"/>
        <w:spacing w:line="360" w:lineRule="auto"/>
        <w:ind w:firstLine="482"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lang w:bidi="ar"/>
        </w:rPr>
        <w:t>三、补充条款</w:t>
      </w:r>
    </w:p>
    <w:p w14:paraId="7E06BF82">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补充条款如下：</w:t>
      </w:r>
    </w:p>
    <w:p w14:paraId="63EDC759">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乙方认真执行甲方项目部的消防要求，如有违反规定的按甲方安全奖罚制度处罚。</w:t>
      </w:r>
    </w:p>
    <w:p w14:paraId="34059B8B">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4"/>
          <w:szCs w:val="24"/>
          <w:lang w:bidi="ar"/>
        </w:rPr>
        <w:t>本协议作为合同一部分，自合同签订之日起生效，到退场协议终止</w:t>
      </w:r>
      <w:r>
        <w:rPr>
          <w:rFonts w:hint="eastAsia" w:asciiTheme="minorEastAsia" w:hAnsiTheme="minorEastAsia" w:eastAsiaTheme="minorEastAsia" w:cstheme="minorEastAsia"/>
          <w:kern w:val="0"/>
          <w:sz w:val="28"/>
          <w:szCs w:val="28"/>
          <w:lang w:bidi="ar"/>
        </w:rPr>
        <w:t>。</w:t>
      </w:r>
    </w:p>
    <w:p w14:paraId="562CE0C9">
      <w:pPr>
        <w:widowControl/>
        <w:spacing w:line="360" w:lineRule="auto"/>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br w:type="page"/>
      </w:r>
    </w:p>
    <w:p w14:paraId="12B86F31">
      <w:pPr>
        <w:spacing w:line="360" w:lineRule="auto"/>
        <w:outlineLvl w:val="1"/>
        <w:rPr>
          <w:rFonts w:hint="eastAsia" w:asciiTheme="minorEastAsia" w:hAnsiTheme="minorEastAsia" w:eastAsiaTheme="minorEastAsia" w:cstheme="minorEastAsia"/>
          <w:b/>
          <w:bCs/>
          <w:sz w:val="30"/>
          <w:szCs w:val="30"/>
        </w:rPr>
      </w:pPr>
      <w:bookmarkStart w:id="1003" w:name="_Toc200394263"/>
      <w:bookmarkStart w:id="1004" w:name="_Toc7778"/>
      <w:r>
        <w:rPr>
          <w:rFonts w:hint="eastAsia" w:asciiTheme="minorEastAsia" w:hAnsiTheme="minorEastAsia" w:eastAsiaTheme="minorEastAsia" w:cstheme="minorEastAsia"/>
          <w:b/>
          <w:bCs/>
          <w:sz w:val="30"/>
          <w:szCs w:val="30"/>
          <w:lang w:bidi="ar"/>
        </w:rPr>
        <w:t>附件13  施工现场临时用电安全管理协议</w:t>
      </w:r>
      <w:bookmarkEnd w:id="1003"/>
      <w:bookmarkEnd w:id="1004"/>
    </w:p>
    <w:p w14:paraId="488E5B0E">
      <w:pPr>
        <w:keepNext/>
        <w:keepLines/>
        <w:spacing w:before="120" w:beforeLines="50" w:after="120" w:afterLines="50" w:line="360" w:lineRule="auto"/>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bidi="ar"/>
        </w:rPr>
        <w:t>施工现场临时用电安全管理协议</w:t>
      </w:r>
    </w:p>
    <w:p w14:paraId="18480107">
      <w:pPr>
        <w:spacing w:line="360" w:lineRule="auto"/>
        <w:ind w:firstLine="562" w:firstLineChars="200"/>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承包人（全称）：【                       】（以下简称甲方）</w:t>
      </w:r>
    </w:p>
    <w:p w14:paraId="1D5C3453">
      <w:pPr>
        <w:spacing w:line="360" w:lineRule="auto"/>
        <w:ind w:firstLine="562" w:firstLineChars="200"/>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lang w:bidi="ar"/>
        </w:rPr>
        <w:t>分包人（全称）：【                       】（以下简称乙方）</w:t>
      </w:r>
    </w:p>
    <w:p w14:paraId="75501244">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为了确保施工现场临时用电安全，防止触电事故的发生，依据《中华人民共和国安全生产法》《建设工程安全生产管理条例》《建设工程施工现场供用电安全规范》（GB50194-2014）、《施工现场临时用电安全技术规范》（JGJ46—2005）、《建筑施工安全检查标准》（JGJ59—2011）等有关规定，就【        】工程施工现场临时用电安全制定本协议书。甲方和乙方应当按照各自职责，对临时用电进行监督管理，严格遵守本协议书规定的权利、责任和义务，保障施工现场临时用电安全。</w:t>
      </w:r>
    </w:p>
    <w:p w14:paraId="1BD9AACC">
      <w:pP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bidi="ar"/>
        </w:rPr>
        <w:t>一、甲方的权利、责任和义务</w:t>
      </w:r>
    </w:p>
    <w:p w14:paraId="087A23C3">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1.贯彻落实国家施工现场临时用电的有关规定。负责对施工现场临时用电进行全面监督、管理，并对施工现场临时用电进行安全检查和指导。</w:t>
      </w:r>
    </w:p>
    <w:p w14:paraId="50BAA689">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2.审阅乙方临时用电申请，并把乙方临时用电安全技术措施和电气防火措施进行备案。</w:t>
      </w:r>
    </w:p>
    <w:p w14:paraId="2393C68A">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3.负责提供施工电源，并把施工电源送到符合安全标准的二级配电箱。并对乙方的使用情况进行监督检查。</w:t>
      </w:r>
    </w:p>
    <w:p w14:paraId="77345DC4">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4.向乙方提供电源时，应与乙方办理交接验收手续。</w:t>
      </w:r>
    </w:p>
    <w:p w14:paraId="2EFE2CE7">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5.按照有关临时用电标准对乙方的临时用电设备、设施进行监督和检查。发现乙方在临时用电中存在隐患必须责成乙方予以整改，并监督整改落实情况。</w:t>
      </w:r>
    </w:p>
    <w:p w14:paraId="680D67C4">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6.对乙方特种作业人员的花名册、操作证复印件及培训记录进行存档备案。未经安全生产教育培训和无证人员，不得允许上岗作业。</w:t>
      </w:r>
    </w:p>
    <w:p w14:paraId="6552BFD7">
      <w:pP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bidi="ar"/>
        </w:rPr>
        <w:t>二、乙方的权利、责任和义务</w:t>
      </w:r>
    </w:p>
    <w:p w14:paraId="32967BB0">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1.严格执行国家施工现场临时用电的有关技术规范和安全操作规程，对施工区域内自行管辖的临时用电负全面管理责任。</w:t>
      </w:r>
    </w:p>
    <w:p w14:paraId="5213EDF2">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2.向甲方提供书面的临时用电申请。设备设施需要增容时，必须重新办理用电申请手续。</w:t>
      </w:r>
    </w:p>
    <w:p w14:paraId="619C430A">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3.保证二级配电箱以下管辖区域内各种用电设备、设施完好，临时用电设施和器材必须使用正规厂家的合格产品，严禁使用假冒伪劣等不合格产品。加强日常检查与维护保养工作，严禁各种机电设备带病运行，保证临时用电符合有关安全用电标准。</w:t>
      </w:r>
    </w:p>
    <w:p w14:paraId="42C4C693">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4.执行临时用电安全技术交底制度，对施工区域内自行管辖的操作人员进行临时用电安全技术交底，避免违章指挥、违章操作和误操作，确保安全用电。</w:t>
      </w:r>
    </w:p>
    <w:p w14:paraId="1202DD7B">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5.在使用甲方提供临时电源时，对不符合临时用电标准的电源，对甲方提出整改意见。有权拒绝在不符合临时用电标准的电源上拉接电源。对甲方在安全检查中提出的关于临时用电方面存在的问题或隐患，必须按要求认真落实整改。</w:t>
      </w:r>
    </w:p>
    <w:p w14:paraId="12F776A0">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6.配置满足施工需要的特种作业人员，对特种作业人员进行上岗前的职业技能、安全生产等方面的培训，未经安全生产教育培训及培训不合格和无证人员，不得上岗作业。特种作业人员必须依照有关规定持证上岗。向甲方提供特种作业人员花名册、操作证复印件和培训记录。</w:t>
      </w:r>
    </w:p>
    <w:p w14:paraId="3A8EA1C8">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7.现场发生触电事故时，经主管部门鉴定属于乙方因违反上述协议和违章指挥、违章操作，对提供的电源线路设施未经甲方事先书面同意擅自拆、改、接，不服从甲方管理造成事故的，由乙方负全责。</w:t>
      </w:r>
    </w:p>
    <w:p w14:paraId="0CE13E57">
      <w:pP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bidi="ar"/>
        </w:rPr>
        <w:t>三、争议解决方式</w:t>
      </w:r>
    </w:p>
    <w:p w14:paraId="38214A6D">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当甲、乙双方发生争议时，可以通过甲、乙双方上级主管部门协商解决。</w:t>
      </w:r>
    </w:p>
    <w:p w14:paraId="703101A0">
      <w:pPr>
        <w:autoSpaceDE w:val="0"/>
        <w:autoSpaceDN w:val="0"/>
        <w:adjustRightInd w:val="0"/>
        <w:snapToGrid w:val="0"/>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bidi="ar"/>
        </w:rPr>
        <w:t>四、双方有关未尽事宜补充条款</w:t>
      </w:r>
    </w:p>
    <w:p w14:paraId="231842A6">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 xml:space="preserve">补充条款如下：乙方所有进入现场配电设备、设施（配电箱、电缆线、电器配件）等，必须报甲方项目部物资部、安全部验收，未经验收合格严禁使用。 </w:t>
      </w:r>
    </w:p>
    <w:p w14:paraId="74C1A6F4">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kern w:val="0"/>
          <w:sz w:val="24"/>
          <w:szCs w:val="24"/>
          <w:lang w:bidi="ar"/>
        </w:rPr>
        <w:t>本协议作为合同一部分，自合同签订之日起生效，到退场协议终止。</w:t>
      </w:r>
      <w:r>
        <w:rPr>
          <w:rFonts w:hint="eastAsia" w:asciiTheme="minorEastAsia" w:hAnsiTheme="minorEastAsia" w:eastAsiaTheme="minorEastAsia" w:cstheme="minorEastAsia"/>
          <w:bCs/>
          <w:sz w:val="28"/>
          <w:szCs w:val="28"/>
          <w:u w:val="single"/>
          <w:lang w:bidi="ar"/>
        </w:rPr>
        <w:br w:type="page"/>
      </w:r>
    </w:p>
    <w:p w14:paraId="442ED7E0">
      <w:pPr>
        <w:spacing w:line="360" w:lineRule="auto"/>
        <w:outlineLvl w:val="1"/>
        <w:rPr>
          <w:rFonts w:hint="eastAsia" w:asciiTheme="minorEastAsia" w:hAnsiTheme="minorEastAsia" w:eastAsiaTheme="minorEastAsia" w:cstheme="minorEastAsia"/>
          <w:b/>
          <w:bCs/>
          <w:sz w:val="30"/>
          <w:szCs w:val="30"/>
        </w:rPr>
      </w:pPr>
      <w:bookmarkStart w:id="1005" w:name="_Toc200394264"/>
      <w:bookmarkStart w:id="1006" w:name="_Toc9158"/>
      <w:r>
        <w:rPr>
          <w:rFonts w:hint="eastAsia" w:asciiTheme="minorEastAsia" w:hAnsiTheme="minorEastAsia" w:eastAsiaTheme="minorEastAsia" w:cstheme="minorEastAsia"/>
          <w:b/>
          <w:bCs/>
          <w:sz w:val="30"/>
          <w:szCs w:val="30"/>
          <w:lang w:bidi="ar"/>
        </w:rPr>
        <w:t>附件14  承诺书</w:t>
      </w:r>
      <w:bookmarkEnd w:id="1005"/>
      <w:bookmarkEnd w:id="1006"/>
    </w:p>
    <w:p w14:paraId="541C8251">
      <w:pPr>
        <w:keepNext/>
        <w:keepLines/>
        <w:spacing w:before="120" w:beforeLines="50" w:after="120" w:afterLines="5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bidi="ar"/>
        </w:rPr>
        <w:t>承  诺  书</w:t>
      </w:r>
    </w:p>
    <w:p w14:paraId="64C04460">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           】：</w:t>
      </w:r>
    </w:p>
    <w:p w14:paraId="3F0C06BE">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我公司参加贵司【           】工程投标并已中标，为更好地完成合同约定的工作内容，我公司承诺如下：</w:t>
      </w:r>
    </w:p>
    <w:p w14:paraId="4B6B882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1.我公司严格执行国家、当地政府部门的法规、政策及总承包单位规章制度，依法进行用工管理，不搞挂靠和接受挂靠，不使用小包工队伍和未培训的社会闲散人员。</w:t>
      </w:r>
    </w:p>
    <w:p w14:paraId="7752436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2.依法与劳动者本人签订书面劳动合同，明确双方的权利和义务，并经双方签字（章）认可，合同文本同时报甲方项目部备案。</w:t>
      </w:r>
    </w:p>
    <w:p w14:paraId="29F102C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3.我公司对员工实施实名制管理，做好工人的基本信息采集和考勤工作，并及时报总包项目部。</w:t>
      </w:r>
    </w:p>
    <w:p w14:paraId="1E04CBB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4.我公司使用劳务工人保证做到先培训，后上岗，持证上岗。</w:t>
      </w:r>
    </w:p>
    <w:p w14:paraId="3908C8A9">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5.按时足额发放工资（包括现场施工工人及劳务用工、农民工等所有用工，以下均简称“员工工资”），不管在任何情况下，决不拖欠员工工资，每次发放员工工资经员工本人签字。</w:t>
      </w:r>
    </w:p>
    <w:p w14:paraId="2106BB5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6.接受贵司的监督与管理。执行贵司对用工和员工工资支付的相关规定，按时足额缴纳员工工资保障基金，做好员工工资支付工作。并将员工工资支付情况统计表报送总承包方。</w:t>
      </w:r>
    </w:p>
    <w:p w14:paraId="1A4C9D38">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7.在有条件的地区，委托总承包方在银行开设“工资专户”，建立工资卡，由银行代发员工工资，将员工工资直接打入员工个人卡中，并接受总包方对“工资专户”资金使用情况的监督管理。</w:t>
      </w:r>
    </w:p>
    <w:p w14:paraId="083826D1">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8.发生资金矛盾时，无条件先行支付员工工资。</w:t>
      </w:r>
    </w:p>
    <w:p w14:paraId="6D35DF9D">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9.若拖欠员工工资，贵司有权直接终止分包合同，并按照分包合同的约定承担违约金。</w:t>
      </w:r>
    </w:p>
    <w:p w14:paraId="46D0730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10.我公司严格遵守总承包方安全管理规章制度，履行安全生产协议，做好劳务工人安全教育培训工作，接受贵司安全生产监督检查并承担相应的责任。</w:t>
      </w:r>
    </w:p>
    <w:p w14:paraId="45D8FFFF">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11.我司根据贵司要求，进入施工现场的所有人员，按照总承包方规定要求，按照实名制要求做好基本信息采集工作，办理门禁卡，无门禁卡的人员，贵司有权拒绝其进入施工现场。</w:t>
      </w:r>
    </w:p>
    <w:p w14:paraId="30E1C589">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12.在合同实施过程中因建设单位、政策性因素、不可抗力、瘟疫等其他原因造成工程停建、缓建或工期延后，我公司不向贵司提出索赔。</w:t>
      </w:r>
    </w:p>
    <w:p w14:paraId="6063E1D3">
      <w:pPr>
        <w:autoSpaceDE w:val="0"/>
        <w:autoSpaceDN w:val="0"/>
        <w:adjustRightIn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13.我公司从贵司收取的工程款首先支付工人工资，并每月将发放的劳务人员工资回执单上报贵司，如每月不按时上报，贵司可不支付下月工程款。如果出现我方范围内农民工、供货商经济纠纷事件干扰贵司正常工作或相关部门要求贵司解决，我方将及时解决，如半天内未解决，在第三方证明下或相关政府部门要求下，贵司可直接代为垫付，由此发生的费用贵司可直接自应支付我司的款项中扣除，并且按垫付数额的2倍由我司向贵司支付违约金。</w:t>
      </w:r>
    </w:p>
    <w:p w14:paraId="72DB394F">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bidi="ar"/>
        </w:rPr>
        <w:t>14.我公司具有完成合同所有内容的垫资能力，如贵司对我公司付款不及时，我公司表示谅解，并承诺继续施工，不向贵司索赔任何费用。</w:t>
      </w:r>
    </w:p>
    <w:p w14:paraId="5F328DD9">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15.本合同履行过程中，若由于现场实际情况、贵司或建设单位要求，需要抢工或提前完工的，我公司积极配合，不以费用未确定等任何借口拒绝或拖延执行；若我公司施工能力无法满足前述要求，贵司有权组织其他单位代我公司完成，我公司将提供配合并承担由此产生的费用（包括但不限于代为完成部分工程款（该部分工程款由贵司直接与代为完成者直接结算，我公司对结算结果完全予以认可）及贵司管理费等），此费用由贵司从我公司工程款中扣除。 </w:t>
      </w:r>
    </w:p>
    <w:p w14:paraId="3178AB4E">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 xml:space="preserve"> </w:t>
      </w:r>
    </w:p>
    <w:p w14:paraId="7D509145">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特此承诺。</w:t>
      </w:r>
    </w:p>
    <w:p w14:paraId="16E1FE47">
      <w:pPr>
        <w:snapToGrid w:val="0"/>
        <w:spacing w:line="360" w:lineRule="auto"/>
        <w:ind w:right="0" w:firstLine="280" w:firstLineChars="1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承诺单位（签字盖章）：</w:t>
      </w:r>
    </w:p>
    <w:p w14:paraId="76E4A728">
      <w:pPr>
        <w:spacing w:line="360" w:lineRule="auto"/>
        <w:ind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年    月    日</w:t>
      </w:r>
    </w:p>
    <w:p w14:paraId="3CEDA0AB">
      <w:pPr>
        <w:spacing w:after="120" w:line="360" w:lineRule="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single"/>
          <w:lang w:bidi="ar"/>
        </w:rPr>
        <w:t xml:space="preserve"> </w:t>
      </w:r>
    </w:p>
    <w:p w14:paraId="033992C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52C05074">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36DB5786">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17B970F2">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402EAF6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5A0C0B29">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1B1510B1">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122E264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0F7E37D3">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 xml:space="preserve"> </w:t>
      </w:r>
    </w:p>
    <w:p w14:paraId="40F9A157">
      <w:pPr>
        <w:pStyle w:val="8"/>
        <w:widowControl/>
        <w:jc w:val="left"/>
        <w:rPr>
          <w:kern w:val="0"/>
          <w:sz w:val="24"/>
          <w:lang w:bidi="ar"/>
        </w:rPr>
      </w:pPr>
      <w:r>
        <w:rPr>
          <w:rFonts w:hint="eastAsia"/>
          <w:lang w:bidi="ar"/>
        </w:rPr>
        <w:br w:type="page"/>
      </w:r>
    </w:p>
    <w:p w14:paraId="78305392">
      <w:pPr>
        <w:spacing w:line="360" w:lineRule="auto"/>
        <w:outlineLvl w:val="1"/>
        <w:rPr>
          <w:rFonts w:hint="eastAsia" w:asciiTheme="minorEastAsia" w:hAnsiTheme="minorEastAsia" w:eastAsiaTheme="minorEastAsia" w:cstheme="minorEastAsia"/>
          <w:b/>
          <w:bCs/>
          <w:sz w:val="30"/>
          <w:szCs w:val="30"/>
        </w:rPr>
      </w:pPr>
      <w:bookmarkStart w:id="1007" w:name="_Toc200394265"/>
      <w:bookmarkStart w:id="1008" w:name="_Toc12882"/>
      <w:r>
        <w:rPr>
          <w:rFonts w:hint="eastAsia" w:asciiTheme="minorEastAsia" w:hAnsiTheme="minorEastAsia" w:eastAsiaTheme="minorEastAsia" w:cstheme="minorEastAsia"/>
          <w:b/>
          <w:bCs/>
          <w:sz w:val="30"/>
          <w:szCs w:val="30"/>
          <w:lang w:bidi="ar"/>
        </w:rPr>
        <w:t>附件15  施工总承包管理配合协议</w:t>
      </w:r>
      <w:bookmarkEnd w:id="1007"/>
      <w:bookmarkEnd w:id="1008"/>
    </w:p>
    <w:p w14:paraId="7102F189">
      <w:pPr>
        <w:spacing w:before="97" w:line="360" w:lineRule="auto"/>
        <w:ind w:lef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施工总承包管理配合协议</w:t>
      </w:r>
    </w:p>
    <w:p w14:paraId="18F90B62">
      <w:pPr>
        <w:spacing w:before="97" w:line="360" w:lineRule="auto"/>
        <w:ind w:lef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 xml:space="preserve"> </w:t>
      </w:r>
    </w:p>
    <w:p w14:paraId="253676C2">
      <w:pPr>
        <w:spacing w:before="97" w:line="360" w:lineRule="auto"/>
        <w:ind w:lef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 xml:space="preserve">发包人：                     </w:t>
      </w:r>
    </w:p>
    <w:p w14:paraId="3576C73F">
      <w:pPr>
        <w:spacing w:before="224" w:line="360" w:lineRule="auto"/>
        <w:ind w:lef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bidi="ar"/>
        </w:rPr>
        <w:t>承包</w:t>
      </w:r>
      <w:r>
        <w:rPr>
          <w:rFonts w:hint="eastAsia" w:asciiTheme="minorEastAsia" w:hAnsiTheme="minorEastAsia" w:eastAsiaTheme="minorEastAsia" w:cstheme="minorEastAsia"/>
          <w:sz w:val="28"/>
          <w:szCs w:val="28"/>
          <w:lang w:bidi="ar"/>
        </w:rPr>
        <w:t xml:space="preserve">人：                        </w:t>
      </w:r>
    </w:p>
    <w:p w14:paraId="28C67C67">
      <w:pPr>
        <w:spacing w:before="224" w:line="360" w:lineRule="auto"/>
        <w:ind w:lef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 xml:space="preserve">分包人：                              </w:t>
      </w:r>
    </w:p>
    <w:p w14:paraId="619F3DF4">
      <w:pPr>
        <w:spacing w:before="97" w:line="360" w:lineRule="auto"/>
        <w:ind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 xml:space="preserve"> </w:t>
      </w:r>
    </w:p>
    <w:p w14:paraId="0C9393B4">
      <w:pPr>
        <w:spacing w:before="0" w:line="360" w:lineRule="auto"/>
        <w:ind w:lef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为明确本工程的各方在施工总承包管理，配合服务方面的责任、权利和义务，特签订本合同，各方遵守执行。</w:t>
      </w:r>
    </w:p>
    <w:p w14:paraId="149606D5">
      <w:pPr>
        <w:spacing w:before="0" w:line="360" w:lineRule="auto"/>
        <w:ind w:left="0"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1、项目简介</w:t>
      </w:r>
    </w:p>
    <w:p w14:paraId="5A90D3D2">
      <w:pPr>
        <w:spacing w:before="0" w:line="360" w:lineRule="auto"/>
        <w:ind w:left="0"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1.1 项目情况：</w:t>
      </w:r>
    </w:p>
    <w:p w14:paraId="011B1335">
      <w:pPr>
        <w:spacing w:before="0" w:line="360" w:lineRule="auto"/>
        <w:ind w:right="0" w:firstLine="480" w:firstLineChars="200"/>
        <w:rPr>
          <w:rFonts w:hint="eastAsia" w:asciiTheme="minorEastAsia" w:hAnsiTheme="minorEastAsia" w:eastAsiaTheme="minorEastAsia" w:cstheme="minorEastAsia"/>
          <w:sz w:val="24"/>
          <w:szCs w:val="24"/>
          <w:lang w:bidi="ar"/>
        </w:rPr>
      </w:pPr>
      <w:r>
        <w:rPr>
          <w:rFonts w:hint="eastAsia" w:ascii="宋体" w:hAnsi="宋体" w:eastAsia="宋体" w:cs="Times New Roman"/>
          <w:i w:val="0"/>
          <w:iCs w:val="0"/>
          <w:caps w:val="0"/>
          <w:spacing w:val="0"/>
          <w:kern w:val="0"/>
          <w:sz w:val="24"/>
          <w:szCs w:val="24"/>
          <w:u w:val="none"/>
          <w:lang w:val="en-US" w:eastAsia="zh-CN"/>
        </w:rPr>
        <w:t>项目宗地总面积为29838平方米,其中出让宗地面积为16582平方米，配建道路面积10870平方米，配建绿地面积2386平方米总建筑面积约46690平方米。项目用于机器人等人工智能装备的研发用房、展示用房、生产厂房，建设内容包括项目主体建筑安装工程及相关附属工程、配建工程等。</w:t>
      </w:r>
      <w:r>
        <w:rPr>
          <w:rFonts w:hint="eastAsia" w:ascii="宋体" w:hAnsi="宋体"/>
          <w:kern w:val="0"/>
          <w:sz w:val="24"/>
        </w:rPr>
        <w:t>(具体内容以实际图纸为准)</w:t>
      </w:r>
      <w:r>
        <w:rPr>
          <w:rFonts w:hint="eastAsia" w:asciiTheme="minorEastAsia" w:hAnsiTheme="minorEastAsia" w:eastAsiaTheme="minorEastAsia" w:cstheme="minorEastAsia"/>
          <w:sz w:val="24"/>
          <w:szCs w:val="24"/>
          <w:lang w:bidi="ar"/>
        </w:rPr>
        <w:t>。</w:t>
      </w:r>
    </w:p>
    <w:p w14:paraId="06BC8BA9">
      <w:pPr>
        <w:spacing w:before="0" w:line="360" w:lineRule="auto"/>
        <w:ind w:right="0"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1.2 发包人：                                       。</w:t>
      </w:r>
    </w:p>
    <w:p w14:paraId="0A4676BD">
      <w:pPr>
        <w:spacing w:before="0"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1.3 专业工程情况：                                。</w:t>
      </w:r>
    </w:p>
    <w:p w14:paraId="4C45F34F">
      <w:pPr>
        <w:spacing w:before="0"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2、发包人的责任</w:t>
      </w:r>
    </w:p>
    <w:p w14:paraId="3293FA33">
      <w:pPr>
        <w:spacing w:before="0" w:line="360" w:lineRule="auto"/>
        <w:ind w:right="0"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2.1 与项目施工方（包括承包人、分包人）签订施工合同（或材料设备采购合同），履行合同中的各项责任。</w:t>
      </w:r>
    </w:p>
    <w:p w14:paraId="71F24640">
      <w:pPr>
        <w:spacing w:before="0"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2.2 按合同履行各项权利和义务。</w:t>
      </w:r>
    </w:p>
    <w:p w14:paraId="767DE947">
      <w:pPr>
        <w:spacing w:before="0"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2.3确定处理各方的关系。</w:t>
      </w:r>
    </w:p>
    <w:p w14:paraId="576B3583">
      <w:pPr>
        <w:spacing w:line="360" w:lineRule="auto"/>
        <w:ind w:left="0"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3、发包人的权利</w:t>
      </w:r>
    </w:p>
    <w:p w14:paraId="46F0D202">
      <w:pPr>
        <w:spacing w:before="0"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3.1 按合同规定，对施工质量、进度、工程造价、安全、文</w:t>
      </w:r>
    </w:p>
    <w:p w14:paraId="1FB57464">
      <w:pPr>
        <w:spacing w:before="0" w:line="360" w:lineRule="auto"/>
        <w:ind w:left="0"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明施工进行控制，进行合同管理，履行合同中的各项权利。</w:t>
      </w:r>
    </w:p>
    <w:p w14:paraId="0F3ED5C1">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3.2 处理解决各方的关系。</w:t>
      </w:r>
    </w:p>
    <w:p w14:paraId="789B1424">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4、承包人的责任</w:t>
      </w:r>
    </w:p>
    <w:p w14:paraId="7060B0C5">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4.1承包人应依据施工总承包合同及专业分包合同，开展总承包管理工作，包括报批报建、采购、施工、调试、验收和试运行全过程的质量、安全、成本及进度等全方位的策划、组织实施、控制与收尾等，既包括对分包人的管理、沟通与协调，也包括与发包人、设计单位、监理单位、政府相关职能部门之间的配合沟通与协调。</w:t>
      </w:r>
    </w:p>
    <w:p w14:paraId="486A73F8">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4.2承包人需统筹各方资源，实行一体化管理，降低建设成本，提高工程效率，充分利用内外协调机制，实现项目的各项目标。</w:t>
      </w:r>
    </w:p>
    <w:p w14:paraId="36EFDB6B">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5、承包人的权利</w:t>
      </w:r>
    </w:p>
    <w:p w14:paraId="2AC1680C">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5．1 在总承包合同范围对分包人施工进度管理的监督、检查和管理权。包括对分包人专业工程实际进度是否满足计划进度的意见权。</w:t>
      </w:r>
    </w:p>
    <w:p w14:paraId="58C15579">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5．2 施工现场所有临时设施调配权。</w:t>
      </w:r>
    </w:p>
    <w:p w14:paraId="0BF8D6E1">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5．3 施工场地(包括人员、材料、设备、机械、环境)的管理</w:t>
      </w:r>
    </w:p>
    <w:p w14:paraId="645839FF">
      <w:pPr>
        <w:spacing w:line="360" w:lineRule="auto"/>
        <w:ind w:left="0"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权。</w:t>
      </w:r>
    </w:p>
    <w:p w14:paraId="27B5D7AF">
      <w:pPr>
        <w:spacing w:line="360" w:lineRule="auto"/>
        <w:ind w:left="0"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5．4 工地文明施工和安全生产监督、检查和管理权。</w:t>
      </w:r>
    </w:p>
    <w:p w14:paraId="06202B92">
      <w:pPr>
        <w:spacing w:line="360" w:lineRule="auto"/>
        <w:ind w:left="0"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5．5 产品保护或照管的监督、检查和和管理权。</w:t>
      </w:r>
    </w:p>
    <w:p w14:paraId="1B342F19">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5．6 对分包人的工程款支付申请的建议权：分包人的工程进度款需经 承包人加具建议意见，发包人根据承包人的建议意见、监理单位、造</w:t>
      </w:r>
    </w:p>
    <w:p w14:paraId="3BFF8841">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价管理单位的审核意见，最终确定进度款支付额。</w:t>
      </w:r>
    </w:p>
    <w:p w14:paraId="551B0BF7">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5．7 对分包人的施工组织设计的审核权，修改建议权。</w:t>
      </w:r>
    </w:p>
    <w:p w14:paraId="09A6E138">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5．8 对分包人工程竣工验收的验收意见建议权。</w:t>
      </w:r>
    </w:p>
    <w:p w14:paraId="621AD6B1">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5．9 对分包人所有竣工资料的审核和管理权。</w:t>
      </w:r>
    </w:p>
    <w:p w14:paraId="3AAB2ABA">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6、分包人的责任</w:t>
      </w:r>
    </w:p>
    <w:p w14:paraId="53930706">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6．1 履行发包人与分包人、承包人与分包人签订协议中的各项责任。</w:t>
      </w:r>
    </w:p>
    <w:p w14:paraId="4A8148C5">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6.2 接受并服从承包人对专业工程的计划、进度、施工场地、工地文明施工和安全生产、产品保护或照管、竣工资料的管理。协助承包人对自已施工区域的场地做好管理配合工作。</w:t>
      </w:r>
    </w:p>
    <w:p w14:paraId="5CD1945E">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6.3 接受承包人对专业工程的施工进度、文明施工和安全生产、 产品保护或照管的检查或监督，当承包人提出建议时，应及时洽商及解决。</w:t>
      </w:r>
    </w:p>
    <w:p w14:paraId="6F35BC14">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6.4 接受承包人对专业工程的进度款支付的加具意见。</w:t>
      </w:r>
    </w:p>
    <w:p w14:paraId="7B7D349D">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6．5 按施工总承包合同和分包合同的要求，向承包人提交有关资料，承包人提出修改意见后应及时协商或修改。</w:t>
      </w:r>
    </w:p>
    <w:p w14:paraId="0D5853DD">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6.6 分包人进场后须与承包人签订安全生产和临时用水用电等协议。</w:t>
      </w:r>
    </w:p>
    <w:p w14:paraId="1095FD43">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6.7 分包人必须无条件配合承包人开展</w:t>
      </w:r>
      <w:r>
        <w:rPr>
          <w:rFonts w:hint="eastAsia" w:asciiTheme="minorEastAsia" w:hAnsiTheme="minorEastAsia" w:eastAsiaTheme="minorEastAsia" w:cstheme="minorEastAsia"/>
          <w:sz w:val="24"/>
          <w:szCs w:val="24"/>
          <w:highlight w:val="none"/>
          <w:lang w:bidi="ar"/>
        </w:rPr>
        <w:t>绿色建筑</w:t>
      </w:r>
      <w:r>
        <w:rPr>
          <w:rFonts w:hint="eastAsia" w:asciiTheme="minorEastAsia" w:hAnsiTheme="minorEastAsia" w:eastAsiaTheme="minorEastAsia" w:cstheme="minorEastAsia"/>
          <w:sz w:val="24"/>
          <w:szCs w:val="24"/>
          <w:highlight w:val="none"/>
          <w:lang w:val="en-US" w:eastAsia="zh-CN" w:bidi="ar"/>
        </w:rPr>
        <w:t>二</w:t>
      </w:r>
      <w:r>
        <w:rPr>
          <w:rFonts w:hint="eastAsia" w:asciiTheme="minorEastAsia" w:hAnsiTheme="minorEastAsia" w:eastAsiaTheme="minorEastAsia" w:cstheme="minorEastAsia"/>
          <w:sz w:val="24"/>
          <w:szCs w:val="24"/>
          <w:highlight w:val="none"/>
          <w:lang w:bidi="ar"/>
        </w:rPr>
        <w:t>星级</w:t>
      </w:r>
      <w:r>
        <w:rPr>
          <w:rFonts w:hint="eastAsia" w:asciiTheme="minorEastAsia" w:hAnsiTheme="minorEastAsia" w:eastAsiaTheme="minorEastAsia" w:cstheme="minorEastAsia"/>
          <w:sz w:val="24"/>
          <w:szCs w:val="24"/>
          <w:lang w:bidi="ar"/>
        </w:rPr>
        <w:t>认证工作。</w:t>
      </w:r>
    </w:p>
    <w:p w14:paraId="65219AC0">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6.8 分包人必须无条件配合承包人进行安全文明施工工地创优，达到“广州市建设工程安全文明绿色施工标准化示范工地、广东省房屋市政工程安全生产文明施工示范工地”。</w:t>
      </w:r>
    </w:p>
    <w:p w14:paraId="553AA66B">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6.9 分包人必须严格遵守发包人与承包人签订的施工合同中，有关总承包管理配合服务管理办法的相关条款。</w:t>
      </w:r>
    </w:p>
    <w:p w14:paraId="460F3B93">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7、分包人的权利</w:t>
      </w:r>
    </w:p>
    <w:p w14:paraId="516D5509">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要求分包人按承包人、分包合同履行相关责任和义务。</w:t>
      </w:r>
    </w:p>
    <w:p w14:paraId="6A6423EB">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8、争议的解决</w:t>
      </w:r>
    </w:p>
    <w:p w14:paraId="1EC2CC8F">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8.1 若承包人和分包人对于施工总承包管理或配合工作出现争议，</w:t>
      </w:r>
    </w:p>
    <w:p w14:paraId="322E49CA">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首先由监理单位协调解决。</w:t>
      </w:r>
    </w:p>
    <w:p w14:paraId="34D19AEF">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8.2 若仍不能解决，提交总监理人裁决，相关单位必须无</w:t>
      </w:r>
    </w:p>
    <w:p w14:paraId="6831806A">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条件先执行裁决。</w:t>
      </w:r>
    </w:p>
    <w:p w14:paraId="4E18482F">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8.3 若对该裁决仍有异议，持有异议的单位可向监理单位提出，但必须执行相关裁决内容，不影响项目的建设，待项目通过竣 工验收后，持有异议单位就争议问题可再向发包人提出并进行洽商，洽商不成功，可向工程项目所在地人民法院起诉。</w:t>
      </w:r>
    </w:p>
    <w:p w14:paraId="14961F93">
      <w:pPr>
        <w:spacing w:line="360" w:lineRule="auto"/>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9、本协议一式壹拾叁 份，发包人执  肆  份，承包人执伍份，分包人执 肆 份。</w:t>
      </w:r>
    </w:p>
    <w:p w14:paraId="5E45FE7A">
      <w:pPr>
        <w:widowControl w:val="0"/>
        <w:kinsoku/>
        <w:autoSpaceDE/>
        <w:autoSpaceDN/>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10、本协议签订地点为广州市，签订时间为   年  月  日</w:t>
      </w:r>
    </w:p>
    <w:p w14:paraId="3E407160">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494A4EA9">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42B87A9E">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3A44D558">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7DB9518E">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497AA47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0103D754">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0B68552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3C98B13C">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48D422E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0D4AC5E4">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08967F7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10A5B914">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40B9DF80">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 xml:space="preserve"> </w:t>
      </w:r>
    </w:p>
    <w:p w14:paraId="35C003EC">
      <w:pPr>
        <w:pStyle w:val="29"/>
        <w:widowControl w:val="0"/>
        <w:adjustRightInd w:val="0"/>
        <w:spacing w:before="0" w:beforeAutospacing="0" w:after="0" w:afterAutospacing="0" w:line="360" w:lineRule="auto"/>
        <w:ind w:firstLine="482"/>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 xml:space="preserve"> </w:t>
      </w:r>
    </w:p>
    <w:p w14:paraId="22634715">
      <w:pPr>
        <w:spacing w:line="360" w:lineRule="auto"/>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 xml:space="preserve"> </w:t>
      </w:r>
    </w:p>
    <w:p w14:paraId="059AF578">
      <w:pPr>
        <w:pStyle w:val="8"/>
        <w:widowControl/>
        <w:jc w:val="left"/>
        <w:rPr>
          <w:lang w:bidi="ar"/>
        </w:rPr>
      </w:pPr>
      <w:r>
        <w:rPr>
          <w:rFonts w:hint="eastAsia"/>
          <w:lang w:bidi="ar"/>
        </w:rPr>
        <w:br w:type="page"/>
      </w:r>
    </w:p>
    <w:p w14:paraId="20D3C318">
      <w:pPr>
        <w:pStyle w:val="29"/>
        <w:widowControl w:val="0"/>
        <w:adjustRightInd w:val="0"/>
        <w:spacing w:before="0" w:beforeAutospacing="0" w:after="0" w:afterLines="50" w:afterAutospacing="0" w:line="360" w:lineRule="auto"/>
        <w:ind w:firstLine="482"/>
        <w:jc w:val="both"/>
        <w:textAlignment w:val="baseline"/>
        <w:outlineLvl w:val="1"/>
        <w:rPr>
          <w:rFonts w:hint="eastAsia" w:asciiTheme="minorEastAsia" w:hAnsiTheme="minorEastAsia" w:eastAsiaTheme="minorEastAsia" w:cstheme="minorEastAsia"/>
          <w:b/>
          <w:bCs/>
          <w:sz w:val="30"/>
          <w:szCs w:val="30"/>
        </w:rPr>
      </w:pPr>
      <w:bookmarkStart w:id="1009" w:name="_Toc10038"/>
      <w:bookmarkStart w:id="1010" w:name="_Toc200394266"/>
      <w:r>
        <w:rPr>
          <w:rFonts w:hint="eastAsia" w:asciiTheme="minorEastAsia" w:hAnsiTheme="minorEastAsia" w:eastAsiaTheme="minorEastAsia" w:cstheme="minorEastAsia"/>
          <w:b/>
          <w:bCs/>
          <w:sz w:val="30"/>
          <w:szCs w:val="30"/>
          <w:lang w:bidi="ar"/>
        </w:rPr>
        <w:t>附件16第三方合规承诺函</w:t>
      </w:r>
      <w:bookmarkEnd w:id="1009"/>
      <w:bookmarkEnd w:id="1010"/>
    </w:p>
    <w:p w14:paraId="76F03CBE">
      <w:pPr>
        <w:pStyle w:val="29"/>
        <w:widowControl w:val="0"/>
        <w:spacing w:before="0" w:beforeAutospacing="0" w:after="0" w:afterAutospacing="0" w:line="360" w:lineRule="auto"/>
        <w:jc w:val="both"/>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kern w:val="2"/>
          <w:lang w:bidi="ar"/>
        </w:rPr>
        <w:t xml:space="preserve"> </w:t>
      </w:r>
    </w:p>
    <w:p w14:paraId="79573ABC">
      <w:pPr>
        <w:autoSpaceDE w:val="0"/>
        <w:autoSpaceDN w:val="0"/>
        <w:adjustRightInd w:val="0"/>
        <w:spacing w:line="360" w:lineRule="auto"/>
        <w:jc w:val="both"/>
        <w:rPr>
          <w:rFonts w:hint="eastAsia" w:asciiTheme="minorEastAsia" w:hAnsiTheme="minorEastAsia" w:eastAsiaTheme="minorEastAsia" w:cstheme="minorEastAsia"/>
          <w:kern w:val="0"/>
          <w:sz w:val="32"/>
          <w:szCs w:val="32"/>
          <w:lang w:bidi="ar"/>
        </w:rPr>
      </w:pPr>
      <w:r>
        <w:rPr>
          <w:rFonts w:hint="eastAsia" w:asciiTheme="minorEastAsia" w:hAnsiTheme="minorEastAsia" w:eastAsiaTheme="minorEastAsia" w:cstheme="minorEastAsia"/>
          <w:kern w:val="0"/>
          <w:sz w:val="32"/>
          <w:szCs w:val="32"/>
          <w:lang w:bidi="ar"/>
        </w:rPr>
        <w:t>第三方合规承诺函</w:t>
      </w:r>
    </w:p>
    <w:p w14:paraId="227525ED">
      <w:pPr>
        <w:autoSpaceDE w:val="0"/>
        <w:autoSpaceDN w:val="0"/>
        <w:adjustRightInd w:val="0"/>
        <w:spacing w:line="360" w:lineRule="auto"/>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 xml:space="preserve"> </w:t>
      </w:r>
    </w:p>
    <w:p w14:paraId="033CB0AB">
      <w:pPr>
        <w:autoSpaceDE w:val="0"/>
        <w:autoSpaceDN w:val="0"/>
        <w:adjustRightInd w:val="0"/>
        <w:spacing w:line="360" w:lineRule="auto"/>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本人/我企业________________________为___________________________（简称“公司”）的___________。本人/我企业向公司声明并保证如下：</w:t>
      </w:r>
    </w:p>
    <w:p w14:paraId="4A52531B">
      <w:pPr>
        <w:pStyle w:val="29"/>
        <w:widowControl w:val="0"/>
        <w:autoSpaceDE w:val="0"/>
        <w:autoSpaceDN w:val="0"/>
        <w:adjustRightInd w:val="0"/>
        <w:spacing w:before="0" w:beforeAutospacing="0" w:after="0" w:afterAutospacing="0" w:line="360" w:lineRule="auto"/>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bidi="ar"/>
        </w:rPr>
        <w:t>一、本人/我企业熟悉并理解联合国反腐败公约、多边金融机构诚信合规要求、中国、___________和公司的反腐败、公平竞争、投标和采购方面的有关法律法规，并将在遵守上述法律的前提下履行职责。</w:t>
      </w:r>
    </w:p>
    <w:p w14:paraId="534B1B7C">
      <w:pPr>
        <w:pStyle w:val="29"/>
        <w:widowControl w:val="0"/>
        <w:autoSpaceDE w:val="0"/>
        <w:autoSpaceDN w:val="0"/>
        <w:adjustRightInd w:val="0"/>
        <w:spacing w:before="0" w:beforeAutospacing="0" w:after="0" w:afterAutospacing="0" w:line="360" w:lineRule="auto"/>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bidi="ar"/>
        </w:rPr>
        <w:t>二、本人/我企业被告知公司的合规要求，熟悉并理解在为公司提供___________时，同意遵守公司的合规要求。</w:t>
      </w:r>
    </w:p>
    <w:p w14:paraId="036A4B61">
      <w:pPr>
        <w:pStyle w:val="29"/>
        <w:widowControl w:val="0"/>
        <w:autoSpaceDE w:val="0"/>
        <w:autoSpaceDN w:val="0"/>
        <w:adjustRightInd w:val="0"/>
        <w:spacing w:before="0" w:beforeAutospacing="0" w:after="0" w:afterAutospacing="0" w:line="360" w:lineRule="auto"/>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bidi="ar"/>
        </w:rPr>
        <w:t>三、本人/我企业承诺严格遵守多边金融机构诚信合规要求，在开展业务过程中严禁任何人从事任何腐败、欺诈、共谋、胁迫等多边金融机构禁止的可制裁行为。</w:t>
      </w:r>
    </w:p>
    <w:p w14:paraId="1FDA67DC">
      <w:pPr>
        <w:pStyle w:val="29"/>
        <w:widowControl w:val="0"/>
        <w:autoSpaceDE w:val="0"/>
        <w:autoSpaceDN w:val="0"/>
        <w:adjustRightInd w:val="0"/>
        <w:spacing w:before="0" w:beforeAutospacing="0" w:after="0" w:afterAutospacing="0" w:line="360" w:lineRule="auto"/>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bidi="ar"/>
        </w:rPr>
        <w:t>四、本人/我企业过去没有，将来也不会直接或间接向公务人员提供、承诺、安排、支付任何资金、礼品或便利，从而影响公务人员公正履行公务职责，帮助本人/我企业获得不当利益。</w:t>
      </w:r>
    </w:p>
    <w:p w14:paraId="18CF2F6D">
      <w:pPr>
        <w:pStyle w:val="29"/>
        <w:widowControl w:val="0"/>
        <w:autoSpaceDE w:val="0"/>
        <w:autoSpaceDN w:val="0"/>
        <w:adjustRightInd w:val="0"/>
        <w:spacing w:before="0" w:beforeAutospacing="0" w:after="0" w:afterAutospacing="0" w:line="360" w:lineRule="auto"/>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bidi="ar"/>
        </w:rPr>
        <w:t>五、本人或我企业或我企业的关联实体，其高管、员工，均未因腐败、欺诈、共谋、胁迫，或因触犯法律，在本国或外国接受刑事调查，或被采取民事或刑事强制措施。</w:t>
      </w:r>
    </w:p>
    <w:p w14:paraId="5F5B2D88">
      <w:pPr>
        <w:pStyle w:val="29"/>
        <w:widowControl w:val="0"/>
        <w:autoSpaceDE w:val="0"/>
        <w:autoSpaceDN w:val="0"/>
        <w:adjustRightInd w:val="0"/>
        <w:spacing w:before="0" w:beforeAutospacing="0" w:after="0" w:afterAutospacing="0" w:line="360" w:lineRule="auto"/>
        <w:ind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bidi="ar"/>
        </w:rPr>
        <w:t>六、本人/我企业向公司提供服务不会违反本人/我企业对其他客户的承诺，包括但不限于与其他客户签订的保密协议或排他协议。</w:t>
      </w:r>
    </w:p>
    <w:p w14:paraId="47EE9871">
      <w:pPr>
        <w:autoSpaceDE w:val="0"/>
        <w:autoSpaceDN w:val="0"/>
        <w:adjustRightInd w:val="0"/>
        <w:spacing w:line="360" w:lineRule="auto"/>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本人/我企业承诺，一旦本声明不再准确完整，将立即通知公司，并提交补充最新情况的报告。</w:t>
      </w:r>
    </w:p>
    <w:p w14:paraId="275AFF51">
      <w:pPr>
        <w:autoSpaceDE w:val="0"/>
        <w:autoSpaceDN w:val="0"/>
        <w:adjustRightInd w:val="0"/>
        <w:spacing w:line="360" w:lineRule="auto"/>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 xml:space="preserve"> </w:t>
      </w:r>
    </w:p>
    <w:p w14:paraId="69019F37">
      <w:pPr>
        <w:autoSpaceDE w:val="0"/>
        <w:autoSpaceDN w:val="0"/>
        <w:adjustRightInd w:val="0"/>
        <w:spacing w:line="360" w:lineRule="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 xml:space="preserve"> </w:t>
      </w:r>
    </w:p>
    <w:p w14:paraId="7E45E42F">
      <w:pPr>
        <w:autoSpaceDE w:val="0"/>
        <w:autoSpaceDN w:val="0"/>
        <w:adjustRightInd w:val="0"/>
        <w:spacing w:line="360" w:lineRule="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 xml:space="preserve"> </w:t>
      </w:r>
    </w:p>
    <w:p w14:paraId="5A4FCBCB">
      <w:pPr>
        <w:autoSpaceDE w:val="0"/>
        <w:autoSpaceDN w:val="0"/>
        <w:adjustRightInd w:val="0"/>
        <w:spacing w:line="360" w:lineRule="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签字：</w:t>
      </w:r>
    </w:p>
    <w:p w14:paraId="424A1A2A">
      <w:pPr>
        <w:autoSpaceDE w:val="0"/>
        <w:autoSpaceDN w:val="0"/>
        <w:adjustRightInd w:val="0"/>
        <w:spacing w:line="360" w:lineRule="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 xml:space="preserve"> </w:t>
      </w:r>
    </w:p>
    <w:p w14:paraId="2FDA9AEB">
      <w:pPr>
        <w:autoSpaceDE w:val="0"/>
        <w:autoSpaceDN w:val="0"/>
        <w:adjustRightInd w:val="0"/>
        <w:spacing w:line="360" w:lineRule="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职位：</w:t>
      </w:r>
    </w:p>
    <w:p w14:paraId="70760528">
      <w:pPr>
        <w:autoSpaceDE w:val="0"/>
        <w:autoSpaceDN w:val="0"/>
        <w:adjustRightInd w:val="0"/>
        <w:spacing w:line="360" w:lineRule="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 xml:space="preserve"> </w:t>
      </w:r>
    </w:p>
    <w:p w14:paraId="7AB0BCEC">
      <w:pPr>
        <w:autoSpaceDE w:val="0"/>
        <w:autoSpaceDN w:val="0"/>
        <w:adjustRightInd w:val="0"/>
        <w:spacing w:line="360" w:lineRule="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盖章：</w:t>
      </w:r>
    </w:p>
    <w:p w14:paraId="694CB16D">
      <w:pPr>
        <w:autoSpaceDE w:val="0"/>
        <w:autoSpaceDN w:val="0"/>
        <w:adjustRightInd w:val="0"/>
        <w:spacing w:line="360" w:lineRule="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 xml:space="preserve"> </w:t>
      </w:r>
    </w:p>
    <w:p w14:paraId="3E3FA101">
      <w:pPr>
        <w:autoSpaceDE w:val="0"/>
        <w:autoSpaceDN w:val="0"/>
        <w:adjustRightInd w:val="0"/>
        <w:spacing w:line="360" w:lineRule="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日期：</w:t>
      </w:r>
    </w:p>
    <w:p w14:paraId="2A106740">
      <w:pPr>
        <w:spacing w:line="360" w:lineRule="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bidi="ar"/>
        </w:rPr>
        <w:t xml:space="preserve"> </w:t>
      </w:r>
    </w:p>
    <w:p w14:paraId="5255CB74">
      <w:pPr>
        <w:spacing w:line="360" w:lineRule="auto"/>
        <w:rPr>
          <w:rFonts w:hint="eastAsia" w:asciiTheme="minorEastAsia" w:hAnsiTheme="minorEastAsia" w:eastAsiaTheme="minorEastAsia" w:cstheme="minorEastAsia"/>
          <w:b/>
          <w:kern w:val="0"/>
          <w:sz w:val="32"/>
          <w:szCs w:val="32"/>
          <w:lang w:bidi="ar"/>
        </w:rPr>
      </w:pPr>
      <w:r>
        <w:rPr>
          <w:rFonts w:hint="eastAsia" w:asciiTheme="minorEastAsia" w:hAnsiTheme="minorEastAsia" w:eastAsiaTheme="minorEastAsia" w:cstheme="minorEastAsia"/>
          <w:b/>
          <w:kern w:val="0"/>
          <w:sz w:val="32"/>
          <w:szCs w:val="32"/>
          <w:lang w:bidi="ar"/>
        </w:rPr>
        <w:t xml:space="preserve"> </w:t>
      </w:r>
    </w:p>
    <w:p w14:paraId="03371D86">
      <w:pPr>
        <w:pStyle w:val="8"/>
        <w:spacing w:line="360" w:lineRule="auto"/>
        <w:rPr>
          <w:lang w:bidi="ar"/>
        </w:rPr>
      </w:pPr>
      <w:r>
        <w:rPr>
          <w:rFonts w:hint="eastAsia"/>
          <w:lang w:bidi="ar"/>
        </w:rPr>
        <w:br w:type="page"/>
      </w:r>
    </w:p>
    <w:p w14:paraId="00149E01">
      <w:pPr>
        <w:spacing w:line="360" w:lineRule="auto"/>
        <w:rPr>
          <w:rFonts w:hint="eastAsia" w:asciiTheme="minorEastAsia" w:hAnsiTheme="minorEastAsia" w:eastAsiaTheme="minorEastAsia" w:cstheme="minorEastAsia"/>
          <w:b/>
          <w:kern w:val="0"/>
          <w:sz w:val="32"/>
          <w:szCs w:val="32"/>
        </w:rPr>
      </w:pPr>
    </w:p>
    <w:p w14:paraId="361EAD4F">
      <w:pPr>
        <w:spacing w:line="360" w:lineRule="auto"/>
        <w:rPr>
          <w:rFonts w:hint="eastAsia" w:ascii="宋体" w:hAnsi="宋体" w:cs="仿宋_GB2312"/>
          <w:b/>
          <w:kern w:val="0"/>
          <w:szCs w:val="21"/>
        </w:rPr>
      </w:pPr>
      <w:r>
        <w:rPr>
          <w:rFonts w:hint="eastAsia" w:ascii="宋体" w:hAnsi="宋体" w:cs="仿宋_GB2312"/>
          <w:b/>
          <w:kern w:val="0"/>
          <w:szCs w:val="21"/>
        </w:rPr>
        <w:t>填写说明：</w:t>
      </w:r>
    </w:p>
    <w:p w14:paraId="51EB89D6">
      <w:pPr>
        <w:pStyle w:val="84"/>
        <w:autoSpaceDE w:val="0"/>
        <w:autoSpaceDN w:val="0"/>
        <w:adjustRightInd w:val="0"/>
        <w:spacing w:line="360" w:lineRule="auto"/>
        <w:rPr>
          <w:rFonts w:hint="eastAsia" w:ascii="宋体" w:hAnsi="宋体" w:cs="仿宋_GB2312"/>
          <w:color w:val="000000"/>
          <w:kern w:val="0"/>
          <w:szCs w:val="21"/>
        </w:rPr>
      </w:pPr>
      <w:r>
        <w:rPr>
          <w:rFonts w:hint="eastAsia" w:ascii="宋体" w:hAnsi="宋体" w:cs="仿宋_GB2312"/>
          <w:color w:val="000000"/>
          <w:kern w:val="0"/>
          <w:szCs w:val="21"/>
        </w:rPr>
        <w:t>1.凡第三方（包括但不限于代理、顾问、咨询师、代表、经销商、承包商、分包商、供应商、合资伙伴和其他第三方等）参与中铁建工集团有限公司总部各部门及所属各单位开展的招投标、合同签订等业务合作时，均需签署本《第三方合规承诺函》。</w:t>
      </w:r>
    </w:p>
    <w:p w14:paraId="5413C449">
      <w:pPr>
        <w:pStyle w:val="84"/>
        <w:autoSpaceDE w:val="0"/>
        <w:autoSpaceDN w:val="0"/>
        <w:adjustRightInd w:val="0"/>
        <w:spacing w:line="360" w:lineRule="auto"/>
        <w:rPr>
          <w:rFonts w:hint="eastAsia" w:ascii="宋体" w:hAnsi="宋体" w:cs="仿宋_GB2312"/>
          <w:color w:val="000000"/>
          <w:kern w:val="0"/>
          <w:szCs w:val="21"/>
        </w:rPr>
      </w:pPr>
      <w:r>
        <w:rPr>
          <w:rFonts w:hint="eastAsia" w:ascii="宋体" w:hAnsi="宋体" w:cs="仿宋_GB2312"/>
          <w:color w:val="000000"/>
          <w:kern w:val="0"/>
          <w:szCs w:val="21"/>
        </w:rPr>
        <w:t>2.采用招标方式开展的业务事项，应将《第三方合规承诺函》作为招标文件的附件资料，要求各投标主体随投标资料签署并提交，在签约阶段无需重复提交。对无需招标程序的其他业务事项，应在签约阶段单独提交《第三方合规承诺函》或作为合同附件同时签署。</w:t>
      </w:r>
    </w:p>
    <w:p w14:paraId="155E13CA">
      <w:pPr>
        <w:pStyle w:val="84"/>
        <w:autoSpaceDE w:val="0"/>
        <w:autoSpaceDN w:val="0"/>
        <w:adjustRightInd w:val="0"/>
        <w:spacing w:line="360" w:lineRule="auto"/>
        <w:rPr>
          <w:rFonts w:hint="eastAsia" w:ascii="宋体" w:hAnsi="宋体" w:cs="仿宋_GB2312"/>
          <w:color w:val="000000"/>
          <w:kern w:val="0"/>
          <w:szCs w:val="21"/>
        </w:rPr>
      </w:pPr>
      <w:r>
        <w:rPr>
          <w:rFonts w:hint="eastAsia" w:ascii="宋体" w:hAnsi="宋体" w:cs="仿宋_GB2312"/>
          <w:color w:val="000000"/>
          <w:kern w:val="0"/>
          <w:szCs w:val="21"/>
        </w:rPr>
        <w:t>3.同一主体与公司签订补充协议时，无须重复签署本《第三方合规承诺函》。同一主体在同一时间与公司签订多份合作协议的，每一份合作协议签订时，该第三方主体均应单独签署对应每一份合作协议的《第三方合规承诺函》。</w:t>
      </w:r>
    </w:p>
    <w:p w14:paraId="5529FC1B">
      <w:pPr>
        <w:pStyle w:val="84"/>
        <w:autoSpaceDE w:val="0"/>
        <w:autoSpaceDN w:val="0"/>
        <w:adjustRightInd w:val="0"/>
        <w:spacing w:line="360" w:lineRule="auto"/>
        <w:rPr>
          <w:rFonts w:hint="eastAsia" w:ascii="宋体" w:hAnsi="宋体" w:cs="仿宋_GB2312"/>
          <w:color w:val="000000"/>
          <w:kern w:val="0"/>
          <w:szCs w:val="21"/>
        </w:rPr>
      </w:pPr>
      <w:r>
        <w:rPr>
          <w:rFonts w:hint="eastAsia" w:ascii="宋体" w:hAnsi="宋体" w:cs="仿宋_GB2312"/>
          <w:color w:val="000000"/>
          <w:kern w:val="0"/>
          <w:szCs w:val="21"/>
        </w:rPr>
        <w:t>4.本《第三方合规承诺函》所称“公务人员”包括但不限于下列含义：（1）政府的官员、雇员、代表以及代表政府或者经公共权力授权行事的人士；（2）国际组织的官员、雇员和代表；（3）行使公共权力的官员、雇员、代表，或皇室成员；（4）公共企业人员，即政府直接或间接控制或施加决定性影响力的企业的官员及雇员。</w:t>
      </w:r>
    </w:p>
    <w:p w14:paraId="46B97BD6">
      <w:pPr>
        <w:pStyle w:val="84"/>
        <w:autoSpaceDE w:val="0"/>
        <w:autoSpaceDN w:val="0"/>
        <w:adjustRightInd w:val="0"/>
        <w:spacing w:line="360" w:lineRule="auto"/>
        <w:rPr>
          <w:rFonts w:hint="eastAsia" w:ascii="宋体" w:hAnsi="宋体" w:cs="仿宋_GB2312"/>
          <w:color w:val="000000"/>
          <w:kern w:val="0"/>
          <w:szCs w:val="21"/>
        </w:rPr>
      </w:pPr>
      <w:r>
        <w:rPr>
          <w:rFonts w:hint="eastAsia" w:ascii="宋体" w:hAnsi="宋体" w:cs="仿宋_GB2312"/>
          <w:color w:val="000000"/>
          <w:kern w:val="0"/>
          <w:szCs w:val="21"/>
        </w:rPr>
        <w:t>5.本《第三方合规承诺函》所称的“腐败”是指直接或间接地提供、给予、接受或索取任何有价值的东西，以不正当地影响另一方当事人的行动。</w:t>
      </w:r>
    </w:p>
    <w:p w14:paraId="54D0AD63">
      <w:pPr>
        <w:pStyle w:val="84"/>
        <w:autoSpaceDE w:val="0"/>
        <w:autoSpaceDN w:val="0"/>
        <w:adjustRightInd w:val="0"/>
        <w:spacing w:line="360" w:lineRule="auto"/>
        <w:rPr>
          <w:rFonts w:hint="eastAsia" w:ascii="宋体" w:hAnsi="宋体" w:cs="仿宋_GB2312"/>
          <w:color w:val="000000"/>
          <w:kern w:val="0"/>
          <w:szCs w:val="21"/>
        </w:rPr>
      </w:pPr>
      <w:r>
        <w:rPr>
          <w:rFonts w:hint="eastAsia" w:ascii="宋体" w:hAnsi="宋体" w:cs="仿宋_GB2312"/>
          <w:color w:val="000000"/>
          <w:kern w:val="0"/>
          <w:szCs w:val="21"/>
        </w:rPr>
        <w:t>本《第三方合规承诺函》所称的“欺诈”是指故意或鲁莽地误导或企图误导一方当事人获得金钱、其他利益或逃避义务的任何作为或不作为，包括虚假陈述。</w:t>
      </w:r>
    </w:p>
    <w:p w14:paraId="64989757">
      <w:pPr>
        <w:pStyle w:val="84"/>
        <w:autoSpaceDE w:val="0"/>
        <w:autoSpaceDN w:val="0"/>
        <w:adjustRightInd w:val="0"/>
        <w:spacing w:line="360" w:lineRule="auto"/>
        <w:rPr>
          <w:rFonts w:hint="eastAsia" w:ascii="宋体" w:hAnsi="宋体" w:cs="仿宋_GB2312"/>
          <w:color w:val="000000"/>
          <w:kern w:val="0"/>
          <w:szCs w:val="21"/>
        </w:rPr>
      </w:pPr>
      <w:r>
        <w:rPr>
          <w:rFonts w:hint="eastAsia" w:ascii="宋体" w:hAnsi="宋体" w:cs="仿宋_GB2312"/>
          <w:color w:val="000000"/>
          <w:kern w:val="0"/>
          <w:szCs w:val="21"/>
        </w:rPr>
        <w:t>本《第三方合规承诺函》所称的“共谋”是指两方或多方当事人之间旨在实现不正当目的的安排，包括不正当地影响另一方当事人的行动。</w:t>
      </w:r>
    </w:p>
    <w:p w14:paraId="4CF2BF6B">
      <w:pPr>
        <w:pStyle w:val="84"/>
        <w:autoSpaceDE w:val="0"/>
        <w:autoSpaceDN w:val="0"/>
        <w:adjustRightInd w:val="0"/>
        <w:spacing w:line="360" w:lineRule="auto"/>
        <w:rPr>
          <w:rFonts w:hint="eastAsia" w:ascii="宋体" w:hAnsi="宋体" w:cs="仿宋_GB2312"/>
          <w:color w:val="000000"/>
          <w:kern w:val="0"/>
          <w:szCs w:val="21"/>
        </w:rPr>
      </w:pPr>
      <w:r>
        <w:rPr>
          <w:rFonts w:hint="eastAsia" w:ascii="宋体" w:hAnsi="宋体" w:cs="仿宋_GB2312"/>
          <w:color w:val="000000"/>
          <w:kern w:val="0"/>
          <w:szCs w:val="21"/>
        </w:rPr>
        <w:t>本《第三方合规承诺函》所称的“胁迫”是指直接或间接的手段削弱、损害、威胁，以便不正当地影响一方当事人的行动。</w:t>
      </w:r>
    </w:p>
    <w:p w14:paraId="1A0CA890">
      <w:pPr>
        <w:spacing w:line="360" w:lineRule="auto"/>
        <w:jc w:val="both"/>
        <w:rPr>
          <w:rFonts w:hint="eastAsia" w:asciiTheme="minorEastAsia" w:hAnsiTheme="minorEastAsia" w:eastAsiaTheme="minorEastAsia" w:cstheme="minorEastAsia"/>
          <w:b/>
          <w:bCs/>
          <w:kern w:val="44"/>
          <w:sz w:val="28"/>
          <w:szCs w:val="28"/>
        </w:rPr>
      </w:pPr>
      <w:r>
        <w:rPr>
          <w:rFonts w:hint="eastAsia" w:ascii="宋体" w:hAnsi="宋体" w:cs="仿宋_GB2312"/>
          <w:kern w:val="0"/>
          <w:szCs w:val="21"/>
        </w:rPr>
        <w:t>6.填写后，请删除标红文字；打印时，须一并打印填写说明，作为承诺函的组成部分。</w:t>
      </w:r>
    </w:p>
    <w:sectPr>
      <w:headerReference r:id="rId5" w:type="default"/>
      <w:footerReference r:id="rId6" w:type="default"/>
      <w:pgSz w:w="11906" w:h="16838"/>
      <w:pgMar w:top="1440" w:right="1133" w:bottom="1440" w:left="1134" w:header="851" w:footer="992" w:gutter="0"/>
      <w:cols w:space="720" w:num="1"/>
      <w:docGrid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魏碑">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78E64">
    <w:pPr>
      <w:pStyle w:val="20"/>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942686">
                          <w:pPr>
                            <w:pStyle w:val="20"/>
                          </w:pPr>
                          <w:r>
                            <w:fldChar w:fldCharType="begin"/>
                          </w:r>
                          <w:r>
                            <w:instrText xml:space="preserve"> PAGE  \* MERGEFORMAT </w:instrText>
                          </w:r>
                          <w:r>
                            <w:fldChar w:fldCharType="separate"/>
                          </w:r>
                          <w:r>
                            <w:t>15</w:t>
                          </w:r>
                          <w: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ExqttcBAACyAwAADgAAAGRycy9lMm9Eb2MueG1srVPBjtMwEL0j8Q+W&#10;7zTZCq2qqOkKqBYhIUBa9gNcx2ks2R7LnjYpHwB/wIkLd76r38HYSbqwXPbAJRnPjN+8NzNe3wzW&#10;sKMKUYOr+dWi5Ew5CY12+5rff759seIsonCNMOBUzU8q8pvN82fr3ldqCR2YRgVGIC5Wva95h+ir&#10;ooiyU1bEBXjlKNhCsALpGPZFE0RP6NYUy7K8LnoIjQ8gVYzk3Y5BPiGGpwBC22qptiAPVjkcUYMy&#10;AklS7LSPfJPZtq2S+LFto0Jmak5KMX+pCNm79C02a1Htg/CdlhMF8RQKjzRZoR0VvUBtBQp2CPof&#10;KKtlgAgtLiTYYhSSO0IqrspHvbnrhFdZC7U6+kvT4/+DlR+OnwLTTc1fcu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MarbXAQAAsgMAAA4AAAAAAAAAAQAgAAAA&#10;HgEAAGRycy9lMm9Eb2MueG1sUEsFBgAAAAAGAAYAWQEAAGcFAAAAAA==&#10;">
              <v:fill on="f" focussize="0,0"/>
              <v:stroke on="f"/>
              <v:imagedata o:title=""/>
              <o:lock v:ext="edit" aspectratio="f"/>
              <v:textbox inset="0mm,0mm,0mm,0mm" style="mso-fit-shape-to-text:t;">
                <w:txbxContent>
                  <w:p w14:paraId="1F942686">
                    <w:pPr>
                      <w:pStyle w:val="20"/>
                    </w:pPr>
                    <w:r>
                      <w:fldChar w:fldCharType="begin"/>
                    </w:r>
                    <w:r>
                      <w:instrText xml:space="preserve"> PAGE  \* MERGEFORMAT </w:instrText>
                    </w:r>
                    <w:r>
                      <w:fldChar w:fldCharType="separate"/>
                    </w:r>
                    <w:r>
                      <w:t>15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3117850</wp:posOffset>
              </wp:positionH>
              <wp:positionV relativeFrom="paragraph">
                <wp:posOffset>3131820</wp:posOffset>
              </wp:positionV>
              <wp:extent cx="714375" cy="158750"/>
              <wp:effectExtent l="0" t="0" r="0" b="0"/>
              <wp:wrapNone/>
              <wp:docPr id="2" name="文本框 2"/>
              <wp:cNvGraphicFramePr/>
              <a:graphic xmlns:a="http://schemas.openxmlformats.org/drawingml/2006/main">
                <a:graphicData uri="http://schemas.microsoft.com/office/word/2010/wordprocessingShape">
                  <wps:wsp>
                    <wps:cNvSpPr txBox="1"/>
                    <wps:spPr>
                      <a:xfrm flipH="1">
                        <a:off x="0" y="0"/>
                        <a:ext cx="714375" cy="158750"/>
                      </a:xfrm>
                      <a:prstGeom prst="rect">
                        <a:avLst/>
                      </a:prstGeom>
                      <a:noFill/>
                      <a:ln>
                        <a:noFill/>
                      </a:ln>
                    </wps:spPr>
                    <wps:txbx>
                      <w:txbxContent>
                        <w:p w14:paraId="5CA61BB1">
                          <w:pPr>
                            <w:pStyle w:val="20"/>
                          </w:pPr>
                        </w:p>
                      </w:txbxContent>
                    </wps:txbx>
                    <wps:bodyPr vert="horz" wrap="square" lIns="0" tIns="0" rIns="0" bIns="0" anchor="t" anchorCtr="0"/>
                  </wps:wsp>
                </a:graphicData>
              </a:graphic>
            </wp:anchor>
          </w:drawing>
        </mc:Choice>
        <mc:Fallback>
          <w:pict>
            <v:shape id="_x0000_s1026" o:spid="_x0000_s1026" o:spt="202" type="#_x0000_t202" style="position:absolute;left:0pt;flip:x;margin-left:245.5pt;margin-top:246.6pt;height:12.5pt;width:56.25pt;mso-position-horizontal-relative:margin;z-index:251659264;mso-width-relative:page;mso-height-relative:page;" filled="f" stroked="f" coordsize="21600,21600" o:gfxdata="UEsDBAoAAAAAAIdO4kAAAAAAAAAAAAAAAAAEAAAAZHJzL1BLAwQUAAAACACHTuJA+rC0GtoAAAAL&#10;AQAADwAAAGRycy9kb3ducmV2LnhtbE2PwU7DMBBE70j8g7VI3KjtlJY2xKkQCKkcOFD6AdtkiQPx&#10;OordNvTr657gNqsZzb4pVqPrxIGG0Ho2oCcKBHHl65YbA9vP17sFiBCRa+w8k4FfCrAqr68KzGt/&#10;5A86bGIjUgmHHA3YGPtcylBZchgmvidO3pcfHMZ0Do2sBzymctfJTKm5dNhy+mCxp2dL1c9m7wyo&#10;Ub/Zd5utt08PL6i/l+50apwxtzdaPYKINMa/MFzwEzqUiWnn91wH0Rm4X+q0JV7ENAOREnM1nYHY&#10;GZjpRQayLOT/DeUZUEsDBBQAAAAIAIdO4kA0bu4n2gEAAKIDAAAOAAAAZHJzL2Uyb0RvYy54bWyt&#10;U0uOEzEQ3SNxB8t70kkgZNSKMxJEA0gIkAYO4LjttCX/KDvpDgeAG7BiM3vOlXNQdqcDDJtZsLHK&#10;Vc+v6lWVV9e9NeQgIWrvGJ1NppRIJ3yj3Y7RTx9vnlxREhN3DTfeSUaPMtLr9eNHqy7Ucu5bbxoJ&#10;BElcrLvAaJtSqKsqilZaHic+SIdB5cHyhFfYVQ3wDtmtqebT6fOq89AE8ELGiN7NEKRnRngIoVdK&#10;C7nxYm+lSwMrSMMTSoqtDpGuS7VKSZHeKxVlIoZRVJrKiUnQ3uazWq94vQMeWi3OJfCHlHBPk+Xa&#10;YdIL1YYnTvag/6GyWoCPXqWJ8LYahJSOoIrZ9F5vblseZNGCrY7h0vT4/2jFu8MHILphdE6J4xYH&#10;fvr+7fTj5+nuK5nn9nQh1oi6DYhL/Qvf49KM/ojOrLpXYIkyOrzOwexBZQSR2Objpc2yT0Sgczl7&#10;9nS5oERgaLa4Wi7KGKqBJj8OENMr6S3JBqOAUyyk/PA2JiwJoSMkw52/0caUSRr3lwOB2VNlDUOt&#10;2Ur9tj8L2/rmiLrwO2Ce1sMXSjpcBkbj5z0HSYl547DbeXNGA0ZjOxrcCXzKaKJkMF+msmG50pwP&#10;R1dqPq9Z3o0/7wX1+2u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6sLQa2gAAAAsBAAAPAAAA&#10;AAAAAAEAIAAAACIAAABkcnMvZG93bnJldi54bWxQSwECFAAUAAAACACHTuJANG7uJ9oBAACiAwAA&#10;DgAAAAAAAAABACAAAAApAQAAZHJzL2Uyb0RvYy54bWxQSwUGAAAAAAYABgBZAQAAdQUAAAAA&#10;">
              <v:fill on="f" focussize="0,0"/>
              <v:stroke on="f"/>
              <v:imagedata o:title=""/>
              <o:lock v:ext="edit" aspectratio="f"/>
              <v:textbox inset="0mm,0mm,0mm,0mm">
                <w:txbxContent>
                  <w:p w14:paraId="5CA61BB1">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18F1C">
    <w:pPr>
      <w:pStyle w:val="2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86F7E7">
                          <w:pPr>
                            <w:pStyle w:val="20"/>
                          </w:pPr>
                          <w:r>
                            <w:fldChar w:fldCharType="begin"/>
                          </w:r>
                          <w:r>
                            <w:instrText xml:space="preserve"> PAGE  \* MERGEFORMAT </w:instrText>
                          </w:r>
                          <w:r>
                            <w:fldChar w:fldCharType="separate"/>
                          </w:r>
                          <w:r>
                            <w:t>76</w:t>
                          </w:r>
                          <w: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XWqtcBAACyAwAADgAAAGRycy9lMm9Eb2MueG1srVPBjtMwEL0j8Q+W&#10;7zTZHlZV1HQFW+0KCQHSwge4jtNYsj2WPW1SPgD+gBMX7nxXv4Oxk3RhueyBSzKeGb95b2a8vhms&#10;YUcVogZX86tFyZlyEhrt9jX//Onu1YqziMI1woBTNT+pyG82L1+se1+pJXRgGhUYgbhY9b7mHaKv&#10;iiLKTlkRF+CVo2ALwQqkY9gXTRA9oVtTLMvyuughND6AVDGSdzsG+YQYngMIbaul2oI8WOVwRA3K&#10;CCRJsdM+8k1m27ZK4oe2jQqZqTkpxfylImTv0rfYrEW1D8J3Wk4UxHMoPNFkhXZU9AK1FSjYIeh/&#10;oKyWASK0uJBgi1FI7gipuCqf9OahE15lLdTq6C9Nj/8PVr4/fgxMNzW/5swJSwM/f/92/vHr/PMr&#10;W6X29D5WlPXgKQ+HNzDQ0sz+SM6kemiDTX/SwyhOzT1dmqsGZDJdWi1Xq5JCkmLzgfCLx+s+RLxX&#10;YFkyah5oermp4vgu4pg6p6RqDu60MXmCxv3lIMzkKRL3kWOycNgNk6AdNCfSQ8+A6nQQvnDW0xLU&#10;3NHOc2beOupx2pfZCLOxmw3hJF2sOXI2mreY9yoRif71AYldJp1Kj/UmRjTKLHtau7Qrf55z1uNT&#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aF1qrXAQAAsgMAAA4AAAAAAAAAAQAgAAAA&#10;HgEAAGRycy9lMm9Eb2MueG1sUEsFBgAAAAAGAAYAWQEAAGcFAAAAAA==&#10;">
              <v:fill on="f" focussize="0,0"/>
              <v:stroke on="f"/>
              <v:imagedata o:title=""/>
              <o:lock v:ext="edit" aspectratio="f"/>
              <v:textbox inset="0mm,0mm,0mm,0mm" style="mso-fit-shape-to-text:t;">
                <w:txbxContent>
                  <w:p w14:paraId="5786F7E7">
                    <w:pPr>
                      <w:pStyle w:val="2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6D049">
    <w:pPr>
      <w:pStyle w:val="21"/>
      <w:jc w:val="left"/>
      <w:rPr>
        <w:rFonts w:hint="eastAsia" w:ascii="黑体" w:hAnsi="黑体" w:eastAsia="黑体" w:cs="黑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4BD5F">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4DE58"/>
    <w:multiLevelType w:val="singleLevel"/>
    <w:tmpl w:val="94E4DE58"/>
    <w:lvl w:ilvl="0" w:tentative="0">
      <w:start w:val="1"/>
      <w:numFmt w:val="decimal"/>
      <w:suff w:val="nothing"/>
      <w:lvlText w:val="%1、"/>
      <w:lvlJc w:val="left"/>
    </w:lvl>
  </w:abstractNum>
  <w:abstractNum w:abstractNumId="1">
    <w:nsid w:val="D5F13162"/>
    <w:multiLevelType w:val="singleLevel"/>
    <w:tmpl w:val="D5F13162"/>
    <w:lvl w:ilvl="0" w:tentative="0">
      <w:start w:val="1"/>
      <w:numFmt w:val="decimal"/>
      <w:suff w:val="nothing"/>
      <w:lvlText w:val="%1、"/>
      <w:lvlJc w:val="left"/>
    </w:lvl>
  </w:abstractNum>
  <w:abstractNum w:abstractNumId="2">
    <w:nsid w:val="006C6437"/>
    <w:multiLevelType w:val="multilevel"/>
    <w:tmpl w:val="006C6437"/>
    <w:lvl w:ilvl="0" w:tentative="0">
      <w:start w:val="1"/>
      <w:numFmt w:val="decimal"/>
      <w:lvlText w:val="4.%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4B07E43"/>
    <w:multiLevelType w:val="multilevel"/>
    <w:tmpl w:val="04B07E43"/>
    <w:lvl w:ilvl="0" w:tentative="0">
      <w:start w:val="1"/>
      <w:numFmt w:val="decimal"/>
      <w:lvlText w:val="9.%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E033921"/>
    <w:multiLevelType w:val="multilevel"/>
    <w:tmpl w:val="0E033921"/>
    <w:lvl w:ilvl="0" w:tentative="0">
      <w:start w:val="1"/>
      <w:numFmt w:val="decimal"/>
      <w:lvlText w:val="3.%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1579273B"/>
    <w:multiLevelType w:val="singleLevel"/>
    <w:tmpl w:val="1579273B"/>
    <w:lvl w:ilvl="0" w:tentative="0">
      <w:start w:val="6"/>
      <w:numFmt w:val="decimal"/>
      <w:suff w:val="nothing"/>
      <w:lvlText w:val="%1、"/>
      <w:lvlJc w:val="left"/>
    </w:lvl>
  </w:abstractNum>
  <w:abstractNum w:abstractNumId="6">
    <w:nsid w:val="17F6DE65"/>
    <w:multiLevelType w:val="singleLevel"/>
    <w:tmpl w:val="17F6DE65"/>
    <w:lvl w:ilvl="0" w:tentative="0">
      <w:start w:val="1"/>
      <w:numFmt w:val="decimal"/>
      <w:suff w:val="nothing"/>
      <w:lvlText w:val="%1、"/>
      <w:lvlJc w:val="left"/>
    </w:lvl>
  </w:abstractNum>
  <w:abstractNum w:abstractNumId="7">
    <w:nsid w:val="20D1BDF0"/>
    <w:multiLevelType w:val="singleLevel"/>
    <w:tmpl w:val="20D1BDF0"/>
    <w:lvl w:ilvl="0" w:tentative="0">
      <w:start w:val="1"/>
      <w:numFmt w:val="decimal"/>
      <w:suff w:val="nothing"/>
      <w:lvlText w:val="%1、"/>
      <w:lvlJc w:val="left"/>
    </w:lvl>
  </w:abstractNum>
  <w:abstractNum w:abstractNumId="8">
    <w:nsid w:val="27F92892"/>
    <w:multiLevelType w:val="multilevel"/>
    <w:tmpl w:val="27F92892"/>
    <w:lvl w:ilvl="0" w:tentative="0">
      <w:start w:val="7"/>
      <w:numFmt w:val="decimal"/>
      <w:lvlText w:val="%1"/>
      <w:lvlJc w:val="left"/>
      <w:pPr>
        <w:tabs>
          <w:tab w:val="left" w:pos="360"/>
        </w:tabs>
        <w:ind w:left="360" w:hanging="36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6.2.%3"/>
      <w:lvlJc w:val="left"/>
      <w:pPr>
        <w:tabs>
          <w:tab w:val="left" w:pos="720"/>
        </w:tabs>
        <w:ind w:left="720" w:hanging="720"/>
      </w:pPr>
      <w:rPr>
        <w:rFonts w:hint="default" w:ascii="Times New Roman" w:hAnsi="Times New Roman" w:cs="Times New Roman"/>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40DC02C4"/>
    <w:multiLevelType w:val="multilevel"/>
    <w:tmpl w:val="40DC02C4"/>
    <w:lvl w:ilvl="0" w:tentative="0">
      <w:start w:val="1"/>
      <w:numFmt w:val="decimal"/>
      <w:lvlText w:val="6.%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45FFF1E9"/>
    <w:multiLevelType w:val="singleLevel"/>
    <w:tmpl w:val="45FFF1E9"/>
    <w:lvl w:ilvl="0" w:tentative="0">
      <w:start w:val="5"/>
      <w:numFmt w:val="chineseCounting"/>
      <w:suff w:val="space"/>
      <w:lvlText w:val="第%1部分"/>
      <w:lvlJc w:val="left"/>
      <w:rPr>
        <w:rFonts w:hint="eastAsia"/>
      </w:rPr>
    </w:lvl>
  </w:abstractNum>
  <w:abstractNum w:abstractNumId="11">
    <w:nsid w:val="46183DDB"/>
    <w:multiLevelType w:val="multilevel"/>
    <w:tmpl w:val="46183DDB"/>
    <w:lvl w:ilvl="0" w:tentative="0">
      <w:start w:val="1"/>
      <w:numFmt w:val="decimal"/>
      <w:lvlText w:val="5.%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51E3D2CA"/>
    <w:multiLevelType w:val="singleLevel"/>
    <w:tmpl w:val="51E3D2CA"/>
    <w:lvl w:ilvl="0" w:tentative="0">
      <w:start w:val="1"/>
      <w:numFmt w:val="decimal"/>
      <w:suff w:val="nothing"/>
      <w:lvlText w:val="%1、"/>
      <w:lvlJc w:val="left"/>
    </w:lvl>
  </w:abstractNum>
  <w:abstractNum w:abstractNumId="13">
    <w:nsid w:val="5E384BE7"/>
    <w:multiLevelType w:val="multilevel"/>
    <w:tmpl w:val="5E384BE7"/>
    <w:lvl w:ilvl="0" w:tentative="0">
      <w:start w:val="1"/>
      <w:numFmt w:val="decimal"/>
      <w:lvlText w:val="1.%1"/>
      <w:lvlJc w:val="left"/>
      <w:pPr>
        <w:tabs>
          <w:tab w:val="left" w:pos="425"/>
        </w:tabs>
        <w:ind w:left="425" w:hanging="425"/>
      </w:pPr>
      <w:rPr>
        <w:rFonts w:hint="default" w:ascii="Times New Roman" w:hAnsi="Times New Roman" w:cs="Times New Roman"/>
        <w:sz w:val="24"/>
      </w:rPr>
    </w:lvl>
    <w:lvl w:ilvl="1" w:tentative="0">
      <w:start w:val="1"/>
      <w:numFmt w:val="decimal"/>
      <w:lvlText w:val="8.%2"/>
      <w:lvlJc w:val="left"/>
      <w:pPr>
        <w:tabs>
          <w:tab w:val="left" w:pos="992"/>
        </w:tabs>
        <w:ind w:left="992" w:hanging="567"/>
      </w:pPr>
      <w:rPr>
        <w:rFonts w:hint="eastAsia"/>
        <w:sz w:val="24"/>
      </w:rPr>
    </w:lvl>
    <w:lvl w:ilvl="2" w:tentative="0">
      <w:start w:val="1"/>
      <w:numFmt w:val="decimal"/>
      <w:lvlText w:val="%2%1..%3"/>
      <w:lvlJc w:val="left"/>
      <w:pPr>
        <w:tabs>
          <w:tab w:val="left" w:pos="1418"/>
        </w:tabs>
        <w:ind w:left="1418" w:hanging="567"/>
      </w:pPr>
      <w:rPr>
        <w:rFonts w:hint="eastAsia"/>
      </w:rPr>
    </w:lvl>
    <w:lvl w:ilvl="3" w:tentative="0">
      <w:start w:val="1"/>
      <w:numFmt w:val="decimal"/>
      <w:lvlText w:val="13.%4"/>
      <w:lvlJc w:val="left"/>
      <w:pPr>
        <w:tabs>
          <w:tab w:val="left" w:pos="1984"/>
        </w:tabs>
        <w:ind w:left="0" w:firstLine="0"/>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13"/>
  </w:num>
  <w:num w:numId="3">
    <w:abstractNumId w:val="4"/>
  </w:num>
  <w:num w:numId="4">
    <w:abstractNumId w:val="2"/>
  </w:num>
  <w:num w:numId="5">
    <w:abstractNumId w:val="11"/>
  </w:num>
  <w:num w:numId="6">
    <w:abstractNumId w:val="9"/>
  </w:num>
  <w:num w:numId="7">
    <w:abstractNumId w:val="8"/>
  </w:num>
  <w:num w:numId="8">
    <w:abstractNumId w:val="10"/>
  </w:num>
  <w:num w:numId="9">
    <w:abstractNumId w:val="0"/>
  </w:num>
  <w:num w:numId="10">
    <w:abstractNumId w:val="7"/>
  </w:num>
  <w:num w:numId="11">
    <w:abstractNumId w:val="5"/>
  </w:num>
  <w:num w:numId="12">
    <w:abstractNumId w:val="1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rawingGridVerticalSpacing w:val="3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8D"/>
    <w:rsid w:val="000000ED"/>
    <w:rsid w:val="00000780"/>
    <w:rsid w:val="00002909"/>
    <w:rsid w:val="00002A07"/>
    <w:rsid w:val="00003187"/>
    <w:rsid w:val="0000343C"/>
    <w:rsid w:val="0000366B"/>
    <w:rsid w:val="00004A41"/>
    <w:rsid w:val="00004D0C"/>
    <w:rsid w:val="00004DF1"/>
    <w:rsid w:val="00004ED4"/>
    <w:rsid w:val="00005957"/>
    <w:rsid w:val="00005B48"/>
    <w:rsid w:val="00005C15"/>
    <w:rsid w:val="00005EB5"/>
    <w:rsid w:val="00006A85"/>
    <w:rsid w:val="00006F75"/>
    <w:rsid w:val="00010118"/>
    <w:rsid w:val="00010BB5"/>
    <w:rsid w:val="00010BBD"/>
    <w:rsid w:val="00010FB0"/>
    <w:rsid w:val="000116CB"/>
    <w:rsid w:val="000119DA"/>
    <w:rsid w:val="00011A46"/>
    <w:rsid w:val="0001262F"/>
    <w:rsid w:val="00012D1B"/>
    <w:rsid w:val="00012FE8"/>
    <w:rsid w:val="00013652"/>
    <w:rsid w:val="00013ADB"/>
    <w:rsid w:val="00014497"/>
    <w:rsid w:val="0001475A"/>
    <w:rsid w:val="000148FC"/>
    <w:rsid w:val="0001547A"/>
    <w:rsid w:val="00015637"/>
    <w:rsid w:val="00015D50"/>
    <w:rsid w:val="00015E2B"/>
    <w:rsid w:val="000165CB"/>
    <w:rsid w:val="00016E86"/>
    <w:rsid w:val="00016EF7"/>
    <w:rsid w:val="0001753E"/>
    <w:rsid w:val="00017991"/>
    <w:rsid w:val="00021129"/>
    <w:rsid w:val="00021246"/>
    <w:rsid w:val="0002132E"/>
    <w:rsid w:val="00021634"/>
    <w:rsid w:val="00021877"/>
    <w:rsid w:val="000218AA"/>
    <w:rsid w:val="00021FA9"/>
    <w:rsid w:val="0002263E"/>
    <w:rsid w:val="00022C8A"/>
    <w:rsid w:val="00023FE1"/>
    <w:rsid w:val="0002457A"/>
    <w:rsid w:val="0002494D"/>
    <w:rsid w:val="00024AFD"/>
    <w:rsid w:val="00024C88"/>
    <w:rsid w:val="000253FE"/>
    <w:rsid w:val="00026DB9"/>
    <w:rsid w:val="00027596"/>
    <w:rsid w:val="000275FC"/>
    <w:rsid w:val="00030783"/>
    <w:rsid w:val="00030E00"/>
    <w:rsid w:val="0003180F"/>
    <w:rsid w:val="0003183E"/>
    <w:rsid w:val="00031966"/>
    <w:rsid w:val="00031D71"/>
    <w:rsid w:val="00032B72"/>
    <w:rsid w:val="00032E85"/>
    <w:rsid w:val="00033AC3"/>
    <w:rsid w:val="00034DFB"/>
    <w:rsid w:val="00034FD0"/>
    <w:rsid w:val="00034FE0"/>
    <w:rsid w:val="000355E0"/>
    <w:rsid w:val="000359EB"/>
    <w:rsid w:val="0003611B"/>
    <w:rsid w:val="000365C7"/>
    <w:rsid w:val="0003672C"/>
    <w:rsid w:val="00036BB0"/>
    <w:rsid w:val="00040567"/>
    <w:rsid w:val="000413E4"/>
    <w:rsid w:val="00041BAD"/>
    <w:rsid w:val="0004209A"/>
    <w:rsid w:val="0004226F"/>
    <w:rsid w:val="00042CB9"/>
    <w:rsid w:val="00042D29"/>
    <w:rsid w:val="00042E8B"/>
    <w:rsid w:val="0004308A"/>
    <w:rsid w:val="00043781"/>
    <w:rsid w:val="0004379C"/>
    <w:rsid w:val="00043B05"/>
    <w:rsid w:val="00044363"/>
    <w:rsid w:val="00044673"/>
    <w:rsid w:val="00044869"/>
    <w:rsid w:val="000451B1"/>
    <w:rsid w:val="0004549F"/>
    <w:rsid w:val="00045662"/>
    <w:rsid w:val="00045EE6"/>
    <w:rsid w:val="00046035"/>
    <w:rsid w:val="000463B0"/>
    <w:rsid w:val="00046F21"/>
    <w:rsid w:val="00047575"/>
    <w:rsid w:val="00047B75"/>
    <w:rsid w:val="000501E1"/>
    <w:rsid w:val="00050719"/>
    <w:rsid w:val="000509AB"/>
    <w:rsid w:val="00050A80"/>
    <w:rsid w:val="0005124F"/>
    <w:rsid w:val="0005160E"/>
    <w:rsid w:val="0005164B"/>
    <w:rsid w:val="000518A1"/>
    <w:rsid w:val="000519E9"/>
    <w:rsid w:val="00051A36"/>
    <w:rsid w:val="00051FFC"/>
    <w:rsid w:val="000521AB"/>
    <w:rsid w:val="000525A9"/>
    <w:rsid w:val="000525B4"/>
    <w:rsid w:val="000525B7"/>
    <w:rsid w:val="000525D0"/>
    <w:rsid w:val="00052AF6"/>
    <w:rsid w:val="00052C60"/>
    <w:rsid w:val="00052C69"/>
    <w:rsid w:val="00052F9A"/>
    <w:rsid w:val="000534CB"/>
    <w:rsid w:val="00053884"/>
    <w:rsid w:val="00053D4C"/>
    <w:rsid w:val="00053DCB"/>
    <w:rsid w:val="00054ED1"/>
    <w:rsid w:val="00054FA0"/>
    <w:rsid w:val="00055213"/>
    <w:rsid w:val="000555F4"/>
    <w:rsid w:val="00055BB5"/>
    <w:rsid w:val="00055F43"/>
    <w:rsid w:val="0005776F"/>
    <w:rsid w:val="000601FB"/>
    <w:rsid w:val="000609BD"/>
    <w:rsid w:val="00060EA7"/>
    <w:rsid w:val="00064343"/>
    <w:rsid w:val="00064481"/>
    <w:rsid w:val="000644CD"/>
    <w:rsid w:val="000645B3"/>
    <w:rsid w:val="0006468E"/>
    <w:rsid w:val="000657BC"/>
    <w:rsid w:val="00065D96"/>
    <w:rsid w:val="00066041"/>
    <w:rsid w:val="0006637E"/>
    <w:rsid w:val="00066807"/>
    <w:rsid w:val="00066CCB"/>
    <w:rsid w:val="0006707D"/>
    <w:rsid w:val="0006762D"/>
    <w:rsid w:val="000679CB"/>
    <w:rsid w:val="000703B3"/>
    <w:rsid w:val="0007040C"/>
    <w:rsid w:val="00070B16"/>
    <w:rsid w:val="00071219"/>
    <w:rsid w:val="00072497"/>
    <w:rsid w:val="00072E58"/>
    <w:rsid w:val="00072F9B"/>
    <w:rsid w:val="00073128"/>
    <w:rsid w:val="0007335B"/>
    <w:rsid w:val="000742B8"/>
    <w:rsid w:val="00074549"/>
    <w:rsid w:val="00074CEE"/>
    <w:rsid w:val="00074DE0"/>
    <w:rsid w:val="00074F29"/>
    <w:rsid w:val="00075615"/>
    <w:rsid w:val="00075BA1"/>
    <w:rsid w:val="00075E6F"/>
    <w:rsid w:val="00077E6B"/>
    <w:rsid w:val="000802AD"/>
    <w:rsid w:val="00080696"/>
    <w:rsid w:val="000816FD"/>
    <w:rsid w:val="00081C6B"/>
    <w:rsid w:val="0008287D"/>
    <w:rsid w:val="00082EA3"/>
    <w:rsid w:val="00083186"/>
    <w:rsid w:val="0008357C"/>
    <w:rsid w:val="0008374B"/>
    <w:rsid w:val="00083DF4"/>
    <w:rsid w:val="000840F2"/>
    <w:rsid w:val="0008485C"/>
    <w:rsid w:val="00085172"/>
    <w:rsid w:val="00086481"/>
    <w:rsid w:val="0008668B"/>
    <w:rsid w:val="0008701F"/>
    <w:rsid w:val="0008710B"/>
    <w:rsid w:val="00087435"/>
    <w:rsid w:val="00087441"/>
    <w:rsid w:val="00091785"/>
    <w:rsid w:val="00091958"/>
    <w:rsid w:val="000919C9"/>
    <w:rsid w:val="00091D83"/>
    <w:rsid w:val="000922D6"/>
    <w:rsid w:val="000926A5"/>
    <w:rsid w:val="00092F30"/>
    <w:rsid w:val="00093065"/>
    <w:rsid w:val="000930D4"/>
    <w:rsid w:val="00093443"/>
    <w:rsid w:val="00093E74"/>
    <w:rsid w:val="00095760"/>
    <w:rsid w:val="00095F91"/>
    <w:rsid w:val="000961BB"/>
    <w:rsid w:val="00096242"/>
    <w:rsid w:val="0009630D"/>
    <w:rsid w:val="00096E71"/>
    <w:rsid w:val="000970FE"/>
    <w:rsid w:val="0009711A"/>
    <w:rsid w:val="000971DB"/>
    <w:rsid w:val="00097408"/>
    <w:rsid w:val="00097971"/>
    <w:rsid w:val="00097A9A"/>
    <w:rsid w:val="00097A9C"/>
    <w:rsid w:val="000A084D"/>
    <w:rsid w:val="000A0D8B"/>
    <w:rsid w:val="000A155A"/>
    <w:rsid w:val="000A1689"/>
    <w:rsid w:val="000A1D19"/>
    <w:rsid w:val="000A20EA"/>
    <w:rsid w:val="000A2B19"/>
    <w:rsid w:val="000A2F1E"/>
    <w:rsid w:val="000A2FDA"/>
    <w:rsid w:val="000A3912"/>
    <w:rsid w:val="000A3E65"/>
    <w:rsid w:val="000A45E2"/>
    <w:rsid w:val="000A48AD"/>
    <w:rsid w:val="000A4B89"/>
    <w:rsid w:val="000A53A7"/>
    <w:rsid w:val="000A5C6D"/>
    <w:rsid w:val="000A66E9"/>
    <w:rsid w:val="000A6A32"/>
    <w:rsid w:val="000A6E14"/>
    <w:rsid w:val="000A71F8"/>
    <w:rsid w:val="000B02C5"/>
    <w:rsid w:val="000B08C6"/>
    <w:rsid w:val="000B0BE4"/>
    <w:rsid w:val="000B11BB"/>
    <w:rsid w:val="000B134E"/>
    <w:rsid w:val="000B13DE"/>
    <w:rsid w:val="000B1C77"/>
    <w:rsid w:val="000B1F13"/>
    <w:rsid w:val="000B2435"/>
    <w:rsid w:val="000B2858"/>
    <w:rsid w:val="000B2CD2"/>
    <w:rsid w:val="000B2D06"/>
    <w:rsid w:val="000B2E82"/>
    <w:rsid w:val="000B2FAF"/>
    <w:rsid w:val="000B312E"/>
    <w:rsid w:val="000B4154"/>
    <w:rsid w:val="000B4315"/>
    <w:rsid w:val="000B4882"/>
    <w:rsid w:val="000B49E6"/>
    <w:rsid w:val="000B4A3C"/>
    <w:rsid w:val="000B513D"/>
    <w:rsid w:val="000B52B0"/>
    <w:rsid w:val="000B5956"/>
    <w:rsid w:val="000B61E2"/>
    <w:rsid w:val="000B6976"/>
    <w:rsid w:val="000B6B33"/>
    <w:rsid w:val="000B7002"/>
    <w:rsid w:val="000B79BE"/>
    <w:rsid w:val="000B79EE"/>
    <w:rsid w:val="000C03CB"/>
    <w:rsid w:val="000C06EF"/>
    <w:rsid w:val="000C0915"/>
    <w:rsid w:val="000C2659"/>
    <w:rsid w:val="000C2C8E"/>
    <w:rsid w:val="000C31A0"/>
    <w:rsid w:val="000C3CFC"/>
    <w:rsid w:val="000C3EF0"/>
    <w:rsid w:val="000C3EFE"/>
    <w:rsid w:val="000C3FA5"/>
    <w:rsid w:val="000C58E2"/>
    <w:rsid w:val="000C5A1E"/>
    <w:rsid w:val="000C5F7C"/>
    <w:rsid w:val="000C628D"/>
    <w:rsid w:val="000C67C3"/>
    <w:rsid w:val="000C6CE1"/>
    <w:rsid w:val="000C7138"/>
    <w:rsid w:val="000C71B2"/>
    <w:rsid w:val="000C7DAA"/>
    <w:rsid w:val="000D00C4"/>
    <w:rsid w:val="000D01EE"/>
    <w:rsid w:val="000D14A4"/>
    <w:rsid w:val="000D17CC"/>
    <w:rsid w:val="000D2D17"/>
    <w:rsid w:val="000D397E"/>
    <w:rsid w:val="000D39D7"/>
    <w:rsid w:val="000D436D"/>
    <w:rsid w:val="000D4C05"/>
    <w:rsid w:val="000D508E"/>
    <w:rsid w:val="000D530D"/>
    <w:rsid w:val="000D62E5"/>
    <w:rsid w:val="000D69AF"/>
    <w:rsid w:val="000D70E8"/>
    <w:rsid w:val="000D70EF"/>
    <w:rsid w:val="000E07AE"/>
    <w:rsid w:val="000E0BB7"/>
    <w:rsid w:val="000E0C02"/>
    <w:rsid w:val="000E1161"/>
    <w:rsid w:val="000E11B5"/>
    <w:rsid w:val="000E17F6"/>
    <w:rsid w:val="000E1F5B"/>
    <w:rsid w:val="000E2468"/>
    <w:rsid w:val="000E2EAA"/>
    <w:rsid w:val="000E3B16"/>
    <w:rsid w:val="000E4061"/>
    <w:rsid w:val="000E407D"/>
    <w:rsid w:val="000E4402"/>
    <w:rsid w:val="000E4433"/>
    <w:rsid w:val="000E49FA"/>
    <w:rsid w:val="000E4ADA"/>
    <w:rsid w:val="000E5CE6"/>
    <w:rsid w:val="000E66A1"/>
    <w:rsid w:val="000E69E4"/>
    <w:rsid w:val="000E6A53"/>
    <w:rsid w:val="000E6F6C"/>
    <w:rsid w:val="000E71C0"/>
    <w:rsid w:val="000E7207"/>
    <w:rsid w:val="000F0109"/>
    <w:rsid w:val="000F0A08"/>
    <w:rsid w:val="000F0A5D"/>
    <w:rsid w:val="000F0F72"/>
    <w:rsid w:val="000F1682"/>
    <w:rsid w:val="000F1995"/>
    <w:rsid w:val="000F1D12"/>
    <w:rsid w:val="000F1DCE"/>
    <w:rsid w:val="000F1F89"/>
    <w:rsid w:val="000F2263"/>
    <w:rsid w:val="000F23A3"/>
    <w:rsid w:val="000F2CC8"/>
    <w:rsid w:val="000F2D0A"/>
    <w:rsid w:val="000F36D4"/>
    <w:rsid w:val="000F4469"/>
    <w:rsid w:val="000F48EC"/>
    <w:rsid w:val="000F4A09"/>
    <w:rsid w:val="000F52B1"/>
    <w:rsid w:val="000F53E1"/>
    <w:rsid w:val="000F5C5E"/>
    <w:rsid w:val="000F5DF4"/>
    <w:rsid w:val="000F5F77"/>
    <w:rsid w:val="000F6348"/>
    <w:rsid w:val="000F639C"/>
    <w:rsid w:val="000F76D9"/>
    <w:rsid w:val="00100034"/>
    <w:rsid w:val="00100A4D"/>
    <w:rsid w:val="0010109C"/>
    <w:rsid w:val="00101D75"/>
    <w:rsid w:val="00102411"/>
    <w:rsid w:val="001028B5"/>
    <w:rsid w:val="001028E4"/>
    <w:rsid w:val="00102A67"/>
    <w:rsid w:val="00102BF3"/>
    <w:rsid w:val="001033D0"/>
    <w:rsid w:val="00103E45"/>
    <w:rsid w:val="001048DA"/>
    <w:rsid w:val="00105293"/>
    <w:rsid w:val="00106018"/>
    <w:rsid w:val="00106183"/>
    <w:rsid w:val="00106340"/>
    <w:rsid w:val="00106773"/>
    <w:rsid w:val="00106B92"/>
    <w:rsid w:val="00106DA8"/>
    <w:rsid w:val="001073FF"/>
    <w:rsid w:val="00107673"/>
    <w:rsid w:val="001079DB"/>
    <w:rsid w:val="00107A6F"/>
    <w:rsid w:val="00107D79"/>
    <w:rsid w:val="00110094"/>
    <w:rsid w:val="00110618"/>
    <w:rsid w:val="00110BA2"/>
    <w:rsid w:val="00110D88"/>
    <w:rsid w:val="00110F07"/>
    <w:rsid w:val="00111259"/>
    <w:rsid w:val="001118D5"/>
    <w:rsid w:val="001123CA"/>
    <w:rsid w:val="00113175"/>
    <w:rsid w:val="001135A8"/>
    <w:rsid w:val="00114340"/>
    <w:rsid w:val="0011471B"/>
    <w:rsid w:val="00115262"/>
    <w:rsid w:val="00115613"/>
    <w:rsid w:val="0011585C"/>
    <w:rsid w:val="00116650"/>
    <w:rsid w:val="00116941"/>
    <w:rsid w:val="001178F2"/>
    <w:rsid w:val="001205AE"/>
    <w:rsid w:val="0012063D"/>
    <w:rsid w:val="0012084D"/>
    <w:rsid w:val="00120AC9"/>
    <w:rsid w:val="00120BCB"/>
    <w:rsid w:val="0012110E"/>
    <w:rsid w:val="0012123B"/>
    <w:rsid w:val="0012217E"/>
    <w:rsid w:val="001226B7"/>
    <w:rsid w:val="00122802"/>
    <w:rsid w:val="00122954"/>
    <w:rsid w:val="00123078"/>
    <w:rsid w:val="0012401C"/>
    <w:rsid w:val="00124441"/>
    <w:rsid w:val="00124614"/>
    <w:rsid w:val="0012480C"/>
    <w:rsid w:val="001251EC"/>
    <w:rsid w:val="00125C08"/>
    <w:rsid w:val="001263EB"/>
    <w:rsid w:val="00126C13"/>
    <w:rsid w:val="001274C2"/>
    <w:rsid w:val="00127562"/>
    <w:rsid w:val="001300A5"/>
    <w:rsid w:val="001300D7"/>
    <w:rsid w:val="00130301"/>
    <w:rsid w:val="00130D9D"/>
    <w:rsid w:val="00130FC8"/>
    <w:rsid w:val="00131233"/>
    <w:rsid w:val="00131B48"/>
    <w:rsid w:val="001320EB"/>
    <w:rsid w:val="00132242"/>
    <w:rsid w:val="001324CA"/>
    <w:rsid w:val="00132E41"/>
    <w:rsid w:val="001331B7"/>
    <w:rsid w:val="00133400"/>
    <w:rsid w:val="001335C8"/>
    <w:rsid w:val="0013387C"/>
    <w:rsid w:val="00133AB4"/>
    <w:rsid w:val="00133F52"/>
    <w:rsid w:val="0013465C"/>
    <w:rsid w:val="001350A0"/>
    <w:rsid w:val="00135212"/>
    <w:rsid w:val="00135AAA"/>
    <w:rsid w:val="00135DB8"/>
    <w:rsid w:val="00135E9F"/>
    <w:rsid w:val="00136BCD"/>
    <w:rsid w:val="001403FD"/>
    <w:rsid w:val="00140616"/>
    <w:rsid w:val="001406D0"/>
    <w:rsid w:val="001408E5"/>
    <w:rsid w:val="00140F73"/>
    <w:rsid w:val="00142278"/>
    <w:rsid w:val="00142522"/>
    <w:rsid w:val="00142978"/>
    <w:rsid w:val="00142ADF"/>
    <w:rsid w:val="00142F64"/>
    <w:rsid w:val="00143233"/>
    <w:rsid w:val="00143454"/>
    <w:rsid w:val="0014369D"/>
    <w:rsid w:val="00143887"/>
    <w:rsid w:val="00143EC6"/>
    <w:rsid w:val="001448D0"/>
    <w:rsid w:val="001449CF"/>
    <w:rsid w:val="00144C49"/>
    <w:rsid w:val="0014580B"/>
    <w:rsid w:val="00146855"/>
    <w:rsid w:val="00146C17"/>
    <w:rsid w:val="00146C86"/>
    <w:rsid w:val="00147914"/>
    <w:rsid w:val="00147963"/>
    <w:rsid w:val="00147D14"/>
    <w:rsid w:val="00150305"/>
    <w:rsid w:val="00150EE3"/>
    <w:rsid w:val="00151135"/>
    <w:rsid w:val="00151BFC"/>
    <w:rsid w:val="00152BE6"/>
    <w:rsid w:val="00152E04"/>
    <w:rsid w:val="00153639"/>
    <w:rsid w:val="00153671"/>
    <w:rsid w:val="00153714"/>
    <w:rsid w:val="0015374D"/>
    <w:rsid w:val="001537C8"/>
    <w:rsid w:val="00153F68"/>
    <w:rsid w:val="00154246"/>
    <w:rsid w:val="001543A4"/>
    <w:rsid w:val="00154D78"/>
    <w:rsid w:val="0015518E"/>
    <w:rsid w:val="0015523F"/>
    <w:rsid w:val="00155322"/>
    <w:rsid w:val="00155B1B"/>
    <w:rsid w:val="0015632E"/>
    <w:rsid w:val="001565B2"/>
    <w:rsid w:val="00156852"/>
    <w:rsid w:val="00156EA0"/>
    <w:rsid w:val="00157146"/>
    <w:rsid w:val="0015717F"/>
    <w:rsid w:val="001604B8"/>
    <w:rsid w:val="00161407"/>
    <w:rsid w:val="001617FC"/>
    <w:rsid w:val="0016236F"/>
    <w:rsid w:val="00162B3C"/>
    <w:rsid w:val="00165732"/>
    <w:rsid w:val="00165C80"/>
    <w:rsid w:val="00165E96"/>
    <w:rsid w:val="00166682"/>
    <w:rsid w:val="001668B5"/>
    <w:rsid w:val="00167264"/>
    <w:rsid w:val="00167458"/>
    <w:rsid w:val="001679CF"/>
    <w:rsid w:val="00167BD1"/>
    <w:rsid w:val="00170AC4"/>
    <w:rsid w:val="0017181E"/>
    <w:rsid w:val="0017184A"/>
    <w:rsid w:val="00171BD7"/>
    <w:rsid w:val="00171E99"/>
    <w:rsid w:val="00172B4D"/>
    <w:rsid w:val="001733B3"/>
    <w:rsid w:val="001733E8"/>
    <w:rsid w:val="00173E7B"/>
    <w:rsid w:val="00174096"/>
    <w:rsid w:val="0017413C"/>
    <w:rsid w:val="0017421F"/>
    <w:rsid w:val="0017682C"/>
    <w:rsid w:val="0017790C"/>
    <w:rsid w:val="001779E3"/>
    <w:rsid w:val="00177D3F"/>
    <w:rsid w:val="00177FE1"/>
    <w:rsid w:val="001807AA"/>
    <w:rsid w:val="00180A69"/>
    <w:rsid w:val="0018140E"/>
    <w:rsid w:val="00181D40"/>
    <w:rsid w:val="00182017"/>
    <w:rsid w:val="001821BF"/>
    <w:rsid w:val="00182784"/>
    <w:rsid w:val="00183433"/>
    <w:rsid w:val="0018352E"/>
    <w:rsid w:val="00184624"/>
    <w:rsid w:val="00185582"/>
    <w:rsid w:val="0018678F"/>
    <w:rsid w:val="00187B72"/>
    <w:rsid w:val="001900D1"/>
    <w:rsid w:val="0019048C"/>
    <w:rsid w:val="00190801"/>
    <w:rsid w:val="001914F8"/>
    <w:rsid w:val="00191F61"/>
    <w:rsid w:val="00192559"/>
    <w:rsid w:val="00192EE3"/>
    <w:rsid w:val="001947CF"/>
    <w:rsid w:val="0019484B"/>
    <w:rsid w:val="00194D07"/>
    <w:rsid w:val="00194D9A"/>
    <w:rsid w:val="00195292"/>
    <w:rsid w:val="0019550F"/>
    <w:rsid w:val="00195CEE"/>
    <w:rsid w:val="00196850"/>
    <w:rsid w:val="00197435"/>
    <w:rsid w:val="001975D3"/>
    <w:rsid w:val="00197ADD"/>
    <w:rsid w:val="001A0B2D"/>
    <w:rsid w:val="001A0C0A"/>
    <w:rsid w:val="001A3037"/>
    <w:rsid w:val="001A32CE"/>
    <w:rsid w:val="001A3589"/>
    <w:rsid w:val="001A36C0"/>
    <w:rsid w:val="001A3A16"/>
    <w:rsid w:val="001A3FF7"/>
    <w:rsid w:val="001A46CF"/>
    <w:rsid w:val="001A4765"/>
    <w:rsid w:val="001A4B7B"/>
    <w:rsid w:val="001A50EC"/>
    <w:rsid w:val="001A5515"/>
    <w:rsid w:val="001A55C2"/>
    <w:rsid w:val="001A57FE"/>
    <w:rsid w:val="001A58AC"/>
    <w:rsid w:val="001A5B66"/>
    <w:rsid w:val="001A67E4"/>
    <w:rsid w:val="001A7BB5"/>
    <w:rsid w:val="001B0B60"/>
    <w:rsid w:val="001B0E33"/>
    <w:rsid w:val="001B11D1"/>
    <w:rsid w:val="001B1673"/>
    <w:rsid w:val="001B16DC"/>
    <w:rsid w:val="001B1922"/>
    <w:rsid w:val="001B1D44"/>
    <w:rsid w:val="001B22EB"/>
    <w:rsid w:val="001B25EF"/>
    <w:rsid w:val="001B2998"/>
    <w:rsid w:val="001B2A23"/>
    <w:rsid w:val="001B2DCF"/>
    <w:rsid w:val="001B2ECD"/>
    <w:rsid w:val="001B3218"/>
    <w:rsid w:val="001B3629"/>
    <w:rsid w:val="001B3A71"/>
    <w:rsid w:val="001B3B5C"/>
    <w:rsid w:val="001B3FED"/>
    <w:rsid w:val="001B4239"/>
    <w:rsid w:val="001B44A8"/>
    <w:rsid w:val="001B47CE"/>
    <w:rsid w:val="001B4A87"/>
    <w:rsid w:val="001B4BB4"/>
    <w:rsid w:val="001B4F15"/>
    <w:rsid w:val="001B5185"/>
    <w:rsid w:val="001B58F5"/>
    <w:rsid w:val="001B5FD6"/>
    <w:rsid w:val="001B63E6"/>
    <w:rsid w:val="001B6B98"/>
    <w:rsid w:val="001B6D07"/>
    <w:rsid w:val="001B75ED"/>
    <w:rsid w:val="001B76BC"/>
    <w:rsid w:val="001B7793"/>
    <w:rsid w:val="001B7831"/>
    <w:rsid w:val="001B7D1C"/>
    <w:rsid w:val="001B7E45"/>
    <w:rsid w:val="001C0EA9"/>
    <w:rsid w:val="001C0EE6"/>
    <w:rsid w:val="001C163E"/>
    <w:rsid w:val="001C1D09"/>
    <w:rsid w:val="001C2901"/>
    <w:rsid w:val="001C2A3C"/>
    <w:rsid w:val="001C3800"/>
    <w:rsid w:val="001C52A0"/>
    <w:rsid w:val="001C5438"/>
    <w:rsid w:val="001C57AF"/>
    <w:rsid w:val="001C59E2"/>
    <w:rsid w:val="001C5B01"/>
    <w:rsid w:val="001C5D0B"/>
    <w:rsid w:val="001C5E00"/>
    <w:rsid w:val="001C6020"/>
    <w:rsid w:val="001C6218"/>
    <w:rsid w:val="001C6906"/>
    <w:rsid w:val="001C694D"/>
    <w:rsid w:val="001C6CE7"/>
    <w:rsid w:val="001C7505"/>
    <w:rsid w:val="001C7D39"/>
    <w:rsid w:val="001D0822"/>
    <w:rsid w:val="001D1426"/>
    <w:rsid w:val="001D1639"/>
    <w:rsid w:val="001D1C90"/>
    <w:rsid w:val="001D25B3"/>
    <w:rsid w:val="001D2787"/>
    <w:rsid w:val="001D29C6"/>
    <w:rsid w:val="001D3668"/>
    <w:rsid w:val="001D451D"/>
    <w:rsid w:val="001D4A12"/>
    <w:rsid w:val="001D4AFB"/>
    <w:rsid w:val="001D4D27"/>
    <w:rsid w:val="001D5324"/>
    <w:rsid w:val="001D569E"/>
    <w:rsid w:val="001D58C2"/>
    <w:rsid w:val="001D60EB"/>
    <w:rsid w:val="001D62BC"/>
    <w:rsid w:val="001D6409"/>
    <w:rsid w:val="001D6723"/>
    <w:rsid w:val="001D708B"/>
    <w:rsid w:val="001D7F7F"/>
    <w:rsid w:val="001E035F"/>
    <w:rsid w:val="001E0D22"/>
    <w:rsid w:val="001E19ED"/>
    <w:rsid w:val="001E26BD"/>
    <w:rsid w:val="001E33BD"/>
    <w:rsid w:val="001E3514"/>
    <w:rsid w:val="001E352C"/>
    <w:rsid w:val="001E3781"/>
    <w:rsid w:val="001E3B62"/>
    <w:rsid w:val="001E3B79"/>
    <w:rsid w:val="001E3D48"/>
    <w:rsid w:val="001E3DDE"/>
    <w:rsid w:val="001E3E9A"/>
    <w:rsid w:val="001E45BD"/>
    <w:rsid w:val="001E46B2"/>
    <w:rsid w:val="001E5DD2"/>
    <w:rsid w:val="001E6B32"/>
    <w:rsid w:val="001E6BAF"/>
    <w:rsid w:val="001E6FBB"/>
    <w:rsid w:val="001E751D"/>
    <w:rsid w:val="001E7A2D"/>
    <w:rsid w:val="001E7B3B"/>
    <w:rsid w:val="001E7E30"/>
    <w:rsid w:val="001F26E2"/>
    <w:rsid w:val="001F27D6"/>
    <w:rsid w:val="001F2F6E"/>
    <w:rsid w:val="001F2F98"/>
    <w:rsid w:val="001F3400"/>
    <w:rsid w:val="001F352B"/>
    <w:rsid w:val="001F354F"/>
    <w:rsid w:val="001F37B7"/>
    <w:rsid w:val="001F3AB6"/>
    <w:rsid w:val="001F3AC5"/>
    <w:rsid w:val="001F3D40"/>
    <w:rsid w:val="001F4D2C"/>
    <w:rsid w:val="001F4F16"/>
    <w:rsid w:val="001F50B9"/>
    <w:rsid w:val="001F50D3"/>
    <w:rsid w:val="001F6468"/>
    <w:rsid w:val="001F6726"/>
    <w:rsid w:val="001F68BA"/>
    <w:rsid w:val="001F77FD"/>
    <w:rsid w:val="00200729"/>
    <w:rsid w:val="00200A85"/>
    <w:rsid w:val="00200ABD"/>
    <w:rsid w:val="00200DF1"/>
    <w:rsid w:val="00201041"/>
    <w:rsid w:val="00201AC5"/>
    <w:rsid w:val="00201C12"/>
    <w:rsid w:val="00202C28"/>
    <w:rsid w:val="00203666"/>
    <w:rsid w:val="002036B3"/>
    <w:rsid w:val="00203B40"/>
    <w:rsid w:val="0020490D"/>
    <w:rsid w:val="00204E6F"/>
    <w:rsid w:val="002055C3"/>
    <w:rsid w:val="002060B6"/>
    <w:rsid w:val="00206F37"/>
    <w:rsid w:val="00207230"/>
    <w:rsid w:val="00207567"/>
    <w:rsid w:val="002109E9"/>
    <w:rsid w:val="002111CC"/>
    <w:rsid w:val="00211ABD"/>
    <w:rsid w:val="002123D8"/>
    <w:rsid w:val="00212A5C"/>
    <w:rsid w:val="00212D87"/>
    <w:rsid w:val="00212E23"/>
    <w:rsid w:val="00213728"/>
    <w:rsid w:val="002141C5"/>
    <w:rsid w:val="00214217"/>
    <w:rsid w:val="0021444F"/>
    <w:rsid w:val="002147BB"/>
    <w:rsid w:val="002147D4"/>
    <w:rsid w:val="002154DA"/>
    <w:rsid w:val="00215EE6"/>
    <w:rsid w:val="00216102"/>
    <w:rsid w:val="00216241"/>
    <w:rsid w:val="002168B7"/>
    <w:rsid w:val="002175C9"/>
    <w:rsid w:val="0021770A"/>
    <w:rsid w:val="0022089D"/>
    <w:rsid w:val="00220A1B"/>
    <w:rsid w:val="00220D22"/>
    <w:rsid w:val="002210F2"/>
    <w:rsid w:val="00221ED6"/>
    <w:rsid w:val="0022256A"/>
    <w:rsid w:val="00223053"/>
    <w:rsid w:val="002235F5"/>
    <w:rsid w:val="00223B7E"/>
    <w:rsid w:val="00223E26"/>
    <w:rsid w:val="00224177"/>
    <w:rsid w:val="00224B18"/>
    <w:rsid w:val="0022515D"/>
    <w:rsid w:val="002254D2"/>
    <w:rsid w:val="00225DA2"/>
    <w:rsid w:val="00225E60"/>
    <w:rsid w:val="00226005"/>
    <w:rsid w:val="00226B1B"/>
    <w:rsid w:val="00227947"/>
    <w:rsid w:val="00227E6F"/>
    <w:rsid w:val="00230041"/>
    <w:rsid w:val="00230083"/>
    <w:rsid w:val="002317B2"/>
    <w:rsid w:val="002319CE"/>
    <w:rsid w:val="00231D10"/>
    <w:rsid w:val="00232DFE"/>
    <w:rsid w:val="002330F9"/>
    <w:rsid w:val="00233154"/>
    <w:rsid w:val="00233181"/>
    <w:rsid w:val="00233EF1"/>
    <w:rsid w:val="002340B9"/>
    <w:rsid w:val="0023470D"/>
    <w:rsid w:val="00234D51"/>
    <w:rsid w:val="00234FDF"/>
    <w:rsid w:val="002353CC"/>
    <w:rsid w:val="0023570D"/>
    <w:rsid w:val="00235DAD"/>
    <w:rsid w:val="00235E82"/>
    <w:rsid w:val="002361F5"/>
    <w:rsid w:val="002363D5"/>
    <w:rsid w:val="002365E7"/>
    <w:rsid w:val="00236AFB"/>
    <w:rsid w:val="00236BD8"/>
    <w:rsid w:val="00236CAA"/>
    <w:rsid w:val="00236D1E"/>
    <w:rsid w:val="002370FD"/>
    <w:rsid w:val="00237298"/>
    <w:rsid w:val="0023750A"/>
    <w:rsid w:val="00237C39"/>
    <w:rsid w:val="0024064F"/>
    <w:rsid w:val="0024094E"/>
    <w:rsid w:val="00240C73"/>
    <w:rsid w:val="00240CE7"/>
    <w:rsid w:val="00240D6E"/>
    <w:rsid w:val="00240FA1"/>
    <w:rsid w:val="00241508"/>
    <w:rsid w:val="00241844"/>
    <w:rsid w:val="002419B1"/>
    <w:rsid w:val="00241B23"/>
    <w:rsid w:val="00241F08"/>
    <w:rsid w:val="002420E6"/>
    <w:rsid w:val="002424FF"/>
    <w:rsid w:val="00242C81"/>
    <w:rsid w:val="00242DA0"/>
    <w:rsid w:val="00243485"/>
    <w:rsid w:val="00243B6A"/>
    <w:rsid w:val="00243B7E"/>
    <w:rsid w:val="00243D68"/>
    <w:rsid w:val="0024443D"/>
    <w:rsid w:val="002447C5"/>
    <w:rsid w:val="00244BC7"/>
    <w:rsid w:val="002469AC"/>
    <w:rsid w:val="00247170"/>
    <w:rsid w:val="00247DA1"/>
    <w:rsid w:val="00247F11"/>
    <w:rsid w:val="00250271"/>
    <w:rsid w:val="00250C83"/>
    <w:rsid w:val="00250FF9"/>
    <w:rsid w:val="00251717"/>
    <w:rsid w:val="0025216A"/>
    <w:rsid w:val="002526A8"/>
    <w:rsid w:val="00253286"/>
    <w:rsid w:val="00253DCE"/>
    <w:rsid w:val="002543A2"/>
    <w:rsid w:val="002544DA"/>
    <w:rsid w:val="00254656"/>
    <w:rsid w:val="00254941"/>
    <w:rsid w:val="00254DF2"/>
    <w:rsid w:val="00255133"/>
    <w:rsid w:val="00255673"/>
    <w:rsid w:val="0025590C"/>
    <w:rsid w:val="0025591E"/>
    <w:rsid w:val="00255BAB"/>
    <w:rsid w:val="00255E83"/>
    <w:rsid w:val="002566A6"/>
    <w:rsid w:val="00256CFE"/>
    <w:rsid w:val="00256FEE"/>
    <w:rsid w:val="002573B8"/>
    <w:rsid w:val="00257468"/>
    <w:rsid w:val="0025749E"/>
    <w:rsid w:val="002577C8"/>
    <w:rsid w:val="0025799D"/>
    <w:rsid w:val="00261C7D"/>
    <w:rsid w:val="00261DF9"/>
    <w:rsid w:val="00262036"/>
    <w:rsid w:val="00262229"/>
    <w:rsid w:val="00262490"/>
    <w:rsid w:val="00262E53"/>
    <w:rsid w:val="0026310D"/>
    <w:rsid w:val="00263140"/>
    <w:rsid w:val="00263191"/>
    <w:rsid w:val="00263246"/>
    <w:rsid w:val="00263E87"/>
    <w:rsid w:val="00264F9C"/>
    <w:rsid w:val="00265006"/>
    <w:rsid w:val="002659FE"/>
    <w:rsid w:val="00265CBE"/>
    <w:rsid w:val="00266864"/>
    <w:rsid w:val="00266A8B"/>
    <w:rsid w:val="00266BF0"/>
    <w:rsid w:val="00266BF5"/>
    <w:rsid w:val="00267412"/>
    <w:rsid w:val="00267D4F"/>
    <w:rsid w:val="00270159"/>
    <w:rsid w:val="002701ED"/>
    <w:rsid w:val="0027064C"/>
    <w:rsid w:val="00270838"/>
    <w:rsid w:val="00270FE7"/>
    <w:rsid w:val="002717FD"/>
    <w:rsid w:val="002720AC"/>
    <w:rsid w:val="00273894"/>
    <w:rsid w:val="002739CB"/>
    <w:rsid w:val="00274D9B"/>
    <w:rsid w:val="002752FA"/>
    <w:rsid w:val="00275466"/>
    <w:rsid w:val="00275F96"/>
    <w:rsid w:val="00276649"/>
    <w:rsid w:val="002766D9"/>
    <w:rsid w:val="00276C46"/>
    <w:rsid w:val="00277BA6"/>
    <w:rsid w:val="00280AF4"/>
    <w:rsid w:val="00280E2C"/>
    <w:rsid w:val="00280E68"/>
    <w:rsid w:val="002812DD"/>
    <w:rsid w:val="002813C7"/>
    <w:rsid w:val="002817C8"/>
    <w:rsid w:val="002821A5"/>
    <w:rsid w:val="00282542"/>
    <w:rsid w:val="00282776"/>
    <w:rsid w:val="0028394F"/>
    <w:rsid w:val="00283CA9"/>
    <w:rsid w:val="0028480B"/>
    <w:rsid w:val="002855DF"/>
    <w:rsid w:val="0028583A"/>
    <w:rsid w:val="00285CF4"/>
    <w:rsid w:val="0028663D"/>
    <w:rsid w:val="00286813"/>
    <w:rsid w:val="00286B6C"/>
    <w:rsid w:val="0028715A"/>
    <w:rsid w:val="0028721E"/>
    <w:rsid w:val="00287287"/>
    <w:rsid w:val="002877AC"/>
    <w:rsid w:val="00287FC0"/>
    <w:rsid w:val="002902F8"/>
    <w:rsid w:val="0029082C"/>
    <w:rsid w:val="00290D4B"/>
    <w:rsid w:val="0029105A"/>
    <w:rsid w:val="002918E2"/>
    <w:rsid w:val="00291BC5"/>
    <w:rsid w:val="00291C15"/>
    <w:rsid w:val="00291CB4"/>
    <w:rsid w:val="00292535"/>
    <w:rsid w:val="0029266E"/>
    <w:rsid w:val="00292ACD"/>
    <w:rsid w:val="0029352E"/>
    <w:rsid w:val="002938E7"/>
    <w:rsid w:val="00293ADE"/>
    <w:rsid w:val="00293FA7"/>
    <w:rsid w:val="00295448"/>
    <w:rsid w:val="00295578"/>
    <w:rsid w:val="0029644F"/>
    <w:rsid w:val="002965EB"/>
    <w:rsid w:val="00296AFC"/>
    <w:rsid w:val="00296E76"/>
    <w:rsid w:val="0029730C"/>
    <w:rsid w:val="0029736B"/>
    <w:rsid w:val="00297A5C"/>
    <w:rsid w:val="002A008B"/>
    <w:rsid w:val="002A031A"/>
    <w:rsid w:val="002A0C3A"/>
    <w:rsid w:val="002A0C50"/>
    <w:rsid w:val="002A1079"/>
    <w:rsid w:val="002A1158"/>
    <w:rsid w:val="002A11D7"/>
    <w:rsid w:val="002A1455"/>
    <w:rsid w:val="002A2629"/>
    <w:rsid w:val="002A2742"/>
    <w:rsid w:val="002A2A51"/>
    <w:rsid w:val="002A2FA7"/>
    <w:rsid w:val="002A38B3"/>
    <w:rsid w:val="002A43F7"/>
    <w:rsid w:val="002A4706"/>
    <w:rsid w:val="002A50F3"/>
    <w:rsid w:val="002A6558"/>
    <w:rsid w:val="002A6888"/>
    <w:rsid w:val="002A6C6D"/>
    <w:rsid w:val="002B024A"/>
    <w:rsid w:val="002B0ECE"/>
    <w:rsid w:val="002B12E3"/>
    <w:rsid w:val="002B13A8"/>
    <w:rsid w:val="002B14DB"/>
    <w:rsid w:val="002B250B"/>
    <w:rsid w:val="002B29DF"/>
    <w:rsid w:val="002B3004"/>
    <w:rsid w:val="002B355A"/>
    <w:rsid w:val="002B4106"/>
    <w:rsid w:val="002B4219"/>
    <w:rsid w:val="002B55C5"/>
    <w:rsid w:val="002B59B7"/>
    <w:rsid w:val="002B62EB"/>
    <w:rsid w:val="002B6C61"/>
    <w:rsid w:val="002B6F2D"/>
    <w:rsid w:val="002B786E"/>
    <w:rsid w:val="002B7D25"/>
    <w:rsid w:val="002C039B"/>
    <w:rsid w:val="002C1787"/>
    <w:rsid w:val="002C2591"/>
    <w:rsid w:val="002C2CE3"/>
    <w:rsid w:val="002C39E6"/>
    <w:rsid w:val="002C4694"/>
    <w:rsid w:val="002C4786"/>
    <w:rsid w:val="002C4A53"/>
    <w:rsid w:val="002C4CCC"/>
    <w:rsid w:val="002C4E24"/>
    <w:rsid w:val="002C4E5D"/>
    <w:rsid w:val="002C50F8"/>
    <w:rsid w:val="002C5433"/>
    <w:rsid w:val="002C6440"/>
    <w:rsid w:val="002C7298"/>
    <w:rsid w:val="002C7542"/>
    <w:rsid w:val="002C7D50"/>
    <w:rsid w:val="002D0A53"/>
    <w:rsid w:val="002D0C3F"/>
    <w:rsid w:val="002D0DB7"/>
    <w:rsid w:val="002D114B"/>
    <w:rsid w:val="002D1642"/>
    <w:rsid w:val="002D1805"/>
    <w:rsid w:val="002D1882"/>
    <w:rsid w:val="002D1AE5"/>
    <w:rsid w:val="002D1CE0"/>
    <w:rsid w:val="002D2AC3"/>
    <w:rsid w:val="002D3003"/>
    <w:rsid w:val="002D3542"/>
    <w:rsid w:val="002D391C"/>
    <w:rsid w:val="002D39DF"/>
    <w:rsid w:val="002D42A8"/>
    <w:rsid w:val="002D42D6"/>
    <w:rsid w:val="002D4E23"/>
    <w:rsid w:val="002D50C1"/>
    <w:rsid w:val="002D67FC"/>
    <w:rsid w:val="002D6F60"/>
    <w:rsid w:val="002D70EC"/>
    <w:rsid w:val="002D78E1"/>
    <w:rsid w:val="002D7F64"/>
    <w:rsid w:val="002E0838"/>
    <w:rsid w:val="002E1254"/>
    <w:rsid w:val="002E1439"/>
    <w:rsid w:val="002E1705"/>
    <w:rsid w:val="002E1725"/>
    <w:rsid w:val="002E23D8"/>
    <w:rsid w:val="002E3491"/>
    <w:rsid w:val="002E396B"/>
    <w:rsid w:val="002E3D08"/>
    <w:rsid w:val="002E482F"/>
    <w:rsid w:val="002E5448"/>
    <w:rsid w:val="002E6218"/>
    <w:rsid w:val="002E6398"/>
    <w:rsid w:val="002E6A1C"/>
    <w:rsid w:val="002E6B64"/>
    <w:rsid w:val="002E73BF"/>
    <w:rsid w:val="002E7B2F"/>
    <w:rsid w:val="002F0044"/>
    <w:rsid w:val="002F06A6"/>
    <w:rsid w:val="002F070A"/>
    <w:rsid w:val="002F0BBC"/>
    <w:rsid w:val="002F0C85"/>
    <w:rsid w:val="002F0CE5"/>
    <w:rsid w:val="002F1BB6"/>
    <w:rsid w:val="002F2A9E"/>
    <w:rsid w:val="002F2A9F"/>
    <w:rsid w:val="002F2FA8"/>
    <w:rsid w:val="002F322A"/>
    <w:rsid w:val="002F3832"/>
    <w:rsid w:val="002F3EF5"/>
    <w:rsid w:val="002F572E"/>
    <w:rsid w:val="002F57F4"/>
    <w:rsid w:val="002F6885"/>
    <w:rsid w:val="002F7299"/>
    <w:rsid w:val="002F7600"/>
    <w:rsid w:val="002F787E"/>
    <w:rsid w:val="002F7A10"/>
    <w:rsid w:val="002F7CA3"/>
    <w:rsid w:val="00300207"/>
    <w:rsid w:val="00300928"/>
    <w:rsid w:val="00300A55"/>
    <w:rsid w:val="00300B53"/>
    <w:rsid w:val="00300C4C"/>
    <w:rsid w:val="0030123D"/>
    <w:rsid w:val="0030188E"/>
    <w:rsid w:val="00301900"/>
    <w:rsid w:val="00301AC6"/>
    <w:rsid w:val="00302403"/>
    <w:rsid w:val="00302C4A"/>
    <w:rsid w:val="00302D5A"/>
    <w:rsid w:val="00302DD1"/>
    <w:rsid w:val="0030376F"/>
    <w:rsid w:val="00303ACD"/>
    <w:rsid w:val="00303AD7"/>
    <w:rsid w:val="00304135"/>
    <w:rsid w:val="00304139"/>
    <w:rsid w:val="00304D1E"/>
    <w:rsid w:val="0030552F"/>
    <w:rsid w:val="0030553E"/>
    <w:rsid w:val="003061A4"/>
    <w:rsid w:val="003063C2"/>
    <w:rsid w:val="003064A1"/>
    <w:rsid w:val="0031038F"/>
    <w:rsid w:val="003103C8"/>
    <w:rsid w:val="00310CD1"/>
    <w:rsid w:val="00311BCF"/>
    <w:rsid w:val="003125BA"/>
    <w:rsid w:val="0031351E"/>
    <w:rsid w:val="003136DC"/>
    <w:rsid w:val="003144AC"/>
    <w:rsid w:val="003146F3"/>
    <w:rsid w:val="00314CD6"/>
    <w:rsid w:val="00315020"/>
    <w:rsid w:val="003157B8"/>
    <w:rsid w:val="00315A32"/>
    <w:rsid w:val="00315BED"/>
    <w:rsid w:val="00315EE6"/>
    <w:rsid w:val="0031675D"/>
    <w:rsid w:val="00316AFC"/>
    <w:rsid w:val="0031720A"/>
    <w:rsid w:val="003173BF"/>
    <w:rsid w:val="00317B24"/>
    <w:rsid w:val="003201B9"/>
    <w:rsid w:val="003203F0"/>
    <w:rsid w:val="0032129F"/>
    <w:rsid w:val="0032163A"/>
    <w:rsid w:val="00321B77"/>
    <w:rsid w:val="00322165"/>
    <w:rsid w:val="00322392"/>
    <w:rsid w:val="003229D9"/>
    <w:rsid w:val="003230FD"/>
    <w:rsid w:val="0032343C"/>
    <w:rsid w:val="00323770"/>
    <w:rsid w:val="00323BE5"/>
    <w:rsid w:val="0032428C"/>
    <w:rsid w:val="0032494C"/>
    <w:rsid w:val="003250B0"/>
    <w:rsid w:val="003252C3"/>
    <w:rsid w:val="003254DD"/>
    <w:rsid w:val="00326131"/>
    <w:rsid w:val="003268B8"/>
    <w:rsid w:val="003276AF"/>
    <w:rsid w:val="003277F5"/>
    <w:rsid w:val="00330E4F"/>
    <w:rsid w:val="0033117B"/>
    <w:rsid w:val="00331481"/>
    <w:rsid w:val="003317E1"/>
    <w:rsid w:val="003319BB"/>
    <w:rsid w:val="00331D70"/>
    <w:rsid w:val="0033204E"/>
    <w:rsid w:val="00332356"/>
    <w:rsid w:val="00332940"/>
    <w:rsid w:val="00333105"/>
    <w:rsid w:val="00333AAD"/>
    <w:rsid w:val="00333E55"/>
    <w:rsid w:val="003340F5"/>
    <w:rsid w:val="00334918"/>
    <w:rsid w:val="00334E4A"/>
    <w:rsid w:val="00334EED"/>
    <w:rsid w:val="003353DE"/>
    <w:rsid w:val="00336834"/>
    <w:rsid w:val="00336835"/>
    <w:rsid w:val="00336FEE"/>
    <w:rsid w:val="00337DB9"/>
    <w:rsid w:val="00340661"/>
    <w:rsid w:val="00340D41"/>
    <w:rsid w:val="00341097"/>
    <w:rsid w:val="0034128F"/>
    <w:rsid w:val="00341A7B"/>
    <w:rsid w:val="003426F1"/>
    <w:rsid w:val="00343332"/>
    <w:rsid w:val="003436B9"/>
    <w:rsid w:val="00343FF0"/>
    <w:rsid w:val="00344965"/>
    <w:rsid w:val="00344BB0"/>
    <w:rsid w:val="00344C6B"/>
    <w:rsid w:val="0034500F"/>
    <w:rsid w:val="003454D8"/>
    <w:rsid w:val="00345EBB"/>
    <w:rsid w:val="00346C72"/>
    <w:rsid w:val="00346CC9"/>
    <w:rsid w:val="00347700"/>
    <w:rsid w:val="0034778B"/>
    <w:rsid w:val="0035062C"/>
    <w:rsid w:val="00350CF3"/>
    <w:rsid w:val="00351DF7"/>
    <w:rsid w:val="00352719"/>
    <w:rsid w:val="00352DDC"/>
    <w:rsid w:val="00353196"/>
    <w:rsid w:val="003540C3"/>
    <w:rsid w:val="00354476"/>
    <w:rsid w:val="00354ED9"/>
    <w:rsid w:val="00355558"/>
    <w:rsid w:val="00355F06"/>
    <w:rsid w:val="00356180"/>
    <w:rsid w:val="0035662A"/>
    <w:rsid w:val="00356AD3"/>
    <w:rsid w:val="00356DD6"/>
    <w:rsid w:val="00357487"/>
    <w:rsid w:val="00357707"/>
    <w:rsid w:val="00357B44"/>
    <w:rsid w:val="00357CD4"/>
    <w:rsid w:val="00357CED"/>
    <w:rsid w:val="00357E52"/>
    <w:rsid w:val="0036037F"/>
    <w:rsid w:val="00361382"/>
    <w:rsid w:val="00361C1A"/>
    <w:rsid w:val="00361EEC"/>
    <w:rsid w:val="00363546"/>
    <w:rsid w:val="003645F2"/>
    <w:rsid w:val="003648DE"/>
    <w:rsid w:val="003650B7"/>
    <w:rsid w:val="00365215"/>
    <w:rsid w:val="003656D8"/>
    <w:rsid w:val="0036592A"/>
    <w:rsid w:val="00365FA3"/>
    <w:rsid w:val="00366079"/>
    <w:rsid w:val="00366404"/>
    <w:rsid w:val="00367C2F"/>
    <w:rsid w:val="00367F01"/>
    <w:rsid w:val="00370488"/>
    <w:rsid w:val="00370A72"/>
    <w:rsid w:val="00370DB9"/>
    <w:rsid w:val="0037102F"/>
    <w:rsid w:val="003710C9"/>
    <w:rsid w:val="003714F3"/>
    <w:rsid w:val="003717B4"/>
    <w:rsid w:val="0037219F"/>
    <w:rsid w:val="00372D3F"/>
    <w:rsid w:val="00372FFF"/>
    <w:rsid w:val="00373407"/>
    <w:rsid w:val="00373703"/>
    <w:rsid w:val="003742F0"/>
    <w:rsid w:val="003744EF"/>
    <w:rsid w:val="003749E7"/>
    <w:rsid w:val="00374B0F"/>
    <w:rsid w:val="00375C62"/>
    <w:rsid w:val="00375D19"/>
    <w:rsid w:val="0037638B"/>
    <w:rsid w:val="00377341"/>
    <w:rsid w:val="003774C4"/>
    <w:rsid w:val="00377DA0"/>
    <w:rsid w:val="00380067"/>
    <w:rsid w:val="003804DF"/>
    <w:rsid w:val="003805CE"/>
    <w:rsid w:val="003807CE"/>
    <w:rsid w:val="00380D2A"/>
    <w:rsid w:val="003810CF"/>
    <w:rsid w:val="00381684"/>
    <w:rsid w:val="00381873"/>
    <w:rsid w:val="0038241B"/>
    <w:rsid w:val="003826CE"/>
    <w:rsid w:val="00382A19"/>
    <w:rsid w:val="003830CB"/>
    <w:rsid w:val="00383B59"/>
    <w:rsid w:val="00383CEA"/>
    <w:rsid w:val="00383E8A"/>
    <w:rsid w:val="00383FD5"/>
    <w:rsid w:val="00384F0F"/>
    <w:rsid w:val="00385181"/>
    <w:rsid w:val="00385990"/>
    <w:rsid w:val="003865A8"/>
    <w:rsid w:val="00386C8F"/>
    <w:rsid w:val="00386D9F"/>
    <w:rsid w:val="0038726F"/>
    <w:rsid w:val="00387442"/>
    <w:rsid w:val="00387640"/>
    <w:rsid w:val="00387EA0"/>
    <w:rsid w:val="00390A40"/>
    <w:rsid w:val="00390ACC"/>
    <w:rsid w:val="00391031"/>
    <w:rsid w:val="0039127D"/>
    <w:rsid w:val="0039142F"/>
    <w:rsid w:val="00391A3A"/>
    <w:rsid w:val="00391CE0"/>
    <w:rsid w:val="00391F02"/>
    <w:rsid w:val="00392569"/>
    <w:rsid w:val="00392E88"/>
    <w:rsid w:val="0039356D"/>
    <w:rsid w:val="003939CA"/>
    <w:rsid w:val="00393D06"/>
    <w:rsid w:val="00394968"/>
    <w:rsid w:val="00394A54"/>
    <w:rsid w:val="00394BA0"/>
    <w:rsid w:val="00394FAD"/>
    <w:rsid w:val="003952C4"/>
    <w:rsid w:val="00395ADB"/>
    <w:rsid w:val="00395FF7"/>
    <w:rsid w:val="00396E25"/>
    <w:rsid w:val="00396F45"/>
    <w:rsid w:val="00396FC2"/>
    <w:rsid w:val="00397639"/>
    <w:rsid w:val="00397871"/>
    <w:rsid w:val="00397B55"/>
    <w:rsid w:val="00397FCC"/>
    <w:rsid w:val="003A022B"/>
    <w:rsid w:val="003A03C2"/>
    <w:rsid w:val="003A0A69"/>
    <w:rsid w:val="003A0A7B"/>
    <w:rsid w:val="003A1D8B"/>
    <w:rsid w:val="003A212F"/>
    <w:rsid w:val="003A21D7"/>
    <w:rsid w:val="003A28A7"/>
    <w:rsid w:val="003A29B4"/>
    <w:rsid w:val="003A2F7B"/>
    <w:rsid w:val="003A3198"/>
    <w:rsid w:val="003A345F"/>
    <w:rsid w:val="003A34F1"/>
    <w:rsid w:val="003A39AC"/>
    <w:rsid w:val="003A41A2"/>
    <w:rsid w:val="003A4A9B"/>
    <w:rsid w:val="003A5063"/>
    <w:rsid w:val="003A5883"/>
    <w:rsid w:val="003A5DF5"/>
    <w:rsid w:val="003A6680"/>
    <w:rsid w:val="003A6878"/>
    <w:rsid w:val="003A6C84"/>
    <w:rsid w:val="003A702D"/>
    <w:rsid w:val="003A752A"/>
    <w:rsid w:val="003A7E56"/>
    <w:rsid w:val="003A7F02"/>
    <w:rsid w:val="003B03D8"/>
    <w:rsid w:val="003B12EA"/>
    <w:rsid w:val="003B131E"/>
    <w:rsid w:val="003B32D9"/>
    <w:rsid w:val="003B3942"/>
    <w:rsid w:val="003B40F5"/>
    <w:rsid w:val="003B450F"/>
    <w:rsid w:val="003B5595"/>
    <w:rsid w:val="003B591E"/>
    <w:rsid w:val="003B5957"/>
    <w:rsid w:val="003B600F"/>
    <w:rsid w:val="003B6DC0"/>
    <w:rsid w:val="003B6E5B"/>
    <w:rsid w:val="003B70C0"/>
    <w:rsid w:val="003B753B"/>
    <w:rsid w:val="003B7BA7"/>
    <w:rsid w:val="003B7FAC"/>
    <w:rsid w:val="003C04FA"/>
    <w:rsid w:val="003C0736"/>
    <w:rsid w:val="003C1F5F"/>
    <w:rsid w:val="003C2716"/>
    <w:rsid w:val="003C2B45"/>
    <w:rsid w:val="003C2F00"/>
    <w:rsid w:val="003C44AD"/>
    <w:rsid w:val="003C45C8"/>
    <w:rsid w:val="003C471F"/>
    <w:rsid w:val="003C5453"/>
    <w:rsid w:val="003C5C7D"/>
    <w:rsid w:val="003C5D6C"/>
    <w:rsid w:val="003C6383"/>
    <w:rsid w:val="003C6A23"/>
    <w:rsid w:val="003C6D3F"/>
    <w:rsid w:val="003C6D8D"/>
    <w:rsid w:val="003C76BF"/>
    <w:rsid w:val="003C786D"/>
    <w:rsid w:val="003D00C0"/>
    <w:rsid w:val="003D06F9"/>
    <w:rsid w:val="003D0744"/>
    <w:rsid w:val="003D07D0"/>
    <w:rsid w:val="003D11D4"/>
    <w:rsid w:val="003D19E1"/>
    <w:rsid w:val="003D2CDE"/>
    <w:rsid w:val="003D313D"/>
    <w:rsid w:val="003D41FA"/>
    <w:rsid w:val="003D59D9"/>
    <w:rsid w:val="003D6BDD"/>
    <w:rsid w:val="003D6C06"/>
    <w:rsid w:val="003D7B02"/>
    <w:rsid w:val="003D7C99"/>
    <w:rsid w:val="003E01DE"/>
    <w:rsid w:val="003E01F1"/>
    <w:rsid w:val="003E03AA"/>
    <w:rsid w:val="003E1A7E"/>
    <w:rsid w:val="003E2115"/>
    <w:rsid w:val="003E2881"/>
    <w:rsid w:val="003E2CC0"/>
    <w:rsid w:val="003E3104"/>
    <w:rsid w:val="003E3134"/>
    <w:rsid w:val="003E315F"/>
    <w:rsid w:val="003E386C"/>
    <w:rsid w:val="003E4294"/>
    <w:rsid w:val="003E471F"/>
    <w:rsid w:val="003E5268"/>
    <w:rsid w:val="003E56FC"/>
    <w:rsid w:val="003E58A0"/>
    <w:rsid w:val="003E5C7A"/>
    <w:rsid w:val="003E5E8B"/>
    <w:rsid w:val="003E6157"/>
    <w:rsid w:val="003F0142"/>
    <w:rsid w:val="003F0A21"/>
    <w:rsid w:val="003F0A42"/>
    <w:rsid w:val="003F0A5E"/>
    <w:rsid w:val="003F0C44"/>
    <w:rsid w:val="003F14B4"/>
    <w:rsid w:val="003F15C1"/>
    <w:rsid w:val="003F1A2E"/>
    <w:rsid w:val="003F1CF5"/>
    <w:rsid w:val="003F21D7"/>
    <w:rsid w:val="003F24F2"/>
    <w:rsid w:val="003F2579"/>
    <w:rsid w:val="003F29A0"/>
    <w:rsid w:val="003F43DE"/>
    <w:rsid w:val="003F44AF"/>
    <w:rsid w:val="003F451D"/>
    <w:rsid w:val="003F5B10"/>
    <w:rsid w:val="003F6877"/>
    <w:rsid w:val="003F6B93"/>
    <w:rsid w:val="003F6E7B"/>
    <w:rsid w:val="003F6F40"/>
    <w:rsid w:val="003F7C0A"/>
    <w:rsid w:val="00401810"/>
    <w:rsid w:val="0040196D"/>
    <w:rsid w:val="00401F88"/>
    <w:rsid w:val="004029F5"/>
    <w:rsid w:val="00402B2D"/>
    <w:rsid w:val="00402B78"/>
    <w:rsid w:val="004036C9"/>
    <w:rsid w:val="004038DB"/>
    <w:rsid w:val="00403C96"/>
    <w:rsid w:val="004044A0"/>
    <w:rsid w:val="0040481E"/>
    <w:rsid w:val="00404B54"/>
    <w:rsid w:val="00404E11"/>
    <w:rsid w:val="0040521E"/>
    <w:rsid w:val="004055CC"/>
    <w:rsid w:val="00405DEC"/>
    <w:rsid w:val="00405FE3"/>
    <w:rsid w:val="00406140"/>
    <w:rsid w:val="004061AA"/>
    <w:rsid w:val="0040661A"/>
    <w:rsid w:val="00406A85"/>
    <w:rsid w:val="00406BAE"/>
    <w:rsid w:val="00406D8D"/>
    <w:rsid w:val="00410226"/>
    <w:rsid w:val="00410746"/>
    <w:rsid w:val="00410C38"/>
    <w:rsid w:val="00411F8D"/>
    <w:rsid w:val="0041338E"/>
    <w:rsid w:val="004137A9"/>
    <w:rsid w:val="00413B63"/>
    <w:rsid w:val="004149DB"/>
    <w:rsid w:val="00414B86"/>
    <w:rsid w:val="00414D27"/>
    <w:rsid w:val="00414DF3"/>
    <w:rsid w:val="00415131"/>
    <w:rsid w:val="004153CE"/>
    <w:rsid w:val="00415413"/>
    <w:rsid w:val="00415C56"/>
    <w:rsid w:val="004163B6"/>
    <w:rsid w:val="00416815"/>
    <w:rsid w:val="00416D20"/>
    <w:rsid w:val="00416E48"/>
    <w:rsid w:val="0042054F"/>
    <w:rsid w:val="004206AF"/>
    <w:rsid w:val="0042075C"/>
    <w:rsid w:val="004207F7"/>
    <w:rsid w:val="00420974"/>
    <w:rsid w:val="00420DFF"/>
    <w:rsid w:val="00420F63"/>
    <w:rsid w:val="00421124"/>
    <w:rsid w:val="00422131"/>
    <w:rsid w:val="004228BA"/>
    <w:rsid w:val="00423B56"/>
    <w:rsid w:val="0042453D"/>
    <w:rsid w:val="00424CD3"/>
    <w:rsid w:val="004254C7"/>
    <w:rsid w:val="0042556D"/>
    <w:rsid w:val="00425FD7"/>
    <w:rsid w:val="00426101"/>
    <w:rsid w:val="00426306"/>
    <w:rsid w:val="0042652B"/>
    <w:rsid w:val="00426BDC"/>
    <w:rsid w:val="00426F34"/>
    <w:rsid w:val="00427020"/>
    <w:rsid w:val="00427AA8"/>
    <w:rsid w:val="00427C1C"/>
    <w:rsid w:val="0043029F"/>
    <w:rsid w:val="00430BA6"/>
    <w:rsid w:val="00430ECD"/>
    <w:rsid w:val="00430ED0"/>
    <w:rsid w:val="00430EE6"/>
    <w:rsid w:val="0043100D"/>
    <w:rsid w:val="004313A9"/>
    <w:rsid w:val="004314F1"/>
    <w:rsid w:val="0043166D"/>
    <w:rsid w:val="0043179F"/>
    <w:rsid w:val="00431CC1"/>
    <w:rsid w:val="00431DC4"/>
    <w:rsid w:val="00432543"/>
    <w:rsid w:val="00432787"/>
    <w:rsid w:val="00432993"/>
    <w:rsid w:val="00433005"/>
    <w:rsid w:val="00433317"/>
    <w:rsid w:val="00433979"/>
    <w:rsid w:val="00433C16"/>
    <w:rsid w:val="00434396"/>
    <w:rsid w:val="004344EB"/>
    <w:rsid w:val="004345E5"/>
    <w:rsid w:val="00434CA9"/>
    <w:rsid w:val="00434D5C"/>
    <w:rsid w:val="004352FA"/>
    <w:rsid w:val="0043551F"/>
    <w:rsid w:val="00435640"/>
    <w:rsid w:val="00435FC4"/>
    <w:rsid w:val="00436264"/>
    <w:rsid w:val="00436B65"/>
    <w:rsid w:val="00436E3F"/>
    <w:rsid w:val="00437158"/>
    <w:rsid w:val="004372DD"/>
    <w:rsid w:val="004379C4"/>
    <w:rsid w:val="00437F5D"/>
    <w:rsid w:val="0044077F"/>
    <w:rsid w:val="00440AD3"/>
    <w:rsid w:val="00440BB5"/>
    <w:rsid w:val="00440D7C"/>
    <w:rsid w:val="0044116A"/>
    <w:rsid w:val="00441551"/>
    <w:rsid w:val="00441857"/>
    <w:rsid w:val="00441D8E"/>
    <w:rsid w:val="00441EEE"/>
    <w:rsid w:val="004425AC"/>
    <w:rsid w:val="00442C55"/>
    <w:rsid w:val="0044393C"/>
    <w:rsid w:val="00443E4B"/>
    <w:rsid w:val="0044400C"/>
    <w:rsid w:val="0044405E"/>
    <w:rsid w:val="0044430A"/>
    <w:rsid w:val="00445FC3"/>
    <w:rsid w:val="0044611D"/>
    <w:rsid w:val="00446395"/>
    <w:rsid w:val="004465AB"/>
    <w:rsid w:val="004466A1"/>
    <w:rsid w:val="0044677A"/>
    <w:rsid w:val="00446FCD"/>
    <w:rsid w:val="00447325"/>
    <w:rsid w:val="0044798D"/>
    <w:rsid w:val="00447A93"/>
    <w:rsid w:val="00447F54"/>
    <w:rsid w:val="00450ADB"/>
    <w:rsid w:val="00450CA0"/>
    <w:rsid w:val="00451726"/>
    <w:rsid w:val="0045199D"/>
    <w:rsid w:val="00451AF8"/>
    <w:rsid w:val="00451C01"/>
    <w:rsid w:val="00451FCE"/>
    <w:rsid w:val="00452891"/>
    <w:rsid w:val="00452C5C"/>
    <w:rsid w:val="004541C9"/>
    <w:rsid w:val="004543AD"/>
    <w:rsid w:val="00454503"/>
    <w:rsid w:val="00454674"/>
    <w:rsid w:val="00454A23"/>
    <w:rsid w:val="00454C68"/>
    <w:rsid w:val="00454FA0"/>
    <w:rsid w:val="004552A8"/>
    <w:rsid w:val="00455682"/>
    <w:rsid w:val="00456081"/>
    <w:rsid w:val="00456168"/>
    <w:rsid w:val="0045622B"/>
    <w:rsid w:val="00456675"/>
    <w:rsid w:val="00456969"/>
    <w:rsid w:val="004569FF"/>
    <w:rsid w:val="00456A97"/>
    <w:rsid w:val="004579A6"/>
    <w:rsid w:val="00457FE8"/>
    <w:rsid w:val="00460144"/>
    <w:rsid w:val="00460611"/>
    <w:rsid w:val="00460E37"/>
    <w:rsid w:val="004612B9"/>
    <w:rsid w:val="00461781"/>
    <w:rsid w:val="00461CEC"/>
    <w:rsid w:val="004621E5"/>
    <w:rsid w:val="00462467"/>
    <w:rsid w:val="00462A53"/>
    <w:rsid w:val="00462F12"/>
    <w:rsid w:val="004635DF"/>
    <w:rsid w:val="00463AF7"/>
    <w:rsid w:val="004643AC"/>
    <w:rsid w:val="004644F6"/>
    <w:rsid w:val="004649A8"/>
    <w:rsid w:val="00465208"/>
    <w:rsid w:val="0046594F"/>
    <w:rsid w:val="00466EC2"/>
    <w:rsid w:val="00467336"/>
    <w:rsid w:val="00467B46"/>
    <w:rsid w:val="00467EBA"/>
    <w:rsid w:val="00467F9C"/>
    <w:rsid w:val="004703D6"/>
    <w:rsid w:val="0047095C"/>
    <w:rsid w:val="00470F07"/>
    <w:rsid w:val="00472238"/>
    <w:rsid w:val="00472561"/>
    <w:rsid w:val="00473164"/>
    <w:rsid w:val="004732FA"/>
    <w:rsid w:val="004734AB"/>
    <w:rsid w:val="0047469F"/>
    <w:rsid w:val="00474E01"/>
    <w:rsid w:val="004751FF"/>
    <w:rsid w:val="004757C1"/>
    <w:rsid w:val="00475C4A"/>
    <w:rsid w:val="004765BA"/>
    <w:rsid w:val="0047668F"/>
    <w:rsid w:val="0047688B"/>
    <w:rsid w:val="004768CB"/>
    <w:rsid w:val="00480AC0"/>
    <w:rsid w:val="00480D78"/>
    <w:rsid w:val="0048107F"/>
    <w:rsid w:val="0048165B"/>
    <w:rsid w:val="004817C9"/>
    <w:rsid w:val="00481CF9"/>
    <w:rsid w:val="00481D42"/>
    <w:rsid w:val="00481D8B"/>
    <w:rsid w:val="00482A76"/>
    <w:rsid w:val="00483BFD"/>
    <w:rsid w:val="00483E2A"/>
    <w:rsid w:val="00484515"/>
    <w:rsid w:val="004848DF"/>
    <w:rsid w:val="004855DF"/>
    <w:rsid w:val="0048575E"/>
    <w:rsid w:val="004858BD"/>
    <w:rsid w:val="00485C12"/>
    <w:rsid w:val="00486EE9"/>
    <w:rsid w:val="004875C5"/>
    <w:rsid w:val="004877B2"/>
    <w:rsid w:val="004900F5"/>
    <w:rsid w:val="004903BA"/>
    <w:rsid w:val="004904D4"/>
    <w:rsid w:val="004917DF"/>
    <w:rsid w:val="00491DBF"/>
    <w:rsid w:val="0049221C"/>
    <w:rsid w:val="004926A1"/>
    <w:rsid w:val="0049305A"/>
    <w:rsid w:val="0049306A"/>
    <w:rsid w:val="0049365B"/>
    <w:rsid w:val="00494135"/>
    <w:rsid w:val="00494E49"/>
    <w:rsid w:val="00495930"/>
    <w:rsid w:val="004960FA"/>
    <w:rsid w:val="0049634F"/>
    <w:rsid w:val="0049635E"/>
    <w:rsid w:val="0049669D"/>
    <w:rsid w:val="004966BF"/>
    <w:rsid w:val="0049677A"/>
    <w:rsid w:val="004967F0"/>
    <w:rsid w:val="00496B5C"/>
    <w:rsid w:val="00497F43"/>
    <w:rsid w:val="004A0084"/>
    <w:rsid w:val="004A0371"/>
    <w:rsid w:val="004A07DA"/>
    <w:rsid w:val="004A09CA"/>
    <w:rsid w:val="004A0B66"/>
    <w:rsid w:val="004A0FF2"/>
    <w:rsid w:val="004A1473"/>
    <w:rsid w:val="004A1B59"/>
    <w:rsid w:val="004A1C8F"/>
    <w:rsid w:val="004A2C13"/>
    <w:rsid w:val="004A3167"/>
    <w:rsid w:val="004A336C"/>
    <w:rsid w:val="004A33E0"/>
    <w:rsid w:val="004A3BEC"/>
    <w:rsid w:val="004A40AE"/>
    <w:rsid w:val="004A5101"/>
    <w:rsid w:val="004A582D"/>
    <w:rsid w:val="004A64DB"/>
    <w:rsid w:val="004A6790"/>
    <w:rsid w:val="004A67E2"/>
    <w:rsid w:val="004A7373"/>
    <w:rsid w:val="004A767B"/>
    <w:rsid w:val="004A7874"/>
    <w:rsid w:val="004B00B6"/>
    <w:rsid w:val="004B00D6"/>
    <w:rsid w:val="004B045B"/>
    <w:rsid w:val="004B0A03"/>
    <w:rsid w:val="004B115E"/>
    <w:rsid w:val="004B1927"/>
    <w:rsid w:val="004B1C2F"/>
    <w:rsid w:val="004B1FFD"/>
    <w:rsid w:val="004B2079"/>
    <w:rsid w:val="004B244E"/>
    <w:rsid w:val="004B29D3"/>
    <w:rsid w:val="004B2AC2"/>
    <w:rsid w:val="004B36C2"/>
    <w:rsid w:val="004B4890"/>
    <w:rsid w:val="004B4C8A"/>
    <w:rsid w:val="004B5112"/>
    <w:rsid w:val="004B51CA"/>
    <w:rsid w:val="004B5307"/>
    <w:rsid w:val="004B5524"/>
    <w:rsid w:val="004B5867"/>
    <w:rsid w:val="004B5C29"/>
    <w:rsid w:val="004B61BE"/>
    <w:rsid w:val="004B648C"/>
    <w:rsid w:val="004B6E5C"/>
    <w:rsid w:val="004B74C3"/>
    <w:rsid w:val="004B75C2"/>
    <w:rsid w:val="004C0326"/>
    <w:rsid w:val="004C081F"/>
    <w:rsid w:val="004C092B"/>
    <w:rsid w:val="004C099A"/>
    <w:rsid w:val="004C0F2B"/>
    <w:rsid w:val="004C1159"/>
    <w:rsid w:val="004C1A99"/>
    <w:rsid w:val="004C28B9"/>
    <w:rsid w:val="004C32FC"/>
    <w:rsid w:val="004C3411"/>
    <w:rsid w:val="004C3784"/>
    <w:rsid w:val="004C3AA3"/>
    <w:rsid w:val="004C3C11"/>
    <w:rsid w:val="004C4718"/>
    <w:rsid w:val="004C4ABE"/>
    <w:rsid w:val="004C5613"/>
    <w:rsid w:val="004C59FC"/>
    <w:rsid w:val="004C618C"/>
    <w:rsid w:val="004C68E7"/>
    <w:rsid w:val="004C6974"/>
    <w:rsid w:val="004C69BB"/>
    <w:rsid w:val="004C6D07"/>
    <w:rsid w:val="004C6ED7"/>
    <w:rsid w:val="004C6FBE"/>
    <w:rsid w:val="004C7EB4"/>
    <w:rsid w:val="004D0579"/>
    <w:rsid w:val="004D066B"/>
    <w:rsid w:val="004D0934"/>
    <w:rsid w:val="004D10D8"/>
    <w:rsid w:val="004D144A"/>
    <w:rsid w:val="004D1BFF"/>
    <w:rsid w:val="004D1DD8"/>
    <w:rsid w:val="004D1EF7"/>
    <w:rsid w:val="004D24CC"/>
    <w:rsid w:val="004D24F6"/>
    <w:rsid w:val="004D2814"/>
    <w:rsid w:val="004D2E4C"/>
    <w:rsid w:val="004D331C"/>
    <w:rsid w:val="004D3772"/>
    <w:rsid w:val="004D37C2"/>
    <w:rsid w:val="004D39E6"/>
    <w:rsid w:val="004D3A46"/>
    <w:rsid w:val="004D4549"/>
    <w:rsid w:val="004D48DB"/>
    <w:rsid w:val="004D4FFB"/>
    <w:rsid w:val="004D5135"/>
    <w:rsid w:val="004D5A4C"/>
    <w:rsid w:val="004D5CA8"/>
    <w:rsid w:val="004D5FA1"/>
    <w:rsid w:val="004D65FB"/>
    <w:rsid w:val="004D6685"/>
    <w:rsid w:val="004D6695"/>
    <w:rsid w:val="004E0223"/>
    <w:rsid w:val="004E0723"/>
    <w:rsid w:val="004E0FFC"/>
    <w:rsid w:val="004E18F0"/>
    <w:rsid w:val="004E1B89"/>
    <w:rsid w:val="004E201E"/>
    <w:rsid w:val="004E2537"/>
    <w:rsid w:val="004E25CA"/>
    <w:rsid w:val="004E33FD"/>
    <w:rsid w:val="004E3F18"/>
    <w:rsid w:val="004E4708"/>
    <w:rsid w:val="004E4CC8"/>
    <w:rsid w:val="004E5010"/>
    <w:rsid w:val="004E5021"/>
    <w:rsid w:val="004E59CA"/>
    <w:rsid w:val="004E5AD4"/>
    <w:rsid w:val="004E6037"/>
    <w:rsid w:val="004E64DF"/>
    <w:rsid w:val="004E64FD"/>
    <w:rsid w:val="004E66DD"/>
    <w:rsid w:val="004E7225"/>
    <w:rsid w:val="004E759E"/>
    <w:rsid w:val="004E790B"/>
    <w:rsid w:val="004E7D23"/>
    <w:rsid w:val="004F06F6"/>
    <w:rsid w:val="004F1384"/>
    <w:rsid w:val="004F194E"/>
    <w:rsid w:val="004F209F"/>
    <w:rsid w:val="004F2346"/>
    <w:rsid w:val="004F2E08"/>
    <w:rsid w:val="004F3689"/>
    <w:rsid w:val="004F3739"/>
    <w:rsid w:val="004F3B1C"/>
    <w:rsid w:val="004F439D"/>
    <w:rsid w:val="004F4A4C"/>
    <w:rsid w:val="004F4B90"/>
    <w:rsid w:val="004F52CA"/>
    <w:rsid w:val="004F5699"/>
    <w:rsid w:val="004F6180"/>
    <w:rsid w:val="004F631B"/>
    <w:rsid w:val="004F65D4"/>
    <w:rsid w:val="004F6C1E"/>
    <w:rsid w:val="004F6C76"/>
    <w:rsid w:val="004F6F3D"/>
    <w:rsid w:val="004F76C4"/>
    <w:rsid w:val="00500ABB"/>
    <w:rsid w:val="00500C75"/>
    <w:rsid w:val="00501967"/>
    <w:rsid w:val="00501DF0"/>
    <w:rsid w:val="00501FB8"/>
    <w:rsid w:val="005023A6"/>
    <w:rsid w:val="00502596"/>
    <w:rsid w:val="00503E37"/>
    <w:rsid w:val="00503F09"/>
    <w:rsid w:val="00503FE4"/>
    <w:rsid w:val="00504953"/>
    <w:rsid w:val="00505691"/>
    <w:rsid w:val="00506509"/>
    <w:rsid w:val="00506D48"/>
    <w:rsid w:val="005073B1"/>
    <w:rsid w:val="005073E3"/>
    <w:rsid w:val="005075E6"/>
    <w:rsid w:val="005076F5"/>
    <w:rsid w:val="005077B6"/>
    <w:rsid w:val="005101B2"/>
    <w:rsid w:val="00510303"/>
    <w:rsid w:val="005104FE"/>
    <w:rsid w:val="0051056A"/>
    <w:rsid w:val="00510853"/>
    <w:rsid w:val="00511D6D"/>
    <w:rsid w:val="00511FEB"/>
    <w:rsid w:val="00512285"/>
    <w:rsid w:val="00512789"/>
    <w:rsid w:val="005128E7"/>
    <w:rsid w:val="005138FB"/>
    <w:rsid w:val="00513A96"/>
    <w:rsid w:val="00513BBF"/>
    <w:rsid w:val="00513BC4"/>
    <w:rsid w:val="00514166"/>
    <w:rsid w:val="005142C5"/>
    <w:rsid w:val="00514BF7"/>
    <w:rsid w:val="00514C73"/>
    <w:rsid w:val="005152D5"/>
    <w:rsid w:val="00515519"/>
    <w:rsid w:val="005155E5"/>
    <w:rsid w:val="00515F52"/>
    <w:rsid w:val="0051688B"/>
    <w:rsid w:val="00516F17"/>
    <w:rsid w:val="005202C2"/>
    <w:rsid w:val="0052031B"/>
    <w:rsid w:val="00520D58"/>
    <w:rsid w:val="00521892"/>
    <w:rsid w:val="00521F26"/>
    <w:rsid w:val="0052219C"/>
    <w:rsid w:val="005226BE"/>
    <w:rsid w:val="00522F15"/>
    <w:rsid w:val="0052357A"/>
    <w:rsid w:val="005237C2"/>
    <w:rsid w:val="00523E97"/>
    <w:rsid w:val="00523F7F"/>
    <w:rsid w:val="005252FA"/>
    <w:rsid w:val="00525B01"/>
    <w:rsid w:val="0052639D"/>
    <w:rsid w:val="00526CA6"/>
    <w:rsid w:val="00526F15"/>
    <w:rsid w:val="00527404"/>
    <w:rsid w:val="0052755A"/>
    <w:rsid w:val="00527737"/>
    <w:rsid w:val="00527BD6"/>
    <w:rsid w:val="0053012B"/>
    <w:rsid w:val="00530328"/>
    <w:rsid w:val="00530980"/>
    <w:rsid w:val="00530DF9"/>
    <w:rsid w:val="005312B0"/>
    <w:rsid w:val="005313D1"/>
    <w:rsid w:val="00531D98"/>
    <w:rsid w:val="0053225F"/>
    <w:rsid w:val="005322B4"/>
    <w:rsid w:val="0053291B"/>
    <w:rsid w:val="0053296C"/>
    <w:rsid w:val="0053300B"/>
    <w:rsid w:val="005339F8"/>
    <w:rsid w:val="00533CEC"/>
    <w:rsid w:val="00533D1A"/>
    <w:rsid w:val="0053476A"/>
    <w:rsid w:val="00534897"/>
    <w:rsid w:val="00534D5B"/>
    <w:rsid w:val="00534DCC"/>
    <w:rsid w:val="00534E0C"/>
    <w:rsid w:val="00535A6E"/>
    <w:rsid w:val="00535CC2"/>
    <w:rsid w:val="0053665C"/>
    <w:rsid w:val="00536969"/>
    <w:rsid w:val="00536B78"/>
    <w:rsid w:val="00536EEF"/>
    <w:rsid w:val="005373E5"/>
    <w:rsid w:val="005374FF"/>
    <w:rsid w:val="00537751"/>
    <w:rsid w:val="0054113E"/>
    <w:rsid w:val="005412AE"/>
    <w:rsid w:val="00541602"/>
    <w:rsid w:val="00541782"/>
    <w:rsid w:val="0054178D"/>
    <w:rsid w:val="005419AF"/>
    <w:rsid w:val="00541E87"/>
    <w:rsid w:val="00542272"/>
    <w:rsid w:val="00542CB2"/>
    <w:rsid w:val="00542F5A"/>
    <w:rsid w:val="00543079"/>
    <w:rsid w:val="00543CFA"/>
    <w:rsid w:val="00543D28"/>
    <w:rsid w:val="005443BA"/>
    <w:rsid w:val="00545275"/>
    <w:rsid w:val="00545311"/>
    <w:rsid w:val="00546466"/>
    <w:rsid w:val="005469C9"/>
    <w:rsid w:val="00546A3F"/>
    <w:rsid w:val="00550143"/>
    <w:rsid w:val="0055084F"/>
    <w:rsid w:val="0055093C"/>
    <w:rsid w:val="00551FDF"/>
    <w:rsid w:val="00552345"/>
    <w:rsid w:val="00552D5C"/>
    <w:rsid w:val="00552F8D"/>
    <w:rsid w:val="0055310C"/>
    <w:rsid w:val="005534E9"/>
    <w:rsid w:val="005536E2"/>
    <w:rsid w:val="00553813"/>
    <w:rsid w:val="00553922"/>
    <w:rsid w:val="00554617"/>
    <w:rsid w:val="00555464"/>
    <w:rsid w:val="005554F2"/>
    <w:rsid w:val="00555B19"/>
    <w:rsid w:val="00556E4D"/>
    <w:rsid w:val="0055757B"/>
    <w:rsid w:val="00557DBC"/>
    <w:rsid w:val="00557E55"/>
    <w:rsid w:val="00560238"/>
    <w:rsid w:val="00560DD8"/>
    <w:rsid w:val="00561609"/>
    <w:rsid w:val="00561C32"/>
    <w:rsid w:val="00562146"/>
    <w:rsid w:val="005621DF"/>
    <w:rsid w:val="00562252"/>
    <w:rsid w:val="0056233D"/>
    <w:rsid w:val="00562450"/>
    <w:rsid w:val="00562C9E"/>
    <w:rsid w:val="00563266"/>
    <w:rsid w:val="00563438"/>
    <w:rsid w:val="005641C4"/>
    <w:rsid w:val="00564559"/>
    <w:rsid w:val="005645DA"/>
    <w:rsid w:val="005649CE"/>
    <w:rsid w:val="00564D9C"/>
    <w:rsid w:val="0056535D"/>
    <w:rsid w:val="00565793"/>
    <w:rsid w:val="00565DE3"/>
    <w:rsid w:val="00566001"/>
    <w:rsid w:val="0056659B"/>
    <w:rsid w:val="0056693B"/>
    <w:rsid w:val="00566996"/>
    <w:rsid w:val="00566DB1"/>
    <w:rsid w:val="00567299"/>
    <w:rsid w:val="00570B15"/>
    <w:rsid w:val="00570C99"/>
    <w:rsid w:val="00570F10"/>
    <w:rsid w:val="0057101C"/>
    <w:rsid w:val="00571973"/>
    <w:rsid w:val="005722C8"/>
    <w:rsid w:val="005724FF"/>
    <w:rsid w:val="00573297"/>
    <w:rsid w:val="0057366C"/>
    <w:rsid w:val="005743CF"/>
    <w:rsid w:val="00574422"/>
    <w:rsid w:val="00574BA6"/>
    <w:rsid w:val="00575FD8"/>
    <w:rsid w:val="0057613C"/>
    <w:rsid w:val="00576164"/>
    <w:rsid w:val="005763BE"/>
    <w:rsid w:val="005771B0"/>
    <w:rsid w:val="0057738F"/>
    <w:rsid w:val="00577E43"/>
    <w:rsid w:val="005808AC"/>
    <w:rsid w:val="00580D0B"/>
    <w:rsid w:val="00581306"/>
    <w:rsid w:val="005813BB"/>
    <w:rsid w:val="00581C9D"/>
    <w:rsid w:val="005824CD"/>
    <w:rsid w:val="0058324A"/>
    <w:rsid w:val="00583AFB"/>
    <w:rsid w:val="00583D60"/>
    <w:rsid w:val="00584427"/>
    <w:rsid w:val="0058485A"/>
    <w:rsid w:val="00584EA1"/>
    <w:rsid w:val="005851CB"/>
    <w:rsid w:val="00585B4A"/>
    <w:rsid w:val="00585DAF"/>
    <w:rsid w:val="00585DCA"/>
    <w:rsid w:val="0058705E"/>
    <w:rsid w:val="005874C1"/>
    <w:rsid w:val="005875E6"/>
    <w:rsid w:val="005877A0"/>
    <w:rsid w:val="005903C8"/>
    <w:rsid w:val="00590B16"/>
    <w:rsid w:val="00590C5A"/>
    <w:rsid w:val="0059132A"/>
    <w:rsid w:val="00591727"/>
    <w:rsid w:val="00591843"/>
    <w:rsid w:val="005918D6"/>
    <w:rsid w:val="00591E82"/>
    <w:rsid w:val="005925DD"/>
    <w:rsid w:val="00592CD8"/>
    <w:rsid w:val="00592E0C"/>
    <w:rsid w:val="00593078"/>
    <w:rsid w:val="00593191"/>
    <w:rsid w:val="005938D7"/>
    <w:rsid w:val="00593B43"/>
    <w:rsid w:val="005944DF"/>
    <w:rsid w:val="00594BA9"/>
    <w:rsid w:val="00594C56"/>
    <w:rsid w:val="00594E82"/>
    <w:rsid w:val="00595411"/>
    <w:rsid w:val="00595C2D"/>
    <w:rsid w:val="00595FD1"/>
    <w:rsid w:val="005963DE"/>
    <w:rsid w:val="0059680E"/>
    <w:rsid w:val="0059745C"/>
    <w:rsid w:val="00597A22"/>
    <w:rsid w:val="00597F46"/>
    <w:rsid w:val="005A0013"/>
    <w:rsid w:val="005A0106"/>
    <w:rsid w:val="005A07B3"/>
    <w:rsid w:val="005A2208"/>
    <w:rsid w:val="005A29FF"/>
    <w:rsid w:val="005A2EAE"/>
    <w:rsid w:val="005A3BFB"/>
    <w:rsid w:val="005A477F"/>
    <w:rsid w:val="005A53D1"/>
    <w:rsid w:val="005A5583"/>
    <w:rsid w:val="005A6000"/>
    <w:rsid w:val="005A6D1B"/>
    <w:rsid w:val="005A716C"/>
    <w:rsid w:val="005A7E4F"/>
    <w:rsid w:val="005B05FA"/>
    <w:rsid w:val="005B07B1"/>
    <w:rsid w:val="005B0E16"/>
    <w:rsid w:val="005B1C22"/>
    <w:rsid w:val="005B1CA9"/>
    <w:rsid w:val="005B2913"/>
    <w:rsid w:val="005B3AED"/>
    <w:rsid w:val="005B3B0F"/>
    <w:rsid w:val="005B3F16"/>
    <w:rsid w:val="005B5600"/>
    <w:rsid w:val="005B5811"/>
    <w:rsid w:val="005B5A96"/>
    <w:rsid w:val="005B5C57"/>
    <w:rsid w:val="005B5CCC"/>
    <w:rsid w:val="005B6923"/>
    <w:rsid w:val="005B69CD"/>
    <w:rsid w:val="005B7187"/>
    <w:rsid w:val="005B75E0"/>
    <w:rsid w:val="005B7B2E"/>
    <w:rsid w:val="005B7EB6"/>
    <w:rsid w:val="005C0233"/>
    <w:rsid w:val="005C0319"/>
    <w:rsid w:val="005C08F2"/>
    <w:rsid w:val="005C0A9B"/>
    <w:rsid w:val="005C0B72"/>
    <w:rsid w:val="005C0EB6"/>
    <w:rsid w:val="005C2A89"/>
    <w:rsid w:val="005C2B9F"/>
    <w:rsid w:val="005C2C37"/>
    <w:rsid w:val="005C3589"/>
    <w:rsid w:val="005C397C"/>
    <w:rsid w:val="005C3BCE"/>
    <w:rsid w:val="005C43BF"/>
    <w:rsid w:val="005C4413"/>
    <w:rsid w:val="005C51DF"/>
    <w:rsid w:val="005C530D"/>
    <w:rsid w:val="005C59EC"/>
    <w:rsid w:val="005C5A79"/>
    <w:rsid w:val="005C5BBD"/>
    <w:rsid w:val="005C6033"/>
    <w:rsid w:val="005C6FA1"/>
    <w:rsid w:val="005C7980"/>
    <w:rsid w:val="005C7A2E"/>
    <w:rsid w:val="005D0A3E"/>
    <w:rsid w:val="005D0B51"/>
    <w:rsid w:val="005D12C5"/>
    <w:rsid w:val="005D22DE"/>
    <w:rsid w:val="005D28A6"/>
    <w:rsid w:val="005D2E04"/>
    <w:rsid w:val="005D36CA"/>
    <w:rsid w:val="005D3A5A"/>
    <w:rsid w:val="005D3AFE"/>
    <w:rsid w:val="005D4EFC"/>
    <w:rsid w:val="005D4FFD"/>
    <w:rsid w:val="005D5477"/>
    <w:rsid w:val="005D5C09"/>
    <w:rsid w:val="005D601D"/>
    <w:rsid w:val="005D614B"/>
    <w:rsid w:val="005D6318"/>
    <w:rsid w:val="005D7DEF"/>
    <w:rsid w:val="005E18CC"/>
    <w:rsid w:val="005E1DD2"/>
    <w:rsid w:val="005E1F0B"/>
    <w:rsid w:val="005E24CD"/>
    <w:rsid w:val="005E2D5F"/>
    <w:rsid w:val="005E44AC"/>
    <w:rsid w:val="005E453C"/>
    <w:rsid w:val="005E46CE"/>
    <w:rsid w:val="005E4CC3"/>
    <w:rsid w:val="005E4FE7"/>
    <w:rsid w:val="005E52A6"/>
    <w:rsid w:val="005E5928"/>
    <w:rsid w:val="005E5BAD"/>
    <w:rsid w:val="005E7110"/>
    <w:rsid w:val="005E7661"/>
    <w:rsid w:val="005E7DBC"/>
    <w:rsid w:val="005F03DF"/>
    <w:rsid w:val="005F0E84"/>
    <w:rsid w:val="005F135D"/>
    <w:rsid w:val="005F2749"/>
    <w:rsid w:val="005F2976"/>
    <w:rsid w:val="005F29AE"/>
    <w:rsid w:val="005F2A80"/>
    <w:rsid w:val="005F2B60"/>
    <w:rsid w:val="005F3BD7"/>
    <w:rsid w:val="005F3C17"/>
    <w:rsid w:val="005F433B"/>
    <w:rsid w:val="005F43E4"/>
    <w:rsid w:val="005F4DD5"/>
    <w:rsid w:val="005F4E89"/>
    <w:rsid w:val="005F56C4"/>
    <w:rsid w:val="005F6442"/>
    <w:rsid w:val="005F65D5"/>
    <w:rsid w:val="005F6880"/>
    <w:rsid w:val="005F6CED"/>
    <w:rsid w:val="005F79D5"/>
    <w:rsid w:val="006000B5"/>
    <w:rsid w:val="00600335"/>
    <w:rsid w:val="00600670"/>
    <w:rsid w:val="00600B35"/>
    <w:rsid w:val="0060143C"/>
    <w:rsid w:val="006015C0"/>
    <w:rsid w:val="006020C1"/>
    <w:rsid w:val="006029C7"/>
    <w:rsid w:val="00603016"/>
    <w:rsid w:val="00603532"/>
    <w:rsid w:val="0060355A"/>
    <w:rsid w:val="00603819"/>
    <w:rsid w:val="00603A92"/>
    <w:rsid w:val="00603D9E"/>
    <w:rsid w:val="00604625"/>
    <w:rsid w:val="00604B3D"/>
    <w:rsid w:val="00605074"/>
    <w:rsid w:val="006051EF"/>
    <w:rsid w:val="0060526B"/>
    <w:rsid w:val="00605B76"/>
    <w:rsid w:val="00605DBC"/>
    <w:rsid w:val="00605FF3"/>
    <w:rsid w:val="00607B1F"/>
    <w:rsid w:val="0061018F"/>
    <w:rsid w:val="00610228"/>
    <w:rsid w:val="006104FB"/>
    <w:rsid w:val="00610924"/>
    <w:rsid w:val="00610DA7"/>
    <w:rsid w:val="00611D51"/>
    <w:rsid w:val="00611FD0"/>
    <w:rsid w:val="0061216E"/>
    <w:rsid w:val="00612C6D"/>
    <w:rsid w:val="00613078"/>
    <w:rsid w:val="00613312"/>
    <w:rsid w:val="00613C03"/>
    <w:rsid w:val="006140B7"/>
    <w:rsid w:val="0061432A"/>
    <w:rsid w:val="006147D0"/>
    <w:rsid w:val="006148C9"/>
    <w:rsid w:val="00614A5F"/>
    <w:rsid w:val="00614B7D"/>
    <w:rsid w:val="00614CCD"/>
    <w:rsid w:val="00614E6D"/>
    <w:rsid w:val="0061504F"/>
    <w:rsid w:val="00615097"/>
    <w:rsid w:val="006151B4"/>
    <w:rsid w:val="00615B6F"/>
    <w:rsid w:val="00615DAE"/>
    <w:rsid w:val="0061610B"/>
    <w:rsid w:val="00616BCE"/>
    <w:rsid w:val="006173DA"/>
    <w:rsid w:val="0061740B"/>
    <w:rsid w:val="00617485"/>
    <w:rsid w:val="00617575"/>
    <w:rsid w:val="00617CEC"/>
    <w:rsid w:val="006209AB"/>
    <w:rsid w:val="00620FDB"/>
    <w:rsid w:val="00621178"/>
    <w:rsid w:val="006213E2"/>
    <w:rsid w:val="00621474"/>
    <w:rsid w:val="0062170E"/>
    <w:rsid w:val="00621C28"/>
    <w:rsid w:val="00622008"/>
    <w:rsid w:val="006224F9"/>
    <w:rsid w:val="006227E4"/>
    <w:rsid w:val="00622A81"/>
    <w:rsid w:val="006230B0"/>
    <w:rsid w:val="006239D1"/>
    <w:rsid w:val="006242F0"/>
    <w:rsid w:val="00624EA5"/>
    <w:rsid w:val="00625E47"/>
    <w:rsid w:val="0062673D"/>
    <w:rsid w:val="00626FAF"/>
    <w:rsid w:val="00627618"/>
    <w:rsid w:val="00627ECA"/>
    <w:rsid w:val="00627F6D"/>
    <w:rsid w:val="00630236"/>
    <w:rsid w:val="00630597"/>
    <w:rsid w:val="00630B90"/>
    <w:rsid w:val="006313FD"/>
    <w:rsid w:val="00631A3A"/>
    <w:rsid w:val="00631BB6"/>
    <w:rsid w:val="00632051"/>
    <w:rsid w:val="0063243F"/>
    <w:rsid w:val="006324E8"/>
    <w:rsid w:val="00632548"/>
    <w:rsid w:val="00632812"/>
    <w:rsid w:val="00632E24"/>
    <w:rsid w:val="006334CE"/>
    <w:rsid w:val="006337E0"/>
    <w:rsid w:val="00633AA2"/>
    <w:rsid w:val="00633C03"/>
    <w:rsid w:val="00634778"/>
    <w:rsid w:val="006347E8"/>
    <w:rsid w:val="00634FF1"/>
    <w:rsid w:val="006356E7"/>
    <w:rsid w:val="00635C59"/>
    <w:rsid w:val="00636735"/>
    <w:rsid w:val="00637038"/>
    <w:rsid w:val="006371F6"/>
    <w:rsid w:val="006379CB"/>
    <w:rsid w:val="00637D0D"/>
    <w:rsid w:val="00640385"/>
    <w:rsid w:val="0064067A"/>
    <w:rsid w:val="00640C62"/>
    <w:rsid w:val="00641452"/>
    <w:rsid w:val="00641B18"/>
    <w:rsid w:val="006420E4"/>
    <w:rsid w:val="00642174"/>
    <w:rsid w:val="00643097"/>
    <w:rsid w:val="00643452"/>
    <w:rsid w:val="00643518"/>
    <w:rsid w:val="00643535"/>
    <w:rsid w:val="0064354A"/>
    <w:rsid w:val="0064358F"/>
    <w:rsid w:val="0064366C"/>
    <w:rsid w:val="00643A12"/>
    <w:rsid w:val="00643EFB"/>
    <w:rsid w:val="00644201"/>
    <w:rsid w:val="00645610"/>
    <w:rsid w:val="00645682"/>
    <w:rsid w:val="00645DCC"/>
    <w:rsid w:val="00646143"/>
    <w:rsid w:val="0064637A"/>
    <w:rsid w:val="00646A48"/>
    <w:rsid w:val="00647555"/>
    <w:rsid w:val="00647BBB"/>
    <w:rsid w:val="0065099C"/>
    <w:rsid w:val="00650F02"/>
    <w:rsid w:val="0065110E"/>
    <w:rsid w:val="00651BC6"/>
    <w:rsid w:val="00651E00"/>
    <w:rsid w:val="00652228"/>
    <w:rsid w:val="006523FF"/>
    <w:rsid w:val="00652914"/>
    <w:rsid w:val="006540EA"/>
    <w:rsid w:val="006544BC"/>
    <w:rsid w:val="006547FA"/>
    <w:rsid w:val="00654B1F"/>
    <w:rsid w:val="00654C3B"/>
    <w:rsid w:val="0065534E"/>
    <w:rsid w:val="006570E4"/>
    <w:rsid w:val="00657748"/>
    <w:rsid w:val="006601E5"/>
    <w:rsid w:val="006611ED"/>
    <w:rsid w:val="006613F3"/>
    <w:rsid w:val="0066169D"/>
    <w:rsid w:val="00661815"/>
    <w:rsid w:val="0066200C"/>
    <w:rsid w:val="0066212B"/>
    <w:rsid w:val="006629FD"/>
    <w:rsid w:val="00663085"/>
    <w:rsid w:val="006631AC"/>
    <w:rsid w:val="00663365"/>
    <w:rsid w:val="0066357C"/>
    <w:rsid w:val="006639F0"/>
    <w:rsid w:val="00664656"/>
    <w:rsid w:val="00664CAF"/>
    <w:rsid w:val="0066512E"/>
    <w:rsid w:val="00665424"/>
    <w:rsid w:val="00665A94"/>
    <w:rsid w:val="00665B59"/>
    <w:rsid w:val="00665C7D"/>
    <w:rsid w:val="00665F96"/>
    <w:rsid w:val="00666148"/>
    <w:rsid w:val="0066633A"/>
    <w:rsid w:val="00666891"/>
    <w:rsid w:val="00666B88"/>
    <w:rsid w:val="0066736A"/>
    <w:rsid w:val="00667FE1"/>
    <w:rsid w:val="00670438"/>
    <w:rsid w:val="006715ED"/>
    <w:rsid w:val="00671CAD"/>
    <w:rsid w:val="006721A4"/>
    <w:rsid w:val="00672840"/>
    <w:rsid w:val="0067372F"/>
    <w:rsid w:val="00673873"/>
    <w:rsid w:val="00674555"/>
    <w:rsid w:val="0067460B"/>
    <w:rsid w:val="00674D4E"/>
    <w:rsid w:val="00675186"/>
    <w:rsid w:val="00676C82"/>
    <w:rsid w:val="00677CB7"/>
    <w:rsid w:val="006803A4"/>
    <w:rsid w:val="00680C95"/>
    <w:rsid w:val="006812E7"/>
    <w:rsid w:val="0068200E"/>
    <w:rsid w:val="006821A1"/>
    <w:rsid w:val="006825D8"/>
    <w:rsid w:val="00682727"/>
    <w:rsid w:val="006827B2"/>
    <w:rsid w:val="0068360C"/>
    <w:rsid w:val="006838A3"/>
    <w:rsid w:val="00684463"/>
    <w:rsid w:val="00684712"/>
    <w:rsid w:val="00684E78"/>
    <w:rsid w:val="00685015"/>
    <w:rsid w:val="006857D2"/>
    <w:rsid w:val="00685A56"/>
    <w:rsid w:val="00686077"/>
    <w:rsid w:val="0068728F"/>
    <w:rsid w:val="00687819"/>
    <w:rsid w:val="00687866"/>
    <w:rsid w:val="00687DF2"/>
    <w:rsid w:val="00690917"/>
    <w:rsid w:val="00690E66"/>
    <w:rsid w:val="00691177"/>
    <w:rsid w:val="00691362"/>
    <w:rsid w:val="00691506"/>
    <w:rsid w:val="0069179D"/>
    <w:rsid w:val="00691E95"/>
    <w:rsid w:val="00692008"/>
    <w:rsid w:val="0069233E"/>
    <w:rsid w:val="006925BC"/>
    <w:rsid w:val="0069279E"/>
    <w:rsid w:val="00693C63"/>
    <w:rsid w:val="00694DFB"/>
    <w:rsid w:val="00695880"/>
    <w:rsid w:val="00695B1F"/>
    <w:rsid w:val="00695E76"/>
    <w:rsid w:val="006962DA"/>
    <w:rsid w:val="006968AC"/>
    <w:rsid w:val="00696E04"/>
    <w:rsid w:val="0069719A"/>
    <w:rsid w:val="00697215"/>
    <w:rsid w:val="00697FCC"/>
    <w:rsid w:val="006A0071"/>
    <w:rsid w:val="006A0863"/>
    <w:rsid w:val="006A0A0A"/>
    <w:rsid w:val="006A0C87"/>
    <w:rsid w:val="006A100B"/>
    <w:rsid w:val="006A1178"/>
    <w:rsid w:val="006A14D9"/>
    <w:rsid w:val="006A1579"/>
    <w:rsid w:val="006A1E6D"/>
    <w:rsid w:val="006A205F"/>
    <w:rsid w:val="006A246E"/>
    <w:rsid w:val="006A274D"/>
    <w:rsid w:val="006A2A2A"/>
    <w:rsid w:val="006A341B"/>
    <w:rsid w:val="006A3C4E"/>
    <w:rsid w:val="006A447E"/>
    <w:rsid w:val="006A4ED2"/>
    <w:rsid w:val="006A512C"/>
    <w:rsid w:val="006A54DA"/>
    <w:rsid w:val="006A57E3"/>
    <w:rsid w:val="006A5AFD"/>
    <w:rsid w:val="006A5D44"/>
    <w:rsid w:val="006A6A6C"/>
    <w:rsid w:val="006A739E"/>
    <w:rsid w:val="006A760B"/>
    <w:rsid w:val="006A76CF"/>
    <w:rsid w:val="006A7A43"/>
    <w:rsid w:val="006B0152"/>
    <w:rsid w:val="006B04B1"/>
    <w:rsid w:val="006B04E4"/>
    <w:rsid w:val="006B0A2F"/>
    <w:rsid w:val="006B0AA2"/>
    <w:rsid w:val="006B111F"/>
    <w:rsid w:val="006B118C"/>
    <w:rsid w:val="006B1657"/>
    <w:rsid w:val="006B1ADF"/>
    <w:rsid w:val="006B1D1D"/>
    <w:rsid w:val="006B234B"/>
    <w:rsid w:val="006B25E9"/>
    <w:rsid w:val="006B2FA8"/>
    <w:rsid w:val="006B31E4"/>
    <w:rsid w:val="006B337D"/>
    <w:rsid w:val="006B344C"/>
    <w:rsid w:val="006B3B98"/>
    <w:rsid w:val="006B4114"/>
    <w:rsid w:val="006B41BA"/>
    <w:rsid w:val="006B4292"/>
    <w:rsid w:val="006B4802"/>
    <w:rsid w:val="006B4C86"/>
    <w:rsid w:val="006B4D80"/>
    <w:rsid w:val="006B5133"/>
    <w:rsid w:val="006B51FB"/>
    <w:rsid w:val="006B53E7"/>
    <w:rsid w:val="006B5402"/>
    <w:rsid w:val="006B57D7"/>
    <w:rsid w:val="006B5912"/>
    <w:rsid w:val="006B5F85"/>
    <w:rsid w:val="006B5FCC"/>
    <w:rsid w:val="006B6B84"/>
    <w:rsid w:val="006B6BB5"/>
    <w:rsid w:val="006B747D"/>
    <w:rsid w:val="006B7AF7"/>
    <w:rsid w:val="006C00F9"/>
    <w:rsid w:val="006C0515"/>
    <w:rsid w:val="006C08CA"/>
    <w:rsid w:val="006C0A10"/>
    <w:rsid w:val="006C1FB4"/>
    <w:rsid w:val="006C225B"/>
    <w:rsid w:val="006C25C0"/>
    <w:rsid w:val="006C43B6"/>
    <w:rsid w:val="006C50BE"/>
    <w:rsid w:val="006C5482"/>
    <w:rsid w:val="006C5A19"/>
    <w:rsid w:val="006C6804"/>
    <w:rsid w:val="006C6935"/>
    <w:rsid w:val="006C6DCF"/>
    <w:rsid w:val="006C752C"/>
    <w:rsid w:val="006C7781"/>
    <w:rsid w:val="006C7BFA"/>
    <w:rsid w:val="006C7CB4"/>
    <w:rsid w:val="006C7D72"/>
    <w:rsid w:val="006D0051"/>
    <w:rsid w:val="006D01D5"/>
    <w:rsid w:val="006D0349"/>
    <w:rsid w:val="006D0EC0"/>
    <w:rsid w:val="006D14C3"/>
    <w:rsid w:val="006D16BA"/>
    <w:rsid w:val="006D21F0"/>
    <w:rsid w:val="006D25F4"/>
    <w:rsid w:val="006D2A96"/>
    <w:rsid w:val="006D2E7B"/>
    <w:rsid w:val="006D3E81"/>
    <w:rsid w:val="006D4C88"/>
    <w:rsid w:val="006D5088"/>
    <w:rsid w:val="006D53A2"/>
    <w:rsid w:val="006D5CF5"/>
    <w:rsid w:val="006D60F9"/>
    <w:rsid w:val="006D62A2"/>
    <w:rsid w:val="006D64B6"/>
    <w:rsid w:val="006D6681"/>
    <w:rsid w:val="006D6696"/>
    <w:rsid w:val="006D6F16"/>
    <w:rsid w:val="006D7913"/>
    <w:rsid w:val="006E00A4"/>
    <w:rsid w:val="006E0849"/>
    <w:rsid w:val="006E15F5"/>
    <w:rsid w:val="006E1E19"/>
    <w:rsid w:val="006E240E"/>
    <w:rsid w:val="006E2E46"/>
    <w:rsid w:val="006E3AD3"/>
    <w:rsid w:val="006E4084"/>
    <w:rsid w:val="006E4224"/>
    <w:rsid w:val="006E4955"/>
    <w:rsid w:val="006E49E1"/>
    <w:rsid w:val="006E4C37"/>
    <w:rsid w:val="006E5F3C"/>
    <w:rsid w:val="006E73B8"/>
    <w:rsid w:val="006E7ECF"/>
    <w:rsid w:val="006E7F10"/>
    <w:rsid w:val="006F00AB"/>
    <w:rsid w:val="006F0BAF"/>
    <w:rsid w:val="006F0BB0"/>
    <w:rsid w:val="006F14E2"/>
    <w:rsid w:val="006F2453"/>
    <w:rsid w:val="006F2D87"/>
    <w:rsid w:val="006F3436"/>
    <w:rsid w:val="006F47A7"/>
    <w:rsid w:val="006F4987"/>
    <w:rsid w:val="006F5A60"/>
    <w:rsid w:val="006F6362"/>
    <w:rsid w:val="006F6ACD"/>
    <w:rsid w:val="006F6B76"/>
    <w:rsid w:val="006F7151"/>
    <w:rsid w:val="006F7842"/>
    <w:rsid w:val="006F7891"/>
    <w:rsid w:val="006F7D9F"/>
    <w:rsid w:val="00700230"/>
    <w:rsid w:val="0070031E"/>
    <w:rsid w:val="00700866"/>
    <w:rsid w:val="007013C1"/>
    <w:rsid w:val="00701DFD"/>
    <w:rsid w:val="00702118"/>
    <w:rsid w:val="007023EA"/>
    <w:rsid w:val="00702AC1"/>
    <w:rsid w:val="00702FD7"/>
    <w:rsid w:val="00703503"/>
    <w:rsid w:val="00703EF6"/>
    <w:rsid w:val="00703F0A"/>
    <w:rsid w:val="00704863"/>
    <w:rsid w:val="00704D67"/>
    <w:rsid w:val="00705815"/>
    <w:rsid w:val="00706757"/>
    <w:rsid w:val="0070684E"/>
    <w:rsid w:val="0070764D"/>
    <w:rsid w:val="00707927"/>
    <w:rsid w:val="00707E00"/>
    <w:rsid w:val="007102BE"/>
    <w:rsid w:val="00710318"/>
    <w:rsid w:val="0071039D"/>
    <w:rsid w:val="0071057D"/>
    <w:rsid w:val="00710A2E"/>
    <w:rsid w:val="00710AF3"/>
    <w:rsid w:val="00710B3D"/>
    <w:rsid w:val="00710F82"/>
    <w:rsid w:val="00711005"/>
    <w:rsid w:val="0071104F"/>
    <w:rsid w:val="007119A1"/>
    <w:rsid w:val="00711F39"/>
    <w:rsid w:val="0071284D"/>
    <w:rsid w:val="00712C9C"/>
    <w:rsid w:val="00712CD8"/>
    <w:rsid w:val="007132A5"/>
    <w:rsid w:val="00714669"/>
    <w:rsid w:val="00714EBA"/>
    <w:rsid w:val="00715131"/>
    <w:rsid w:val="00715759"/>
    <w:rsid w:val="00715967"/>
    <w:rsid w:val="007159F6"/>
    <w:rsid w:val="00715C7C"/>
    <w:rsid w:val="007166E4"/>
    <w:rsid w:val="00717392"/>
    <w:rsid w:val="0071785B"/>
    <w:rsid w:val="007178B7"/>
    <w:rsid w:val="00717EB9"/>
    <w:rsid w:val="00717EF1"/>
    <w:rsid w:val="00720714"/>
    <w:rsid w:val="00720B9A"/>
    <w:rsid w:val="00720F53"/>
    <w:rsid w:val="007212CE"/>
    <w:rsid w:val="007219B2"/>
    <w:rsid w:val="00721C99"/>
    <w:rsid w:val="007225F6"/>
    <w:rsid w:val="007226C3"/>
    <w:rsid w:val="007228C9"/>
    <w:rsid w:val="007229E8"/>
    <w:rsid w:val="00722A05"/>
    <w:rsid w:val="00722C7E"/>
    <w:rsid w:val="007230C2"/>
    <w:rsid w:val="00723AA0"/>
    <w:rsid w:val="00723CCA"/>
    <w:rsid w:val="00723D92"/>
    <w:rsid w:val="00723ECC"/>
    <w:rsid w:val="00724888"/>
    <w:rsid w:val="00724B51"/>
    <w:rsid w:val="007252DD"/>
    <w:rsid w:val="00727CCA"/>
    <w:rsid w:val="0073040A"/>
    <w:rsid w:val="00730E1C"/>
    <w:rsid w:val="00731C84"/>
    <w:rsid w:val="00731E96"/>
    <w:rsid w:val="00732105"/>
    <w:rsid w:val="00732D56"/>
    <w:rsid w:val="00732F70"/>
    <w:rsid w:val="007330D8"/>
    <w:rsid w:val="007334C6"/>
    <w:rsid w:val="00733845"/>
    <w:rsid w:val="00733A58"/>
    <w:rsid w:val="007343FB"/>
    <w:rsid w:val="007346D2"/>
    <w:rsid w:val="00734908"/>
    <w:rsid w:val="00734EF7"/>
    <w:rsid w:val="00735A11"/>
    <w:rsid w:val="00735AB1"/>
    <w:rsid w:val="00735B7A"/>
    <w:rsid w:val="00735C64"/>
    <w:rsid w:val="00735E16"/>
    <w:rsid w:val="00735F43"/>
    <w:rsid w:val="00736984"/>
    <w:rsid w:val="00736D84"/>
    <w:rsid w:val="00737D16"/>
    <w:rsid w:val="007401C3"/>
    <w:rsid w:val="0074024D"/>
    <w:rsid w:val="0074079B"/>
    <w:rsid w:val="00740888"/>
    <w:rsid w:val="00741579"/>
    <w:rsid w:val="00741830"/>
    <w:rsid w:val="0074218C"/>
    <w:rsid w:val="007421F1"/>
    <w:rsid w:val="00742270"/>
    <w:rsid w:val="007426A3"/>
    <w:rsid w:val="0074312D"/>
    <w:rsid w:val="00743601"/>
    <w:rsid w:val="00743711"/>
    <w:rsid w:val="00743FAA"/>
    <w:rsid w:val="0074431D"/>
    <w:rsid w:val="00745407"/>
    <w:rsid w:val="007456C3"/>
    <w:rsid w:val="007459CC"/>
    <w:rsid w:val="00745A07"/>
    <w:rsid w:val="0074630A"/>
    <w:rsid w:val="00746385"/>
    <w:rsid w:val="007468D8"/>
    <w:rsid w:val="00746C48"/>
    <w:rsid w:val="00746D43"/>
    <w:rsid w:val="00747D94"/>
    <w:rsid w:val="00747F45"/>
    <w:rsid w:val="0075229D"/>
    <w:rsid w:val="00752521"/>
    <w:rsid w:val="00752544"/>
    <w:rsid w:val="00752552"/>
    <w:rsid w:val="00753258"/>
    <w:rsid w:val="00753273"/>
    <w:rsid w:val="007533B5"/>
    <w:rsid w:val="00753B3B"/>
    <w:rsid w:val="00753CF1"/>
    <w:rsid w:val="00754425"/>
    <w:rsid w:val="00754485"/>
    <w:rsid w:val="00755359"/>
    <w:rsid w:val="00755611"/>
    <w:rsid w:val="00755CC1"/>
    <w:rsid w:val="00755DA0"/>
    <w:rsid w:val="007561F1"/>
    <w:rsid w:val="007564EC"/>
    <w:rsid w:val="00756542"/>
    <w:rsid w:val="00756BEA"/>
    <w:rsid w:val="00756E2B"/>
    <w:rsid w:val="0075731A"/>
    <w:rsid w:val="00757345"/>
    <w:rsid w:val="0075764E"/>
    <w:rsid w:val="00757B8D"/>
    <w:rsid w:val="00757E45"/>
    <w:rsid w:val="00760193"/>
    <w:rsid w:val="0076034D"/>
    <w:rsid w:val="00761426"/>
    <w:rsid w:val="00761A54"/>
    <w:rsid w:val="00761A6F"/>
    <w:rsid w:val="00761E30"/>
    <w:rsid w:val="00762230"/>
    <w:rsid w:val="00762523"/>
    <w:rsid w:val="007626A4"/>
    <w:rsid w:val="007627CB"/>
    <w:rsid w:val="00762DDF"/>
    <w:rsid w:val="00762F44"/>
    <w:rsid w:val="00763707"/>
    <w:rsid w:val="00763C85"/>
    <w:rsid w:val="00764608"/>
    <w:rsid w:val="00764B4A"/>
    <w:rsid w:val="00764BB7"/>
    <w:rsid w:val="00764D3F"/>
    <w:rsid w:val="007658AF"/>
    <w:rsid w:val="00765B9D"/>
    <w:rsid w:val="00765D85"/>
    <w:rsid w:val="00766357"/>
    <w:rsid w:val="007667CB"/>
    <w:rsid w:val="00767541"/>
    <w:rsid w:val="00767BF3"/>
    <w:rsid w:val="00767CBF"/>
    <w:rsid w:val="00767F45"/>
    <w:rsid w:val="0077018A"/>
    <w:rsid w:val="007707D1"/>
    <w:rsid w:val="0077087C"/>
    <w:rsid w:val="0077157B"/>
    <w:rsid w:val="0077189E"/>
    <w:rsid w:val="0077259F"/>
    <w:rsid w:val="00772FF4"/>
    <w:rsid w:val="007730FE"/>
    <w:rsid w:val="007735A4"/>
    <w:rsid w:val="00773FFE"/>
    <w:rsid w:val="0077433D"/>
    <w:rsid w:val="007743B1"/>
    <w:rsid w:val="00774A45"/>
    <w:rsid w:val="0077597E"/>
    <w:rsid w:val="00775FD1"/>
    <w:rsid w:val="0077623C"/>
    <w:rsid w:val="007762AC"/>
    <w:rsid w:val="00776673"/>
    <w:rsid w:val="007770B7"/>
    <w:rsid w:val="007773E1"/>
    <w:rsid w:val="007775D7"/>
    <w:rsid w:val="00777E3F"/>
    <w:rsid w:val="00777E74"/>
    <w:rsid w:val="00777F46"/>
    <w:rsid w:val="007809A7"/>
    <w:rsid w:val="00781936"/>
    <w:rsid w:val="00781939"/>
    <w:rsid w:val="0078197D"/>
    <w:rsid w:val="0078279A"/>
    <w:rsid w:val="00782A0B"/>
    <w:rsid w:val="00782E57"/>
    <w:rsid w:val="00783345"/>
    <w:rsid w:val="00783757"/>
    <w:rsid w:val="00783777"/>
    <w:rsid w:val="00783EC7"/>
    <w:rsid w:val="00785324"/>
    <w:rsid w:val="007853EB"/>
    <w:rsid w:val="007856E0"/>
    <w:rsid w:val="00785FC6"/>
    <w:rsid w:val="00786135"/>
    <w:rsid w:val="007862F2"/>
    <w:rsid w:val="00786B0A"/>
    <w:rsid w:val="007872FE"/>
    <w:rsid w:val="00787DC8"/>
    <w:rsid w:val="0079017A"/>
    <w:rsid w:val="00790227"/>
    <w:rsid w:val="007902BC"/>
    <w:rsid w:val="00790446"/>
    <w:rsid w:val="00790C83"/>
    <w:rsid w:val="00792079"/>
    <w:rsid w:val="00792153"/>
    <w:rsid w:val="0079235C"/>
    <w:rsid w:val="00792D49"/>
    <w:rsid w:val="0079347B"/>
    <w:rsid w:val="007938D8"/>
    <w:rsid w:val="00793FAB"/>
    <w:rsid w:val="00794690"/>
    <w:rsid w:val="0079479B"/>
    <w:rsid w:val="00796218"/>
    <w:rsid w:val="007965F1"/>
    <w:rsid w:val="00796689"/>
    <w:rsid w:val="007969D4"/>
    <w:rsid w:val="007974BF"/>
    <w:rsid w:val="00797694"/>
    <w:rsid w:val="00797794"/>
    <w:rsid w:val="007979BF"/>
    <w:rsid w:val="00797BAF"/>
    <w:rsid w:val="00797EFE"/>
    <w:rsid w:val="007A02B0"/>
    <w:rsid w:val="007A0BB4"/>
    <w:rsid w:val="007A0FCA"/>
    <w:rsid w:val="007A12C1"/>
    <w:rsid w:val="007A1833"/>
    <w:rsid w:val="007A1C2D"/>
    <w:rsid w:val="007A281D"/>
    <w:rsid w:val="007A3B81"/>
    <w:rsid w:val="007A3FFF"/>
    <w:rsid w:val="007A4629"/>
    <w:rsid w:val="007A477B"/>
    <w:rsid w:val="007A4928"/>
    <w:rsid w:val="007A58E4"/>
    <w:rsid w:val="007A7877"/>
    <w:rsid w:val="007A7928"/>
    <w:rsid w:val="007A793D"/>
    <w:rsid w:val="007A79E5"/>
    <w:rsid w:val="007A7C1C"/>
    <w:rsid w:val="007A7CD8"/>
    <w:rsid w:val="007B043E"/>
    <w:rsid w:val="007B07BC"/>
    <w:rsid w:val="007B0A06"/>
    <w:rsid w:val="007B1547"/>
    <w:rsid w:val="007B156C"/>
    <w:rsid w:val="007B16A0"/>
    <w:rsid w:val="007B19F4"/>
    <w:rsid w:val="007B1C91"/>
    <w:rsid w:val="007B270D"/>
    <w:rsid w:val="007B28C5"/>
    <w:rsid w:val="007B3180"/>
    <w:rsid w:val="007B31EF"/>
    <w:rsid w:val="007B34AE"/>
    <w:rsid w:val="007B3898"/>
    <w:rsid w:val="007B3DDE"/>
    <w:rsid w:val="007B5200"/>
    <w:rsid w:val="007B5559"/>
    <w:rsid w:val="007B5F40"/>
    <w:rsid w:val="007B7173"/>
    <w:rsid w:val="007B770B"/>
    <w:rsid w:val="007B7FC4"/>
    <w:rsid w:val="007C03E0"/>
    <w:rsid w:val="007C10F3"/>
    <w:rsid w:val="007C1214"/>
    <w:rsid w:val="007C15DD"/>
    <w:rsid w:val="007C206B"/>
    <w:rsid w:val="007C2908"/>
    <w:rsid w:val="007C3349"/>
    <w:rsid w:val="007C3432"/>
    <w:rsid w:val="007C3494"/>
    <w:rsid w:val="007C3B37"/>
    <w:rsid w:val="007C421E"/>
    <w:rsid w:val="007C4AC1"/>
    <w:rsid w:val="007C4CB3"/>
    <w:rsid w:val="007C4DDE"/>
    <w:rsid w:val="007C5871"/>
    <w:rsid w:val="007C5A4B"/>
    <w:rsid w:val="007C5FA2"/>
    <w:rsid w:val="007C66D7"/>
    <w:rsid w:val="007C6990"/>
    <w:rsid w:val="007C7422"/>
    <w:rsid w:val="007C762D"/>
    <w:rsid w:val="007C771E"/>
    <w:rsid w:val="007C78D2"/>
    <w:rsid w:val="007D0431"/>
    <w:rsid w:val="007D0C3A"/>
    <w:rsid w:val="007D0F24"/>
    <w:rsid w:val="007D0F5A"/>
    <w:rsid w:val="007D1B37"/>
    <w:rsid w:val="007D1E9A"/>
    <w:rsid w:val="007D2C78"/>
    <w:rsid w:val="007D2EAD"/>
    <w:rsid w:val="007D3421"/>
    <w:rsid w:val="007D3D27"/>
    <w:rsid w:val="007D40AB"/>
    <w:rsid w:val="007D416C"/>
    <w:rsid w:val="007D483F"/>
    <w:rsid w:val="007D4CCE"/>
    <w:rsid w:val="007D53ED"/>
    <w:rsid w:val="007D5BA0"/>
    <w:rsid w:val="007D5D1C"/>
    <w:rsid w:val="007D622E"/>
    <w:rsid w:val="007D69DD"/>
    <w:rsid w:val="007D6D86"/>
    <w:rsid w:val="007D7BE5"/>
    <w:rsid w:val="007E04BC"/>
    <w:rsid w:val="007E078A"/>
    <w:rsid w:val="007E0872"/>
    <w:rsid w:val="007E0F66"/>
    <w:rsid w:val="007E115F"/>
    <w:rsid w:val="007E1936"/>
    <w:rsid w:val="007E1C68"/>
    <w:rsid w:val="007E1FC1"/>
    <w:rsid w:val="007E2040"/>
    <w:rsid w:val="007E20E8"/>
    <w:rsid w:val="007E2D89"/>
    <w:rsid w:val="007E2DE4"/>
    <w:rsid w:val="007E2F86"/>
    <w:rsid w:val="007E31AE"/>
    <w:rsid w:val="007E3484"/>
    <w:rsid w:val="007E4CD7"/>
    <w:rsid w:val="007E5405"/>
    <w:rsid w:val="007E5D8E"/>
    <w:rsid w:val="007E5DAF"/>
    <w:rsid w:val="007E60D2"/>
    <w:rsid w:val="007E728E"/>
    <w:rsid w:val="007E75D0"/>
    <w:rsid w:val="007F0162"/>
    <w:rsid w:val="007F02F2"/>
    <w:rsid w:val="007F1B99"/>
    <w:rsid w:val="007F1CC1"/>
    <w:rsid w:val="007F1EC4"/>
    <w:rsid w:val="007F33D2"/>
    <w:rsid w:val="007F48E1"/>
    <w:rsid w:val="007F5B0B"/>
    <w:rsid w:val="007F5B22"/>
    <w:rsid w:val="007F60ED"/>
    <w:rsid w:val="007F62F3"/>
    <w:rsid w:val="007F64A5"/>
    <w:rsid w:val="007F665C"/>
    <w:rsid w:val="007F6825"/>
    <w:rsid w:val="007F6A27"/>
    <w:rsid w:val="007F72F8"/>
    <w:rsid w:val="007F757F"/>
    <w:rsid w:val="007F77C1"/>
    <w:rsid w:val="007F7A52"/>
    <w:rsid w:val="00800400"/>
    <w:rsid w:val="0080053D"/>
    <w:rsid w:val="00801148"/>
    <w:rsid w:val="00801649"/>
    <w:rsid w:val="00801E51"/>
    <w:rsid w:val="00801F78"/>
    <w:rsid w:val="00802A20"/>
    <w:rsid w:val="00802F32"/>
    <w:rsid w:val="00803086"/>
    <w:rsid w:val="008032BB"/>
    <w:rsid w:val="008034F7"/>
    <w:rsid w:val="00803775"/>
    <w:rsid w:val="00803921"/>
    <w:rsid w:val="00803CAC"/>
    <w:rsid w:val="00803E31"/>
    <w:rsid w:val="0080403E"/>
    <w:rsid w:val="0080460E"/>
    <w:rsid w:val="00804FDB"/>
    <w:rsid w:val="008050ED"/>
    <w:rsid w:val="0080570F"/>
    <w:rsid w:val="00805A66"/>
    <w:rsid w:val="00805D0B"/>
    <w:rsid w:val="00806DEE"/>
    <w:rsid w:val="00807064"/>
    <w:rsid w:val="008070C6"/>
    <w:rsid w:val="008105F5"/>
    <w:rsid w:val="00810D04"/>
    <w:rsid w:val="00811BA6"/>
    <w:rsid w:val="00812BEB"/>
    <w:rsid w:val="0081311E"/>
    <w:rsid w:val="008132B4"/>
    <w:rsid w:val="008133A9"/>
    <w:rsid w:val="00813F41"/>
    <w:rsid w:val="0081404F"/>
    <w:rsid w:val="00814B6A"/>
    <w:rsid w:val="00814E81"/>
    <w:rsid w:val="008151D6"/>
    <w:rsid w:val="0081524C"/>
    <w:rsid w:val="0081637F"/>
    <w:rsid w:val="00816567"/>
    <w:rsid w:val="00816A72"/>
    <w:rsid w:val="00816A7B"/>
    <w:rsid w:val="008175EC"/>
    <w:rsid w:val="008178AE"/>
    <w:rsid w:val="00817AB0"/>
    <w:rsid w:val="00817C3E"/>
    <w:rsid w:val="00820057"/>
    <w:rsid w:val="0082073C"/>
    <w:rsid w:val="00820EF9"/>
    <w:rsid w:val="00820F04"/>
    <w:rsid w:val="0082188E"/>
    <w:rsid w:val="00821DA3"/>
    <w:rsid w:val="00822A20"/>
    <w:rsid w:val="00822A27"/>
    <w:rsid w:val="00822B95"/>
    <w:rsid w:val="00822C25"/>
    <w:rsid w:val="00822CA6"/>
    <w:rsid w:val="00823671"/>
    <w:rsid w:val="00823998"/>
    <w:rsid w:val="00824372"/>
    <w:rsid w:val="00824683"/>
    <w:rsid w:val="008246B0"/>
    <w:rsid w:val="008247F0"/>
    <w:rsid w:val="00825E4F"/>
    <w:rsid w:val="0082688E"/>
    <w:rsid w:val="00826E7E"/>
    <w:rsid w:val="00827111"/>
    <w:rsid w:val="00827198"/>
    <w:rsid w:val="008276C8"/>
    <w:rsid w:val="008302CD"/>
    <w:rsid w:val="00830F1F"/>
    <w:rsid w:val="008310AA"/>
    <w:rsid w:val="00831DE1"/>
    <w:rsid w:val="00832D7D"/>
    <w:rsid w:val="00833136"/>
    <w:rsid w:val="008336A1"/>
    <w:rsid w:val="00833949"/>
    <w:rsid w:val="00833A4E"/>
    <w:rsid w:val="008345A0"/>
    <w:rsid w:val="0083484C"/>
    <w:rsid w:val="0083540A"/>
    <w:rsid w:val="00835798"/>
    <w:rsid w:val="00835829"/>
    <w:rsid w:val="00835CCD"/>
    <w:rsid w:val="008360A1"/>
    <w:rsid w:val="008363EA"/>
    <w:rsid w:val="00836441"/>
    <w:rsid w:val="00836991"/>
    <w:rsid w:val="008369DF"/>
    <w:rsid w:val="00836B5D"/>
    <w:rsid w:val="008372E6"/>
    <w:rsid w:val="00837F06"/>
    <w:rsid w:val="008411CE"/>
    <w:rsid w:val="00842200"/>
    <w:rsid w:val="00842B1D"/>
    <w:rsid w:val="008437A9"/>
    <w:rsid w:val="008437CF"/>
    <w:rsid w:val="00843DA9"/>
    <w:rsid w:val="00844685"/>
    <w:rsid w:val="00844CFB"/>
    <w:rsid w:val="00844F53"/>
    <w:rsid w:val="008451B4"/>
    <w:rsid w:val="008466BD"/>
    <w:rsid w:val="00846850"/>
    <w:rsid w:val="00847827"/>
    <w:rsid w:val="00850366"/>
    <w:rsid w:val="008508E1"/>
    <w:rsid w:val="008519C7"/>
    <w:rsid w:val="00851A37"/>
    <w:rsid w:val="00851FFC"/>
    <w:rsid w:val="0085248A"/>
    <w:rsid w:val="008528D5"/>
    <w:rsid w:val="008535BD"/>
    <w:rsid w:val="008535D5"/>
    <w:rsid w:val="0085371C"/>
    <w:rsid w:val="00853BE3"/>
    <w:rsid w:val="00854BA0"/>
    <w:rsid w:val="00854DA3"/>
    <w:rsid w:val="00855051"/>
    <w:rsid w:val="0085533D"/>
    <w:rsid w:val="0085545F"/>
    <w:rsid w:val="00855534"/>
    <w:rsid w:val="00855A0B"/>
    <w:rsid w:val="00856114"/>
    <w:rsid w:val="008571BB"/>
    <w:rsid w:val="00857BD0"/>
    <w:rsid w:val="00860A55"/>
    <w:rsid w:val="00860D3C"/>
    <w:rsid w:val="00860DFC"/>
    <w:rsid w:val="008611B0"/>
    <w:rsid w:val="00861EE1"/>
    <w:rsid w:val="0086379C"/>
    <w:rsid w:val="008637F8"/>
    <w:rsid w:val="00863C64"/>
    <w:rsid w:val="00864755"/>
    <w:rsid w:val="00864D4B"/>
    <w:rsid w:val="00864E2B"/>
    <w:rsid w:val="008665D3"/>
    <w:rsid w:val="008665E7"/>
    <w:rsid w:val="0086698D"/>
    <w:rsid w:val="00866DD1"/>
    <w:rsid w:val="00867071"/>
    <w:rsid w:val="00867830"/>
    <w:rsid w:val="008709BB"/>
    <w:rsid w:val="00870CA1"/>
    <w:rsid w:val="00870FB1"/>
    <w:rsid w:val="00871540"/>
    <w:rsid w:val="008722C8"/>
    <w:rsid w:val="00872AE5"/>
    <w:rsid w:val="00873AD7"/>
    <w:rsid w:val="00873FB7"/>
    <w:rsid w:val="0087426E"/>
    <w:rsid w:val="0087538E"/>
    <w:rsid w:val="00876FF7"/>
    <w:rsid w:val="008770B9"/>
    <w:rsid w:val="008771B7"/>
    <w:rsid w:val="0087751E"/>
    <w:rsid w:val="0087798A"/>
    <w:rsid w:val="008779B0"/>
    <w:rsid w:val="00880B79"/>
    <w:rsid w:val="008815D5"/>
    <w:rsid w:val="00881627"/>
    <w:rsid w:val="00881739"/>
    <w:rsid w:val="00881B03"/>
    <w:rsid w:val="0088251B"/>
    <w:rsid w:val="00882A23"/>
    <w:rsid w:val="008831F6"/>
    <w:rsid w:val="00883236"/>
    <w:rsid w:val="0088347A"/>
    <w:rsid w:val="00883DB4"/>
    <w:rsid w:val="00883F04"/>
    <w:rsid w:val="00883F43"/>
    <w:rsid w:val="0088456E"/>
    <w:rsid w:val="00885487"/>
    <w:rsid w:val="0088677F"/>
    <w:rsid w:val="008869BF"/>
    <w:rsid w:val="008873C7"/>
    <w:rsid w:val="00887B45"/>
    <w:rsid w:val="00891129"/>
    <w:rsid w:val="00891325"/>
    <w:rsid w:val="00891E53"/>
    <w:rsid w:val="00892068"/>
    <w:rsid w:val="008923DD"/>
    <w:rsid w:val="008927C7"/>
    <w:rsid w:val="008930C3"/>
    <w:rsid w:val="008932BB"/>
    <w:rsid w:val="0089397B"/>
    <w:rsid w:val="008939B9"/>
    <w:rsid w:val="00893A23"/>
    <w:rsid w:val="00893EF1"/>
    <w:rsid w:val="008942AD"/>
    <w:rsid w:val="00894967"/>
    <w:rsid w:val="0089552C"/>
    <w:rsid w:val="008955A4"/>
    <w:rsid w:val="00895FCD"/>
    <w:rsid w:val="00896149"/>
    <w:rsid w:val="00896ECF"/>
    <w:rsid w:val="00897282"/>
    <w:rsid w:val="0089781F"/>
    <w:rsid w:val="0089791E"/>
    <w:rsid w:val="00897E91"/>
    <w:rsid w:val="008A05C7"/>
    <w:rsid w:val="008A094D"/>
    <w:rsid w:val="008A0D3C"/>
    <w:rsid w:val="008A1202"/>
    <w:rsid w:val="008A12AC"/>
    <w:rsid w:val="008A1403"/>
    <w:rsid w:val="008A1524"/>
    <w:rsid w:val="008A268B"/>
    <w:rsid w:val="008A28BA"/>
    <w:rsid w:val="008A2AC7"/>
    <w:rsid w:val="008A2F1E"/>
    <w:rsid w:val="008A2FAF"/>
    <w:rsid w:val="008A3147"/>
    <w:rsid w:val="008A35E4"/>
    <w:rsid w:val="008A4079"/>
    <w:rsid w:val="008A599F"/>
    <w:rsid w:val="008A5DCE"/>
    <w:rsid w:val="008A5FFE"/>
    <w:rsid w:val="008A63F7"/>
    <w:rsid w:val="008A6974"/>
    <w:rsid w:val="008A71E5"/>
    <w:rsid w:val="008A7BA5"/>
    <w:rsid w:val="008A7F6B"/>
    <w:rsid w:val="008B0087"/>
    <w:rsid w:val="008B025D"/>
    <w:rsid w:val="008B0376"/>
    <w:rsid w:val="008B03A9"/>
    <w:rsid w:val="008B0CFE"/>
    <w:rsid w:val="008B13F7"/>
    <w:rsid w:val="008B1BB5"/>
    <w:rsid w:val="008B27B7"/>
    <w:rsid w:val="008B30C4"/>
    <w:rsid w:val="008B317E"/>
    <w:rsid w:val="008B31AB"/>
    <w:rsid w:val="008B33AF"/>
    <w:rsid w:val="008B34D7"/>
    <w:rsid w:val="008B372E"/>
    <w:rsid w:val="008B4BBC"/>
    <w:rsid w:val="008B55D1"/>
    <w:rsid w:val="008B5757"/>
    <w:rsid w:val="008B5942"/>
    <w:rsid w:val="008B5A52"/>
    <w:rsid w:val="008B6013"/>
    <w:rsid w:val="008B6C43"/>
    <w:rsid w:val="008B6F67"/>
    <w:rsid w:val="008B730C"/>
    <w:rsid w:val="008B75C2"/>
    <w:rsid w:val="008C0058"/>
    <w:rsid w:val="008C01FE"/>
    <w:rsid w:val="008C07B9"/>
    <w:rsid w:val="008C09E2"/>
    <w:rsid w:val="008C0B32"/>
    <w:rsid w:val="008C0F48"/>
    <w:rsid w:val="008C0F65"/>
    <w:rsid w:val="008C10D8"/>
    <w:rsid w:val="008C1395"/>
    <w:rsid w:val="008C1AAC"/>
    <w:rsid w:val="008C3DA0"/>
    <w:rsid w:val="008C4141"/>
    <w:rsid w:val="008C4CDD"/>
    <w:rsid w:val="008C535F"/>
    <w:rsid w:val="008C575A"/>
    <w:rsid w:val="008C69CF"/>
    <w:rsid w:val="008C6C98"/>
    <w:rsid w:val="008C6FDA"/>
    <w:rsid w:val="008C71F8"/>
    <w:rsid w:val="008C7BF9"/>
    <w:rsid w:val="008C7DBB"/>
    <w:rsid w:val="008D03D8"/>
    <w:rsid w:val="008D0439"/>
    <w:rsid w:val="008D09BC"/>
    <w:rsid w:val="008D1C0A"/>
    <w:rsid w:val="008D23E3"/>
    <w:rsid w:val="008D259A"/>
    <w:rsid w:val="008D29CF"/>
    <w:rsid w:val="008D45D1"/>
    <w:rsid w:val="008D470C"/>
    <w:rsid w:val="008D4B74"/>
    <w:rsid w:val="008D5E8B"/>
    <w:rsid w:val="008D6CB5"/>
    <w:rsid w:val="008D7076"/>
    <w:rsid w:val="008D73A2"/>
    <w:rsid w:val="008D757F"/>
    <w:rsid w:val="008D7B14"/>
    <w:rsid w:val="008D7E34"/>
    <w:rsid w:val="008E078C"/>
    <w:rsid w:val="008E0B32"/>
    <w:rsid w:val="008E0D71"/>
    <w:rsid w:val="008E14C9"/>
    <w:rsid w:val="008E1907"/>
    <w:rsid w:val="008E1CAF"/>
    <w:rsid w:val="008E23A9"/>
    <w:rsid w:val="008E2744"/>
    <w:rsid w:val="008E2896"/>
    <w:rsid w:val="008E2A5C"/>
    <w:rsid w:val="008E2C84"/>
    <w:rsid w:val="008E3539"/>
    <w:rsid w:val="008E3B20"/>
    <w:rsid w:val="008E3EA2"/>
    <w:rsid w:val="008E4495"/>
    <w:rsid w:val="008E4733"/>
    <w:rsid w:val="008E4A2D"/>
    <w:rsid w:val="008E5478"/>
    <w:rsid w:val="008E5BE4"/>
    <w:rsid w:val="008E5D7A"/>
    <w:rsid w:val="008E72E8"/>
    <w:rsid w:val="008E72FD"/>
    <w:rsid w:val="008E7545"/>
    <w:rsid w:val="008F05AA"/>
    <w:rsid w:val="008F077B"/>
    <w:rsid w:val="008F1250"/>
    <w:rsid w:val="008F18CA"/>
    <w:rsid w:val="008F1B3A"/>
    <w:rsid w:val="008F1C66"/>
    <w:rsid w:val="008F1D65"/>
    <w:rsid w:val="008F1E13"/>
    <w:rsid w:val="008F22B0"/>
    <w:rsid w:val="008F2336"/>
    <w:rsid w:val="008F2506"/>
    <w:rsid w:val="008F30D6"/>
    <w:rsid w:val="008F37C7"/>
    <w:rsid w:val="008F3A06"/>
    <w:rsid w:val="008F4B67"/>
    <w:rsid w:val="008F4C54"/>
    <w:rsid w:val="008F4D22"/>
    <w:rsid w:val="008F4E37"/>
    <w:rsid w:val="008F511C"/>
    <w:rsid w:val="008F5355"/>
    <w:rsid w:val="008F54CB"/>
    <w:rsid w:val="008F6116"/>
    <w:rsid w:val="008F6A3A"/>
    <w:rsid w:val="008F6DFC"/>
    <w:rsid w:val="008F71EA"/>
    <w:rsid w:val="008F7DA1"/>
    <w:rsid w:val="00900321"/>
    <w:rsid w:val="009004E3"/>
    <w:rsid w:val="009008AE"/>
    <w:rsid w:val="00900BCD"/>
    <w:rsid w:val="0090120E"/>
    <w:rsid w:val="009012B4"/>
    <w:rsid w:val="00901B56"/>
    <w:rsid w:val="00901C3F"/>
    <w:rsid w:val="00901CAC"/>
    <w:rsid w:val="00901CD3"/>
    <w:rsid w:val="0090201F"/>
    <w:rsid w:val="0090332F"/>
    <w:rsid w:val="0090352C"/>
    <w:rsid w:val="0090360B"/>
    <w:rsid w:val="0090453F"/>
    <w:rsid w:val="00904FA7"/>
    <w:rsid w:val="009054A8"/>
    <w:rsid w:val="009059E9"/>
    <w:rsid w:val="00905A57"/>
    <w:rsid w:val="009065C5"/>
    <w:rsid w:val="009069BB"/>
    <w:rsid w:val="00906A02"/>
    <w:rsid w:val="00906DE6"/>
    <w:rsid w:val="00907D48"/>
    <w:rsid w:val="00911287"/>
    <w:rsid w:val="00911787"/>
    <w:rsid w:val="00911D96"/>
    <w:rsid w:val="00913077"/>
    <w:rsid w:val="009133B3"/>
    <w:rsid w:val="009139E5"/>
    <w:rsid w:val="00913B98"/>
    <w:rsid w:val="00913FD2"/>
    <w:rsid w:val="0091434B"/>
    <w:rsid w:val="00914CDA"/>
    <w:rsid w:val="00915E11"/>
    <w:rsid w:val="0091696E"/>
    <w:rsid w:val="00920392"/>
    <w:rsid w:val="009206E4"/>
    <w:rsid w:val="0092085C"/>
    <w:rsid w:val="00920A32"/>
    <w:rsid w:val="00921176"/>
    <w:rsid w:val="009214B5"/>
    <w:rsid w:val="00921532"/>
    <w:rsid w:val="009219BB"/>
    <w:rsid w:val="009223C1"/>
    <w:rsid w:val="0092341B"/>
    <w:rsid w:val="00923E8A"/>
    <w:rsid w:val="009241DC"/>
    <w:rsid w:val="0092433E"/>
    <w:rsid w:val="0092465D"/>
    <w:rsid w:val="00924824"/>
    <w:rsid w:val="00924E64"/>
    <w:rsid w:val="00924F11"/>
    <w:rsid w:val="009250E0"/>
    <w:rsid w:val="00925108"/>
    <w:rsid w:val="009254FB"/>
    <w:rsid w:val="00925A80"/>
    <w:rsid w:val="00925E35"/>
    <w:rsid w:val="00925F17"/>
    <w:rsid w:val="009260D7"/>
    <w:rsid w:val="00926E0B"/>
    <w:rsid w:val="00927026"/>
    <w:rsid w:val="00927809"/>
    <w:rsid w:val="00927B75"/>
    <w:rsid w:val="00927F2D"/>
    <w:rsid w:val="009301D8"/>
    <w:rsid w:val="00930EEC"/>
    <w:rsid w:val="00931086"/>
    <w:rsid w:val="0093149A"/>
    <w:rsid w:val="00931AA9"/>
    <w:rsid w:val="00931C27"/>
    <w:rsid w:val="009321EF"/>
    <w:rsid w:val="00932325"/>
    <w:rsid w:val="00932C02"/>
    <w:rsid w:val="00933178"/>
    <w:rsid w:val="00933BD7"/>
    <w:rsid w:val="00933C1E"/>
    <w:rsid w:val="009349AE"/>
    <w:rsid w:val="00934BC7"/>
    <w:rsid w:val="00936139"/>
    <w:rsid w:val="00936266"/>
    <w:rsid w:val="00936286"/>
    <w:rsid w:val="009362E2"/>
    <w:rsid w:val="009363AB"/>
    <w:rsid w:val="00936444"/>
    <w:rsid w:val="0093653A"/>
    <w:rsid w:val="009365F0"/>
    <w:rsid w:val="00936893"/>
    <w:rsid w:val="0093770C"/>
    <w:rsid w:val="00937CE6"/>
    <w:rsid w:val="00940062"/>
    <w:rsid w:val="00940C88"/>
    <w:rsid w:val="0094214E"/>
    <w:rsid w:val="00942571"/>
    <w:rsid w:val="00942759"/>
    <w:rsid w:val="009427D2"/>
    <w:rsid w:val="009433E1"/>
    <w:rsid w:val="00943E4A"/>
    <w:rsid w:val="009441C3"/>
    <w:rsid w:val="00944278"/>
    <w:rsid w:val="0094446C"/>
    <w:rsid w:val="009444CD"/>
    <w:rsid w:val="009447AD"/>
    <w:rsid w:val="00944AE4"/>
    <w:rsid w:val="00945051"/>
    <w:rsid w:val="009451C7"/>
    <w:rsid w:val="0094546E"/>
    <w:rsid w:val="009457B8"/>
    <w:rsid w:val="00945BE8"/>
    <w:rsid w:val="00945D63"/>
    <w:rsid w:val="0094609D"/>
    <w:rsid w:val="00946E54"/>
    <w:rsid w:val="0094738E"/>
    <w:rsid w:val="00950513"/>
    <w:rsid w:val="00951588"/>
    <w:rsid w:val="0095162C"/>
    <w:rsid w:val="00951B56"/>
    <w:rsid w:val="00951BD9"/>
    <w:rsid w:val="0095342A"/>
    <w:rsid w:val="009534CB"/>
    <w:rsid w:val="00953950"/>
    <w:rsid w:val="009539BA"/>
    <w:rsid w:val="0095501E"/>
    <w:rsid w:val="0095514F"/>
    <w:rsid w:val="00955482"/>
    <w:rsid w:val="009554D9"/>
    <w:rsid w:val="00955A7D"/>
    <w:rsid w:val="00955B47"/>
    <w:rsid w:val="009561F1"/>
    <w:rsid w:val="00956DFF"/>
    <w:rsid w:val="009571A8"/>
    <w:rsid w:val="0095749A"/>
    <w:rsid w:val="009576E0"/>
    <w:rsid w:val="009576E2"/>
    <w:rsid w:val="009601F0"/>
    <w:rsid w:val="00961700"/>
    <w:rsid w:val="00961866"/>
    <w:rsid w:val="0096201D"/>
    <w:rsid w:val="009620F4"/>
    <w:rsid w:val="00962627"/>
    <w:rsid w:val="009630E2"/>
    <w:rsid w:val="00963239"/>
    <w:rsid w:val="00963324"/>
    <w:rsid w:val="00963A4E"/>
    <w:rsid w:val="009655EC"/>
    <w:rsid w:val="00965C49"/>
    <w:rsid w:val="00966302"/>
    <w:rsid w:val="00966593"/>
    <w:rsid w:val="009665AB"/>
    <w:rsid w:val="0096661A"/>
    <w:rsid w:val="00966B48"/>
    <w:rsid w:val="009674AF"/>
    <w:rsid w:val="00967529"/>
    <w:rsid w:val="00967FDE"/>
    <w:rsid w:val="009701B5"/>
    <w:rsid w:val="00970365"/>
    <w:rsid w:val="009704C7"/>
    <w:rsid w:val="00970B7B"/>
    <w:rsid w:val="00970BA4"/>
    <w:rsid w:val="00970C79"/>
    <w:rsid w:val="00970ECD"/>
    <w:rsid w:val="00971577"/>
    <w:rsid w:val="009715D3"/>
    <w:rsid w:val="009723DF"/>
    <w:rsid w:val="00972660"/>
    <w:rsid w:val="009734DD"/>
    <w:rsid w:val="00974214"/>
    <w:rsid w:val="00974DEA"/>
    <w:rsid w:val="0097513F"/>
    <w:rsid w:val="00975403"/>
    <w:rsid w:val="00975758"/>
    <w:rsid w:val="00976344"/>
    <w:rsid w:val="009770A4"/>
    <w:rsid w:val="009802E7"/>
    <w:rsid w:val="009805D1"/>
    <w:rsid w:val="009809C8"/>
    <w:rsid w:val="00981616"/>
    <w:rsid w:val="00981780"/>
    <w:rsid w:val="00982181"/>
    <w:rsid w:val="009823CB"/>
    <w:rsid w:val="009825DF"/>
    <w:rsid w:val="00982B5B"/>
    <w:rsid w:val="00982C2D"/>
    <w:rsid w:val="00982FF6"/>
    <w:rsid w:val="0098323C"/>
    <w:rsid w:val="009834DD"/>
    <w:rsid w:val="009836CB"/>
    <w:rsid w:val="009836D7"/>
    <w:rsid w:val="0098387E"/>
    <w:rsid w:val="00983B5B"/>
    <w:rsid w:val="00983CFF"/>
    <w:rsid w:val="00984375"/>
    <w:rsid w:val="009845EA"/>
    <w:rsid w:val="00984652"/>
    <w:rsid w:val="00984803"/>
    <w:rsid w:val="00985131"/>
    <w:rsid w:val="00985253"/>
    <w:rsid w:val="0098555A"/>
    <w:rsid w:val="009855F7"/>
    <w:rsid w:val="00985732"/>
    <w:rsid w:val="009857BF"/>
    <w:rsid w:val="0098607E"/>
    <w:rsid w:val="0098618B"/>
    <w:rsid w:val="00986D40"/>
    <w:rsid w:val="00986DF9"/>
    <w:rsid w:val="00987359"/>
    <w:rsid w:val="009879CF"/>
    <w:rsid w:val="00987E26"/>
    <w:rsid w:val="00987FDF"/>
    <w:rsid w:val="00990172"/>
    <w:rsid w:val="0099056B"/>
    <w:rsid w:val="00991929"/>
    <w:rsid w:val="00991D15"/>
    <w:rsid w:val="00991F0C"/>
    <w:rsid w:val="0099221B"/>
    <w:rsid w:val="00992B45"/>
    <w:rsid w:val="0099339D"/>
    <w:rsid w:val="0099460A"/>
    <w:rsid w:val="0099493B"/>
    <w:rsid w:val="00994E52"/>
    <w:rsid w:val="009950E1"/>
    <w:rsid w:val="00995326"/>
    <w:rsid w:val="009953AC"/>
    <w:rsid w:val="00995AFD"/>
    <w:rsid w:val="0099623A"/>
    <w:rsid w:val="00997141"/>
    <w:rsid w:val="00997521"/>
    <w:rsid w:val="00997B66"/>
    <w:rsid w:val="00997DBB"/>
    <w:rsid w:val="009A053D"/>
    <w:rsid w:val="009A0550"/>
    <w:rsid w:val="009A0A94"/>
    <w:rsid w:val="009A0CE4"/>
    <w:rsid w:val="009A0E77"/>
    <w:rsid w:val="009A1086"/>
    <w:rsid w:val="009A2423"/>
    <w:rsid w:val="009A2954"/>
    <w:rsid w:val="009A2CB3"/>
    <w:rsid w:val="009A34C9"/>
    <w:rsid w:val="009A36C9"/>
    <w:rsid w:val="009A3D3A"/>
    <w:rsid w:val="009A3E8A"/>
    <w:rsid w:val="009A3F89"/>
    <w:rsid w:val="009A4292"/>
    <w:rsid w:val="009A444D"/>
    <w:rsid w:val="009A45AE"/>
    <w:rsid w:val="009A4648"/>
    <w:rsid w:val="009A4988"/>
    <w:rsid w:val="009A4C15"/>
    <w:rsid w:val="009A5600"/>
    <w:rsid w:val="009A5B2E"/>
    <w:rsid w:val="009A68FF"/>
    <w:rsid w:val="009A6DD8"/>
    <w:rsid w:val="009A788B"/>
    <w:rsid w:val="009A7A48"/>
    <w:rsid w:val="009A7CB6"/>
    <w:rsid w:val="009A7F57"/>
    <w:rsid w:val="009B0074"/>
    <w:rsid w:val="009B037D"/>
    <w:rsid w:val="009B095D"/>
    <w:rsid w:val="009B0ADC"/>
    <w:rsid w:val="009B25D7"/>
    <w:rsid w:val="009B28B7"/>
    <w:rsid w:val="009B29E0"/>
    <w:rsid w:val="009B2DFF"/>
    <w:rsid w:val="009B3713"/>
    <w:rsid w:val="009B3D61"/>
    <w:rsid w:val="009B49CF"/>
    <w:rsid w:val="009B4D8E"/>
    <w:rsid w:val="009B5262"/>
    <w:rsid w:val="009B5BDC"/>
    <w:rsid w:val="009B6DF4"/>
    <w:rsid w:val="009B766B"/>
    <w:rsid w:val="009B77EE"/>
    <w:rsid w:val="009B7B17"/>
    <w:rsid w:val="009B7EBA"/>
    <w:rsid w:val="009C0626"/>
    <w:rsid w:val="009C085B"/>
    <w:rsid w:val="009C09D1"/>
    <w:rsid w:val="009C107D"/>
    <w:rsid w:val="009C12C1"/>
    <w:rsid w:val="009C15E7"/>
    <w:rsid w:val="009C179C"/>
    <w:rsid w:val="009C19EB"/>
    <w:rsid w:val="009C1EA2"/>
    <w:rsid w:val="009C2060"/>
    <w:rsid w:val="009C2553"/>
    <w:rsid w:val="009C27E5"/>
    <w:rsid w:val="009C2915"/>
    <w:rsid w:val="009C3259"/>
    <w:rsid w:val="009C3C97"/>
    <w:rsid w:val="009C4A2B"/>
    <w:rsid w:val="009C4A51"/>
    <w:rsid w:val="009C4B37"/>
    <w:rsid w:val="009C4B7A"/>
    <w:rsid w:val="009C54AC"/>
    <w:rsid w:val="009C561C"/>
    <w:rsid w:val="009C58DC"/>
    <w:rsid w:val="009C5993"/>
    <w:rsid w:val="009C5C4F"/>
    <w:rsid w:val="009C699B"/>
    <w:rsid w:val="009C745B"/>
    <w:rsid w:val="009C74F7"/>
    <w:rsid w:val="009C75F8"/>
    <w:rsid w:val="009C7632"/>
    <w:rsid w:val="009C7E9E"/>
    <w:rsid w:val="009C7F5F"/>
    <w:rsid w:val="009D07A0"/>
    <w:rsid w:val="009D0ACB"/>
    <w:rsid w:val="009D0EB9"/>
    <w:rsid w:val="009D1172"/>
    <w:rsid w:val="009D1377"/>
    <w:rsid w:val="009D18C3"/>
    <w:rsid w:val="009D240C"/>
    <w:rsid w:val="009D2E3C"/>
    <w:rsid w:val="009D338E"/>
    <w:rsid w:val="009D3466"/>
    <w:rsid w:val="009D36E3"/>
    <w:rsid w:val="009D3E5B"/>
    <w:rsid w:val="009D4263"/>
    <w:rsid w:val="009D436D"/>
    <w:rsid w:val="009D4662"/>
    <w:rsid w:val="009D47B2"/>
    <w:rsid w:val="009D47C5"/>
    <w:rsid w:val="009D50B8"/>
    <w:rsid w:val="009D50B9"/>
    <w:rsid w:val="009D5505"/>
    <w:rsid w:val="009D5A0B"/>
    <w:rsid w:val="009D66C3"/>
    <w:rsid w:val="009D6987"/>
    <w:rsid w:val="009D6A88"/>
    <w:rsid w:val="009D6B8E"/>
    <w:rsid w:val="009D6D6B"/>
    <w:rsid w:val="009D7695"/>
    <w:rsid w:val="009D7B4F"/>
    <w:rsid w:val="009D7CEF"/>
    <w:rsid w:val="009D7D1A"/>
    <w:rsid w:val="009E02BC"/>
    <w:rsid w:val="009E0A16"/>
    <w:rsid w:val="009E140F"/>
    <w:rsid w:val="009E2204"/>
    <w:rsid w:val="009E257C"/>
    <w:rsid w:val="009E3264"/>
    <w:rsid w:val="009E32B3"/>
    <w:rsid w:val="009E3397"/>
    <w:rsid w:val="009E4060"/>
    <w:rsid w:val="009E427A"/>
    <w:rsid w:val="009E42FE"/>
    <w:rsid w:val="009E4424"/>
    <w:rsid w:val="009E44F9"/>
    <w:rsid w:val="009E453D"/>
    <w:rsid w:val="009E4D43"/>
    <w:rsid w:val="009E4EC8"/>
    <w:rsid w:val="009E51CA"/>
    <w:rsid w:val="009E5C08"/>
    <w:rsid w:val="009E5E75"/>
    <w:rsid w:val="009E6E8B"/>
    <w:rsid w:val="009E76B9"/>
    <w:rsid w:val="009E7A93"/>
    <w:rsid w:val="009E7CBE"/>
    <w:rsid w:val="009E7D53"/>
    <w:rsid w:val="009F0126"/>
    <w:rsid w:val="009F046D"/>
    <w:rsid w:val="009F0DD3"/>
    <w:rsid w:val="009F1BD4"/>
    <w:rsid w:val="009F1CBC"/>
    <w:rsid w:val="009F1D0C"/>
    <w:rsid w:val="009F24D4"/>
    <w:rsid w:val="009F2606"/>
    <w:rsid w:val="009F26CF"/>
    <w:rsid w:val="009F2CE9"/>
    <w:rsid w:val="009F33FA"/>
    <w:rsid w:val="009F3D54"/>
    <w:rsid w:val="009F3D73"/>
    <w:rsid w:val="009F4192"/>
    <w:rsid w:val="009F43A8"/>
    <w:rsid w:val="009F4705"/>
    <w:rsid w:val="009F533A"/>
    <w:rsid w:val="009F5C46"/>
    <w:rsid w:val="009F5FB4"/>
    <w:rsid w:val="009F6369"/>
    <w:rsid w:val="009F6433"/>
    <w:rsid w:val="009F7ADF"/>
    <w:rsid w:val="009F7B70"/>
    <w:rsid w:val="00A00796"/>
    <w:rsid w:val="00A00D5A"/>
    <w:rsid w:val="00A01370"/>
    <w:rsid w:val="00A0183F"/>
    <w:rsid w:val="00A018A7"/>
    <w:rsid w:val="00A0295A"/>
    <w:rsid w:val="00A02E59"/>
    <w:rsid w:val="00A0335E"/>
    <w:rsid w:val="00A039A2"/>
    <w:rsid w:val="00A03CF3"/>
    <w:rsid w:val="00A0409C"/>
    <w:rsid w:val="00A045AD"/>
    <w:rsid w:val="00A0461E"/>
    <w:rsid w:val="00A056D9"/>
    <w:rsid w:val="00A05748"/>
    <w:rsid w:val="00A05E0A"/>
    <w:rsid w:val="00A060F5"/>
    <w:rsid w:val="00A06486"/>
    <w:rsid w:val="00A064E0"/>
    <w:rsid w:val="00A065FC"/>
    <w:rsid w:val="00A06A7E"/>
    <w:rsid w:val="00A0701E"/>
    <w:rsid w:val="00A077FA"/>
    <w:rsid w:val="00A10819"/>
    <w:rsid w:val="00A10A0E"/>
    <w:rsid w:val="00A11B66"/>
    <w:rsid w:val="00A11C0F"/>
    <w:rsid w:val="00A1327B"/>
    <w:rsid w:val="00A13E46"/>
    <w:rsid w:val="00A142C8"/>
    <w:rsid w:val="00A144EA"/>
    <w:rsid w:val="00A14962"/>
    <w:rsid w:val="00A1518E"/>
    <w:rsid w:val="00A151C2"/>
    <w:rsid w:val="00A1562B"/>
    <w:rsid w:val="00A1622C"/>
    <w:rsid w:val="00A16847"/>
    <w:rsid w:val="00A16DFE"/>
    <w:rsid w:val="00A1702D"/>
    <w:rsid w:val="00A172CF"/>
    <w:rsid w:val="00A17CA2"/>
    <w:rsid w:val="00A17F6A"/>
    <w:rsid w:val="00A2065E"/>
    <w:rsid w:val="00A206C5"/>
    <w:rsid w:val="00A20C2A"/>
    <w:rsid w:val="00A21772"/>
    <w:rsid w:val="00A21A4A"/>
    <w:rsid w:val="00A232D0"/>
    <w:rsid w:val="00A2339E"/>
    <w:rsid w:val="00A235C0"/>
    <w:rsid w:val="00A23AEA"/>
    <w:rsid w:val="00A23C94"/>
    <w:rsid w:val="00A241F5"/>
    <w:rsid w:val="00A244A9"/>
    <w:rsid w:val="00A2456C"/>
    <w:rsid w:val="00A24752"/>
    <w:rsid w:val="00A24D50"/>
    <w:rsid w:val="00A25832"/>
    <w:rsid w:val="00A25A1D"/>
    <w:rsid w:val="00A2640B"/>
    <w:rsid w:val="00A266FC"/>
    <w:rsid w:val="00A2688B"/>
    <w:rsid w:val="00A30094"/>
    <w:rsid w:val="00A30E52"/>
    <w:rsid w:val="00A31709"/>
    <w:rsid w:val="00A31782"/>
    <w:rsid w:val="00A31979"/>
    <w:rsid w:val="00A31EEA"/>
    <w:rsid w:val="00A323D3"/>
    <w:rsid w:val="00A327C8"/>
    <w:rsid w:val="00A32B21"/>
    <w:rsid w:val="00A32E50"/>
    <w:rsid w:val="00A344C6"/>
    <w:rsid w:val="00A34611"/>
    <w:rsid w:val="00A34AA9"/>
    <w:rsid w:val="00A35052"/>
    <w:rsid w:val="00A355BA"/>
    <w:rsid w:val="00A3678F"/>
    <w:rsid w:val="00A368F9"/>
    <w:rsid w:val="00A36BA4"/>
    <w:rsid w:val="00A3726C"/>
    <w:rsid w:val="00A3733D"/>
    <w:rsid w:val="00A3745C"/>
    <w:rsid w:val="00A37D9E"/>
    <w:rsid w:val="00A4000A"/>
    <w:rsid w:val="00A400B0"/>
    <w:rsid w:val="00A4102B"/>
    <w:rsid w:val="00A41097"/>
    <w:rsid w:val="00A410BD"/>
    <w:rsid w:val="00A412D7"/>
    <w:rsid w:val="00A41687"/>
    <w:rsid w:val="00A41821"/>
    <w:rsid w:val="00A418AA"/>
    <w:rsid w:val="00A420BC"/>
    <w:rsid w:val="00A424EC"/>
    <w:rsid w:val="00A42A7D"/>
    <w:rsid w:val="00A43489"/>
    <w:rsid w:val="00A4360E"/>
    <w:rsid w:val="00A44344"/>
    <w:rsid w:val="00A44C62"/>
    <w:rsid w:val="00A452D8"/>
    <w:rsid w:val="00A45EFC"/>
    <w:rsid w:val="00A46262"/>
    <w:rsid w:val="00A4657C"/>
    <w:rsid w:val="00A46C49"/>
    <w:rsid w:val="00A46EA7"/>
    <w:rsid w:val="00A46F5B"/>
    <w:rsid w:val="00A46FB6"/>
    <w:rsid w:val="00A4729E"/>
    <w:rsid w:val="00A473D3"/>
    <w:rsid w:val="00A47C00"/>
    <w:rsid w:val="00A47CD3"/>
    <w:rsid w:val="00A47E17"/>
    <w:rsid w:val="00A5011C"/>
    <w:rsid w:val="00A50778"/>
    <w:rsid w:val="00A516CB"/>
    <w:rsid w:val="00A519FF"/>
    <w:rsid w:val="00A52180"/>
    <w:rsid w:val="00A529E7"/>
    <w:rsid w:val="00A52A94"/>
    <w:rsid w:val="00A5348F"/>
    <w:rsid w:val="00A53D43"/>
    <w:rsid w:val="00A5418C"/>
    <w:rsid w:val="00A544F6"/>
    <w:rsid w:val="00A5489A"/>
    <w:rsid w:val="00A54945"/>
    <w:rsid w:val="00A55595"/>
    <w:rsid w:val="00A558EF"/>
    <w:rsid w:val="00A568E8"/>
    <w:rsid w:val="00A570A2"/>
    <w:rsid w:val="00A575FC"/>
    <w:rsid w:val="00A57764"/>
    <w:rsid w:val="00A57C24"/>
    <w:rsid w:val="00A57FBD"/>
    <w:rsid w:val="00A608A4"/>
    <w:rsid w:val="00A60D9C"/>
    <w:rsid w:val="00A6199C"/>
    <w:rsid w:val="00A619CE"/>
    <w:rsid w:val="00A62794"/>
    <w:rsid w:val="00A6286D"/>
    <w:rsid w:val="00A62D17"/>
    <w:rsid w:val="00A62E4C"/>
    <w:rsid w:val="00A638DD"/>
    <w:rsid w:val="00A6474B"/>
    <w:rsid w:val="00A64E9C"/>
    <w:rsid w:val="00A652DF"/>
    <w:rsid w:val="00A6536B"/>
    <w:rsid w:val="00A6590A"/>
    <w:rsid w:val="00A66191"/>
    <w:rsid w:val="00A665DA"/>
    <w:rsid w:val="00A66E69"/>
    <w:rsid w:val="00A67345"/>
    <w:rsid w:val="00A67347"/>
    <w:rsid w:val="00A6797D"/>
    <w:rsid w:val="00A67EE8"/>
    <w:rsid w:val="00A70D02"/>
    <w:rsid w:val="00A715FC"/>
    <w:rsid w:val="00A72806"/>
    <w:rsid w:val="00A735B3"/>
    <w:rsid w:val="00A74380"/>
    <w:rsid w:val="00A743C5"/>
    <w:rsid w:val="00A74ADE"/>
    <w:rsid w:val="00A75401"/>
    <w:rsid w:val="00A759F2"/>
    <w:rsid w:val="00A760C7"/>
    <w:rsid w:val="00A7711D"/>
    <w:rsid w:val="00A77163"/>
    <w:rsid w:val="00A773A4"/>
    <w:rsid w:val="00A7788F"/>
    <w:rsid w:val="00A779BE"/>
    <w:rsid w:val="00A77CD2"/>
    <w:rsid w:val="00A800D8"/>
    <w:rsid w:val="00A805AE"/>
    <w:rsid w:val="00A805C2"/>
    <w:rsid w:val="00A806B4"/>
    <w:rsid w:val="00A80A63"/>
    <w:rsid w:val="00A8111D"/>
    <w:rsid w:val="00A81EA3"/>
    <w:rsid w:val="00A83EA7"/>
    <w:rsid w:val="00A84256"/>
    <w:rsid w:val="00A84344"/>
    <w:rsid w:val="00A84532"/>
    <w:rsid w:val="00A84ED7"/>
    <w:rsid w:val="00A8561C"/>
    <w:rsid w:val="00A85ABB"/>
    <w:rsid w:val="00A8601A"/>
    <w:rsid w:val="00A861AA"/>
    <w:rsid w:val="00A86DBF"/>
    <w:rsid w:val="00A87031"/>
    <w:rsid w:val="00A87684"/>
    <w:rsid w:val="00A87B26"/>
    <w:rsid w:val="00A90376"/>
    <w:rsid w:val="00A909C5"/>
    <w:rsid w:val="00A90E1E"/>
    <w:rsid w:val="00A9174C"/>
    <w:rsid w:val="00A91E9E"/>
    <w:rsid w:val="00A929A8"/>
    <w:rsid w:val="00A92EF3"/>
    <w:rsid w:val="00A933DC"/>
    <w:rsid w:val="00A93B0A"/>
    <w:rsid w:val="00A93D7F"/>
    <w:rsid w:val="00A94AB1"/>
    <w:rsid w:val="00A9529D"/>
    <w:rsid w:val="00A955D8"/>
    <w:rsid w:val="00A95CF4"/>
    <w:rsid w:val="00A963E1"/>
    <w:rsid w:val="00A96469"/>
    <w:rsid w:val="00A964B7"/>
    <w:rsid w:val="00A967E6"/>
    <w:rsid w:val="00A967F9"/>
    <w:rsid w:val="00A96AE7"/>
    <w:rsid w:val="00A96B1B"/>
    <w:rsid w:val="00A96E03"/>
    <w:rsid w:val="00A97304"/>
    <w:rsid w:val="00A97449"/>
    <w:rsid w:val="00A97EC9"/>
    <w:rsid w:val="00A97F9D"/>
    <w:rsid w:val="00AA0E7D"/>
    <w:rsid w:val="00AA129A"/>
    <w:rsid w:val="00AA3459"/>
    <w:rsid w:val="00AA345C"/>
    <w:rsid w:val="00AA3473"/>
    <w:rsid w:val="00AA3784"/>
    <w:rsid w:val="00AA399E"/>
    <w:rsid w:val="00AA44DC"/>
    <w:rsid w:val="00AA53D2"/>
    <w:rsid w:val="00AA549A"/>
    <w:rsid w:val="00AA5522"/>
    <w:rsid w:val="00AA5750"/>
    <w:rsid w:val="00AA62A6"/>
    <w:rsid w:val="00AA7196"/>
    <w:rsid w:val="00AA7265"/>
    <w:rsid w:val="00AA745A"/>
    <w:rsid w:val="00AA7C97"/>
    <w:rsid w:val="00AB26B8"/>
    <w:rsid w:val="00AB2AA8"/>
    <w:rsid w:val="00AB363F"/>
    <w:rsid w:val="00AB3AD7"/>
    <w:rsid w:val="00AB3C82"/>
    <w:rsid w:val="00AB41D0"/>
    <w:rsid w:val="00AB56EE"/>
    <w:rsid w:val="00AB5F4D"/>
    <w:rsid w:val="00AB6811"/>
    <w:rsid w:val="00AB7185"/>
    <w:rsid w:val="00AB71D7"/>
    <w:rsid w:val="00AC010E"/>
    <w:rsid w:val="00AC0A5D"/>
    <w:rsid w:val="00AC1329"/>
    <w:rsid w:val="00AC15EC"/>
    <w:rsid w:val="00AC1896"/>
    <w:rsid w:val="00AC25BB"/>
    <w:rsid w:val="00AC398A"/>
    <w:rsid w:val="00AC41EF"/>
    <w:rsid w:val="00AC4406"/>
    <w:rsid w:val="00AC448C"/>
    <w:rsid w:val="00AC44B7"/>
    <w:rsid w:val="00AC51F9"/>
    <w:rsid w:val="00AC52B7"/>
    <w:rsid w:val="00AC55D4"/>
    <w:rsid w:val="00AC5D9B"/>
    <w:rsid w:val="00AC615D"/>
    <w:rsid w:val="00AC692D"/>
    <w:rsid w:val="00AC6DD7"/>
    <w:rsid w:val="00AC6E63"/>
    <w:rsid w:val="00AC7418"/>
    <w:rsid w:val="00AC74F4"/>
    <w:rsid w:val="00AC7704"/>
    <w:rsid w:val="00AC7E61"/>
    <w:rsid w:val="00AD063A"/>
    <w:rsid w:val="00AD0DD2"/>
    <w:rsid w:val="00AD0DD4"/>
    <w:rsid w:val="00AD113E"/>
    <w:rsid w:val="00AD14E5"/>
    <w:rsid w:val="00AD20C1"/>
    <w:rsid w:val="00AD291F"/>
    <w:rsid w:val="00AD37FD"/>
    <w:rsid w:val="00AD3D26"/>
    <w:rsid w:val="00AD404B"/>
    <w:rsid w:val="00AD4190"/>
    <w:rsid w:val="00AD4444"/>
    <w:rsid w:val="00AD482C"/>
    <w:rsid w:val="00AD4BC8"/>
    <w:rsid w:val="00AD5463"/>
    <w:rsid w:val="00AD5558"/>
    <w:rsid w:val="00AD5597"/>
    <w:rsid w:val="00AD593E"/>
    <w:rsid w:val="00AD60DC"/>
    <w:rsid w:val="00AD6FDD"/>
    <w:rsid w:val="00AD73F9"/>
    <w:rsid w:val="00AD79A2"/>
    <w:rsid w:val="00AD7A37"/>
    <w:rsid w:val="00AD7DFF"/>
    <w:rsid w:val="00AE15FA"/>
    <w:rsid w:val="00AE206C"/>
    <w:rsid w:val="00AE2AF1"/>
    <w:rsid w:val="00AE2B60"/>
    <w:rsid w:val="00AE2D90"/>
    <w:rsid w:val="00AE2E4C"/>
    <w:rsid w:val="00AE347F"/>
    <w:rsid w:val="00AE37D9"/>
    <w:rsid w:val="00AE38C2"/>
    <w:rsid w:val="00AE4BB7"/>
    <w:rsid w:val="00AE57CB"/>
    <w:rsid w:val="00AE5FC6"/>
    <w:rsid w:val="00AE6327"/>
    <w:rsid w:val="00AE6B31"/>
    <w:rsid w:val="00AE6F5C"/>
    <w:rsid w:val="00AE703D"/>
    <w:rsid w:val="00AF08AC"/>
    <w:rsid w:val="00AF0A7E"/>
    <w:rsid w:val="00AF0FF8"/>
    <w:rsid w:val="00AF18A3"/>
    <w:rsid w:val="00AF241F"/>
    <w:rsid w:val="00AF25D8"/>
    <w:rsid w:val="00AF2929"/>
    <w:rsid w:val="00AF313C"/>
    <w:rsid w:val="00AF35ED"/>
    <w:rsid w:val="00AF3746"/>
    <w:rsid w:val="00AF3D76"/>
    <w:rsid w:val="00AF5B0B"/>
    <w:rsid w:val="00AF6A15"/>
    <w:rsid w:val="00AF6A5F"/>
    <w:rsid w:val="00AF6FD5"/>
    <w:rsid w:val="00AF7549"/>
    <w:rsid w:val="00AF7815"/>
    <w:rsid w:val="00AF7CDB"/>
    <w:rsid w:val="00B002CE"/>
    <w:rsid w:val="00B00DF8"/>
    <w:rsid w:val="00B012C8"/>
    <w:rsid w:val="00B01BE6"/>
    <w:rsid w:val="00B0236A"/>
    <w:rsid w:val="00B02395"/>
    <w:rsid w:val="00B025AE"/>
    <w:rsid w:val="00B02E0B"/>
    <w:rsid w:val="00B03239"/>
    <w:rsid w:val="00B04041"/>
    <w:rsid w:val="00B041A7"/>
    <w:rsid w:val="00B048A4"/>
    <w:rsid w:val="00B04A49"/>
    <w:rsid w:val="00B04B81"/>
    <w:rsid w:val="00B04F70"/>
    <w:rsid w:val="00B0563A"/>
    <w:rsid w:val="00B056DF"/>
    <w:rsid w:val="00B05AA8"/>
    <w:rsid w:val="00B05DDE"/>
    <w:rsid w:val="00B064CD"/>
    <w:rsid w:val="00B06720"/>
    <w:rsid w:val="00B06A62"/>
    <w:rsid w:val="00B06ACD"/>
    <w:rsid w:val="00B07090"/>
    <w:rsid w:val="00B106CF"/>
    <w:rsid w:val="00B10732"/>
    <w:rsid w:val="00B107B0"/>
    <w:rsid w:val="00B10A31"/>
    <w:rsid w:val="00B11118"/>
    <w:rsid w:val="00B117BF"/>
    <w:rsid w:val="00B12415"/>
    <w:rsid w:val="00B12FF9"/>
    <w:rsid w:val="00B13347"/>
    <w:rsid w:val="00B1363A"/>
    <w:rsid w:val="00B13C27"/>
    <w:rsid w:val="00B13FC2"/>
    <w:rsid w:val="00B14B27"/>
    <w:rsid w:val="00B14B98"/>
    <w:rsid w:val="00B14DC0"/>
    <w:rsid w:val="00B14EBA"/>
    <w:rsid w:val="00B14FC4"/>
    <w:rsid w:val="00B168D2"/>
    <w:rsid w:val="00B17133"/>
    <w:rsid w:val="00B17840"/>
    <w:rsid w:val="00B17D61"/>
    <w:rsid w:val="00B204F6"/>
    <w:rsid w:val="00B206B6"/>
    <w:rsid w:val="00B2082C"/>
    <w:rsid w:val="00B20A71"/>
    <w:rsid w:val="00B20C75"/>
    <w:rsid w:val="00B20FFD"/>
    <w:rsid w:val="00B21104"/>
    <w:rsid w:val="00B219A9"/>
    <w:rsid w:val="00B21BA9"/>
    <w:rsid w:val="00B21BE5"/>
    <w:rsid w:val="00B21E69"/>
    <w:rsid w:val="00B21F1F"/>
    <w:rsid w:val="00B2286A"/>
    <w:rsid w:val="00B22971"/>
    <w:rsid w:val="00B23376"/>
    <w:rsid w:val="00B23424"/>
    <w:rsid w:val="00B23ABD"/>
    <w:rsid w:val="00B23F3D"/>
    <w:rsid w:val="00B2426F"/>
    <w:rsid w:val="00B24CDA"/>
    <w:rsid w:val="00B25125"/>
    <w:rsid w:val="00B259E9"/>
    <w:rsid w:val="00B25D03"/>
    <w:rsid w:val="00B26265"/>
    <w:rsid w:val="00B276A8"/>
    <w:rsid w:val="00B279D4"/>
    <w:rsid w:val="00B27E3B"/>
    <w:rsid w:val="00B30097"/>
    <w:rsid w:val="00B300B8"/>
    <w:rsid w:val="00B30179"/>
    <w:rsid w:val="00B307AB"/>
    <w:rsid w:val="00B307FA"/>
    <w:rsid w:val="00B3093A"/>
    <w:rsid w:val="00B31B8D"/>
    <w:rsid w:val="00B31C71"/>
    <w:rsid w:val="00B32956"/>
    <w:rsid w:val="00B329AE"/>
    <w:rsid w:val="00B333A6"/>
    <w:rsid w:val="00B33750"/>
    <w:rsid w:val="00B33975"/>
    <w:rsid w:val="00B339C5"/>
    <w:rsid w:val="00B33DC9"/>
    <w:rsid w:val="00B33F59"/>
    <w:rsid w:val="00B34CD0"/>
    <w:rsid w:val="00B34D3A"/>
    <w:rsid w:val="00B34E92"/>
    <w:rsid w:val="00B353AF"/>
    <w:rsid w:val="00B3592B"/>
    <w:rsid w:val="00B359B3"/>
    <w:rsid w:val="00B35E21"/>
    <w:rsid w:val="00B35FE9"/>
    <w:rsid w:val="00B368E0"/>
    <w:rsid w:val="00B36A65"/>
    <w:rsid w:val="00B36E68"/>
    <w:rsid w:val="00B372A1"/>
    <w:rsid w:val="00B37BE6"/>
    <w:rsid w:val="00B4064B"/>
    <w:rsid w:val="00B41F31"/>
    <w:rsid w:val="00B422DE"/>
    <w:rsid w:val="00B4282A"/>
    <w:rsid w:val="00B42E74"/>
    <w:rsid w:val="00B43C28"/>
    <w:rsid w:val="00B43D25"/>
    <w:rsid w:val="00B43E32"/>
    <w:rsid w:val="00B44189"/>
    <w:rsid w:val="00B441EE"/>
    <w:rsid w:val="00B451E6"/>
    <w:rsid w:val="00B4520F"/>
    <w:rsid w:val="00B4535A"/>
    <w:rsid w:val="00B45550"/>
    <w:rsid w:val="00B4575B"/>
    <w:rsid w:val="00B466A2"/>
    <w:rsid w:val="00B46CC4"/>
    <w:rsid w:val="00B47F34"/>
    <w:rsid w:val="00B50198"/>
    <w:rsid w:val="00B5038A"/>
    <w:rsid w:val="00B5076D"/>
    <w:rsid w:val="00B507C2"/>
    <w:rsid w:val="00B50B11"/>
    <w:rsid w:val="00B510AB"/>
    <w:rsid w:val="00B514D5"/>
    <w:rsid w:val="00B51A1C"/>
    <w:rsid w:val="00B524AF"/>
    <w:rsid w:val="00B535BA"/>
    <w:rsid w:val="00B53637"/>
    <w:rsid w:val="00B53A98"/>
    <w:rsid w:val="00B543A0"/>
    <w:rsid w:val="00B54579"/>
    <w:rsid w:val="00B54723"/>
    <w:rsid w:val="00B5495C"/>
    <w:rsid w:val="00B5561D"/>
    <w:rsid w:val="00B55CC9"/>
    <w:rsid w:val="00B565C7"/>
    <w:rsid w:val="00B56666"/>
    <w:rsid w:val="00B56EE0"/>
    <w:rsid w:val="00B57508"/>
    <w:rsid w:val="00B60166"/>
    <w:rsid w:val="00B602CB"/>
    <w:rsid w:val="00B6069E"/>
    <w:rsid w:val="00B610B1"/>
    <w:rsid w:val="00B6171A"/>
    <w:rsid w:val="00B62230"/>
    <w:rsid w:val="00B62903"/>
    <w:rsid w:val="00B62CA2"/>
    <w:rsid w:val="00B62EA6"/>
    <w:rsid w:val="00B632DB"/>
    <w:rsid w:val="00B644F1"/>
    <w:rsid w:val="00B6485B"/>
    <w:rsid w:val="00B64DDD"/>
    <w:rsid w:val="00B6507A"/>
    <w:rsid w:val="00B6581F"/>
    <w:rsid w:val="00B65A2C"/>
    <w:rsid w:val="00B65AE3"/>
    <w:rsid w:val="00B65CF9"/>
    <w:rsid w:val="00B66346"/>
    <w:rsid w:val="00B66614"/>
    <w:rsid w:val="00B6667F"/>
    <w:rsid w:val="00B666DA"/>
    <w:rsid w:val="00B66C1D"/>
    <w:rsid w:val="00B66C4F"/>
    <w:rsid w:val="00B66EB4"/>
    <w:rsid w:val="00B710D0"/>
    <w:rsid w:val="00B71130"/>
    <w:rsid w:val="00B71D54"/>
    <w:rsid w:val="00B727F3"/>
    <w:rsid w:val="00B7283F"/>
    <w:rsid w:val="00B7297A"/>
    <w:rsid w:val="00B729EF"/>
    <w:rsid w:val="00B72B28"/>
    <w:rsid w:val="00B73578"/>
    <w:rsid w:val="00B7368A"/>
    <w:rsid w:val="00B74737"/>
    <w:rsid w:val="00B74EA8"/>
    <w:rsid w:val="00B74F40"/>
    <w:rsid w:val="00B75018"/>
    <w:rsid w:val="00B75432"/>
    <w:rsid w:val="00B75A68"/>
    <w:rsid w:val="00B761CA"/>
    <w:rsid w:val="00B761E8"/>
    <w:rsid w:val="00B76397"/>
    <w:rsid w:val="00B765B6"/>
    <w:rsid w:val="00B76E73"/>
    <w:rsid w:val="00B775B3"/>
    <w:rsid w:val="00B7785D"/>
    <w:rsid w:val="00B77BA9"/>
    <w:rsid w:val="00B77F45"/>
    <w:rsid w:val="00B81353"/>
    <w:rsid w:val="00B813E3"/>
    <w:rsid w:val="00B813EB"/>
    <w:rsid w:val="00B8163D"/>
    <w:rsid w:val="00B81C07"/>
    <w:rsid w:val="00B82BFA"/>
    <w:rsid w:val="00B82C2A"/>
    <w:rsid w:val="00B82FF3"/>
    <w:rsid w:val="00B83688"/>
    <w:rsid w:val="00B83C7A"/>
    <w:rsid w:val="00B84002"/>
    <w:rsid w:val="00B8404C"/>
    <w:rsid w:val="00B84115"/>
    <w:rsid w:val="00B84668"/>
    <w:rsid w:val="00B8466F"/>
    <w:rsid w:val="00B852EB"/>
    <w:rsid w:val="00B8697B"/>
    <w:rsid w:val="00B86E63"/>
    <w:rsid w:val="00B86F37"/>
    <w:rsid w:val="00B87132"/>
    <w:rsid w:val="00B872F3"/>
    <w:rsid w:val="00B903B3"/>
    <w:rsid w:val="00B90542"/>
    <w:rsid w:val="00B90904"/>
    <w:rsid w:val="00B91318"/>
    <w:rsid w:val="00B9133D"/>
    <w:rsid w:val="00B91490"/>
    <w:rsid w:val="00B91798"/>
    <w:rsid w:val="00B917B2"/>
    <w:rsid w:val="00B918BE"/>
    <w:rsid w:val="00B92558"/>
    <w:rsid w:val="00B9299F"/>
    <w:rsid w:val="00B930C1"/>
    <w:rsid w:val="00B937FA"/>
    <w:rsid w:val="00B93A83"/>
    <w:rsid w:val="00B94262"/>
    <w:rsid w:val="00B94914"/>
    <w:rsid w:val="00B94F9D"/>
    <w:rsid w:val="00B95352"/>
    <w:rsid w:val="00B95521"/>
    <w:rsid w:val="00B95D5F"/>
    <w:rsid w:val="00B96563"/>
    <w:rsid w:val="00B96C1E"/>
    <w:rsid w:val="00B9727F"/>
    <w:rsid w:val="00B97762"/>
    <w:rsid w:val="00B97A02"/>
    <w:rsid w:val="00B97AF9"/>
    <w:rsid w:val="00B97CFC"/>
    <w:rsid w:val="00B97DFC"/>
    <w:rsid w:val="00B97F7B"/>
    <w:rsid w:val="00B97FE8"/>
    <w:rsid w:val="00BA073E"/>
    <w:rsid w:val="00BA0CFA"/>
    <w:rsid w:val="00BA0F34"/>
    <w:rsid w:val="00BA16DD"/>
    <w:rsid w:val="00BA1830"/>
    <w:rsid w:val="00BA21A2"/>
    <w:rsid w:val="00BA30A9"/>
    <w:rsid w:val="00BA3D68"/>
    <w:rsid w:val="00BA4313"/>
    <w:rsid w:val="00BA4CD6"/>
    <w:rsid w:val="00BA5892"/>
    <w:rsid w:val="00BA5D0F"/>
    <w:rsid w:val="00BA5E9C"/>
    <w:rsid w:val="00BA6A50"/>
    <w:rsid w:val="00BA739D"/>
    <w:rsid w:val="00BA7591"/>
    <w:rsid w:val="00BA79B8"/>
    <w:rsid w:val="00BB0323"/>
    <w:rsid w:val="00BB04F7"/>
    <w:rsid w:val="00BB0B85"/>
    <w:rsid w:val="00BB11FA"/>
    <w:rsid w:val="00BB1CE9"/>
    <w:rsid w:val="00BB231A"/>
    <w:rsid w:val="00BB264D"/>
    <w:rsid w:val="00BB4BF4"/>
    <w:rsid w:val="00BB4CCB"/>
    <w:rsid w:val="00BB4D64"/>
    <w:rsid w:val="00BB5A7E"/>
    <w:rsid w:val="00BB6401"/>
    <w:rsid w:val="00BB6D1B"/>
    <w:rsid w:val="00BB6E5B"/>
    <w:rsid w:val="00BB6FBF"/>
    <w:rsid w:val="00BB74BB"/>
    <w:rsid w:val="00BB7C23"/>
    <w:rsid w:val="00BB7DC3"/>
    <w:rsid w:val="00BC00EF"/>
    <w:rsid w:val="00BC0309"/>
    <w:rsid w:val="00BC0970"/>
    <w:rsid w:val="00BC0B82"/>
    <w:rsid w:val="00BC0E2A"/>
    <w:rsid w:val="00BC1273"/>
    <w:rsid w:val="00BC1286"/>
    <w:rsid w:val="00BC15FB"/>
    <w:rsid w:val="00BC26FE"/>
    <w:rsid w:val="00BC2839"/>
    <w:rsid w:val="00BC38E5"/>
    <w:rsid w:val="00BC3AFD"/>
    <w:rsid w:val="00BC3E3B"/>
    <w:rsid w:val="00BC453F"/>
    <w:rsid w:val="00BC48A1"/>
    <w:rsid w:val="00BC4A05"/>
    <w:rsid w:val="00BC4BC4"/>
    <w:rsid w:val="00BC4FA5"/>
    <w:rsid w:val="00BC5310"/>
    <w:rsid w:val="00BC575D"/>
    <w:rsid w:val="00BC58A3"/>
    <w:rsid w:val="00BC5E43"/>
    <w:rsid w:val="00BC5E96"/>
    <w:rsid w:val="00BC6698"/>
    <w:rsid w:val="00BC6CB8"/>
    <w:rsid w:val="00BC6E9C"/>
    <w:rsid w:val="00BC7571"/>
    <w:rsid w:val="00BC79CA"/>
    <w:rsid w:val="00BC7DF6"/>
    <w:rsid w:val="00BD001D"/>
    <w:rsid w:val="00BD09D0"/>
    <w:rsid w:val="00BD0CCF"/>
    <w:rsid w:val="00BD0DFC"/>
    <w:rsid w:val="00BD130E"/>
    <w:rsid w:val="00BD18FF"/>
    <w:rsid w:val="00BD1F48"/>
    <w:rsid w:val="00BD2172"/>
    <w:rsid w:val="00BD28A6"/>
    <w:rsid w:val="00BD3557"/>
    <w:rsid w:val="00BD3635"/>
    <w:rsid w:val="00BD3A66"/>
    <w:rsid w:val="00BD3AB4"/>
    <w:rsid w:val="00BD42FA"/>
    <w:rsid w:val="00BD4334"/>
    <w:rsid w:val="00BD43AB"/>
    <w:rsid w:val="00BD462E"/>
    <w:rsid w:val="00BD4847"/>
    <w:rsid w:val="00BD5262"/>
    <w:rsid w:val="00BD585F"/>
    <w:rsid w:val="00BD6681"/>
    <w:rsid w:val="00BD6D41"/>
    <w:rsid w:val="00BD70A3"/>
    <w:rsid w:val="00BD72D1"/>
    <w:rsid w:val="00BD7AC9"/>
    <w:rsid w:val="00BD7F25"/>
    <w:rsid w:val="00BE0ACF"/>
    <w:rsid w:val="00BE0D21"/>
    <w:rsid w:val="00BE0FBA"/>
    <w:rsid w:val="00BE108A"/>
    <w:rsid w:val="00BE181F"/>
    <w:rsid w:val="00BE1F64"/>
    <w:rsid w:val="00BE2587"/>
    <w:rsid w:val="00BE2C93"/>
    <w:rsid w:val="00BE3699"/>
    <w:rsid w:val="00BE3F64"/>
    <w:rsid w:val="00BE410D"/>
    <w:rsid w:val="00BE41A9"/>
    <w:rsid w:val="00BE4A28"/>
    <w:rsid w:val="00BE4E16"/>
    <w:rsid w:val="00BE58C4"/>
    <w:rsid w:val="00BE6799"/>
    <w:rsid w:val="00BE6AC9"/>
    <w:rsid w:val="00BE6FCD"/>
    <w:rsid w:val="00BE7A22"/>
    <w:rsid w:val="00BE7CD0"/>
    <w:rsid w:val="00BE7E47"/>
    <w:rsid w:val="00BF01BB"/>
    <w:rsid w:val="00BF02E6"/>
    <w:rsid w:val="00BF0420"/>
    <w:rsid w:val="00BF0792"/>
    <w:rsid w:val="00BF0B8E"/>
    <w:rsid w:val="00BF0CA4"/>
    <w:rsid w:val="00BF0D20"/>
    <w:rsid w:val="00BF0D3A"/>
    <w:rsid w:val="00BF2C87"/>
    <w:rsid w:val="00BF2D00"/>
    <w:rsid w:val="00BF3225"/>
    <w:rsid w:val="00BF35B3"/>
    <w:rsid w:val="00BF3BD6"/>
    <w:rsid w:val="00BF4181"/>
    <w:rsid w:val="00BF4590"/>
    <w:rsid w:val="00BF4E77"/>
    <w:rsid w:val="00BF57E9"/>
    <w:rsid w:val="00BF5D5E"/>
    <w:rsid w:val="00BF61E7"/>
    <w:rsid w:val="00BF6322"/>
    <w:rsid w:val="00BF7D8B"/>
    <w:rsid w:val="00C00263"/>
    <w:rsid w:val="00C002A1"/>
    <w:rsid w:val="00C00AC5"/>
    <w:rsid w:val="00C00E5F"/>
    <w:rsid w:val="00C0159E"/>
    <w:rsid w:val="00C01DC8"/>
    <w:rsid w:val="00C02057"/>
    <w:rsid w:val="00C021E0"/>
    <w:rsid w:val="00C024A9"/>
    <w:rsid w:val="00C025C1"/>
    <w:rsid w:val="00C03130"/>
    <w:rsid w:val="00C035EB"/>
    <w:rsid w:val="00C03C78"/>
    <w:rsid w:val="00C03D94"/>
    <w:rsid w:val="00C03DAB"/>
    <w:rsid w:val="00C03EB9"/>
    <w:rsid w:val="00C04557"/>
    <w:rsid w:val="00C05258"/>
    <w:rsid w:val="00C055B7"/>
    <w:rsid w:val="00C05917"/>
    <w:rsid w:val="00C05E06"/>
    <w:rsid w:val="00C0638D"/>
    <w:rsid w:val="00C065E9"/>
    <w:rsid w:val="00C07960"/>
    <w:rsid w:val="00C07F0C"/>
    <w:rsid w:val="00C10AED"/>
    <w:rsid w:val="00C10B94"/>
    <w:rsid w:val="00C115E1"/>
    <w:rsid w:val="00C116F4"/>
    <w:rsid w:val="00C11962"/>
    <w:rsid w:val="00C119C5"/>
    <w:rsid w:val="00C129D7"/>
    <w:rsid w:val="00C12AF7"/>
    <w:rsid w:val="00C12F1E"/>
    <w:rsid w:val="00C132E1"/>
    <w:rsid w:val="00C13A0C"/>
    <w:rsid w:val="00C13CA2"/>
    <w:rsid w:val="00C14461"/>
    <w:rsid w:val="00C15225"/>
    <w:rsid w:val="00C1527C"/>
    <w:rsid w:val="00C154FB"/>
    <w:rsid w:val="00C1592D"/>
    <w:rsid w:val="00C15CDD"/>
    <w:rsid w:val="00C16B40"/>
    <w:rsid w:val="00C173C1"/>
    <w:rsid w:val="00C20FC3"/>
    <w:rsid w:val="00C20FD4"/>
    <w:rsid w:val="00C21009"/>
    <w:rsid w:val="00C21144"/>
    <w:rsid w:val="00C21EB1"/>
    <w:rsid w:val="00C21F20"/>
    <w:rsid w:val="00C2212B"/>
    <w:rsid w:val="00C22AE9"/>
    <w:rsid w:val="00C23963"/>
    <w:rsid w:val="00C23F9D"/>
    <w:rsid w:val="00C241D0"/>
    <w:rsid w:val="00C242F3"/>
    <w:rsid w:val="00C246FA"/>
    <w:rsid w:val="00C268F9"/>
    <w:rsid w:val="00C26AEA"/>
    <w:rsid w:val="00C26DA5"/>
    <w:rsid w:val="00C272A5"/>
    <w:rsid w:val="00C272D2"/>
    <w:rsid w:val="00C27480"/>
    <w:rsid w:val="00C27497"/>
    <w:rsid w:val="00C30B9E"/>
    <w:rsid w:val="00C30CD1"/>
    <w:rsid w:val="00C30E26"/>
    <w:rsid w:val="00C31008"/>
    <w:rsid w:val="00C316DA"/>
    <w:rsid w:val="00C31B9E"/>
    <w:rsid w:val="00C3247F"/>
    <w:rsid w:val="00C3251B"/>
    <w:rsid w:val="00C32DD1"/>
    <w:rsid w:val="00C32E9B"/>
    <w:rsid w:val="00C3346A"/>
    <w:rsid w:val="00C33ABE"/>
    <w:rsid w:val="00C342BE"/>
    <w:rsid w:val="00C3534D"/>
    <w:rsid w:val="00C3564D"/>
    <w:rsid w:val="00C36E00"/>
    <w:rsid w:val="00C37002"/>
    <w:rsid w:val="00C37208"/>
    <w:rsid w:val="00C378A1"/>
    <w:rsid w:val="00C37CF7"/>
    <w:rsid w:val="00C4007C"/>
    <w:rsid w:val="00C40410"/>
    <w:rsid w:val="00C40BAE"/>
    <w:rsid w:val="00C40D96"/>
    <w:rsid w:val="00C4151E"/>
    <w:rsid w:val="00C41705"/>
    <w:rsid w:val="00C41A7C"/>
    <w:rsid w:val="00C42697"/>
    <w:rsid w:val="00C42711"/>
    <w:rsid w:val="00C42A8E"/>
    <w:rsid w:val="00C42DA7"/>
    <w:rsid w:val="00C42F46"/>
    <w:rsid w:val="00C43290"/>
    <w:rsid w:val="00C4373B"/>
    <w:rsid w:val="00C43B86"/>
    <w:rsid w:val="00C450E7"/>
    <w:rsid w:val="00C4667C"/>
    <w:rsid w:val="00C46977"/>
    <w:rsid w:val="00C47102"/>
    <w:rsid w:val="00C47438"/>
    <w:rsid w:val="00C47987"/>
    <w:rsid w:val="00C5005B"/>
    <w:rsid w:val="00C5029D"/>
    <w:rsid w:val="00C50726"/>
    <w:rsid w:val="00C50F09"/>
    <w:rsid w:val="00C52282"/>
    <w:rsid w:val="00C522B2"/>
    <w:rsid w:val="00C52D5B"/>
    <w:rsid w:val="00C52E1E"/>
    <w:rsid w:val="00C53F01"/>
    <w:rsid w:val="00C54019"/>
    <w:rsid w:val="00C54283"/>
    <w:rsid w:val="00C5446F"/>
    <w:rsid w:val="00C5469E"/>
    <w:rsid w:val="00C54783"/>
    <w:rsid w:val="00C54C4C"/>
    <w:rsid w:val="00C550BC"/>
    <w:rsid w:val="00C552FA"/>
    <w:rsid w:val="00C553F1"/>
    <w:rsid w:val="00C557EE"/>
    <w:rsid w:val="00C562C1"/>
    <w:rsid w:val="00C56692"/>
    <w:rsid w:val="00C57240"/>
    <w:rsid w:val="00C57973"/>
    <w:rsid w:val="00C579CB"/>
    <w:rsid w:val="00C57A95"/>
    <w:rsid w:val="00C60391"/>
    <w:rsid w:val="00C608C6"/>
    <w:rsid w:val="00C60F9F"/>
    <w:rsid w:val="00C61293"/>
    <w:rsid w:val="00C616E3"/>
    <w:rsid w:val="00C61D87"/>
    <w:rsid w:val="00C6234B"/>
    <w:rsid w:val="00C629D5"/>
    <w:rsid w:val="00C63121"/>
    <w:rsid w:val="00C6393D"/>
    <w:rsid w:val="00C63A85"/>
    <w:rsid w:val="00C6452F"/>
    <w:rsid w:val="00C64AD5"/>
    <w:rsid w:val="00C6507C"/>
    <w:rsid w:val="00C65319"/>
    <w:rsid w:val="00C653AE"/>
    <w:rsid w:val="00C65DB6"/>
    <w:rsid w:val="00C66803"/>
    <w:rsid w:val="00C6687F"/>
    <w:rsid w:val="00C668DE"/>
    <w:rsid w:val="00C674A5"/>
    <w:rsid w:val="00C678A1"/>
    <w:rsid w:val="00C7040B"/>
    <w:rsid w:val="00C706D1"/>
    <w:rsid w:val="00C70774"/>
    <w:rsid w:val="00C707B9"/>
    <w:rsid w:val="00C70BDC"/>
    <w:rsid w:val="00C70D5A"/>
    <w:rsid w:val="00C717D5"/>
    <w:rsid w:val="00C71C69"/>
    <w:rsid w:val="00C71CCD"/>
    <w:rsid w:val="00C72253"/>
    <w:rsid w:val="00C73D38"/>
    <w:rsid w:val="00C73E2E"/>
    <w:rsid w:val="00C74105"/>
    <w:rsid w:val="00C751CC"/>
    <w:rsid w:val="00C75923"/>
    <w:rsid w:val="00C76165"/>
    <w:rsid w:val="00C76A42"/>
    <w:rsid w:val="00C77394"/>
    <w:rsid w:val="00C773D0"/>
    <w:rsid w:val="00C778AC"/>
    <w:rsid w:val="00C77E57"/>
    <w:rsid w:val="00C77EC7"/>
    <w:rsid w:val="00C80227"/>
    <w:rsid w:val="00C8025F"/>
    <w:rsid w:val="00C8055F"/>
    <w:rsid w:val="00C80D49"/>
    <w:rsid w:val="00C81009"/>
    <w:rsid w:val="00C81189"/>
    <w:rsid w:val="00C81409"/>
    <w:rsid w:val="00C817BD"/>
    <w:rsid w:val="00C82B54"/>
    <w:rsid w:val="00C82D84"/>
    <w:rsid w:val="00C82F89"/>
    <w:rsid w:val="00C8302A"/>
    <w:rsid w:val="00C83174"/>
    <w:rsid w:val="00C83D91"/>
    <w:rsid w:val="00C8404E"/>
    <w:rsid w:val="00C841BC"/>
    <w:rsid w:val="00C84D40"/>
    <w:rsid w:val="00C84F95"/>
    <w:rsid w:val="00C85216"/>
    <w:rsid w:val="00C8568B"/>
    <w:rsid w:val="00C85B07"/>
    <w:rsid w:val="00C8603D"/>
    <w:rsid w:val="00C8709C"/>
    <w:rsid w:val="00C87205"/>
    <w:rsid w:val="00C87227"/>
    <w:rsid w:val="00C87C7B"/>
    <w:rsid w:val="00C87DC5"/>
    <w:rsid w:val="00C901D7"/>
    <w:rsid w:val="00C90574"/>
    <w:rsid w:val="00C911D6"/>
    <w:rsid w:val="00C9124A"/>
    <w:rsid w:val="00C91B6D"/>
    <w:rsid w:val="00C91BF0"/>
    <w:rsid w:val="00C91C26"/>
    <w:rsid w:val="00C91C51"/>
    <w:rsid w:val="00C91C7E"/>
    <w:rsid w:val="00C91DEE"/>
    <w:rsid w:val="00C92A53"/>
    <w:rsid w:val="00C92ACF"/>
    <w:rsid w:val="00C92B0F"/>
    <w:rsid w:val="00C935AA"/>
    <w:rsid w:val="00C939E9"/>
    <w:rsid w:val="00C93A6C"/>
    <w:rsid w:val="00C93AEF"/>
    <w:rsid w:val="00C93D5A"/>
    <w:rsid w:val="00C94CCC"/>
    <w:rsid w:val="00C94CCE"/>
    <w:rsid w:val="00C95704"/>
    <w:rsid w:val="00C95C21"/>
    <w:rsid w:val="00C96583"/>
    <w:rsid w:val="00C96969"/>
    <w:rsid w:val="00C97345"/>
    <w:rsid w:val="00CA02A3"/>
    <w:rsid w:val="00CA0608"/>
    <w:rsid w:val="00CA092E"/>
    <w:rsid w:val="00CA099C"/>
    <w:rsid w:val="00CA0FE4"/>
    <w:rsid w:val="00CA191D"/>
    <w:rsid w:val="00CA19C9"/>
    <w:rsid w:val="00CA2091"/>
    <w:rsid w:val="00CA216A"/>
    <w:rsid w:val="00CA26BA"/>
    <w:rsid w:val="00CA3ABB"/>
    <w:rsid w:val="00CA3C25"/>
    <w:rsid w:val="00CA467B"/>
    <w:rsid w:val="00CA4D4F"/>
    <w:rsid w:val="00CA54D8"/>
    <w:rsid w:val="00CA5CE2"/>
    <w:rsid w:val="00CA5DBE"/>
    <w:rsid w:val="00CA5FF9"/>
    <w:rsid w:val="00CA6DCC"/>
    <w:rsid w:val="00CA6FF0"/>
    <w:rsid w:val="00CA78A7"/>
    <w:rsid w:val="00CB0472"/>
    <w:rsid w:val="00CB07F3"/>
    <w:rsid w:val="00CB0A25"/>
    <w:rsid w:val="00CB13EB"/>
    <w:rsid w:val="00CB19A7"/>
    <w:rsid w:val="00CB219B"/>
    <w:rsid w:val="00CB3301"/>
    <w:rsid w:val="00CB3AB8"/>
    <w:rsid w:val="00CB3ACF"/>
    <w:rsid w:val="00CB44F0"/>
    <w:rsid w:val="00CB45EE"/>
    <w:rsid w:val="00CB466F"/>
    <w:rsid w:val="00CB4B7C"/>
    <w:rsid w:val="00CB4E87"/>
    <w:rsid w:val="00CB506C"/>
    <w:rsid w:val="00CB535F"/>
    <w:rsid w:val="00CB55B4"/>
    <w:rsid w:val="00CB6147"/>
    <w:rsid w:val="00CB61B8"/>
    <w:rsid w:val="00CB6547"/>
    <w:rsid w:val="00CB65A1"/>
    <w:rsid w:val="00CB66E7"/>
    <w:rsid w:val="00CB6ADB"/>
    <w:rsid w:val="00CB6BD9"/>
    <w:rsid w:val="00CB6FD3"/>
    <w:rsid w:val="00CB7021"/>
    <w:rsid w:val="00CB71EE"/>
    <w:rsid w:val="00CB749A"/>
    <w:rsid w:val="00CB74FB"/>
    <w:rsid w:val="00CB7761"/>
    <w:rsid w:val="00CB77AA"/>
    <w:rsid w:val="00CC0814"/>
    <w:rsid w:val="00CC1644"/>
    <w:rsid w:val="00CC1AC8"/>
    <w:rsid w:val="00CC1B21"/>
    <w:rsid w:val="00CC23B3"/>
    <w:rsid w:val="00CC2422"/>
    <w:rsid w:val="00CC2EFB"/>
    <w:rsid w:val="00CC2F0D"/>
    <w:rsid w:val="00CC36F3"/>
    <w:rsid w:val="00CC3BED"/>
    <w:rsid w:val="00CC3C72"/>
    <w:rsid w:val="00CC47CE"/>
    <w:rsid w:val="00CC4C13"/>
    <w:rsid w:val="00CC5DE7"/>
    <w:rsid w:val="00CC5E4D"/>
    <w:rsid w:val="00CC62C3"/>
    <w:rsid w:val="00CC687C"/>
    <w:rsid w:val="00CC6CC3"/>
    <w:rsid w:val="00CC6EE7"/>
    <w:rsid w:val="00CC791B"/>
    <w:rsid w:val="00CC7C0A"/>
    <w:rsid w:val="00CD00EB"/>
    <w:rsid w:val="00CD0E70"/>
    <w:rsid w:val="00CD15B9"/>
    <w:rsid w:val="00CD179F"/>
    <w:rsid w:val="00CD2050"/>
    <w:rsid w:val="00CD25A2"/>
    <w:rsid w:val="00CD29AA"/>
    <w:rsid w:val="00CD318D"/>
    <w:rsid w:val="00CD4F8B"/>
    <w:rsid w:val="00CD4F94"/>
    <w:rsid w:val="00CD53FD"/>
    <w:rsid w:val="00CD55D9"/>
    <w:rsid w:val="00CD5E4F"/>
    <w:rsid w:val="00CD60CD"/>
    <w:rsid w:val="00CD656C"/>
    <w:rsid w:val="00CD6D04"/>
    <w:rsid w:val="00CD6E9D"/>
    <w:rsid w:val="00CD704D"/>
    <w:rsid w:val="00CD79F2"/>
    <w:rsid w:val="00CD7BFF"/>
    <w:rsid w:val="00CE035B"/>
    <w:rsid w:val="00CE062A"/>
    <w:rsid w:val="00CE075B"/>
    <w:rsid w:val="00CE0A88"/>
    <w:rsid w:val="00CE0B61"/>
    <w:rsid w:val="00CE10B1"/>
    <w:rsid w:val="00CE11DB"/>
    <w:rsid w:val="00CE17C7"/>
    <w:rsid w:val="00CE180C"/>
    <w:rsid w:val="00CE1BEA"/>
    <w:rsid w:val="00CE1EEC"/>
    <w:rsid w:val="00CE1EFE"/>
    <w:rsid w:val="00CE27AB"/>
    <w:rsid w:val="00CE2B3F"/>
    <w:rsid w:val="00CE2C00"/>
    <w:rsid w:val="00CE2C94"/>
    <w:rsid w:val="00CE2DEA"/>
    <w:rsid w:val="00CE30A1"/>
    <w:rsid w:val="00CE33C5"/>
    <w:rsid w:val="00CE36D9"/>
    <w:rsid w:val="00CE402A"/>
    <w:rsid w:val="00CE5142"/>
    <w:rsid w:val="00CE58E0"/>
    <w:rsid w:val="00CE6CAB"/>
    <w:rsid w:val="00CE6FCB"/>
    <w:rsid w:val="00CE76C6"/>
    <w:rsid w:val="00CE770B"/>
    <w:rsid w:val="00CE7C9B"/>
    <w:rsid w:val="00CF1DB7"/>
    <w:rsid w:val="00CF1E3B"/>
    <w:rsid w:val="00CF2061"/>
    <w:rsid w:val="00CF217B"/>
    <w:rsid w:val="00CF349A"/>
    <w:rsid w:val="00CF350F"/>
    <w:rsid w:val="00CF39CA"/>
    <w:rsid w:val="00CF3D58"/>
    <w:rsid w:val="00CF3F23"/>
    <w:rsid w:val="00CF4D55"/>
    <w:rsid w:val="00CF6386"/>
    <w:rsid w:val="00CF6399"/>
    <w:rsid w:val="00CF667A"/>
    <w:rsid w:val="00CF69DF"/>
    <w:rsid w:val="00CF7208"/>
    <w:rsid w:val="00CF7906"/>
    <w:rsid w:val="00CF799F"/>
    <w:rsid w:val="00CF7E42"/>
    <w:rsid w:val="00D0044E"/>
    <w:rsid w:val="00D0100F"/>
    <w:rsid w:val="00D013F9"/>
    <w:rsid w:val="00D02294"/>
    <w:rsid w:val="00D022A7"/>
    <w:rsid w:val="00D02621"/>
    <w:rsid w:val="00D02B27"/>
    <w:rsid w:val="00D02D84"/>
    <w:rsid w:val="00D0321F"/>
    <w:rsid w:val="00D0387F"/>
    <w:rsid w:val="00D03C53"/>
    <w:rsid w:val="00D044E2"/>
    <w:rsid w:val="00D0533C"/>
    <w:rsid w:val="00D0546A"/>
    <w:rsid w:val="00D05E2B"/>
    <w:rsid w:val="00D06A9F"/>
    <w:rsid w:val="00D06AB7"/>
    <w:rsid w:val="00D07801"/>
    <w:rsid w:val="00D07891"/>
    <w:rsid w:val="00D07CE5"/>
    <w:rsid w:val="00D10347"/>
    <w:rsid w:val="00D1080E"/>
    <w:rsid w:val="00D111A1"/>
    <w:rsid w:val="00D11210"/>
    <w:rsid w:val="00D11410"/>
    <w:rsid w:val="00D11763"/>
    <w:rsid w:val="00D11A25"/>
    <w:rsid w:val="00D11B38"/>
    <w:rsid w:val="00D11CED"/>
    <w:rsid w:val="00D134B7"/>
    <w:rsid w:val="00D13765"/>
    <w:rsid w:val="00D13877"/>
    <w:rsid w:val="00D13D79"/>
    <w:rsid w:val="00D1428F"/>
    <w:rsid w:val="00D15D9A"/>
    <w:rsid w:val="00D165E2"/>
    <w:rsid w:val="00D16C64"/>
    <w:rsid w:val="00D16F18"/>
    <w:rsid w:val="00D16F30"/>
    <w:rsid w:val="00D17138"/>
    <w:rsid w:val="00D171B5"/>
    <w:rsid w:val="00D17363"/>
    <w:rsid w:val="00D202DA"/>
    <w:rsid w:val="00D2062A"/>
    <w:rsid w:val="00D2073A"/>
    <w:rsid w:val="00D20B89"/>
    <w:rsid w:val="00D217E9"/>
    <w:rsid w:val="00D22927"/>
    <w:rsid w:val="00D229A5"/>
    <w:rsid w:val="00D22B4A"/>
    <w:rsid w:val="00D22C1D"/>
    <w:rsid w:val="00D22D84"/>
    <w:rsid w:val="00D235A8"/>
    <w:rsid w:val="00D2380F"/>
    <w:rsid w:val="00D23AB5"/>
    <w:rsid w:val="00D241B1"/>
    <w:rsid w:val="00D24D2E"/>
    <w:rsid w:val="00D251AB"/>
    <w:rsid w:val="00D251D6"/>
    <w:rsid w:val="00D25CC8"/>
    <w:rsid w:val="00D2685C"/>
    <w:rsid w:val="00D26B1B"/>
    <w:rsid w:val="00D26C60"/>
    <w:rsid w:val="00D277BF"/>
    <w:rsid w:val="00D27D8D"/>
    <w:rsid w:val="00D27E44"/>
    <w:rsid w:val="00D30694"/>
    <w:rsid w:val="00D30B31"/>
    <w:rsid w:val="00D31411"/>
    <w:rsid w:val="00D31ED9"/>
    <w:rsid w:val="00D32238"/>
    <w:rsid w:val="00D338DD"/>
    <w:rsid w:val="00D33FF1"/>
    <w:rsid w:val="00D34506"/>
    <w:rsid w:val="00D34931"/>
    <w:rsid w:val="00D34A9B"/>
    <w:rsid w:val="00D34EDE"/>
    <w:rsid w:val="00D34F2D"/>
    <w:rsid w:val="00D3514E"/>
    <w:rsid w:val="00D35260"/>
    <w:rsid w:val="00D3586A"/>
    <w:rsid w:val="00D35931"/>
    <w:rsid w:val="00D359EC"/>
    <w:rsid w:val="00D35ABE"/>
    <w:rsid w:val="00D36729"/>
    <w:rsid w:val="00D36AD5"/>
    <w:rsid w:val="00D41918"/>
    <w:rsid w:val="00D41A1A"/>
    <w:rsid w:val="00D427DC"/>
    <w:rsid w:val="00D42F1E"/>
    <w:rsid w:val="00D4301F"/>
    <w:rsid w:val="00D430AA"/>
    <w:rsid w:val="00D43C46"/>
    <w:rsid w:val="00D43C89"/>
    <w:rsid w:val="00D43D67"/>
    <w:rsid w:val="00D43E44"/>
    <w:rsid w:val="00D44645"/>
    <w:rsid w:val="00D44B45"/>
    <w:rsid w:val="00D44B59"/>
    <w:rsid w:val="00D4622E"/>
    <w:rsid w:val="00D46A45"/>
    <w:rsid w:val="00D47CF4"/>
    <w:rsid w:val="00D511EB"/>
    <w:rsid w:val="00D511F6"/>
    <w:rsid w:val="00D5147E"/>
    <w:rsid w:val="00D51BCA"/>
    <w:rsid w:val="00D52D2C"/>
    <w:rsid w:val="00D52E0A"/>
    <w:rsid w:val="00D5324B"/>
    <w:rsid w:val="00D53310"/>
    <w:rsid w:val="00D533D0"/>
    <w:rsid w:val="00D535A1"/>
    <w:rsid w:val="00D53872"/>
    <w:rsid w:val="00D53987"/>
    <w:rsid w:val="00D54234"/>
    <w:rsid w:val="00D5442C"/>
    <w:rsid w:val="00D54567"/>
    <w:rsid w:val="00D547DF"/>
    <w:rsid w:val="00D54DBC"/>
    <w:rsid w:val="00D55208"/>
    <w:rsid w:val="00D556EF"/>
    <w:rsid w:val="00D55A76"/>
    <w:rsid w:val="00D5627D"/>
    <w:rsid w:val="00D564D0"/>
    <w:rsid w:val="00D5677C"/>
    <w:rsid w:val="00D57315"/>
    <w:rsid w:val="00D574E5"/>
    <w:rsid w:val="00D57F3D"/>
    <w:rsid w:val="00D60534"/>
    <w:rsid w:val="00D60628"/>
    <w:rsid w:val="00D609C1"/>
    <w:rsid w:val="00D609FE"/>
    <w:rsid w:val="00D61661"/>
    <w:rsid w:val="00D6169B"/>
    <w:rsid w:val="00D61E05"/>
    <w:rsid w:val="00D6219E"/>
    <w:rsid w:val="00D62FC4"/>
    <w:rsid w:val="00D6374A"/>
    <w:rsid w:val="00D638A2"/>
    <w:rsid w:val="00D63917"/>
    <w:rsid w:val="00D64742"/>
    <w:rsid w:val="00D64837"/>
    <w:rsid w:val="00D64A30"/>
    <w:rsid w:val="00D65161"/>
    <w:rsid w:val="00D654CE"/>
    <w:rsid w:val="00D656BA"/>
    <w:rsid w:val="00D65815"/>
    <w:rsid w:val="00D65912"/>
    <w:rsid w:val="00D65BEF"/>
    <w:rsid w:val="00D65EB0"/>
    <w:rsid w:val="00D66209"/>
    <w:rsid w:val="00D66F46"/>
    <w:rsid w:val="00D66F99"/>
    <w:rsid w:val="00D670C8"/>
    <w:rsid w:val="00D6789F"/>
    <w:rsid w:val="00D702CE"/>
    <w:rsid w:val="00D70D83"/>
    <w:rsid w:val="00D70F0A"/>
    <w:rsid w:val="00D7138D"/>
    <w:rsid w:val="00D713E7"/>
    <w:rsid w:val="00D71A4A"/>
    <w:rsid w:val="00D71F0E"/>
    <w:rsid w:val="00D722AD"/>
    <w:rsid w:val="00D72B92"/>
    <w:rsid w:val="00D72D67"/>
    <w:rsid w:val="00D7380C"/>
    <w:rsid w:val="00D73897"/>
    <w:rsid w:val="00D73B83"/>
    <w:rsid w:val="00D74398"/>
    <w:rsid w:val="00D744C7"/>
    <w:rsid w:val="00D74AA9"/>
    <w:rsid w:val="00D753A3"/>
    <w:rsid w:val="00D7589B"/>
    <w:rsid w:val="00D75969"/>
    <w:rsid w:val="00D75A42"/>
    <w:rsid w:val="00D760B5"/>
    <w:rsid w:val="00D764E3"/>
    <w:rsid w:val="00D77069"/>
    <w:rsid w:val="00D770B8"/>
    <w:rsid w:val="00D77245"/>
    <w:rsid w:val="00D77308"/>
    <w:rsid w:val="00D7733A"/>
    <w:rsid w:val="00D77D06"/>
    <w:rsid w:val="00D800F9"/>
    <w:rsid w:val="00D80891"/>
    <w:rsid w:val="00D80947"/>
    <w:rsid w:val="00D80D8C"/>
    <w:rsid w:val="00D810E1"/>
    <w:rsid w:val="00D810F8"/>
    <w:rsid w:val="00D812CB"/>
    <w:rsid w:val="00D81C99"/>
    <w:rsid w:val="00D81F71"/>
    <w:rsid w:val="00D82BC9"/>
    <w:rsid w:val="00D82CA4"/>
    <w:rsid w:val="00D84559"/>
    <w:rsid w:val="00D855A2"/>
    <w:rsid w:val="00D85D46"/>
    <w:rsid w:val="00D869F3"/>
    <w:rsid w:val="00D86D64"/>
    <w:rsid w:val="00D877FB"/>
    <w:rsid w:val="00D87BAA"/>
    <w:rsid w:val="00D87E97"/>
    <w:rsid w:val="00D90133"/>
    <w:rsid w:val="00D90153"/>
    <w:rsid w:val="00D91D0C"/>
    <w:rsid w:val="00D9223A"/>
    <w:rsid w:val="00D927B5"/>
    <w:rsid w:val="00D92AA3"/>
    <w:rsid w:val="00D92FF7"/>
    <w:rsid w:val="00D934E2"/>
    <w:rsid w:val="00D9477F"/>
    <w:rsid w:val="00D948F7"/>
    <w:rsid w:val="00D94A4E"/>
    <w:rsid w:val="00D94ACD"/>
    <w:rsid w:val="00D9505A"/>
    <w:rsid w:val="00D953E5"/>
    <w:rsid w:val="00D95CA8"/>
    <w:rsid w:val="00D96472"/>
    <w:rsid w:val="00D96620"/>
    <w:rsid w:val="00D97202"/>
    <w:rsid w:val="00D9745A"/>
    <w:rsid w:val="00D9773A"/>
    <w:rsid w:val="00DA0346"/>
    <w:rsid w:val="00DA0DD1"/>
    <w:rsid w:val="00DA102D"/>
    <w:rsid w:val="00DA1664"/>
    <w:rsid w:val="00DA233C"/>
    <w:rsid w:val="00DA27AA"/>
    <w:rsid w:val="00DA2DE3"/>
    <w:rsid w:val="00DA32C9"/>
    <w:rsid w:val="00DA33C9"/>
    <w:rsid w:val="00DA3616"/>
    <w:rsid w:val="00DA404E"/>
    <w:rsid w:val="00DA40E5"/>
    <w:rsid w:val="00DA530F"/>
    <w:rsid w:val="00DA53C9"/>
    <w:rsid w:val="00DA57F7"/>
    <w:rsid w:val="00DA7877"/>
    <w:rsid w:val="00DA788D"/>
    <w:rsid w:val="00DA7F1D"/>
    <w:rsid w:val="00DB0928"/>
    <w:rsid w:val="00DB1549"/>
    <w:rsid w:val="00DB1BAC"/>
    <w:rsid w:val="00DB1C25"/>
    <w:rsid w:val="00DB1CE1"/>
    <w:rsid w:val="00DB28F4"/>
    <w:rsid w:val="00DB2A08"/>
    <w:rsid w:val="00DB2F50"/>
    <w:rsid w:val="00DB364F"/>
    <w:rsid w:val="00DB3E4C"/>
    <w:rsid w:val="00DB4421"/>
    <w:rsid w:val="00DB45EF"/>
    <w:rsid w:val="00DB4E1B"/>
    <w:rsid w:val="00DB554C"/>
    <w:rsid w:val="00DB571D"/>
    <w:rsid w:val="00DC0134"/>
    <w:rsid w:val="00DC0C1E"/>
    <w:rsid w:val="00DC159F"/>
    <w:rsid w:val="00DC1770"/>
    <w:rsid w:val="00DC1B1D"/>
    <w:rsid w:val="00DC2BC8"/>
    <w:rsid w:val="00DC2E4F"/>
    <w:rsid w:val="00DC331C"/>
    <w:rsid w:val="00DC3789"/>
    <w:rsid w:val="00DC3803"/>
    <w:rsid w:val="00DC3C9D"/>
    <w:rsid w:val="00DC3E6E"/>
    <w:rsid w:val="00DC461C"/>
    <w:rsid w:val="00DC4761"/>
    <w:rsid w:val="00DC49A2"/>
    <w:rsid w:val="00DC586F"/>
    <w:rsid w:val="00DC5D20"/>
    <w:rsid w:val="00DC66CA"/>
    <w:rsid w:val="00DC68D0"/>
    <w:rsid w:val="00DC7761"/>
    <w:rsid w:val="00DC7900"/>
    <w:rsid w:val="00DD0228"/>
    <w:rsid w:val="00DD0A28"/>
    <w:rsid w:val="00DD1FB1"/>
    <w:rsid w:val="00DD201A"/>
    <w:rsid w:val="00DD23B5"/>
    <w:rsid w:val="00DD2EBA"/>
    <w:rsid w:val="00DD3170"/>
    <w:rsid w:val="00DD33AE"/>
    <w:rsid w:val="00DD3A9F"/>
    <w:rsid w:val="00DD428C"/>
    <w:rsid w:val="00DD4718"/>
    <w:rsid w:val="00DD4E22"/>
    <w:rsid w:val="00DD4FC0"/>
    <w:rsid w:val="00DD5900"/>
    <w:rsid w:val="00DD5EA1"/>
    <w:rsid w:val="00DD6987"/>
    <w:rsid w:val="00DD6CDD"/>
    <w:rsid w:val="00DE065C"/>
    <w:rsid w:val="00DE073E"/>
    <w:rsid w:val="00DE0956"/>
    <w:rsid w:val="00DE0C28"/>
    <w:rsid w:val="00DE0E74"/>
    <w:rsid w:val="00DE107C"/>
    <w:rsid w:val="00DE20FB"/>
    <w:rsid w:val="00DE22D9"/>
    <w:rsid w:val="00DE2857"/>
    <w:rsid w:val="00DE2F4A"/>
    <w:rsid w:val="00DE36AB"/>
    <w:rsid w:val="00DE36D1"/>
    <w:rsid w:val="00DE3AC3"/>
    <w:rsid w:val="00DE3CFA"/>
    <w:rsid w:val="00DE3F53"/>
    <w:rsid w:val="00DE4498"/>
    <w:rsid w:val="00DE48AF"/>
    <w:rsid w:val="00DE4B43"/>
    <w:rsid w:val="00DE5931"/>
    <w:rsid w:val="00DE59B8"/>
    <w:rsid w:val="00DE5CB3"/>
    <w:rsid w:val="00DE6126"/>
    <w:rsid w:val="00DE6167"/>
    <w:rsid w:val="00DE68AE"/>
    <w:rsid w:val="00DE6CD3"/>
    <w:rsid w:val="00DE6D37"/>
    <w:rsid w:val="00DE73DA"/>
    <w:rsid w:val="00DE74BA"/>
    <w:rsid w:val="00DE7D8F"/>
    <w:rsid w:val="00DF0322"/>
    <w:rsid w:val="00DF041C"/>
    <w:rsid w:val="00DF0772"/>
    <w:rsid w:val="00DF0BB5"/>
    <w:rsid w:val="00DF1194"/>
    <w:rsid w:val="00DF1766"/>
    <w:rsid w:val="00DF1FBD"/>
    <w:rsid w:val="00DF23DC"/>
    <w:rsid w:val="00DF255A"/>
    <w:rsid w:val="00DF256C"/>
    <w:rsid w:val="00DF3037"/>
    <w:rsid w:val="00DF3512"/>
    <w:rsid w:val="00DF3FEB"/>
    <w:rsid w:val="00DF441A"/>
    <w:rsid w:val="00DF5FC7"/>
    <w:rsid w:val="00DF6554"/>
    <w:rsid w:val="00DF699F"/>
    <w:rsid w:val="00DF7447"/>
    <w:rsid w:val="00DF796E"/>
    <w:rsid w:val="00DF79D2"/>
    <w:rsid w:val="00DF7D69"/>
    <w:rsid w:val="00E00127"/>
    <w:rsid w:val="00E0041F"/>
    <w:rsid w:val="00E006CD"/>
    <w:rsid w:val="00E00969"/>
    <w:rsid w:val="00E01B0B"/>
    <w:rsid w:val="00E02C58"/>
    <w:rsid w:val="00E02DC7"/>
    <w:rsid w:val="00E037A1"/>
    <w:rsid w:val="00E04168"/>
    <w:rsid w:val="00E05428"/>
    <w:rsid w:val="00E056A0"/>
    <w:rsid w:val="00E058B3"/>
    <w:rsid w:val="00E058B9"/>
    <w:rsid w:val="00E05B87"/>
    <w:rsid w:val="00E06C21"/>
    <w:rsid w:val="00E06FB7"/>
    <w:rsid w:val="00E07123"/>
    <w:rsid w:val="00E075BF"/>
    <w:rsid w:val="00E078EE"/>
    <w:rsid w:val="00E10C27"/>
    <w:rsid w:val="00E114E9"/>
    <w:rsid w:val="00E11970"/>
    <w:rsid w:val="00E11CBE"/>
    <w:rsid w:val="00E131E6"/>
    <w:rsid w:val="00E132B7"/>
    <w:rsid w:val="00E13445"/>
    <w:rsid w:val="00E13485"/>
    <w:rsid w:val="00E13502"/>
    <w:rsid w:val="00E13797"/>
    <w:rsid w:val="00E1383C"/>
    <w:rsid w:val="00E13C10"/>
    <w:rsid w:val="00E13C30"/>
    <w:rsid w:val="00E147FB"/>
    <w:rsid w:val="00E14988"/>
    <w:rsid w:val="00E14994"/>
    <w:rsid w:val="00E14A40"/>
    <w:rsid w:val="00E15458"/>
    <w:rsid w:val="00E15F54"/>
    <w:rsid w:val="00E16806"/>
    <w:rsid w:val="00E16ED3"/>
    <w:rsid w:val="00E20541"/>
    <w:rsid w:val="00E20B5C"/>
    <w:rsid w:val="00E21C17"/>
    <w:rsid w:val="00E21EEE"/>
    <w:rsid w:val="00E2216F"/>
    <w:rsid w:val="00E221A5"/>
    <w:rsid w:val="00E222FC"/>
    <w:rsid w:val="00E22312"/>
    <w:rsid w:val="00E22398"/>
    <w:rsid w:val="00E22DEB"/>
    <w:rsid w:val="00E22ECD"/>
    <w:rsid w:val="00E23C6F"/>
    <w:rsid w:val="00E241BF"/>
    <w:rsid w:val="00E24B09"/>
    <w:rsid w:val="00E24B44"/>
    <w:rsid w:val="00E24D7A"/>
    <w:rsid w:val="00E25043"/>
    <w:rsid w:val="00E25403"/>
    <w:rsid w:val="00E270AB"/>
    <w:rsid w:val="00E274A4"/>
    <w:rsid w:val="00E274CF"/>
    <w:rsid w:val="00E27A06"/>
    <w:rsid w:val="00E27B3C"/>
    <w:rsid w:val="00E27CA3"/>
    <w:rsid w:val="00E27D53"/>
    <w:rsid w:val="00E306B5"/>
    <w:rsid w:val="00E30AB0"/>
    <w:rsid w:val="00E31074"/>
    <w:rsid w:val="00E316CA"/>
    <w:rsid w:val="00E31740"/>
    <w:rsid w:val="00E318A3"/>
    <w:rsid w:val="00E3198A"/>
    <w:rsid w:val="00E32965"/>
    <w:rsid w:val="00E32EBA"/>
    <w:rsid w:val="00E334EB"/>
    <w:rsid w:val="00E33975"/>
    <w:rsid w:val="00E33E0B"/>
    <w:rsid w:val="00E3478D"/>
    <w:rsid w:val="00E348C9"/>
    <w:rsid w:val="00E3564C"/>
    <w:rsid w:val="00E3594E"/>
    <w:rsid w:val="00E35A20"/>
    <w:rsid w:val="00E35FA2"/>
    <w:rsid w:val="00E366E8"/>
    <w:rsid w:val="00E368AA"/>
    <w:rsid w:val="00E37153"/>
    <w:rsid w:val="00E37E0A"/>
    <w:rsid w:val="00E40708"/>
    <w:rsid w:val="00E408AE"/>
    <w:rsid w:val="00E40B76"/>
    <w:rsid w:val="00E41DA9"/>
    <w:rsid w:val="00E4201D"/>
    <w:rsid w:val="00E4210F"/>
    <w:rsid w:val="00E421F4"/>
    <w:rsid w:val="00E422D4"/>
    <w:rsid w:val="00E42D6F"/>
    <w:rsid w:val="00E43115"/>
    <w:rsid w:val="00E43220"/>
    <w:rsid w:val="00E4341F"/>
    <w:rsid w:val="00E43A66"/>
    <w:rsid w:val="00E43DC6"/>
    <w:rsid w:val="00E448FD"/>
    <w:rsid w:val="00E44E2D"/>
    <w:rsid w:val="00E44ED7"/>
    <w:rsid w:val="00E46A36"/>
    <w:rsid w:val="00E47DBA"/>
    <w:rsid w:val="00E5039F"/>
    <w:rsid w:val="00E5104A"/>
    <w:rsid w:val="00E51640"/>
    <w:rsid w:val="00E51D7C"/>
    <w:rsid w:val="00E51E92"/>
    <w:rsid w:val="00E5224A"/>
    <w:rsid w:val="00E526F3"/>
    <w:rsid w:val="00E5278F"/>
    <w:rsid w:val="00E5365D"/>
    <w:rsid w:val="00E53A45"/>
    <w:rsid w:val="00E53D03"/>
    <w:rsid w:val="00E549CC"/>
    <w:rsid w:val="00E549F5"/>
    <w:rsid w:val="00E54D50"/>
    <w:rsid w:val="00E54D8A"/>
    <w:rsid w:val="00E54E5C"/>
    <w:rsid w:val="00E5505A"/>
    <w:rsid w:val="00E55685"/>
    <w:rsid w:val="00E556C7"/>
    <w:rsid w:val="00E55ACB"/>
    <w:rsid w:val="00E56392"/>
    <w:rsid w:val="00E570D4"/>
    <w:rsid w:val="00E57126"/>
    <w:rsid w:val="00E577B0"/>
    <w:rsid w:val="00E60463"/>
    <w:rsid w:val="00E60558"/>
    <w:rsid w:val="00E6065F"/>
    <w:rsid w:val="00E60BF6"/>
    <w:rsid w:val="00E61023"/>
    <w:rsid w:val="00E614DF"/>
    <w:rsid w:val="00E61529"/>
    <w:rsid w:val="00E616B9"/>
    <w:rsid w:val="00E62DEC"/>
    <w:rsid w:val="00E62DFE"/>
    <w:rsid w:val="00E6300C"/>
    <w:rsid w:val="00E63B10"/>
    <w:rsid w:val="00E641C2"/>
    <w:rsid w:val="00E64B89"/>
    <w:rsid w:val="00E64FA6"/>
    <w:rsid w:val="00E6504E"/>
    <w:rsid w:val="00E66351"/>
    <w:rsid w:val="00E66C08"/>
    <w:rsid w:val="00E66C7B"/>
    <w:rsid w:val="00E70CC8"/>
    <w:rsid w:val="00E70CD3"/>
    <w:rsid w:val="00E70F69"/>
    <w:rsid w:val="00E71262"/>
    <w:rsid w:val="00E715F2"/>
    <w:rsid w:val="00E7219C"/>
    <w:rsid w:val="00E729E7"/>
    <w:rsid w:val="00E72A7B"/>
    <w:rsid w:val="00E72EF7"/>
    <w:rsid w:val="00E73384"/>
    <w:rsid w:val="00E73496"/>
    <w:rsid w:val="00E7361D"/>
    <w:rsid w:val="00E737A4"/>
    <w:rsid w:val="00E73D3A"/>
    <w:rsid w:val="00E73E01"/>
    <w:rsid w:val="00E74B16"/>
    <w:rsid w:val="00E74B2C"/>
    <w:rsid w:val="00E7545A"/>
    <w:rsid w:val="00E75571"/>
    <w:rsid w:val="00E767D6"/>
    <w:rsid w:val="00E767EB"/>
    <w:rsid w:val="00E76DF4"/>
    <w:rsid w:val="00E76FE5"/>
    <w:rsid w:val="00E773F4"/>
    <w:rsid w:val="00E77673"/>
    <w:rsid w:val="00E80101"/>
    <w:rsid w:val="00E80A42"/>
    <w:rsid w:val="00E8149D"/>
    <w:rsid w:val="00E81A53"/>
    <w:rsid w:val="00E81DFE"/>
    <w:rsid w:val="00E82537"/>
    <w:rsid w:val="00E82E57"/>
    <w:rsid w:val="00E82E68"/>
    <w:rsid w:val="00E83E08"/>
    <w:rsid w:val="00E83FBA"/>
    <w:rsid w:val="00E8453C"/>
    <w:rsid w:val="00E84E9E"/>
    <w:rsid w:val="00E851CC"/>
    <w:rsid w:val="00E8545A"/>
    <w:rsid w:val="00E857B4"/>
    <w:rsid w:val="00E86616"/>
    <w:rsid w:val="00E87788"/>
    <w:rsid w:val="00E902EE"/>
    <w:rsid w:val="00E90423"/>
    <w:rsid w:val="00E90655"/>
    <w:rsid w:val="00E90680"/>
    <w:rsid w:val="00E9099D"/>
    <w:rsid w:val="00E90ED8"/>
    <w:rsid w:val="00E91AA2"/>
    <w:rsid w:val="00E92376"/>
    <w:rsid w:val="00E924D7"/>
    <w:rsid w:val="00E934E8"/>
    <w:rsid w:val="00E93715"/>
    <w:rsid w:val="00E94537"/>
    <w:rsid w:val="00E945E7"/>
    <w:rsid w:val="00E94751"/>
    <w:rsid w:val="00E94833"/>
    <w:rsid w:val="00E94DE0"/>
    <w:rsid w:val="00E9551B"/>
    <w:rsid w:val="00E960C6"/>
    <w:rsid w:val="00E96A54"/>
    <w:rsid w:val="00E96B9F"/>
    <w:rsid w:val="00E96EE5"/>
    <w:rsid w:val="00E96F94"/>
    <w:rsid w:val="00E96FE1"/>
    <w:rsid w:val="00E97C7A"/>
    <w:rsid w:val="00E97FB7"/>
    <w:rsid w:val="00EA0518"/>
    <w:rsid w:val="00EA0C45"/>
    <w:rsid w:val="00EA0C55"/>
    <w:rsid w:val="00EA1263"/>
    <w:rsid w:val="00EA15E7"/>
    <w:rsid w:val="00EA1ADC"/>
    <w:rsid w:val="00EA24A3"/>
    <w:rsid w:val="00EA2685"/>
    <w:rsid w:val="00EA2D2F"/>
    <w:rsid w:val="00EA35AF"/>
    <w:rsid w:val="00EA3EB0"/>
    <w:rsid w:val="00EA419A"/>
    <w:rsid w:val="00EA4292"/>
    <w:rsid w:val="00EA450F"/>
    <w:rsid w:val="00EA46E4"/>
    <w:rsid w:val="00EA4855"/>
    <w:rsid w:val="00EA512C"/>
    <w:rsid w:val="00EA581B"/>
    <w:rsid w:val="00EA5FB6"/>
    <w:rsid w:val="00EA62A3"/>
    <w:rsid w:val="00EA6AEE"/>
    <w:rsid w:val="00EA7005"/>
    <w:rsid w:val="00EA7362"/>
    <w:rsid w:val="00EA798B"/>
    <w:rsid w:val="00EA7B91"/>
    <w:rsid w:val="00EA7EBF"/>
    <w:rsid w:val="00EB00DD"/>
    <w:rsid w:val="00EB00F7"/>
    <w:rsid w:val="00EB1723"/>
    <w:rsid w:val="00EB18E9"/>
    <w:rsid w:val="00EB1992"/>
    <w:rsid w:val="00EB2548"/>
    <w:rsid w:val="00EB28DD"/>
    <w:rsid w:val="00EB2BEC"/>
    <w:rsid w:val="00EB2C6C"/>
    <w:rsid w:val="00EB3198"/>
    <w:rsid w:val="00EB3AFD"/>
    <w:rsid w:val="00EB4D58"/>
    <w:rsid w:val="00EB54A0"/>
    <w:rsid w:val="00EB56E1"/>
    <w:rsid w:val="00EB5C4D"/>
    <w:rsid w:val="00EB6CD8"/>
    <w:rsid w:val="00EB6FEA"/>
    <w:rsid w:val="00EC026C"/>
    <w:rsid w:val="00EC0C9D"/>
    <w:rsid w:val="00EC0FD8"/>
    <w:rsid w:val="00EC163B"/>
    <w:rsid w:val="00EC181F"/>
    <w:rsid w:val="00EC1FBD"/>
    <w:rsid w:val="00EC21F7"/>
    <w:rsid w:val="00EC2285"/>
    <w:rsid w:val="00EC2EE6"/>
    <w:rsid w:val="00EC2FDF"/>
    <w:rsid w:val="00EC3411"/>
    <w:rsid w:val="00EC3611"/>
    <w:rsid w:val="00EC3C11"/>
    <w:rsid w:val="00EC4D1B"/>
    <w:rsid w:val="00EC4DA4"/>
    <w:rsid w:val="00EC4E40"/>
    <w:rsid w:val="00EC4F99"/>
    <w:rsid w:val="00EC529E"/>
    <w:rsid w:val="00EC57D3"/>
    <w:rsid w:val="00EC62E0"/>
    <w:rsid w:val="00EC656B"/>
    <w:rsid w:val="00EC67DB"/>
    <w:rsid w:val="00EC6D2F"/>
    <w:rsid w:val="00EC6FDA"/>
    <w:rsid w:val="00EC7251"/>
    <w:rsid w:val="00EC72F5"/>
    <w:rsid w:val="00EC74D8"/>
    <w:rsid w:val="00EC7831"/>
    <w:rsid w:val="00ED0D8F"/>
    <w:rsid w:val="00ED0DE1"/>
    <w:rsid w:val="00ED133D"/>
    <w:rsid w:val="00ED1655"/>
    <w:rsid w:val="00ED1889"/>
    <w:rsid w:val="00ED1A1F"/>
    <w:rsid w:val="00ED1CB4"/>
    <w:rsid w:val="00ED1E9D"/>
    <w:rsid w:val="00ED1F80"/>
    <w:rsid w:val="00ED23C1"/>
    <w:rsid w:val="00ED2DEF"/>
    <w:rsid w:val="00ED341A"/>
    <w:rsid w:val="00ED37CC"/>
    <w:rsid w:val="00ED459D"/>
    <w:rsid w:val="00ED5995"/>
    <w:rsid w:val="00ED5C89"/>
    <w:rsid w:val="00ED6A40"/>
    <w:rsid w:val="00ED6D07"/>
    <w:rsid w:val="00ED736B"/>
    <w:rsid w:val="00ED75DC"/>
    <w:rsid w:val="00ED7E5F"/>
    <w:rsid w:val="00EE0099"/>
    <w:rsid w:val="00EE010E"/>
    <w:rsid w:val="00EE0214"/>
    <w:rsid w:val="00EE06E8"/>
    <w:rsid w:val="00EE117B"/>
    <w:rsid w:val="00EE1381"/>
    <w:rsid w:val="00EE15F5"/>
    <w:rsid w:val="00EE2076"/>
    <w:rsid w:val="00EE2C1E"/>
    <w:rsid w:val="00EE361C"/>
    <w:rsid w:val="00EE3693"/>
    <w:rsid w:val="00EE3B27"/>
    <w:rsid w:val="00EE3FF3"/>
    <w:rsid w:val="00EE4EE2"/>
    <w:rsid w:val="00EE50B2"/>
    <w:rsid w:val="00EE5528"/>
    <w:rsid w:val="00EE5D40"/>
    <w:rsid w:val="00EE6411"/>
    <w:rsid w:val="00EE68E0"/>
    <w:rsid w:val="00EE6977"/>
    <w:rsid w:val="00EE6BDD"/>
    <w:rsid w:val="00EE6E9C"/>
    <w:rsid w:val="00EE701A"/>
    <w:rsid w:val="00EE76DA"/>
    <w:rsid w:val="00EE7FA8"/>
    <w:rsid w:val="00EF0815"/>
    <w:rsid w:val="00EF1701"/>
    <w:rsid w:val="00EF1D48"/>
    <w:rsid w:val="00EF2366"/>
    <w:rsid w:val="00EF25C8"/>
    <w:rsid w:val="00EF2710"/>
    <w:rsid w:val="00EF2785"/>
    <w:rsid w:val="00EF302C"/>
    <w:rsid w:val="00EF306F"/>
    <w:rsid w:val="00EF43A7"/>
    <w:rsid w:val="00EF494B"/>
    <w:rsid w:val="00EF4A4C"/>
    <w:rsid w:val="00EF50D7"/>
    <w:rsid w:val="00EF5CB1"/>
    <w:rsid w:val="00EF5E23"/>
    <w:rsid w:val="00EF6405"/>
    <w:rsid w:val="00EF6515"/>
    <w:rsid w:val="00EF7548"/>
    <w:rsid w:val="00F00140"/>
    <w:rsid w:val="00F0088D"/>
    <w:rsid w:val="00F00DA1"/>
    <w:rsid w:val="00F016BD"/>
    <w:rsid w:val="00F01D5E"/>
    <w:rsid w:val="00F01F07"/>
    <w:rsid w:val="00F025A9"/>
    <w:rsid w:val="00F025C4"/>
    <w:rsid w:val="00F028AD"/>
    <w:rsid w:val="00F02CAB"/>
    <w:rsid w:val="00F032C1"/>
    <w:rsid w:val="00F03721"/>
    <w:rsid w:val="00F0395D"/>
    <w:rsid w:val="00F04236"/>
    <w:rsid w:val="00F04405"/>
    <w:rsid w:val="00F0482B"/>
    <w:rsid w:val="00F04A19"/>
    <w:rsid w:val="00F04C1A"/>
    <w:rsid w:val="00F04CFF"/>
    <w:rsid w:val="00F04FF5"/>
    <w:rsid w:val="00F057B7"/>
    <w:rsid w:val="00F05954"/>
    <w:rsid w:val="00F05B17"/>
    <w:rsid w:val="00F05D3C"/>
    <w:rsid w:val="00F062F4"/>
    <w:rsid w:val="00F07E36"/>
    <w:rsid w:val="00F07FA2"/>
    <w:rsid w:val="00F10296"/>
    <w:rsid w:val="00F102B0"/>
    <w:rsid w:val="00F1055D"/>
    <w:rsid w:val="00F107F0"/>
    <w:rsid w:val="00F107F9"/>
    <w:rsid w:val="00F10951"/>
    <w:rsid w:val="00F10AC3"/>
    <w:rsid w:val="00F10CD4"/>
    <w:rsid w:val="00F10DE4"/>
    <w:rsid w:val="00F11DA2"/>
    <w:rsid w:val="00F11F59"/>
    <w:rsid w:val="00F129D6"/>
    <w:rsid w:val="00F12AB2"/>
    <w:rsid w:val="00F12F0D"/>
    <w:rsid w:val="00F13239"/>
    <w:rsid w:val="00F1363F"/>
    <w:rsid w:val="00F13B0C"/>
    <w:rsid w:val="00F13B7D"/>
    <w:rsid w:val="00F1445F"/>
    <w:rsid w:val="00F1462C"/>
    <w:rsid w:val="00F14807"/>
    <w:rsid w:val="00F1537A"/>
    <w:rsid w:val="00F153DE"/>
    <w:rsid w:val="00F15B21"/>
    <w:rsid w:val="00F15BDB"/>
    <w:rsid w:val="00F1677D"/>
    <w:rsid w:val="00F16A02"/>
    <w:rsid w:val="00F16E93"/>
    <w:rsid w:val="00F178E0"/>
    <w:rsid w:val="00F17F6A"/>
    <w:rsid w:val="00F2154F"/>
    <w:rsid w:val="00F21740"/>
    <w:rsid w:val="00F21AD0"/>
    <w:rsid w:val="00F21E9C"/>
    <w:rsid w:val="00F223F6"/>
    <w:rsid w:val="00F23ED8"/>
    <w:rsid w:val="00F24256"/>
    <w:rsid w:val="00F24665"/>
    <w:rsid w:val="00F247D2"/>
    <w:rsid w:val="00F24BF7"/>
    <w:rsid w:val="00F24D18"/>
    <w:rsid w:val="00F25518"/>
    <w:rsid w:val="00F2568B"/>
    <w:rsid w:val="00F25CA0"/>
    <w:rsid w:val="00F2647A"/>
    <w:rsid w:val="00F269ED"/>
    <w:rsid w:val="00F27233"/>
    <w:rsid w:val="00F30434"/>
    <w:rsid w:val="00F30B37"/>
    <w:rsid w:val="00F316B4"/>
    <w:rsid w:val="00F316E1"/>
    <w:rsid w:val="00F31770"/>
    <w:rsid w:val="00F32262"/>
    <w:rsid w:val="00F32946"/>
    <w:rsid w:val="00F32CD3"/>
    <w:rsid w:val="00F32E87"/>
    <w:rsid w:val="00F33B75"/>
    <w:rsid w:val="00F33CCA"/>
    <w:rsid w:val="00F33D0B"/>
    <w:rsid w:val="00F3497E"/>
    <w:rsid w:val="00F3652B"/>
    <w:rsid w:val="00F36A16"/>
    <w:rsid w:val="00F36DD0"/>
    <w:rsid w:val="00F37C66"/>
    <w:rsid w:val="00F40565"/>
    <w:rsid w:val="00F420AB"/>
    <w:rsid w:val="00F421B8"/>
    <w:rsid w:val="00F42C3A"/>
    <w:rsid w:val="00F431F7"/>
    <w:rsid w:val="00F43B27"/>
    <w:rsid w:val="00F441A1"/>
    <w:rsid w:val="00F44F50"/>
    <w:rsid w:val="00F450A8"/>
    <w:rsid w:val="00F45381"/>
    <w:rsid w:val="00F457F7"/>
    <w:rsid w:val="00F45CDB"/>
    <w:rsid w:val="00F460DB"/>
    <w:rsid w:val="00F4671D"/>
    <w:rsid w:val="00F47DE6"/>
    <w:rsid w:val="00F5006D"/>
    <w:rsid w:val="00F50586"/>
    <w:rsid w:val="00F505BB"/>
    <w:rsid w:val="00F506FD"/>
    <w:rsid w:val="00F508A2"/>
    <w:rsid w:val="00F50DD5"/>
    <w:rsid w:val="00F51245"/>
    <w:rsid w:val="00F5235D"/>
    <w:rsid w:val="00F5326F"/>
    <w:rsid w:val="00F5339F"/>
    <w:rsid w:val="00F53D74"/>
    <w:rsid w:val="00F542DD"/>
    <w:rsid w:val="00F54673"/>
    <w:rsid w:val="00F552FA"/>
    <w:rsid w:val="00F55616"/>
    <w:rsid w:val="00F5573A"/>
    <w:rsid w:val="00F56495"/>
    <w:rsid w:val="00F57104"/>
    <w:rsid w:val="00F576FC"/>
    <w:rsid w:val="00F5793F"/>
    <w:rsid w:val="00F60362"/>
    <w:rsid w:val="00F60749"/>
    <w:rsid w:val="00F60777"/>
    <w:rsid w:val="00F609C6"/>
    <w:rsid w:val="00F60A7C"/>
    <w:rsid w:val="00F6104F"/>
    <w:rsid w:val="00F61504"/>
    <w:rsid w:val="00F61BB3"/>
    <w:rsid w:val="00F61E74"/>
    <w:rsid w:val="00F622FA"/>
    <w:rsid w:val="00F62928"/>
    <w:rsid w:val="00F62946"/>
    <w:rsid w:val="00F62B5A"/>
    <w:rsid w:val="00F63010"/>
    <w:rsid w:val="00F6481F"/>
    <w:rsid w:val="00F64923"/>
    <w:rsid w:val="00F649CD"/>
    <w:rsid w:val="00F64C59"/>
    <w:rsid w:val="00F65E6C"/>
    <w:rsid w:val="00F665AE"/>
    <w:rsid w:val="00F6670E"/>
    <w:rsid w:val="00F66AFF"/>
    <w:rsid w:val="00F66B9C"/>
    <w:rsid w:val="00F66CAA"/>
    <w:rsid w:val="00F66D9C"/>
    <w:rsid w:val="00F672BF"/>
    <w:rsid w:val="00F678F6"/>
    <w:rsid w:val="00F67D5F"/>
    <w:rsid w:val="00F7096A"/>
    <w:rsid w:val="00F71429"/>
    <w:rsid w:val="00F71A7B"/>
    <w:rsid w:val="00F71ED1"/>
    <w:rsid w:val="00F7230C"/>
    <w:rsid w:val="00F729C6"/>
    <w:rsid w:val="00F72FD9"/>
    <w:rsid w:val="00F730BE"/>
    <w:rsid w:val="00F734AE"/>
    <w:rsid w:val="00F7360D"/>
    <w:rsid w:val="00F739DE"/>
    <w:rsid w:val="00F73A4A"/>
    <w:rsid w:val="00F73F63"/>
    <w:rsid w:val="00F7485D"/>
    <w:rsid w:val="00F74C68"/>
    <w:rsid w:val="00F767B5"/>
    <w:rsid w:val="00F76E67"/>
    <w:rsid w:val="00F77600"/>
    <w:rsid w:val="00F77FA7"/>
    <w:rsid w:val="00F77FBB"/>
    <w:rsid w:val="00F800C0"/>
    <w:rsid w:val="00F8014E"/>
    <w:rsid w:val="00F802F3"/>
    <w:rsid w:val="00F8046D"/>
    <w:rsid w:val="00F8072E"/>
    <w:rsid w:val="00F80782"/>
    <w:rsid w:val="00F80CDA"/>
    <w:rsid w:val="00F81F0B"/>
    <w:rsid w:val="00F8235E"/>
    <w:rsid w:val="00F82806"/>
    <w:rsid w:val="00F82A9C"/>
    <w:rsid w:val="00F82DBB"/>
    <w:rsid w:val="00F836B9"/>
    <w:rsid w:val="00F84965"/>
    <w:rsid w:val="00F84E4A"/>
    <w:rsid w:val="00F85117"/>
    <w:rsid w:val="00F85186"/>
    <w:rsid w:val="00F852C1"/>
    <w:rsid w:val="00F85557"/>
    <w:rsid w:val="00F8577D"/>
    <w:rsid w:val="00F858F5"/>
    <w:rsid w:val="00F85B4F"/>
    <w:rsid w:val="00F85C5E"/>
    <w:rsid w:val="00F86F85"/>
    <w:rsid w:val="00F87817"/>
    <w:rsid w:val="00F87F33"/>
    <w:rsid w:val="00F90278"/>
    <w:rsid w:val="00F9029A"/>
    <w:rsid w:val="00F904F9"/>
    <w:rsid w:val="00F90775"/>
    <w:rsid w:val="00F90A28"/>
    <w:rsid w:val="00F91224"/>
    <w:rsid w:val="00F91C50"/>
    <w:rsid w:val="00F92090"/>
    <w:rsid w:val="00F92181"/>
    <w:rsid w:val="00F929BA"/>
    <w:rsid w:val="00F92B56"/>
    <w:rsid w:val="00F92E74"/>
    <w:rsid w:val="00F93085"/>
    <w:rsid w:val="00F9323E"/>
    <w:rsid w:val="00F933D3"/>
    <w:rsid w:val="00F9385F"/>
    <w:rsid w:val="00F93878"/>
    <w:rsid w:val="00F93944"/>
    <w:rsid w:val="00F93A19"/>
    <w:rsid w:val="00F93C30"/>
    <w:rsid w:val="00F93F36"/>
    <w:rsid w:val="00F94107"/>
    <w:rsid w:val="00F948B3"/>
    <w:rsid w:val="00F94F60"/>
    <w:rsid w:val="00F95588"/>
    <w:rsid w:val="00F95785"/>
    <w:rsid w:val="00FA076D"/>
    <w:rsid w:val="00FA0B1B"/>
    <w:rsid w:val="00FA0F05"/>
    <w:rsid w:val="00FA1255"/>
    <w:rsid w:val="00FA1580"/>
    <w:rsid w:val="00FA22FF"/>
    <w:rsid w:val="00FA236F"/>
    <w:rsid w:val="00FA25B0"/>
    <w:rsid w:val="00FA2C14"/>
    <w:rsid w:val="00FA2EED"/>
    <w:rsid w:val="00FA37F3"/>
    <w:rsid w:val="00FA3B75"/>
    <w:rsid w:val="00FA4C07"/>
    <w:rsid w:val="00FA5307"/>
    <w:rsid w:val="00FA5345"/>
    <w:rsid w:val="00FA53D8"/>
    <w:rsid w:val="00FA5D41"/>
    <w:rsid w:val="00FA5EF7"/>
    <w:rsid w:val="00FA6AE9"/>
    <w:rsid w:val="00FA6F25"/>
    <w:rsid w:val="00FA75BE"/>
    <w:rsid w:val="00FA76D1"/>
    <w:rsid w:val="00FA79F6"/>
    <w:rsid w:val="00FA7CF9"/>
    <w:rsid w:val="00FB0062"/>
    <w:rsid w:val="00FB016A"/>
    <w:rsid w:val="00FB0412"/>
    <w:rsid w:val="00FB08D4"/>
    <w:rsid w:val="00FB099B"/>
    <w:rsid w:val="00FB0F1B"/>
    <w:rsid w:val="00FB1E12"/>
    <w:rsid w:val="00FB223F"/>
    <w:rsid w:val="00FB269A"/>
    <w:rsid w:val="00FB2CAE"/>
    <w:rsid w:val="00FB2CAF"/>
    <w:rsid w:val="00FB2E44"/>
    <w:rsid w:val="00FB3323"/>
    <w:rsid w:val="00FB3730"/>
    <w:rsid w:val="00FB4573"/>
    <w:rsid w:val="00FB485B"/>
    <w:rsid w:val="00FB4A6E"/>
    <w:rsid w:val="00FB4A95"/>
    <w:rsid w:val="00FB5027"/>
    <w:rsid w:val="00FB516D"/>
    <w:rsid w:val="00FB5559"/>
    <w:rsid w:val="00FB5D87"/>
    <w:rsid w:val="00FB5E70"/>
    <w:rsid w:val="00FB5F57"/>
    <w:rsid w:val="00FB6070"/>
    <w:rsid w:val="00FB6DE6"/>
    <w:rsid w:val="00FC0042"/>
    <w:rsid w:val="00FC011A"/>
    <w:rsid w:val="00FC0263"/>
    <w:rsid w:val="00FC041F"/>
    <w:rsid w:val="00FC0C5E"/>
    <w:rsid w:val="00FC0CE0"/>
    <w:rsid w:val="00FC1184"/>
    <w:rsid w:val="00FC1E9D"/>
    <w:rsid w:val="00FC2040"/>
    <w:rsid w:val="00FC2E7B"/>
    <w:rsid w:val="00FC315D"/>
    <w:rsid w:val="00FC3F49"/>
    <w:rsid w:val="00FC46D1"/>
    <w:rsid w:val="00FC4B62"/>
    <w:rsid w:val="00FC4E34"/>
    <w:rsid w:val="00FC4FC9"/>
    <w:rsid w:val="00FC5226"/>
    <w:rsid w:val="00FC5260"/>
    <w:rsid w:val="00FC5C8C"/>
    <w:rsid w:val="00FC64D2"/>
    <w:rsid w:val="00FC68E0"/>
    <w:rsid w:val="00FC6C08"/>
    <w:rsid w:val="00FC724C"/>
    <w:rsid w:val="00FC788C"/>
    <w:rsid w:val="00FC78AD"/>
    <w:rsid w:val="00FC7B26"/>
    <w:rsid w:val="00FD0708"/>
    <w:rsid w:val="00FD0BD5"/>
    <w:rsid w:val="00FD1731"/>
    <w:rsid w:val="00FD24CD"/>
    <w:rsid w:val="00FD2588"/>
    <w:rsid w:val="00FD29AB"/>
    <w:rsid w:val="00FD3338"/>
    <w:rsid w:val="00FD38B3"/>
    <w:rsid w:val="00FD3A2A"/>
    <w:rsid w:val="00FD3A65"/>
    <w:rsid w:val="00FD420D"/>
    <w:rsid w:val="00FD4525"/>
    <w:rsid w:val="00FD5511"/>
    <w:rsid w:val="00FD5FC3"/>
    <w:rsid w:val="00FD62F5"/>
    <w:rsid w:val="00FD6925"/>
    <w:rsid w:val="00FD6E6C"/>
    <w:rsid w:val="00FD70CD"/>
    <w:rsid w:val="00FE06C0"/>
    <w:rsid w:val="00FE0D7A"/>
    <w:rsid w:val="00FE125A"/>
    <w:rsid w:val="00FE12AC"/>
    <w:rsid w:val="00FE15A0"/>
    <w:rsid w:val="00FE20AC"/>
    <w:rsid w:val="00FE2294"/>
    <w:rsid w:val="00FE2732"/>
    <w:rsid w:val="00FE3A5C"/>
    <w:rsid w:val="00FE3D6F"/>
    <w:rsid w:val="00FE4376"/>
    <w:rsid w:val="00FE4E07"/>
    <w:rsid w:val="00FE5D9F"/>
    <w:rsid w:val="00FE60DA"/>
    <w:rsid w:val="00FE63B1"/>
    <w:rsid w:val="00FE7931"/>
    <w:rsid w:val="00FE7C9B"/>
    <w:rsid w:val="00FF09A2"/>
    <w:rsid w:val="00FF0BBD"/>
    <w:rsid w:val="00FF11F6"/>
    <w:rsid w:val="00FF12BB"/>
    <w:rsid w:val="00FF19E3"/>
    <w:rsid w:val="00FF1B6F"/>
    <w:rsid w:val="00FF21A0"/>
    <w:rsid w:val="00FF2206"/>
    <w:rsid w:val="00FF26CC"/>
    <w:rsid w:val="00FF2F4E"/>
    <w:rsid w:val="00FF39D6"/>
    <w:rsid w:val="00FF3CD2"/>
    <w:rsid w:val="00FF4F8E"/>
    <w:rsid w:val="00FF516F"/>
    <w:rsid w:val="00FF54DB"/>
    <w:rsid w:val="00FF568C"/>
    <w:rsid w:val="00FF5FD9"/>
    <w:rsid w:val="00FF6476"/>
    <w:rsid w:val="00FF6559"/>
    <w:rsid w:val="00FF6E80"/>
    <w:rsid w:val="00FF7444"/>
    <w:rsid w:val="00FF79A6"/>
    <w:rsid w:val="016F16BC"/>
    <w:rsid w:val="01724A8D"/>
    <w:rsid w:val="01C53690"/>
    <w:rsid w:val="02123F96"/>
    <w:rsid w:val="02242003"/>
    <w:rsid w:val="02D83674"/>
    <w:rsid w:val="042004DF"/>
    <w:rsid w:val="05ED4369"/>
    <w:rsid w:val="063D6BFA"/>
    <w:rsid w:val="06703579"/>
    <w:rsid w:val="06B11FFC"/>
    <w:rsid w:val="079571D8"/>
    <w:rsid w:val="07C72C8B"/>
    <w:rsid w:val="07CD5F0B"/>
    <w:rsid w:val="07D5438D"/>
    <w:rsid w:val="080454F1"/>
    <w:rsid w:val="0838381A"/>
    <w:rsid w:val="08E64736"/>
    <w:rsid w:val="09060C39"/>
    <w:rsid w:val="09CA1E90"/>
    <w:rsid w:val="0AA37DB7"/>
    <w:rsid w:val="0B5C54C8"/>
    <w:rsid w:val="0C57676E"/>
    <w:rsid w:val="0DB56A01"/>
    <w:rsid w:val="0E7250C9"/>
    <w:rsid w:val="0ECD7E56"/>
    <w:rsid w:val="0EDD84CA"/>
    <w:rsid w:val="0EF16656"/>
    <w:rsid w:val="0F910D5A"/>
    <w:rsid w:val="0FA20AC4"/>
    <w:rsid w:val="0FC73F9F"/>
    <w:rsid w:val="10BC03EB"/>
    <w:rsid w:val="10E04C81"/>
    <w:rsid w:val="113C69ED"/>
    <w:rsid w:val="11DC2FC5"/>
    <w:rsid w:val="12624EA5"/>
    <w:rsid w:val="129F1375"/>
    <w:rsid w:val="13C85226"/>
    <w:rsid w:val="13D71CB3"/>
    <w:rsid w:val="14E8498B"/>
    <w:rsid w:val="15074343"/>
    <w:rsid w:val="16064BC7"/>
    <w:rsid w:val="16E0712D"/>
    <w:rsid w:val="177E57AE"/>
    <w:rsid w:val="17F70160"/>
    <w:rsid w:val="18334F9A"/>
    <w:rsid w:val="1A076363"/>
    <w:rsid w:val="1C556691"/>
    <w:rsid w:val="1C716601"/>
    <w:rsid w:val="1CC720F6"/>
    <w:rsid w:val="1D61374B"/>
    <w:rsid w:val="1D6A66C4"/>
    <w:rsid w:val="1E916F71"/>
    <w:rsid w:val="1F3BD3DB"/>
    <w:rsid w:val="1FBFAEA8"/>
    <w:rsid w:val="1FD54676"/>
    <w:rsid w:val="20133EC2"/>
    <w:rsid w:val="20350B5E"/>
    <w:rsid w:val="203733BC"/>
    <w:rsid w:val="205F3A12"/>
    <w:rsid w:val="212F6CC8"/>
    <w:rsid w:val="2149219F"/>
    <w:rsid w:val="21516801"/>
    <w:rsid w:val="21694FA2"/>
    <w:rsid w:val="223C6741"/>
    <w:rsid w:val="22D872B9"/>
    <w:rsid w:val="2313711D"/>
    <w:rsid w:val="24552158"/>
    <w:rsid w:val="25671385"/>
    <w:rsid w:val="257D6C87"/>
    <w:rsid w:val="26A50137"/>
    <w:rsid w:val="26B60102"/>
    <w:rsid w:val="26EF1CC7"/>
    <w:rsid w:val="272770CA"/>
    <w:rsid w:val="285D3C5A"/>
    <w:rsid w:val="28986F45"/>
    <w:rsid w:val="298B6993"/>
    <w:rsid w:val="2A6324C0"/>
    <w:rsid w:val="2A6B3224"/>
    <w:rsid w:val="2A7F485A"/>
    <w:rsid w:val="2C055A95"/>
    <w:rsid w:val="2C390180"/>
    <w:rsid w:val="2C4B5AD3"/>
    <w:rsid w:val="2C8D3F94"/>
    <w:rsid w:val="2CAD7CF6"/>
    <w:rsid w:val="2CE752FC"/>
    <w:rsid w:val="2D02597B"/>
    <w:rsid w:val="2D7F8C84"/>
    <w:rsid w:val="2D9C455D"/>
    <w:rsid w:val="2E582D08"/>
    <w:rsid w:val="2E6E63CD"/>
    <w:rsid w:val="2EE91AAE"/>
    <w:rsid w:val="2EED07CC"/>
    <w:rsid w:val="2EF90D3B"/>
    <w:rsid w:val="2F1C0205"/>
    <w:rsid w:val="2F76025E"/>
    <w:rsid w:val="2F7F74DC"/>
    <w:rsid w:val="2F9C30DB"/>
    <w:rsid w:val="2FDE1784"/>
    <w:rsid w:val="301C2CD7"/>
    <w:rsid w:val="31505248"/>
    <w:rsid w:val="324D52A1"/>
    <w:rsid w:val="326276D3"/>
    <w:rsid w:val="327E3E0D"/>
    <w:rsid w:val="33B63C1E"/>
    <w:rsid w:val="343A0036"/>
    <w:rsid w:val="352C1B44"/>
    <w:rsid w:val="352E1BE4"/>
    <w:rsid w:val="35541D57"/>
    <w:rsid w:val="35B69C94"/>
    <w:rsid w:val="35BB9105"/>
    <w:rsid w:val="361965AC"/>
    <w:rsid w:val="36DB45BF"/>
    <w:rsid w:val="376B64CC"/>
    <w:rsid w:val="377E544E"/>
    <w:rsid w:val="37A270CD"/>
    <w:rsid w:val="37F111DC"/>
    <w:rsid w:val="37F7C0A4"/>
    <w:rsid w:val="3A8A5C6C"/>
    <w:rsid w:val="3AA46082"/>
    <w:rsid w:val="3AC85C66"/>
    <w:rsid w:val="3ADF1EAC"/>
    <w:rsid w:val="3AFF05B0"/>
    <w:rsid w:val="3B8B3286"/>
    <w:rsid w:val="3B9E7C12"/>
    <w:rsid w:val="3BDE4833"/>
    <w:rsid w:val="3CB64340"/>
    <w:rsid w:val="3D736C38"/>
    <w:rsid w:val="3DCB45A3"/>
    <w:rsid w:val="3DFF58B7"/>
    <w:rsid w:val="3EC7144E"/>
    <w:rsid w:val="3EFEE4E7"/>
    <w:rsid w:val="3F4F4218"/>
    <w:rsid w:val="3F611A39"/>
    <w:rsid w:val="3F7FA506"/>
    <w:rsid w:val="3FCFA32B"/>
    <w:rsid w:val="3FFD012E"/>
    <w:rsid w:val="41AD11AC"/>
    <w:rsid w:val="41AF73BD"/>
    <w:rsid w:val="424800C7"/>
    <w:rsid w:val="426E0EE0"/>
    <w:rsid w:val="427D3F1A"/>
    <w:rsid w:val="43246EBD"/>
    <w:rsid w:val="43A77473"/>
    <w:rsid w:val="442078AC"/>
    <w:rsid w:val="453973E9"/>
    <w:rsid w:val="4577414F"/>
    <w:rsid w:val="4587600E"/>
    <w:rsid w:val="45A84CA1"/>
    <w:rsid w:val="485F4863"/>
    <w:rsid w:val="48FB3261"/>
    <w:rsid w:val="4A4E7E1A"/>
    <w:rsid w:val="4A9E1C3C"/>
    <w:rsid w:val="4ACF1A7E"/>
    <w:rsid w:val="4AF062A2"/>
    <w:rsid w:val="4B797CA4"/>
    <w:rsid w:val="4C2A705C"/>
    <w:rsid w:val="4D052AA5"/>
    <w:rsid w:val="4DB34960"/>
    <w:rsid w:val="4E12786B"/>
    <w:rsid w:val="4E2716CD"/>
    <w:rsid w:val="4E4C24F5"/>
    <w:rsid w:val="4ECF6057"/>
    <w:rsid w:val="4EF031EA"/>
    <w:rsid w:val="4F4526E8"/>
    <w:rsid w:val="50045BBE"/>
    <w:rsid w:val="50334005"/>
    <w:rsid w:val="5072670D"/>
    <w:rsid w:val="50DB2EAF"/>
    <w:rsid w:val="51460FAD"/>
    <w:rsid w:val="517C6411"/>
    <w:rsid w:val="526512A3"/>
    <w:rsid w:val="529421CD"/>
    <w:rsid w:val="52966B30"/>
    <w:rsid w:val="529E39BE"/>
    <w:rsid w:val="53EC1340"/>
    <w:rsid w:val="540B1067"/>
    <w:rsid w:val="54E36B60"/>
    <w:rsid w:val="56BA6D6F"/>
    <w:rsid w:val="56CE297B"/>
    <w:rsid w:val="573375E6"/>
    <w:rsid w:val="5734460C"/>
    <w:rsid w:val="576C5FAD"/>
    <w:rsid w:val="57FE43C5"/>
    <w:rsid w:val="58C5206D"/>
    <w:rsid w:val="58D60C9D"/>
    <w:rsid w:val="59E12B43"/>
    <w:rsid w:val="5A493CDC"/>
    <w:rsid w:val="5A4B536F"/>
    <w:rsid w:val="5ABBF4E4"/>
    <w:rsid w:val="5ADF204F"/>
    <w:rsid w:val="5B0F780F"/>
    <w:rsid w:val="5B184523"/>
    <w:rsid w:val="5B811D24"/>
    <w:rsid w:val="5BFC06EE"/>
    <w:rsid w:val="5D177A1D"/>
    <w:rsid w:val="5D8A48D2"/>
    <w:rsid w:val="5DAB17F5"/>
    <w:rsid w:val="5DFD6B3F"/>
    <w:rsid w:val="5E407A60"/>
    <w:rsid w:val="5E457DB9"/>
    <w:rsid w:val="5E5B69ED"/>
    <w:rsid w:val="5E863619"/>
    <w:rsid w:val="5EEDED79"/>
    <w:rsid w:val="5EFEB999"/>
    <w:rsid w:val="5EFF12CE"/>
    <w:rsid w:val="5F1A406D"/>
    <w:rsid w:val="5F206DB0"/>
    <w:rsid w:val="5F36204C"/>
    <w:rsid w:val="5F4DB30B"/>
    <w:rsid w:val="5FA62A45"/>
    <w:rsid w:val="5FBE1B3D"/>
    <w:rsid w:val="5FEF9890"/>
    <w:rsid w:val="5FF7D953"/>
    <w:rsid w:val="6053631E"/>
    <w:rsid w:val="605C0887"/>
    <w:rsid w:val="60AD6A38"/>
    <w:rsid w:val="629D7D01"/>
    <w:rsid w:val="62E62F4B"/>
    <w:rsid w:val="63DC0450"/>
    <w:rsid w:val="63DFB159"/>
    <w:rsid w:val="63EB595D"/>
    <w:rsid w:val="64044046"/>
    <w:rsid w:val="640B1C93"/>
    <w:rsid w:val="640B6DFA"/>
    <w:rsid w:val="647C3C5E"/>
    <w:rsid w:val="64FFC5BB"/>
    <w:rsid w:val="655B62DE"/>
    <w:rsid w:val="66A84D71"/>
    <w:rsid w:val="670A68F4"/>
    <w:rsid w:val="6752466E"/>
    <w:rsid w:val="68042826"/>
    <w:rsid w:val="68A20E27"/>
    <w:rsid w:val="69F122B9"/>
    <w:rsid w:val="69FB18A7"/>
    <w:rsid w:val="69FF3CC4"/>
    <w:rsid w:val="6A045D7E"/>
    <w:rsid w:val="6AEE4935"/>
    <w:rsid w:val="6AF22A42"/>
    <w:rsid w:val="6B23587C"/>
    <w:rsid w:val="6B646647"/>
    <w:rsid w:val="6B67011B"/>
    <w:rsid w:val="6B78804D"/>
    <w:rsid w:val="6BBF2D8E"/>
    <w:rsid w:val="6CFE7061"/>
    <w:rsid w:val="6D2E1488"/>
    <w:rsid w:val="6D493497"/>
    <w:rsid w:val="6DEFB41C"/>
    <w:rsid w:val="6DF7900D"/>
    <w:rsid w:val="6EFAC729"/>
    <w:rsid w:val="6F5DB130"/>
    <w:rsid w:val="6FA41ADB"/>
    <w:rsid w:val="6FBDCD53"/>
    <w:rsid w:val="6FF07122"/>
    <w:rsid w:val="70257D46"/>
    <w:rsid w:val="70266F2C"/>
    <w:rsid w:val="711623AD"/>
    <w:rsid w:val="71BF3ACF"/>
    <w:rsid w:val="71E575CE"/>
    <w:rsid w:val="720D23CE"/>
    <w:rsid w:val="72146AD0"/>
    <w:rsid w:val="72685856"/>
    <w:rsid w:val="72D827DF"/>
    <w:rsid w:val="73761E66"/>
    <w:rsid w:val="73D41640"/>
    <w:rsid w:val="73F91DF3"/>
    <w:rsid w:val="74671380"/>
    <w:rsid w:val="74765B9E"/>
    <w:rsid w:val="74F722AA"/>
    <w:rsid w:val="74FBBE19"/>
    <w:rsid w:val="752E2E69"/>
    <w:rsid w:val="75584555"/>
    <w:rsid w:val="75840CDB"/>
    <w:rsid w:val="75EF5D7D"/>
    <w:rsid w:val="76168719"/>
    <w:rsid w:val="768A5760"/>
    <w:rsid w:val="76983573"/>
    <w:rsid w:val="76C85C23"/>
    <w:rsid w:val="76E21818"/>
    <w:rsid w:val="76F38D59"/>
    <w:rsid w:val="777EA796"/>
    <w:rsid w:val="77B3494C"/>
    <w:rsid w:val="77BC4B9E"/>
    <w:rsid w:val="77E1D4F0"/>
    <w:rsid w:val="77FDF0FC"/>
    <w:rsid w:val="77FF17DE"/>
    <w:rsid w:val="78153BF1"/>
    <w:rsid w:val="788C5CF0"/>
    <w:rsid w:val="78A76392"/>
    <w:rsid w:val="78BB5C0D"/>
    <w:rsid w:val="78DB04F2"/>
    <w:rsid w:val="79180932"/>
    <w:rsid w:val="7AB26BAB"/>
    <w:rsid w:val="7AFE55EB"/>
    <w:rsid w:val="7AFEDB1B"/>
    <w:rsid w:val="7B4A28CA"/>
    <w:rsid w:val="7B4D2521"/>
    <w:rsid w:val="7B67E4CA"/>
    <w:rsid w:val="7BF7E57F"/>
    <w:rsid w:val="7BFB1353"/>
    <w:rsid w:val="7C264A88"/>
    <w:rsid w:val="7CEB149C"/>
    <w:rsid w:val="7D7F5D6A"/>
    <w:rsid w:val="7DE06F47"/>
    <w:rsid w:val="7E6FF287"/>
    <w:rsid w:val="7E7F5A12"/>
    <w:rsid w:val="7EBE9BA3"/>
    <w:rsid w:val="7F9EED6A"/>
    <w:rsid w:val="7F9FC2F6"/>
    <w:rsid w:val="7F9FD709"/>
    <w:rsid w:val="7FAA0C38"/>
    <w:rsid w:val="7FEB24E2"/>
    <w:rsid w:val="7FF55572"/>
    <w:rsid w:val="89ED848F"/>
    <w:rsid w:val="956B8806"/>
    <w:rsid w:val="99DA49F7"/>
    <w:rsid w:val="9FEFDC72"/>
    <w:rsid w:val="9FFA4F97"/>
    <w:rsid w:val="A3B57895"/>
    <w:rsid w:val="A5DF2BE7"/>
    <w:rsid w:val="A7FFAF35"/>
    <w:rsid w:val="ADBF22B0"/>
    <w:rsid w:val="AE1FCD36"/>
    <w:rsid w:val="AF1DDAD8"/>
    <w:rsid w:val="B3DDD410"/>
    <w:rsid w:val="B3FE40E2"/>
    <w:rsid w:val="B6FF4D15"/>
    <w:rsid w:val="B7B52130"/>
    <w:rsid w:val="BBD9AB35"/>
    <w:rsid w:val="BC7D0F60"/>
    <w:rsid w:val="BDAF6E66"/>
    <w:rsid w:val="BEE79FC4"/>
    <w:rsid w:val="BF9FFD4B"/>
    <w:rsid w:val="BFEBF068"/>
    <w:rsid w:val="C7DFDE84"/>
    <w:rsid w:val="C87D2081"/>
    <w:rsid w:val="CFBFDBE5"/>
    <w:rsid w:val="D7B5DEA8"/>
    <w:rsid w:val="D7BA8A21"/>
    <w:rsid w:val="D7BBBA7C"/>
    <w:rsid w:val="D9EF3EC7"/>
    <w:rsid w:val="DADADFA8"/>
    <w:rsid w:val="DCEEBC60"/>
    <w:rsid w:val="DEFF7081"/>
    <w:rsid w:val="DF3F0686"/>
    <w:rsid w:val="DF7F9EF5"/>
    <w:rsid w:val="DFBFC90E"/>
    <w:rsid w:val="E2CF5FBA"/>
    <w:rsid w:val="E6BF5498"/>
    <w:rsid w:val="E7EF5437"/>
    <w:rsid w:val="E7F78677"/>
    <w:rsid w:val="E7FF497A"/>
    <w:rsid w:val="E87F8ACE"/>
    <w:rsid w:val="EABD005D"/>
    <w:rsid w:val="EBBFCB24"/>
    <w:rsid w:val="EC6D7DDD"/>
    <w:rsid w:val="ED670DC3"/>
    <w:rsid w:val="EF3D7460"/>
    <w:rsid w:val="EFFD37FC"/>
    <w:rsid w:val="EFFF1D86"/>
    <w:rsid w:val="F5E1834B"/>
    <w:rsid w:val="F6FA6B04"/>
    <w:rsid w:val="F75B9795"/>
    <w:rsid w:val="F7677899"/>
    <w:rsid w:val="F77FD7E7"/>
    <w:rsid w:val="F78FCE19"/>
    <w:rsid w:val="F7DFFF06"/>
    <w:rsid w:val="F7FF14E3"/>
    <w:rsid w:val="F85EBE7F"/>
    <w:rsid w:val="FA74D908"/>
    <w:rsid w:val="FA7FF7BB"/>
    <w:rsid w:val="FABF7CA6"/>
    <w:rsid w:val="FB39C7EA"/>
    <w:rsid w:val="FB5B1DD6"/>
    <w:rsid w:val="FD7F2BEF"/>
    <w:rsid w:val="FEDF575D"/>
    <w:rsid w:val="FEEEAAC5"/>
    <w:rsid w:val="FEFE467B"/>
    <w:rsid w:val="FEFF5C7C"/>
    <w:rsid w:val="FEFFA293"/>
    <w:rsid w:val="FF6F0D6F"/>
    <w:rsid w:val="FF750C1E"/>
    <w:rsid w:val="FF7E743B"/>
    <w:rsid w:val="FFD5A78A"/>
    <w:rsid w:val="FFF74A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jc w:val="center"/>
      <w:outlineLvl w:val="0"/>
    </w:pPr>
    <w:rPr>
      <w:rFonts w:eastAsia="黑体"/>
      <w:b/>
      <w:sz w:val="52"/>
      <w:szCs w:val="20"/>
    </w:rPr>
  </w:style>
  <w:style w:type="paragraph" w:styleId="3">
    <w:name w:val="heading 2"/>
    <w:basedOn w:val="1"/>
    <w:next w:val="1"/>
    <w:link w:val="43"/>
    <w:qFormat/>
    <w:uiPriority w:val="0"/>
    <w:pPr>
      <w:keepNext/>
      <w:keepLines/>
      <w:spacing w:before="260" w:after="260" w:line="416" w:lineRule="auto"/>
      <w:jc w:val="left"/>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28"/>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Theme="minorHAnsi" w:hAnsiTheme="minorHAnsi" w:cstheme="minorHAnsi"/>
      <w:sz w:val="18"/>
      <w:szCs w:val="18"/>
    </w:rPr>
  </w:style>
  <w:style w:type="paragraph" w:styleId="8">
    <w:name w:val="Normal Indent"/>
    <w:basedOn w:val="1"/>
    <w:next w:val="1"/>
    <w:qFormat/>
    <w:uiPriority w:val="0"/>
    <w:pPr>
      <w:ind w:firstLine="420"/>
    </w:pPr>
    <w:rPr>
      <w:szCs w:val="20"/>
    </w:rPr>
  </w:style>
  <w:style w:type="paragraph" w:styleId="9">
    <w:name w:val="Document Map"/>
    <w:basedOn w:val="1"/>
    <w:semiHidden/>
    <w:qFormat/>
    <w:uiPriority w:val="0"/>
    <w:pPr>
      <w:shd w:val="clear" w:color="auto" w:fill="000080"/>
    </w:pPr>
  </w:style>
  <w:style w:type="paragraph" w:styleId="10">
    <w:name w:val="annotation text"/>
    <w:basedOn w:val="1"/>
    <w:link w:val="45"/>
    <w:qFormat/>
    <w:uiPriority w:val="0"/>
    <w:pPr>
      <w:jc w:val="left"/>
    </w:pPr>
  </w:style>
  <w:style w:type="paragraph" w:styleId="11">
    <w:name w:val="Body Text"/>
    <w:basedOn w:val="1"/>
    <w:link w:val="46"/>
    <w:qFormat/>
    <w:uiPriority w:val="0"/>
    <w:pPr>
      <w:spacing w:after="120"/>
    </w:pPr>
  </w:style>
  <w:style w:type="paragraph" w:styleId="12">
    <w:name w:val="Body Text Indent"/>
    <w:basedOn w:val="1"/>
    <w:qFormat/>
    <w:uiPriority w:val="0"/>
    <w:pPr>
      <w:spacing w:after="120"/>
      <w:ind w:left="420" w:leftChars="200"/>
    </w:pPr>
    <w:rPr>
      <w:szCs w:val="20"/>
    </w:rPr>
  </w:style>
  <w:style w:type="paragraph" w:styleId="13">
    <w:name w:val="toc 5"/>
    <w:basedOn w:val="1"/>
    <w:next w:val="1"/>
    <w:qFormat/>
    <w:uiPriority w:val="0"/>
    <w:pPr>
      <w:ind w:left="840"/>
      <w:jc w:val="left"/>
    </w:pPr>
    <w:rPr>
      <w:rFonts w:asciiTheme="minorHAnsi" w:hAnsiTheme="minorHAnsi" w:cstheme="minorHAnsi"/>
      <w:sz w:val="18"/>
      <w:szCs w:val="18"/>
    </w:rPr>
  </w:style>
  <w:style w:type="paragraph" w:styleId="14">
    <w:name w:val="toc 3"/>
    <w:basedOn w:val="1"/>
    <w:next w:val="1"/>
    <w:qFormat/>
    <w:uiPriority w:val="39"/>
    <w:pPr>
      <w:ind w:left="420"/>
      <w:jc w:val="left"/>
    </w:pPr>
    <w:rPr>
      <w:rFonts w:asciiTheme="minorHAnsi" w:hAnsiTheme="minorHAnsi" w:cstheme="minorHAnsi"/>
      <w:i/>
      <w:iCs/>
      <w:sz w:val="20"/>
      <w:szCs w:val="20"/>
    </w:rPr>
  </w:style>
  <w:style w:type="paragraph" w:styleId="15">
    <w:name w:val="Plain Text"/>
    <w:basedOn w:val="1"/>
    <w:link w:val="47"/>
    <w:qFormat/>
    <w:uiPriority w:val="0"/>
    <w:rPr>
      <w:rFonts w:ascii="宋体" w:hAnsi="Courier New" w:cs="金山简魏碑"/>
      <w:szCs w:val="21"/>
    </w:rPr>
  </w:style>
  <w:style w:type="paragraph" w:styleId="16">
    <w:name w:val="toc 8"/>
    <w:basedOn w:val="1"/>
    <w:next w:val="1"/>
    <w:qFormat/>
    <w:uiPriority w:val="0"/>
    <w:pPr>
      <w:ind w:left="1470"/>
      <w:jc w:val="left"/>
    </w:pPr>
    <w:rPr>
      <w:rFonts w:asciiTheme="minorHAnsi" w:hAnsiTheme="minorHAnsi" w:cstheme="minorHAnsi"/>
      <w:sz w:val="18"/>
      <w:szCs w:val="18"/>
    </w:rPr>
  </w:style>
  <w:style w:type="paragraph" w:styleId="17">
    <w:name w:val="Date"/>
    <w:basedOn w:val="1"/>
    <w:next w:val="1"/>
    <w:link w:val="48"/>
    <w:qFormat/>
    <w:uiPriority w:val="0"/>
    <w:pPr>
      <w:ind w:left="100" w:leftChars="2500"/>
    </w:pPr>
    <w:rPr>
      <w:sz w:val="32"/>
    </w:rPr>
  </w:style>
  <w:style w:type="paragraph" w:styleId="18">
    <w:name w:val="Body Text Indent 2"/>
    <w:basedOn w:val="1"/>
    <w:link w:val="49"/>
    <w:qFormat/>
    <w:uiPriority w:val="0"/>
    <w:pPr>
      <w:spacing w:after="120" w:line="480" w:lineRule="auto"/>
      <w:ind w:left="420" w:leftChars="200"/>
    </w:pPr>
  </w:style>
  <w:style w:type="paragraph" w:styleId="19">
    <w:name w:val="Balloon Text"/>
    <w:basedOn w:val="1"/>
    <w:link w:val="50"/>
    <w:semiHidden/>
    <w:qFormat/>
    <w:uiPriority w:val="0"/>
    <w:rPr>
      <w:sz w:val="18"/>
      <w:szCs w:val="18"/>
    </w:rPr>
  </w:style>
  <w:style w:type="paragraph" w:styleId="20">
    <w:name w:val="footer"/>
    <w:basedOn w:val="1"/>
    <w:link w:val="51"/>
    <w:qFormat/>
    <w:uiPriority w:val="99"/>
    <w:pPr>
      <w:tabs>
        <w:tab w:val="center" w:pos="4153"/>
        <w:tab w:val="right" w:pos="8306"/>
      </w:tabs>
      <w:snapToGrid w:val="0"/>
      <w:jc w:val="left"/>
    </w:pPr>
    <w:rPr>
      <w:sz w:val="18"/>
      <w:szCs w:val="18"/>
    </w:rPr>
  </w:style>
  <w:style w:type="paragraph" w:styleId="21">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23">
    <w:name w:val="toc 4"/>
    <w:basedOn w:val="1"/>
    <w:next w:val="1"/>
    <w:qFormat/>
    <w:uiPriority w:val="0"/>
    <w:pPr>
      <w:ind w:left="630"/>
      <w:jc w:val="left"/>
    </w:pPr>
    <w:rPr>
      <w:rFonts w:asciiTheme="minorHAnsi" w:hAnsiTheme="minorHAnsi" w:cstheme="minorHAnsi"/>
      <w:sz w:val="18"/>
      <w:szCs w:val="18"/>
    </w:rPr>
  </w:style>
  <w:style w:type="paragraph" w:styleId="24">
    <w:name w:val="toc 6"/>
    <w:basedOn w:val="1"/>
    <w:next w:val="1"/>
    <w:qFormat/>
    <w:uiPriority w:val="0"/>
    <w:pPr>
      <w:ind w:left="1050"/>
      <w:jc w:val="left"/>
    </w:pPr>
    <w:rPr>
      <w:rFonts w:asciiTheme="minorHAnsi" w:hAnsiTheme="minorHAnsi" w:cstheme="minorHAnsi"/>
      <w:sz w:val="18"/>
      <w:szCs w:val="18"/>
    </w:rPr>
  </w:style>
  <w:style w:type="paragraph" w:styleId="25">
    <w:name w:val="Body Text Indent 3"/>
    <w:basedOn w:val="1"/>
    <w:qFormat/>
    <w:uiPriority w:val="0"/>
    <w:pPr>
      <w:tabs>
        <w:tab w:val="left" w:pos="0"/>
        <w:tab w:val="left" w:pos="4140"/>
      </w:tabs>
      <w:ind w:firstLine="576"/>
    </w:pPr>
    <w:rPr>
      <w:sz w:val="28"/>
    </w:rPr>
  </w:style>
  <w:style w:type="paragraph" w:styleId="26">
    <w:name w:val="toc 2"/>
    <w:basedOn w:val="1"/>
    <w:next w:val="1"/>
    <w:qFormat/>
    <w:uiPriority w:val="39"/>
    <w:pPr>
      <w:ind w:left="210"/>
      <w:jc w:val="left"/>
    </w:pPr>
    <w:rPr>
      <w:rFonts w:asciiTheme="minorHAnsi" w:hAnsiTheme="minorHAnsi" w:cstheme="minorHAnsi"/>
      <w:smallCaps/>
      <w:sz w:val="20"/>
      <w:szCs w:val="20"/>
    </w:rPr>
  </w:style>
  <w:style w:type="paragraph" w:styleId="27">
    <w:name w:val="toc 9"/>
    <w:basedOn w:val="1"/>
    <w:next w:val="1"/>
    <w:qFormat/>
    <w:uiPriority w:val="0"/>
    <w:pPr>
      <w:ind w:left="1680"/>
      <w:jc w:val="left"/>
    </w:pPr>
    <w:rPr>
      <w:rFonts w:asciiTheme="minorHAnsi" w:hAnsiTheme="minorHAnsi" w:cstheme="minorHAnsi"/>
      <w:sz w:val="18"/>
      <w:szCs w:val="18"/>
    </w:rPr>
  </w:style>
  <w:style w:type="paragraph" w:styleId="28">
    <w:name w:val="HTML Preformatted"/>
    <w:basedOn w:val="1"/>
    <w:link w:val="5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29">
    <w:name w:val="Normal (Web)"/>
    <w:basedOn w:val="1"/>
    <w:qFormat/>
    <w:uiPriority w:val="0"/>
    <w:pPr>
      <w:widowControl/>
      <w:spacing w:before="100" w:beforeAutospacing="1" w:after="100" w:afterAutospacing="1"/>
      <w:jc w:val="left"/>
    </w:pPr>
    <w:rPr>
      <w:rFonts w:ascii="宋体" w:hAnsi="宋体"/>
      <w:kern w:val="0"/>
      <w:sz w:val="24"/>
    </w:rPr>
  </w:style>
  <w:style w:type="paragraph" w:styleId="30">
    <w:name w:val="index 1"/>
    <w:basedOn w:val="1"/>
    <w:next w:val="1"/>
    <w:semiHidden/>
    <w:qFormat/>
    <w:uiPriority w:val="0"/>
  </w:style>
  <w:style w:type="paragraph" w:styleId="31">
    <w:name w:val="Title"/>
    <w:basedOn w:val="1"/>
    <w:link w:val="54"/>
    <w:qFormat/>
    <w:uiPriority w:val="0"/>
    <w:pPr>
      <w:spacing w:before="240" w:after="60"/>
      <w:jc w:val="center"/>
      <w:outlineLvl w:val="0"/>
    </w:pPr>
    <w:rPr>
      <w:rFonts w:ascii="Arial" w:hAnsi="Arial" w:eastAsia="黑体"/>
      <w:b/>
      <w:bCs/>
      <w:sz w:val="72"/>
      <w:szCs w:val="32"/>
    </w:rPr>
  </w:style>
  <w:style w:type="paragraph" w:styleId="32">
    <w:name w:val="annotation subject"/>
    <w:basedOn w:val="10"/>
    <w:next w:val="10"/>
    <w:link w:val="55"/>
    <w:semiHidden/>
    <w:qFormat/>
    <w:uiPriority w:val="0"/>
    <w:rPr>
      <w:b/>
      <w:bCs/>
    </w:rPr>
  </w:style>
  <w:style w:type="paragraph" w:styleId="33">
    <w:name w:val="Body Text First Indent"/>
    <w:basedOn w:val="11"/>
    <w:qFormat/>
    <w:uiPriority w:val="0"/>
    <w:pPr>
      <w:ind w:firstLine="420" w:firstLineChars="100"/>
    </w:p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标题 1 字符"/>
    <w:link w:val="2"/>
    <w:qFormat/>
    <w:uiPriority w:val="0"/>
    <w:rPr>
      <w:rFonts w:eastAsia="黑体"/>
      <w:b/>
      <w:kern w:val="2"/>
      <w:sz w:val="52"/>
      <w:lang w:val="en-US" w:eastAsia="zh-CN" w:bidi="ar-SA"/>
    </w:rPr>
  </w:style>
  <w:style w:type="character" w:customStyle="1" w:styleId="43">
    <w:name w:val="标题 2 字符"/>
    <w:link w:val="3"/>
    <w:qFormat/>
    <w:uiPriority w:val="0"/>
    <w:rPr>
      <w:rFonts w:ascii="Arial" w:hAnsi="Arial" w:eastAsia="黑体"/>
      <w:b/>
      <w:bCs/>
      <w:kern w:val="2"/>
      <w:sz w:val="32"/>
      <w:szCs w:val="32"/>
      <w:lang w:val="en-US" w:eastAsia="zh-CN" w:bidi="ar-SA"/>
    </w:rPr>
  </w:style>
  <w:style w:type="character" w:customStyle="1" w:styleId="44">
    <w:name w:val="标题 3 字符"/>
    <w:link w:val="4"/>
    <w:qFormat/>
    <w:uiPriority w:val="0"/>
    <w:rPr>
      <w:b/>
      <w:bCs/>
      <w:kern w:val="2"/>
      <w:sz w:val="28"/>
      <w:szCs w:val="32"/>
    </w:rPr>
  </w:style>
  <w:style w:type="character" w:customStyle="1" w:styleId="45">
    <w:name w:val="批注文字 字符"/>
    <w:link w:val="10"/>
    <w:qFormat/>
    <w:uiPriority w:val="0"/>
    <w:rPr>
      <w:kern w:val="2"/>
      <w:sz w:val="21"/>
      <w:szCs w:val="24"/>
    </w:rPr>
  </w:style>
  <w:style w:type="character" w:customStyle="1" w:styleId="46">
    <w:name w:val="正文文本 字符"/>
    <w:link w:val="11"/>
    <w:qFormat/>
    <w:uiPriority w:val="0"/>
    <w:rPr>
      <w:kern w:val="2"/>
      <w:sz w:val="21"/>
      <w:szCs w:val="24"/>
    </w:rPr>
  </w:style>
  <w:style w:type="character" w:customStyle="1" w:styleId="47">
    <w:name w:val="纯文本 字符"/>
    <w:link w:val="15"/>
    <w:qFormat/>
    <w:uiPriority w:val="0"/>
    <w:rPr>
      <w:rFonts w:ascii="宋体" w:hAnsi="Courier New" w:eastAsia="宋体" w:cs="金山简魏碑"/>
      <w:kern w:val="2"/>
      <w:sz w:val="21"/>
      <w:szCs w:val="21"/>
      <w:lang w:val="en-US" w:eastAsia="zh-CN" w:bidi="ar-SA"/>
    </w:rPr>
  </w:style>
  <w:style w:type="character" w:customStyle="1" w:styleId="48">
    <w:name w:val="日期 字符"/>
    <w:link w:val="17"/>
    <w:qFormat/>
    <w:uiPriority w:val="0"/>
    <w:rPr>
      <w:kern w:val="2"/>
      <w:sz w:val="32"/>
      <w:szCs w:val="24"/>
    </w:rPr>
  </w:style>
  <w:style w:type="character" w:customStyle="1" w:styleId="49">
    <w:name w:val="正文文本缩进 2 字符"/>
    <w:link w:val="18"/>
    <w:qFormat/>
    <w:uiPriority w:val="0"/>
    <w:rPr>
      <w:kern w:val="2"/>
      <w:sz w:val="21"/>
      <w:szCs w:val="24"/>
    </w:rPr>
  </w:style>
  <w:style w:type="character" w:customStyle="1" w:styleId="50">
    <w:name w:val="批注框文本 字符"/>
    <w:link w:val="19"/>
    <w:semiHidden/>
    <w:qFormat/>
    <w:uiPriority w:val="0"/>
    <w:rPr>
      <w:kern w:val="2"/>
      <w:sz w:val="18"/>
      <w:szCs w:val="18"/>
    </w:rPr>
  </w:style>
  <w:style w:type="character" w:customStyle="1" w:styleId="51">
    <w:name w:val="页脚 字符"/>
    <w:link w:val="20"/>
    <w:qFormat/>
    <w:uiPriority w:val="99"/>
    <w:rPr>
      <w:kern w:val="2"/>
      <w:sz w:val="18"/>
      <w:szCs w:val="18"/>
    </w:rPr>
  </w:style>
  <w:style w:type="character" w:customStyle="1" w:styleId="52">
    <w:name w:val="页眉 字符"/>
    <w:link w:val="21"/>
    <w:qFormat/>
    <w:uiPriority w:val="0"/>
    <w:rPr>
      <w:kern w:val="2"/>
      <w:sz w:val="18"/>
      <w:szCs w:val="18"/>
    </w:rPr>
  </w:style>
  <w:style w:type="character" w:customStyle="1" w:styleId="53">
    <w:name w:val="HTML 预设格式 字符"/>
    <w:link w:val="28"/>
    <w:qFormat/>
    <w:uiPriority w:val="0"/>
    <w:rPr>
      <w:rFonts w:ascii="Arial Unicode MS" w:hAnsi="Arial Unicode MS" w:eastAsia="Arial Unicode MS" w:cs="Arial Unicode MS"/>
    </w:rPr>
  </w:style>
  <w:style w:type="character" w:customStyle="1" w:styleId="54">
    <w:name w:val="标题 字符"/>
    <w:link w:val="31"/>
    <w:qFormat/>
    <w:uiPriority w:val="0"/>
    <w:rPr>
      <w:rFonts w:ascii="Arial" w:hAnsi="Arial" w:eastAsia="黑体" w:cs="Arial"/>
      <w:b/>
      <w:bCs/>
      <w:kern w:val="2"/>
      <w:sz w:val="72"/>
      <w:szCs w:val="32"/>
    </w:rPr>
  </w:style>
  <w:style w:type="character" w:customStyle="1" w:styleId="55">
    <w:name w:val="批注主题 字符"/>
    <w:link w:val="32"/>
    <w:semiHidden/>
    <w:qFormat/>
    <w:uiPriority w:val="0"/>
    <w:rPr>
      <w:b/>
      <w:bCs/>
      <w:kern w:val="2"/>
      <w:sz w:val="21"/>
      <w:szCs w:val="24"/>
    </w:rPr>
  </w:style>
  <w:style w:type="character" w:customStyle="1" w:styleId="56">
    <w:name w:val="font131"/>
    <w:qFormat/>
    <w:uiPriority w:val="0"/>
    <w:rPr>
      <w:rFonts w:hint="default" w:ascii="Symbol" w:hAnsi="Symbol" w:cs="Symbol"/>
      <w:color w:val="000000"/>
      <w:sz w:val="20"/>
      <w:szCs w:val="20"/>
      <w:u w:val="none"/>
    </w:rPr>
  </w:style>
  <w:style w:type="character" w:customStyle="1" w:styleId="57">
    <w:name w:val="font11"/>
    <w:qFormat/>
    <w:uiPriority w:val="0"/>
    <w:rPr>
      <w:rFonts w:hint="eastAsia" w:ascii="宋体" w:hAnsi="宋体" w:eastAsia="宋体" w:cs="宋体"/>
      <w:color w:val="000000"/>
      <w:sz w:val="20"/>
      <w:szCs w:val="20"/>
      <w:u w:val="none"/>
    </w:rPr>
  </w:style>
  <w:style w:type="character" w:customStyle="1" w:styleId="58">
    <w:name w:val="Char Char11"/>
    <w:qFormat/>
    <w:uiPriority w:val="0"/>
    <w:rPr>
      <w:b/>
      <w:bCs/>
      <w:kern w:val="44"/>
      <w:sz w:val="44"/>
      <w:szCs w:val="44"/>
    </w:rPr>
  </w:style>
  <w:style w:type="character" w:customStyle="1" w:styleId="59">
    <w:name w:val="ggnr1"/>
    <w:qFormat/>
    <w:uiPriority w:val="0"/>
    <w:rPr>
      <w:sz w:val="26"/>
      <w:szCs w:val="26"/>
    </w:rPr>
  </w:style>
  <w:style w:type="character" w:customStyle="1" w:styleId="60">
    <w:name w:val="3级大纲合同段落和字体 Char"/>
    <w:link w:val="61"/>
    <w:qFormat/>
    <w:uiPriority w:val="0"/>
    <w:rPr>
      <w:rFonts w:ascii="宋体" w:hAnsi="宋体"/>
      <w:sz w:val="21"/>
      <w:szCs w:val="21"/>
    </w:rPr>
  </w:style>
  <w:style w:type="paragraph" w:customStyle="1" w:styleId="61">
    <w:name w:val="3级大纲合同段落和字体"/>
    <w:basedOn w:val="4"/>
    <w:link w:val="60"/>
    <w:qFormat/>
    <w:uiPriority w:val="0"/>
    <w:pPr>
      <w:keepNext w:val="0"/>
      <w:keepLines w:val="0"/>
      <w:widowControl/>
      <w:suppressAutoHyphens/>
      <w:spacing w:before="0" w:after="0" w:line="360" w:lineRule="auto"/>
      <w:jc w:val="left"/>
    </w:pPr>
    <w:rPr>
      <w:rFonts w:ascii="宋体" w:hAnsi="宋体"/>
      <w:b w:val="0"/>
      <w:bCs w:val="0"/>
      <w:kern w:val="0"/>
      <w:sz w:val="21"/>
      <w:szCs w:val="21"/>
    </w:rPr>
  </w:style>
  <w:style w:type="character" w:customStyle="1" w:styleId="62">
    <w:name w:val="Char Char10"/>
    <w:qFormat/>
    <w:uiPriority w:val="0"/>
    <w:rPr>
      <w:rFonts w:ascii="Arial" w:hAnsi="Arial" w:eastAsia="黑体" w:cs="Times New Roman"/>
      <w:b/>
      <w:bCs/>
      <w:sz w:val="32"/>
      <w:szCs w:val="32"/>
    </w:rPr>
  </w:style>
  <w:style w:type="character" w:customStyle="1" w:styleId="63">
    <w:name w:val="文一 Char"/>
    <w:link w:val="64"/>
    <w:qFormat/>
    <w:uiPriority w:val="0"/>
    <w:rPr>
      <w:snapToGrid/>
      <w:spacing w:val="4"/>
      <w:sz w:val="24"/>
      <w:szCs w:val="24"/>
    </w:rPr>
  </w:style>
  <w:style w:type="paragraph" w:customStyle="1" w:styleId="64">
    <w:name w:val="文一"/>
    <w:basedOn w:val="1"/>
    <w:link w:val="63"/>
    <w:qFormat/>
    <w:uiPriority w:val="0"/>
    <w:pPr>
      <w:topLinePunct/>
      <w:adjustRightInd w:val="0"/>
      <w:snapToGrid w:val="0"/>
      <w:spacing w:line="360" w:lineRule="auto"/>
      <w:ind w:firstLine="200" w:firstLineChars="200"/>
    </w:pPr>
    <w:rPr>
      <w:spacing w:val="4"/>
      <w:kern w:val="0"/>
      <w:sz w:val="24"/>
    </w:rPr>
  </w:style>
  <w:style w:type="character" w:customStyle="1" w:styleId="65">
    <w:name w:val="font21"/>
    <w:qFormat/>
    <w:uiPriority w:val="0"/>
    <w:rPr>
      <w:rFonts w:hint="default" w:ascii="Arial" w:hAnsi="Arial" w:cs="Arial"/>
      <w:color w:val="000000"/>
      <w:sz w:val="20"/>
      <w:szCs w:val="20"/>
      <w:u w:val="none"/>
    </w:rPr>
  </w:style>
  <w:style w:type="character" w:customStyle="1" w:styleId="66">
    <w:name w:val="font141"/>
    <w:qFormat/>
    <w:uiPriority w:val="0"/>
    <w:rPr>
      <w:rFonts w:hint="eastAsia" w:ascii="宋体" w:hAnsi="宋体" w:eastAsia="宋体" w:cs="宋体"/>
      <w:color w:val="000000"/>
      <w:sz w:val="20"/>
      <w:szCs w:val="20"/>
      <w:u w:val="none"/>
    </w:rPr>
  </w:style>
  <w:style w:type="character" w:customStyle="1" w:styleId="67">
    <w:name w:val="Char Char4"/>
    <w:qFormat/>
    <w:uiPriority w:val="0"/>
    <w:rPr>
      <w:rFonts w:ascii="宋体" w:hAnsi="Courier New" w:eastAsia="宋体" w:cs="Times New Roman"/>
      <w:szCs w:val="20"/>
    </w:rPr>
  </w:style>
  <w:style w:type="paragraph" w:customStyle="1" w:styleId="68">
    <w:name w:val="_Style 67"/>
    <w:unhideWhenUsed/>
    <w:qFormat/>
    <w:uiPriority w:val="99"/>
    <w:rPr>
      <w:rFonts w:ascii="Times New Roman" w:hAnsi="Times New Roman" w:eastAsia="宋体" w:cs="Times New Roman"/>
      <w:kern w:val="2"/>
      <w:sz w:val="21"/>
      <w:szCs w:val="24"/>
      <w:lang w:val="en-US" w:eastAsia="zh-CN" w:bidi="ar-SA"/>
    </w:rPr>
  </w:style>
  <w:style w:type="paragraph" w:customStyle="1" w:styleId="69">
    <w:name w:val="tab.txt"/>
    <w:basedOn w:val="1"/>
    <w:qFormat/>
    <w:uiPriority w:val="0"/>
    <w:pPr>
      <w:widowControl/>
      <w:jc w:val="left"/>
    </w:pPr>
    <w:rPr>
      <w:rFonts w:ascii="Arial" w:hAnsi="Arial"/>
      <w:kern w:val="0"/>
      <w:sz w:val="18"/>
      <w:szCs w:val="20"/>
      <w:lang w:val="en-GB" w:eastAsia="fr-FR"/>
    </w:rPr>
  </w:style>
  <w:style w:type="paragraph" w:customStyle="1" w:styleId="70">
    <w:name w:val="Table Paragraph"/>
    <w:basedOn w:val="1"/>
    <w:qFormat/>
    <w:uiPriority w:val="1"/>
    <w:pPr>
      <w:autoSpaceDE w:val="0"/>
      <w:autoSpaceDN w:val="0"/>
      <w:jc w:val="left"/>
    </w:pPr>
    <w:rPr>
      <w:rFonts w:ascii="宋体" w:hAnsi="宋体" w:cs="宋体"/>
      <w:kern w:val="0"/>
      <w:sz w:val="22"/>
      <w:szCs w:val="22"/>
      <w:lang w:val="de-DE" w:eastAsia="de-DE" w:bidi="de-DE"/>
    </w:rPr>
  </w:style>
  <w:style w:type="paragraph" w:customStyle="1" w:styleId="71">
    <w:name w:val="Char"/>
    <w:basedOn w:val="1"/>
    <w:qFormat/>
    <w:uiPriority w:val="0"/>
    <w:pPr>
      <w:spacing w:line="360" w:lineRule="auto"/>
      <w:ind w:firstLine="600" w:firstLineChars="200"/>
      <w:jc w:val="center"/>
    </w:pPr>
    <w:rPr>
      <w:rFonts w:ascii="宋体"/>
      <w:sz w:val="30"/>
    </w:rPr>
  </w:style>
  <w:style w:type="paragraph" w:customStyle="1" w:styleId="72">
    <w:name w:val="cjk"/>
    <w:basedOn w:val="1"/>
    <w:qFormat/>
    <w:uiPriority w:val="0"/>
    <w:pPr>
      <w:widowControl/>
      <w:spacing w:before="284" w:after="100" w:afterAutospacing="1" w:line="360" w:lineRule="auto"/>
      <w:jc w:val="left"/>
    </w:pPr>
    <w:rPr>
      <w:rFonts w:ascii="宋体" w:hAnsi="宋体" w:cs="宋体"/>
      <w:kern w:val="0"/>
      <w:sz w:val="22"/>
      <w:szCs w:val="22"/>
    </w:rPr>
  </w:style>
  <w:style w:type="paragraph" w:customStyle="1" w:styleId="7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4">
    <w:name w:val="Item"/>
    <w:basedOn w:val="1"/>
    <w:qFormat/>
    <w:uiPriority w:val="0"/>
    <w:pPr>
      <w:keepNext/>
      <w:keepLines/>
      <w:snapToGrid w:val="0"/>
      <w:spacing w:before="240" w:line="336" w:lineRule="auto"/>
      <w:outlineLvl w:val="2"/>
    </w:pPr>
    <w:rPr>
      <w:b/>
      <w:bCs/>
      <w:kern w:val="0"/>
      <w:sz w:val="28"/>
      <w:szCs w:val="32"/>
    </w:rPr>
  </w:style>
  <w:style w:type="paragraph" w:customStyle="1" w:styleId="75">
    <w:name w:val="标题1"/>
    <w:basedOn w:val="3"/>
    <w:qFormat/>
    <w:uiPriority w:val="0"/>
    <w:pPr>
      <w:spacing w:after="120" w:line="415" w:lineRule="auto"/>
      <w:jc w:val="both"/>
    </w:pPr>
    <w:rPr>
      <w:rFonts w:eastAsia="宋体"/>
      <w:bCs w:val="0"/>
      <w:kern w:val="0"/>
      <w:sz w:val="30"/>
    </w:rPr>
  </w:style>
  <w:style w:type="paragraph" w:customStyle="1" w:styleId="76">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样式 居中 行距: 1.5 倍行距 右  2.36 字符"/>
    <w:basedOn w:val="1"/>
    <w:next w:val="78"/>
    <w:qFormat/>
    <w:uiPriority w:val="0"/>
    <w:pPr>
      <w:spacing w:line="360" w:lineRule="auto"/>
      <w:ind w:right="496" w:rightChars="236"/>
      <w:jc w:val="center"/>
    </w:pPr>
    <w:rPr>
      <w:rFonts w:cs="宋体"/>
      <w:szCs w:val="20"/>
    </w:rPr>
  </w:style>
  <w:style w:type="paragraph" w:customStyle="1" w:styleId="78">
    <w:name w:val="样式 (西文) 宋体 (中文) 隶书 四号 居中"/>
    <w:basedOn w:val="30"/>
    <w:next w:val="30"/>
    <w:qFormat/>
    <w:uiPriority w:val="0"/>
    <w:pPr>
      <w:jc w:val="center"/>
    </w:pPr>
    <w:rPr>
      <w:rFonts w:ascii="宋体" w:hAnsi="宋体" w:cs="宋体"/>
      <w:sz w:val="28"/>
      <w:szCs w:val="20"/>
    </w:rPr>
  </w:style>
  <w:style w:type="paragraph" w:customStyle="1" w:styleId="79">
    <w:name w:val="1"/>
    <w:basedOn w:val="1"/>
    <w:qFormat/>
    <w:uiPriority w:val="0"/>
  </w:style>
  <w:style w:type="paragraph" w:customStyle="1" w:styleId="80">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81">
    <w:name w:val="样式1"/>
    <w:basedOn w:val="2"/>
    <w:qFormat/>
    <w:uiPriority w:val="0"/>
  </w:style>
  <w:style w:type="paragraph" w:customStyle="1" w:styleId="82">
    <w:name w:val="Chapter"/>
    <w:basedOn w:val="2"/>
    <w:qFormat/>
    <w:uiPriority w:val="0"/>
    <w:pPr>
      <w:keepLines/>
      <w:spacing w:before="340" w:after="330" w:line="578" w:lineRule="auto"/>
    </w:pPr>
    <w:rPr>
      <w:b w:val="0"/>
      <w:bCs/>
      <w:kern w:val="0"/>
      <w:sz w:val="32"/>
      <w:szCs w:val="44"/>
    </w:rPr>
  </w:style>
  <w:style w:type="paragraph" w:customStyle="1" w:styleId="83">
    <w:name w:val="目录文字"/>
    <w:basedOn w:val="1"/>
    <w:qFormat/>
    <w:uiPriority w:val="0"/>
    <w:pPr>
      <w:widowControl/>
      <w:spacing w:line="480" w:lineRule="auto"/>
      <w:jc w:val="left"/>
    </w:pPr>
    <w:rPr>
      <w:rFonts w:ascii="宋体" w:hAnsi="宋体"/>
      <w:kern w:val="0"/>
      <w:sz w:val="24"/>
      <w:szCs w:val="20"/>
    </w:rPr>
  </w:style>
  <w:style w:type="paragraph" w:styleId="84">
    <w:name w:val="List Paragraph"/>
    <w:basedOn w:val="1"/>
    <w:qFormat/>
    <w:uiPriority w:val="34"/>
    <w:pPr>
      <w:ind w:firstLine="420" w:firstLineChars="200"/>
    </w:pPr>
    <w:rPr>
      <w:rFonts w:ascii="Calibri" w:hAnsi="Calibri"/>
      <w:szCs w:val="22"/>
    </w:rPr>
  </w:style>
  <w:style w:type="paragraph" w:customStyle="1" w:styleId="85">
    <w:name w:val="样式 标题 1 + 隶书 小初 非加粗 左侧:  2.22 厘米 首行缩进:  0 厘米 右侧:  0.37 厘米"/>
    <w:basedOn w:val="2"/>
    <w:next w:val="1"/>
    <w:qFormat/>
    <w:uiPriority w:val="0"/>
    <w:pPr>
      <w:ind w:left="1260" w:right="210"/>
    </w:pPr>
    <w:rPr>
      <w:rFonts w:ascii="隶书" w:hAnsi="隶书" w:eastAsia="隶书" w:cs="宋体"/>
      <w:b w:val="0"/>
      <w:sz w:val="72"/>
    </w:rPr>
  </w:style>
  <w:style w:type="paragraph" w:customStyle="1" w:styleId="86">
    <w:name w:val="Char1"/>
    <w:basedOn w:val="1"/>
    <w:qFormat/>
    <w:uiPriority w:val="0"/>
    <w:pPr>
      <w:spacing w:line="240" w:lineRule="atLeast"/>
      <w:ind w:left="420" w:firstLine="420"/>
    </w:pPr>
  </w:style>
  <w:style w:type="paragraph" w:customStyle="1" w:styleId="87">
    <w:name w:val="普通 (Web)"/>
    <w:basedOn w:val="1"/>
    <w:qFormat/>
    <w:uiPriority w:val="0"/>
    <w:pPr>
      <w:widowControl/>
      <w:spacing w:before="100" w:beforeAutospacing="1" w:after="100" w:afterAutospacing="1"/>
      <w:jc w:val="left"/>
    </w:pPr>
    <w:rPr>
      <w:rFonts w:ascii="宋体" w:hAnsi="宋体" w:cs="黑体"/>
      <w:kern w:val="0"/>
      <w:sz w:val="24"/>
    </w:rPr>
  </w:style>
  <w:style w:type="paragraph" w:customStyle="1" w:styleId="8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9">
    <w:name w:val="WPSOffice手动目录 1"/>
    <w:qFormat/>
    <w:uiPriority w:val="0"/>
    <w:rPr>
      <w:rFonts w:ascii="Times New Roman" w:hAnsi="Times New Roman" w:eastAsia="宋体" w:cs="Times New Roman"/>
      <w:lang w:val="en-US" w:eastAsia="zh-CN" w:bidi="ar-SA"/>
    </w:rPr>
  </w:style>
  <w:style w:type="paragraph" w:customStyle="1" w:styleId="9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1">
    <w:name w:val="样式1-正文"/>
    <w:basedOn w:val="1"/>
    <w:qFormat/>
    <w:uiPriority w:val="0"/>
    <w:pPr>
      <w:autoSpaceDE w:val="0"/>
      <w:autoSpaceDN w:val="0"/>
      <w:adjustRightInd w:val="0"/>
      <w:ind w:firstLine="600" w:firstLineChars="200"/>
      <w:jc w:val="left"/>
    </w:pPr>
    <w:rPr>
      <w:rFonts w:eastAsia="仿宋_GB2312"/>
      <w:color w:val="000000"/>
      <w:kern w:val="0"/>
      <w:szCs w:val="32"/>
    </w:rPr>
  </w:style>
  <w:style w:type="paragraph" w:customStyle="1" w:styleId="92">
    <w:name w:val="_Style 3"/>
    <w:basedOn w:val="1"/>
    <w:qFormat/>
    <w:uiPriority w:val="0"/>
    <w:pPr>
      <w:ind w:firstLine="420" w:firstLineChars="200"/>
    </w:pPr>
    <w:rPr>
      <w:sz w:val="20"/>
    </w:rPr>
  </w:style>
  <w:style w:type="paragraph" w:customStyle="1" w:styleId="93">
    <w:name w:val="cjk1"/>
    <w:basedOn w:val="1"/>
    <w:qFormat/>
    <w:uiPriority w:val="0"/>
    <w:pPr>
      <w:widowControl/>
      <w:spacing w:before="284" w:line="360" w:lineRule="auto"/>
      <w:jc w:val="left"/>
    </w:pPr>
    <w:rPr>
      <w:rFonts w:hint="eastAsia" w:ascii="宋体" w:hAnsi="宋体"/>
      <w:kern w:val="0"/>
      <w:sz w:val="22"/>
      <w:szCs w:val="22"/>
    </w:rPr>
  </w:style>
  <w:style w:type="paragraph" w:customStyle="1" w:styleId="9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样式4-标题3"/>
    <w:qFormat/>
    <w:uiPriority w:val="0"/>
    <w:pPr>
      <w:keepNext/>
      <w:keepLines/>
      <w:widowControl w:val="0"/>
      <w:spacing w:before="120" w:after="120" w:line="360" w:lineRule="auto"/>
      <w:ind w:firstLine="200" w:firstLineChars="200"/>
      <w:jc w:val="both"/>
      <w:outlineLvl w:val="2"/>
    </w:pPr>
    <w:rPr>
      <w:rFonts w:ascii="Times New Roman" w:hAnsi="Times New Roman" w:eastAsia="黑体" w:cs="Times New Roman"/>
      <w:bCs/>
      <w:color w:val="000000"/>
      <w:kern w:val="2"/>
      <w:sz w:val="24"/>
      <w:szCs w:val="24"/>
      <w:lang w:val="en-US" w:eastAsia="zh-CN" w:bidi="ar-SA"/>
    </w:rPr>
  </w:style>
  <w:style w:type="paragraph" w:customStyle="1" w:styleId="96">
    <w:name w:val="样式5-标题4"/>
    <w:qFormat/>
    <w:uiPriority w:val="0"/>
    <w:pPr>
      <w:widowControl w:val="0"/>
      <w:autoSpaceDE w:val="0"/>
      <w:autoSpaceDN w:val="0"/>
      <w:adjustRightInd w:val="0"/>
      <w:spacing w:line="360" w:lineRule="auto"/>
      <w:ind w:firstLine="200" w:firstLineChars="200"/>
      <w:outlineLvl w:val="3"/>
    </w:pPr>
    <w:rPr>
      <w:rFonts w:ascii="Times New Roman" w:hAnsi="Times New Roman" w:eastAsia="宋体" w:cs="Times New Roman"/>
      <w:b/>
      <w:color w:val="000000"/>
      <w:sz w:val="24"/>
      <w:szCs w:val="24"/>
      <w:lang w:val="en-US" w:eastAsia="zh-CN" w:bidi="ar-SA"/>
    </w:rPr>
  </w:style>
  <w:style w:type="character" w:customStyle="1" w:styleId="97">
    <w:name w:val="15"/>
    <w:basedOn w:val="36"/>
    <w:qFormat/>
    <w:uiPriority w:val="0"/>
    <w:rPr>
      <w:rFonts w:hint="default" w:ascii="Times New Roman" w:hAnsi="Times New Roman" w:eastAsia="宋体" w:cs="Times New Roman"/>
    </w:rPr>
  </w:style>
  <w:style w:type="paragraph" w:customStyle="1" w:styleId="98">
    <w:name w:val="Normal_1"/>
    <w:basedOn w:val="1"/>
    <w:qFormat/>
    <w:uiPriority w:val="0"/>
    <w:pPr>
      <w:spacing w:line="360" w:lineRule="auto"/>
    </w:pPr>
    <w:rPr>
      <w:rFonts w:ascii="等线" w:hAnsi="等线" w:eastAsia="等线"/>
      <w:kern w:val="0"/>
      <w:sz w:val="24"/>
    </w:rPr>
  </w:style>
  <w:style w:type="paragraph" w:customStyle="1" w:styleId="99">
    <w:name w:val="二级标题"/>
    <w:qFormat/>
    <w:uiPriority w:val="0"/>
    <w:pPr>
      <w:keepNext/>
      <w:keepLines/>
      <w:widowControl w:val="0"/>
      <w:adjustRightInd w:val="0"/>
      <w:snapToGrid w:val="0"/>
      <w:spacing w:line="360" w:lineRule="auto"/>
      <w:outlineLvl w:val="2"/>
    </w:pPr>
    <w:rPr>
      <w:rFonts w:ascii="楷体" w:hAnsi="楷体" w:eastAsia="楷体" w:cs="Times New Roman"/>
      <w:b/>
      <w:bCs/>
      <w:kern w:val="2"/>
      <w:sz w:val="24"/>
      <w:szCs w:val="24"/>
      <w:lang w:val="en-US" w:eastAsia="zh-CN" w:bidi="ar-SA"/>
    </w:rPr>
  </w:style>
  <w:style w:type="character" w:customStyle="1" w:styleId="100">
    <w:name w:val="16"/>
    <w:basedOn w:val="36"/>
    <w:qFormat/>
    <w:uiPriority w:val="0"/>
    <w:rPr>
      <w:rFonts w:hint="default" w:ascii="Times New Roman" w:hAnsi="Times New Roman" w:eastAsia="宋体" w:cs="Times New Roman"/>
    </w:rPr>
  </w:style>
  <w:style w:type="paragraph" w:customStyle="1" w:styleId="101">
    <w:name w:val="样式3-标题2"/>
    <w:qFormat/>
    <w:uiPriority w:val="0"/>
    <w:pPr>
      <w:keepNext/>
      <w:keepLines/>
      <w:widowControl w:val="0"/>
      <w:spacing w:before="120" w:after="120" w:line="360" w:lineRule="auto"/>
      <w:jc w:val="both"/>
      <w:outlineLvl w:val="1"/>
    </w:pPr>
    <w:rPr>
      <w:rFonts w:ascii="Times New Roman" w:hAnsi="Times New Roman" w:eastAsia="黑体" w:cs="Times New Roman"/>
      <w:bCs/>
      <w:color w:val="000000"/>
      <w:kern w:val="2"/>
      <w:sz w:val="30"/>
      <w:szCs w:val="30"/>
      <w:lang w:val="en-US" w:eastAsia="zh-CN" w:bidi="ar-SA"/>
    </w:rPr>
  </w:style>
  <w:style w:type="paragraph" w:customStyle="1" w:styleId="102">
    <w:name w:val="真正文"/>
    <w:basedOn w:val="1"/>
    <w:qFormat/>
    <w:uiPriority w:val="0"/>
    <w:pPr>
      <w:widowControl/>
      <w:spacing w:before="156" w:beforeLines="50" w:after="156" w:afterLines="50" w:line="360" w:lineRule="auto"/>
      <w:ind w:firstLine="899" w:firstLineChars="200"/>
      <w:jc w:val="left"/>
    </w:pPr>
    <w:rPr>
      <w:kern w:val="0"/>
      <w:sz w:val="24"/>
    </w:rPr>
  </w:style>
  <w:style w:type="character" w:customStyle="1" w:styleId="103">
    <w:name w:val="10"/>
    <w:basedOn w:val="36"/>
    <w:qFormat/>
    <w:uiPriority w:val="0"/>
    <w:rPr>
      <w:rFonts w:hint="default" w:ascii="Times New Roman" w:hAnsi="Times New Roman" w:cs="Times New Roman"/>
    </w:rPr>
  </w:style>
  <w:style w:type="paragraph" w:customStyle="1" w:styleId="104">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A213D-70A5-404F-895B-8656D057ED8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111</Pages>
  <Words>28146</Words>
  <Characters>28987</Characters>
  <Lines>1887</Lines>
  <Paragraphs>1850</Paragraphs>
  <TotalTime>1</TotalTime>
  <ScaleCrop>false</ScaleCrop>
  <LinksUpToDate>false</LinksUpToDate>
  <CharactersWithSpaces>29732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2025-05-29T00:35:00Z</dcterms:created>
  <dc:creator>微软用户</dc:creator>
  <cp:lastModifiedBy>ad</cp:lastModifiedBy>
  <cp:lastPrinted>2025-06-26T01:55:00Z</cp:lastPrinted>
  <dcterms:modified xsi:type="dcterms:W3CDTF">2025-07-09T06:26:19Z</dcterms:modified>
  <dc:title>招标编号：保利西子湾－2007－03</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3CC674854BF94F8ABDEFEC842648825D_13</vt:lpwstr>
  </property>
  <property fmtid="{D5CDD505-2E9C-101B-9397-08002B2CF9AE}" pid="4" name="KSOTemplateDocerSaveRecord">
    <vt:lpwstr>eyJoZGlkIjoiODA3MGUzNjNhZjc2N2Y3YzEyNTJlNDYxNmNjNDhiMTUiLCJ1c2VySWQiOiI0NDM4NTk1ODYifQ==</vt:lpwstr>
  </property>
  <property fmtid="{D5CDD505-2E9C-101B-9397-08002B2CF9AE}" pid="5" name="woTemplateTypoMode" linkTarget="0">
    <vt:lpwstr/>
  </property>
  <property fmtid="{D5CDD505-2E9C-101B-9397-08002B2CF9AE}" pid="6" name="woTemplate" linkTarget="0">
    <vt:i4>0</vt:i4>
  </property>
</Properties>
</file>