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A7AB7">
      <w:pPr>
        <w:spacing w:line="360" w:lineRule="auto"/>
        <w:ind w:firstLine="960" w:firstLineChars="300"/>
        <w:rPr>
          <w:rStyle w:val="26"/>
          <w:rFonts w:hint="eastAsia" w:ascii="宋体" w:hAnsi="宋体"/>
          <w:color w:val="auto"/>
          <w:sz w:val="32"/>
          <w:highlight w:val="none"/>
        </w:rPr>
      </w:pPr>
    </w:p>
    <w:p w14:paraId="460B2F12">
      <w:pPr>
        <w:spacing w:line="360" w:lineRule="auto"/>
        <w:jc w:val="center"/>
        <w:rPr>
          <w:rFonts w:hint="eastAsia" w:ascii="宋体" w:hAnsi="宋体" w:eastAsia="宋体"/>
          <w:b/>
          <w:bCs/>
          <w:color w:val="auto"/>
          <w:spacing w:val="26"/>
          <w:sz w:val="52"/>
          <w:szCs w:val="110"/>
          <w:highlight w:val="none"/>
          <w:lang w:eastAsia="zh-CN"/>
        </w:rPr>
      </w:pPr>
      <w:r>
        <w:rPr>
          <w:rFonts w:hint="eastAsia" w:ascii="宋体" w:hAnsi="宋体"/>
          <w:b/>
          <w:bCs/>
          <w:color w:val="auto"/>
          <w:spacing w:val="26"/>
          <w:sz w:val="52"/>
          <w:szCs w:val="110"/>
          <w:highlight w:val="none"/>
          <w:lang w:eastAsia="zh-CN"/>
        </w:rPr>
        <w:t>清远市和秧合社农文旅项目一号地块三期工程</w:t>
      </w:r>
    </w:p>
    <w:p w14:paraId="5CD9FA17">
      <w:pPr>
        <w:spacing w:line="360" w:lineRule="auto"/>
        <w:rPr>
          <w:rFonts w:hint="eastAsia" w:ascii="宋体" w:hAnsi="宋体"/>
          <w:b/>
          <w:bCs/>
          <w:color w:val="auto"/>
          <w:spacing w:val="26"/>
          <w:sz w:val="52"/>
          <w:szCs w:val="110"/>
          <w:highlight w:val="none"/>
        </w:rPr>
      </w:pPr>
    </w:p>
    <w:p w14:paraId="72FB0410">
      <w:pPr>
        <w:spacing w:line="360" w:lineRule="auto"/>
        <w:rPr>
          <w:rFonts w:hint="eastAsia" w:ascii="宋体" w:hAnsi="宋体"/>
          <w:b/>
          <w:bCs/>
          <w:color w:val="auto"/>
          <w:spacing w:val="26"/>
          <w:sz w:val="52"/>
          <w:szCs w:val="110"/>
          <w:highlight w:val="none"/>
        </w:rPr>
      </w:pPr>
    </w:p>
    <w:p w14:paraId="1FA1D133">
      <w:pPr>
        <w:spacing w:line="360" w:lineRule="auto"/>
        <w:rPr>
          <w:rFonts w:hint="eastAsia" w:ascii="宋体" w:hAnsi="宋体"/>
          <w:b/>
          <w:bCs/>
          <w:color w:val="auto"/>
          <w:spacing w:val="26"/>
          <w:sz w:val="44"/>
          <w:szCs w:val="110"/>
          <w:highlight w:val="none"/>
        </w:rPr>
      </w:pPr>
    </w:p>
    <w:p w14:paraId="2BA81252">
      <w:pPr>
        <w:spacing w:line="360" w:lineRule="auto"/>
        <w:jc w:val="center"/>
        <w:rPr>
          <w:rFonts w:ascii="宋体" w:hAnsi="宋体"/>
          <w:b/>
          <w:bCs/>
          <w:color w:val="auto"/>
          <w:spacing w:val="26"/>
          <w:sz w:val="110"/>
          <w:szCs w:val="110"/>
          <w:highlight w:val="none"/>
        </w:rPr>
      </w:pPr>
      <w:r>
        <w:rPr>
          <w:rFonts w:hint="eastAsia" w:ascii="宋体" w:hAnsi="宋体"/>
          <w:b/>
          <w:bCs/>
          <w:color w:val="auto"/>
          <w:spacing w:val="26"/>
          <w:sz w:val="110"/>
          <w:szCs w:val="110"/>
          <w:highlight w:val="none"/>
        </w:rPr>
        <w:t>招标文件</w:t>
      </w:r>
    </w:p>
    <w:p w14:paraId="132D6A16">
      <w:pPr>
        <w:spacing w:line="360" w:lineRule="auto"/>
        <w:ind w:firstLine="2560" w:firstLineChars="800"/>
        <w:rPr>
          <w:rFonts w:hint="eastAsia" w:ascii="宋体" w:hAnsi="宋体"/>
          <w:color w:val="auto"/>
          <w:sz w:val="32"/>
          <w:highlight w:val="none"/>
        </w:rPr>
      </w:pPr>
    </w:p>
    <w:p w14:paraId="286EC7C6">
      <w:pPr>
        <w:spacing w:line="360" w:lineRule="auto"/>
        <w:rPr>
          <w:rFonts w:hint="eastAsia" w:ascii="宋体" w:hAnsi="宋体"/>
          <w:color w:val="auto"/>
          <w:sz w:val="52"/>
          <w:highlight w:val="none"/>
        </w:rPr>
      </w:pPr>
    </w:p>
    <w:p w14:paraId="34D39BDA">
      <w:pPr>
        <w:spacing w:line="360" w:lineRule="auto"/>
        <w:rPr>
          <w:rFonts w:ascii="宋体" w:hAnsi="宋体"/>
          <w:color w:val="auto"/>
          <w:sz w:val="52"/>
          <w:highlight w:val="none"/>
        </w:rPr>
      </w:pPr>
    </w:p>
    <w:p w14:paraId="60EE1149">
      <w:pPr>
        <w:spacing w:line="360" w:lineRule="auto"/>
        <w:rPr>
          <w:rFonts w:ascii="宋体" w:hAnsi="宋体"/>
          <w:color w:val="auto"/>
          <w:sz w:val="52"/>
          <w:highlight w:val="none"/>
        </w:rPr>
      </w:pPr>
    </w:p>
    <w:p w14:paraId="7E129008">
      <w:pPr>
        <w:autoSpaceDE w:val="0"/>
        <w:autoSpaceDN w:val="0"/>
        <w:adjustRightInd w:val="0"/>
        <w:spacing w:line="360" w:lineRule="auto"/>
        <w:ind w:firstLine="1205"/>
        <w:jc w:val="left"/>
        <w:rPr>
          <w:rFonts w:hint="eastAsia" w:ascii="宋体" w:hAnsi="宋体" w:eastAsia="宋体"/>
          <w:b/>
          <w:bCs/>
          <w:color w:val="auto"/>
          <w:sz w:val="24"/>
          <w:szCs w:val="24"/>
          <w:highlight w:val="none"/>
          <w:u w:val="single"/>
          <w:lang w:eastAsia="zh-CN"/>
        </w:rPr>
      </w:pPr>
      <w:r>
        <w:rPr>
          <w:rFonts w:hint="eastAsia" w:ascii="宋体" w:hAnsi="宋体" w:cs="宋体"/>
          <w:b/>
          <w:bCs/>
          <w:color w:val="auto"/>
          <w:sz w:val="32"/>
          <w:szCs w:val="30"/>
          <w:highlight w:val="none"/>
          <w:lang w:val="zh-CN"/>
        </w:rPr>
        <w:t>招</w:t>
      </w:r>
      <w:r>
        <w:rPr>
          <w:rFonts w:ascii="宋体" w:hAnsi="宋体" w:cs="宋体"/>
          <w:b/>
          <w:bCs/>
          <w:color w:val="auto"/>
          <w:sz w:val="32"/>
          <w:szCs w:val="30"/>
          <w:highlight w:val="none"/>
          <w:lang w:val="zh-CN"/>
        </w:rPr>
        <w:t xml:space="preserve">   </w:t>
      </w:r>
      <w:r>
        <w:rPr>
          <w:rFonts w:hint="eastAsia" w:ascii="宋体" w:hAnsi="宋体" w:cs="宋体"/>
          <w:b/>
          <w:bCs/>
          <w:color w:val="auto"/>
          <w:sz w:val="32"/>
          <w:szCs w:val="30"/>
          <w:highlight w:val="none"/>
          <w:lang w:val="zh-CN"/>
        </w:rPr>
        <w:t>标</w:t>
      </w:r>
      <w:r>
        <w:rPr>
          <w:rFonts w:ascii="宋体" w:hAnsi="宋体" w:cs="宋体"/>
          <w:b/>
          <w:bCs/>
          <w:color w:val="auto"/>
          <w:sz w:val="32"/>
          <w:szCs w:val="30"/>
          <w:highlight w:val="none"/>
          <w:lang w:val="zh-CN"/>
        </w:rPr>
        <w:t xml:space="preserve">   </w:t>
      </w:r>
      <w:r>
        <w:rPr>
          <w:rFonts w:hint="eastAsia" w:ascii="宋体" w:hAnsi="宋体" w:cs="宋体"/>
          <w:b/>
          <w:bCs/>
          <w:color w:val="auto"/>
          <w:sz w:val="32"/>
          <w:szCs w:val="30"/>
          <w:highlight w:val="none"/>
          <w:lang w:val="zh-CN"/>
        </w:rPr>
        <w:t>人：</w:t>
      </w:r>
      <w:r>
        <w:rPr>
          <w:rFonts w:hint="eastAsia" w:ascii="宋体" w:hAnsi="宋体"/>
          <w:b/>
          <w:bCs/>
          <w:color w:val="auto"/>
          <w:sz w:val="32"/>
          <w:szCs w:val="32"/>
          <w:highlight w:val="none"/>
          <w:u w:val="single"/>
          <w:lang w:eastAsia="zh-CN"/>
        </w:rPr>
        <w:t>广东粤清农文旅有限公司</w:t>
      </w:r>
    </w:p>
    <w:p w14:paraId="60D63EEB">
      <w:pPr>
        <w:autoSpaceDE w:val="0"/>
        <w:autoSpaceDN w:val="0"/>
        <w:adjustRightInd w:val="0"/>
        <w:spacing w:line="360" w:lineRule="auto"/>
        <w:ind w:firstLine="1205"/>
        <w:jc w:val="left"/>
        <w:rPr>
          <w:rFonts w:hint="eastAsia" w:ascii="宋体" w:hAnsi="宋体" w:eastAsia="宋体" w:cs="宋体"/>
          <w:b/>
          <w:bCs/>
          <w:color w:val="auto"/>
          <w:sz w:val="32"/>
          <w:szCs w:val="30"/>
          <w:highlight w:val="none"/>
          <w:lang w:eastAsia="zh-CN"/>
        </w:rPr>
      </w:pPr>
      <w:r>
        <w:rPr>
          <w:rFonts w:hint="eastAsia" w:ascii="宋体" w:hAnsi="宋体" w:cs="宋体"/>
          <w:b/>
          <w:bCs/>
          <w:color w:val="auto"/>
          <w:sz w:val="32"/>
          <w:szCs w:val="30"/>
          <w:highlight w:val="none"/>
          <w:lang w:val="zh-CN"/>
        </w:rPr>
        <w:t>招标代理机构：</w:t>
      </w:r>
      <w:r>
        <w:rPr>
          <w:rFonts w:hint="eastAsia" w:ascii="宋体" w:hAnsi="宋体"/>
          <w:b/>
          <w:bCs/>
          <w:color w:val="auto"/>
          <w:sz w:val="32"/>
          <w:szCs w:val="32"/>
          <w:highlight w:val="none"/>
          <w:u w:val="single"/>
          <w:lang w:eastAsia="zh-CN"/>
        </w:rPr>
        <w:t>广东省机电设备招标中心有限公司</w:t>
      </w:r>
    </w:p>
    <w:p w14:paraId="4A7A0BD6">
      <w:pPr>
        <w:spacing w:line="360" w:lineRule="auto"/>
        <w:ind w:firstLine="1295" w:firstLineChars="403"/>
        <w:rPr>
          <w:rFonts w:hint="eastAsia" w:ascii="宋体" w:hAnsi="宋体"/>
          <w:color w:val="auto"/>
          <w:sz w:val="32"/>
          <w:highlight w:val="none"/>
        </w:rPr>
      </w:pPr>
      <w:r>
        <w:rPr>
          <w:rFonts w:hint="eastAsia" w:ascii="宋体" w:hAnsi="宋体" w:cs="宋体"/>
          <w:b/>
          <w:bCs/>
          <w:color w:val="auto"/>
          <w:sz w:val="32"/>
          <w:szCs w:val="30"/>
          <w:highlight w:val="none"/>
          <w:lang w:val="zh-CN"/>
        </w:rPr>
        <w:t>日</w:t>
      </w:r>
      <w:r>
        <w:rPr>
          <w:rFonts w:ascii="宋体" w:hAnsi="宋体" w:cs="宋体"/>
          <w:b/>
          <w:bCs/>
          <w:color w:val="auto"/>
          <w:sz w:val="32"/>
          <w:szCs w:val="30"/>
          <w:highlight w:val="none"/>
          <w:lang w:val="zh-CN"/>
        </w:rPr>
        <w:t xml:space="preserve">        </w:t>
      </w:r>
      <w:r>
        <w:rPr>
          <w:rFonts w:hint="eastAsia" w:ascii="宋体" w:hAnsi="宋体" w:cs="宋体"/>
          <w:b/>
          <w:bCs/>
          <w:color w:val="auto"/>
          <w:sz w:val="32"/>
          <w:szCs w:val="30"/>
          <w:highlight w:val="none"/>
          <w:lang w:val="zh-CN"/>
        </w:rPr>
        <w:t>期：</w:t>
      </w:r>
      <w:r>
        <w:rPr>
          <w:rFonts w:hint="eastAsia" w:ascii="宋体" w:hAnsi="宋体" w:cs="宋体"/>
          <w:b/>
          <w:bCs/>
          <w:color w:val="auto"/>
          <w:sz w:val="32"/>
          <w:szCs w:val="30"/>
          <w:highlight w:val="none"/>
          <w:u w:val="single"/>
          <w:lang w:val="zh-CN"/>
        </w:rPr>
        <w:t>202</w:t>
      </w:r>
      <w:r>
        <w:rPr>
          <w:rFonts w:hint="eastAsia" w:ascii="宋体" w:hAnsi="宋体" w:cs="宋体"/>
          <w:b/>
          <w:bCs/>
          <w:color w:val="auto"/>
          <w:sz w:val="32"/>
          <w:szCs w:val="30"/>
          <w:highlight w:val="none"/>
          <w:u w:val="single"/>
        </w:rPr>
        <w:t>5</w:t>
      </w:r>
      <w:r>
        <w:rPr>
          <w:rFonts w:hint="eastAsia" w:ascii="宋体" w:hAnsi="宋体" w:cs="宋体"/>
          <w:b/>
          <w:bCs/>
          <w:color w:val="auto"/>
          <w:sz w:val="32"/>
          <w:szCs w:val="30"/>
          <w:highlight w:val="none"/>
          <w:lang w:val="zh-CN"/>
        </w:rPr>
        <w:t>年</w:t>
      </w:r>
      <w:r>
        <w:rPr>
          <w:rFonts w:hint="eastAsia" w:ascii="宋体" w:hAnsi="宋体" w:cs="宋体"/>
          <w:b/>
          <w:bCs/>
          <w:color w:val="auto"/>
          <w:sz w:val="32"/>
          <w:szCs w:val="30"/>
          <w:highlight w:val="none"/>
          <w:u w:val="single"/>
          <w:lang w:val="en-US" w:eastAsia="zh-CN"/>
        </w:rPr>
        <w:t>7</w:t>
      </w:r>
      <w:r>
        <w:rPr>
          <w:rFonts w:hint="eastAsia" w:ascii="宋体" w:hAnsi="宋体" w:cs="宋体"/>
          <w:b/>
          <w:bCs/>
          <w:color w:val="auto"/>
          <w:sz w:val="32"/>
          <w:szCs w:val="30"/>
          <w:highlight w:val="none"/>
          <w:lang w:val="zh-CN"/>
        </w:rPr>
        <w:t>月</w:t>
      </w:r>
    </w:p>
    <w:p w14:paraId="798F2BA1">
      <w:pPr>
        <w:jc w:val="center"/>
        <w:rPr>
          <w:rStyle w:val="25"/>
          <w:rFonts w:hint="eastAsia" w:ascii="宋体" w:hAnsi="宋体" w:cs="宋体"/>
          <w:b/>
          <w:bCs/>
          <w:color w:val="auto"/>
          <w:highlight w:val="none"/>
        </w:rPr>
      </w:pPr>
    </w:p>
    <w:p w14:paraId="34C2ACBE">
      <w:pPr>
        <w:jc w:val="center"/>
        <w:rPr>
          <w:rStyle w:val="25"/>
          <w:rFonts w:hint="eastAsia" w:ascii="宋体" w:hAnsi="宋体" w:cs="宋体"/>
          <w:b/>
          <w:bCs/>
          <w:color w:val="auto"/>
          <w:highlight w:val="none"/>
        </w:rPr>
        <w:sectPr>
          <w:headerReference r:id="rId4" w:type="first"/>
          <w:footerReference r:id="rId6" w:type="first"/>
          <w:headerReference r:id="rId3" w:type="default"/>
          <w:footerReference r:id="rId5" w:type="default"/>
          <w:endnotePr>
            <w:numFmt w:val="decimal"/>
          </w:endnotePr>
          <w:pgSz w:w="11906" w:h="16838"/>
          <w:pgMar w:top="1440" w:right="1080" w:bottom="1440" w:left="1080" w:header="851" w:footer="567" w:gutter="0"/>
          <w:cols w:space="720" w:num="1"/>
          <w:titlePg/>
          <w:docGrid w:type="lines" w:linePitch="312" w:charSpace="0"/>
        </w:sectPr>
      </w:pPr>
    </w:p>
    <w:p w14:paraId="348FE062">
      <w:pPr>
        <w:jc w:val="center"/>
        <w:rPr>
          <w:rFonts w:hint="eastAsia" w:ascii="宋体" w:hAnsi="宋体" w:cs="宋体"/>
          <w:caps/>
          <w:color w:val="auto"/>
          <w:kern w:val="0"/>
          <w:highlight w:val="none"/>
        </w:rPr>
      </w:pPr>
      <w:r>
        <w:rPr>
          <w:rStyle w:val="25"/>
          <w:rFonts w:hint="eastAsia" w:ascii="宋体" w:hAnsi="宋体" w:cs="宋体"/>
          <w:color w:val="auto"/>
          <w:sz w:val="28"/>
          <w:szCs w:val="28"/>
          <w:highlight w:val="none"/>
          <w:u w:val="none"/>
        </w:rPr>
        <w:t>目  录</w:t>
      </w:r>
    </w:p>
    <w:p w14:paraId="44B43F73">
      <w:pPr>
        <w:jc w:val="center"/>
        <w:rPr>
          <w:rStyle w:val="25"/>
          <w:rFonts w:hint="eastAsia" w:ascii="宋体" w:hAnsi="宋体" w:cs="宋体"/>
          <w:b/>
          <w:bCs/>
          <w:color w:val="auto"/>
          <w:sz w:val="28"/>
          <w:szCs w:val="28"/>
          <w:highlight w:val="none"/>
        </w:rPr>
      </w:pPr>
    </w:p>
    <w:p w14:paraId="3D9FBD0B">
      <w:pPr>
        <w:pStyle w:val="18"/>
        <w:tabs>
          <w:tab w:val="right" w:leader="dot" w:pos="9298"/>
          <w:tab w:val="clear" w:pos="9060"/>
        </w:tabs>
        <w:rPr>
          <w:color w:val="auto"/>
          <w:highlight w:val="none"/>
        </w:rPr>
      </w:pPr>
      <w:r>
        <w:rPr>
          <w:rFonts w:hint="eastAsia" w:cs="宋体"/>
          <w:color w:val="auto"/>
          <w:highlight w:val="none"/>
        </w:rPr>
        <w:fldChar w:fldCharType="begin"/>
      </w:r>
      <w:r>
        <w:rPr>
          <w:rFonts w:hint="eastAsia" w:cs="宋体"/>
          <w:color w:val="auto"/>
          <w:highlight w:val="none"/>
        </w:rPr>
        <w:instrText xml:space="preserve"> TOC \o "1-3" \h \z \u </w:instrText>
      </w:r>
      <w:r>
        <w:rPr>
          <w:rFonts w:hint="eastAsia" w:cs="宋体"/>
          <w:color w:val="auto"/>
          <w:highlight w:val="none"/>
        </w:rPr>
        <w:fldChar w:fldCharType="separate"/>
      </w:r>
      <w:r>
        <w:rPr>
          <w:rFonts w:hint="eastAsia" w:cs="宋体"/>
          <w:color w:val="auto"/>
          <w:highlight w:val="none"/>
        </w:rPr>
        <w:fldChar w:fldCharType="begin"/>
      </w:r>
      <w:r>
        <w:rPr>
          <w:rFonts w:hint="eastAsia" w:cs="宋体"/>
          <w:color w:val="auto"/>
          <w:highlight w:val="none"/>
        </w:rPr>
        <w:instrText xml:space="preserve"> HYPERLINK \l _Toc31898 </w:instrText>
      </w:r>
      <w:r>
        <w:rPr>
          <w:rFonts w:hint="eastAsia" w:cs="宋体"/>
          <w:color w:val="auto"/>
          <w:highlight w:val="none"/>
        </w:rPr>
        <w:fldChar w:fldCharType="separate"/>
      </w:r>
      <w:r>
        <w:rPr>
          <w:rFonts w:hint="eastAsia" w:cs="宋体"/>
          <w:color w:val="auto"/>
          <w:highlight w:val="none"/>
        </w:rPr>
        <w:t>第一章  投标须知</w:t>
      </w:r>
      <w:r>
        <w:rPr>
          <w:color w:val="auto"/>
          <w:highlight w:val="none"/>
        </w:rPr>
        <w:tab/>
      </w:r>
      <w:r>
        <w:rPr>
          <w:color w:val="auto"/>
          <w:highlight w:val="none"/>
        </w:rPr>
        <w:fldChar w:fldCharType="begin"/>
      </w:r>
      <w:r>
        <w:rPr>
          <w:color w:val="auto"/>
          <w:highlight w:val="none"/>
        </w:rPr>
        <w:instrText xml:space="preserve"> PAGEREF _Toc31898 \h </w:instrText>
      </w:r>
      <w:r>
        <w:rPr>
          <w:color w:val="auto"/>
          <w:highlight w:val="none"/>
        </w:rPr>
        <w:fldChar w:fldCharType="separate"/>
      </w:r>
      <w:r>
        <w:rPr>
          <w:color w:val="auto"/>
          <w:highlight w:val="none"/>
        </w:rPr>
        <w:t>2</w:t>
      </w:r>
      <w:r>
        <w:rPr>
          <w:color w:val="auto"/>
          <w:highlight w:val="none"/>
        </w:rPr>
        <w:fldChar w:fldCharType="end"/>
      </w:r>
      <w:r>
        <w:rPr>
          <w:rFonts w:hint="eastAsia" w:cs="宋体"/>
          <w:color w:val="auto"/>
          <w:highlight w:val="none"/>
        </w:rPr>
        <w:fldChar w:fldCharType="end"/>
      </w:r>
    </w:p>
    <w:p w14:paraId="5A49D625">
      <w:pPr>
        <w:pStyle w:val="19"/>
        <w:tabs>
          <w:tab w:val="right" w:leader="dot" w:pos="9298"/>
          <w:tab w:val="clear" w:pos="9060"/>
        </w:tabs>
        <w:rPr>
          <w:rFonts w:ascii="宋体" w:hAnsi="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_Toc16373 </w:instrText>
      </w:r>
      <w:r>
        <w:rPr>
          <w:rFonts w:hint="eastAsia" w:ascii="宋体" w:hAnsi="宋体" w:cs="宋体"/>
          <w:color w:val="auto"/>
          <w:highlight w:val="none"/>
        </w:rPr>
        <w:fldChar w:fldCharType="separate"/>
      </w:r>
      <w:r>
        <w:rPr>
          <w:rFonts w:hint="eastAsia" w:ascii="宋体" w:hAnsi="宋体" w:cs="宋体"/>
          <w:color w:val="auto"/>
          <w:highlight w:val="none"/>
        </w:rPr>
        <w:t>一、投标须知前附表</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_Toc16373 \h </w:instrText>
      </w:r>
      <w:r>
        <w:rPr>
          <w:rFonts w:ascii="宋体" w:hAnsi="宋体"/>
          <w:color w:val="auto"/>
          <w:highlight w:val="none"/>
        </w:rPr>
        <w:fldChar w:fldCharType="separate"/>
      </w:r>
      <w:r>
        <w:rPr>
          <w:rFonts w:ascii="宋体" w:hAnsi="宋体"/>
          <w:color w:val="auto"/>
          <w:highlight w:val="none"/>
        </w:rPr>
        <w:t>2</w:t>
      </w:r>
      <w:r>
        <w:rPr>
          <w:rFonts w:ascii="宋体" w:hAnsi="宋体"/>
          <w:color w:val="auto"/>
          <w:highlight w:val="none"/>
        </w:rPr>
        <w:fldChar w:fldCharType="end"/>
      </w:r>
      <w:r>
        <w:rPr>
          <w:rFonts w:hint="eastAsia" w:ascii="宋体" w:hAnsi="宋体" w:cs="宋体"/>
          <w:color w:val="auto"/>
          <w:highlight w:val="none"/>
        </w:rPr>
        <w:fldChar w:fldCharType="end"/>
      </w:r>
    </w:p>
    <w:p w14:paraId="274F57B3">
      <w:pPr>
        <w:pStyle w:val="19"/>
        <w:tabs>
          <w:tab w:val="right" w:leader="dot" w:pos="9298"/>
          <w:tab w:val="clear" w:pos="9060"/>
        </w:tabs>
        <w:rPr>
          <w:rFonts w:ascii="宋体" w:hAnsi="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_Toc31199 </w:instrText>
      </w:r>
      <w:r>
        <w:rPr>
          <w:rFonts w:hint="eastAsia" w:ascii="宋体" w:hAnsi="宋体" w:cs="宋体"/>
          <w:color w:val="auto"/>
          <w:highlight w:val="none"/>
        </w:rPr>
        <w:fldChar w:fldCharType="separate"/>
      </w:r>
      <w:r>
        <w:rPr>
          <w:rFonts w:hint="eastAsia" w:ascii="宋体" w:hAnsi="宋体" w:cs="宋体"/>
          <w:color w:val="auto"/>
          <w:highlight w:val="none"/>
        </w:rPr>
        <w:t>二、投标须知修改表</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_Toc31199 \h </w:instrText>
      </w:r>
      <w:r>
        <w:rPr>
          <w:rFonts w:ascii="宋体" w:hAnsi="宋体"/>
          <w:color w:val="auto"/>
          <w:highlight w:val="none"/>
        </w:rPr>
        <w:fldChar w:fldCharType="separate"/>
      </w:r>
      <w:r>
        <w:rPr>
          <w:rFonts w:ascii="宋体" w:hAnsi="宋体"/>
          <w:color w:val="auto"/>
          <w:highlight w:val="none"/>
        </w:rPr>
        <w:t>7</w:t>
      </w:r>
      <w:r>
        <w:rPr>
          <w:rFonts w:ascii="宋体" w:hAnsi="宋体"/>
          <w:color w:val="auto"/>
          <w:highlight w:val="none"/>
        </w:rPr>
        <w:fldChar w:fldCharType="end"/>
      </w:r>
      <w:r>
        <w:rPr>
          <w:rFonts w:hint="eastAsia" w:ascii="宋体" w:hAnsi="宋体" w:cs="宋体"/>
          <w:color w:val="auto"/>
          <w:highlight w:val="none"/>
        </w:rPr>
        <w:fldChar w:fldCharType="end"/>
      </w:r>
    </w:p>
    <w:p w14:paraId="21F598B1">
      <w:pPr>
        <w:pStyle w:val="19"/>
        <w:tabs>
          <w:tab w:val="right" w:leader="dot" w:pos="9298"/>
          <w:tab w:val="clear" w:pos="9060"/>
        </w:tabs>
        <w:rPr>
          <w:rFonts w:ascii="宋体" w:hAnsi="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_Toc14950 </w:instrText>
      </w:r>
      <w:r>
        <w:rPr>
          <w:rFonts w:hint="eastAsia" w:ascii="宋体" w:hAnsi="宋体" w:cs="宋体"/>
          <w:color w:val="auto"/>
          <w:highlight w:val="none"/>
        </w:rPr>
        <w:fldChar w:fldCharType="separate"/>
      </w:r>
      <w:r>
        <w:rPr>
          <w:rFonts w:ascii="宋体" w:hAnsi="宋体"/>
          <w:color w:val="auto"/>
          <w:highlight w:val="none"/>
        </w:rPr>
        <w:t>三、投标须知通用条款</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_Toc14950 \h </w:instrText>
      </w:r>
      <w:r>
        <w:rPr>
          <w:rFonts w:ascii="宋体" w:hAnsi="宋体"/>
          <w:color w:val="auto"/>
          <w:highlight w:val="none"/>
        </w:rPr>
        <w:fldChar w:fldCharType="separate"/>
      </w:r>
      <w:r>
        <w:rPr>
          <w:rFonts w:ascii="宋体" w:hAnsi="宋体"/>
          <w:color w:val="auto"/>
          <w:highlight w:val="none"/>
        </w:rPr>
        <w:t>19</w:t>
      </w:r>
      <w:r>
        <w:rPr>
          <w:rFonts w:ascii="宋体" w:hAnsi="宋体"/>
          <w:color w:val="auto"/>
          <w:highlight w:val="none"/>
        </w:rPr>
        <w:fldChar w:fldCharType="end"/>
      </w:r>
      <w:r>
        <w:rPr>
          <w:rFonts w:hint="eastAsia" w:ascii="宋体" w:hAnsi="宋体" w:cs="宋体"/>
          <w:color w:val="auto"/>
          <w:highlight w:val="none"/>
        </w:rPr>
        <w:fldChar w:fldCharType="end"/>
      </w:r>
    </w:p>
    <w:p w14:paraId="02022DA3">
      <w:pPr>
        <w:pStyle w:val="12"/>
        <w:tabs>
          <w:tab w:val="right" w:leader="dot" w:pos="9298"/>
        </w:tabs>
        <w:ind w:left="840"/>
        <w:rPr>
          <w:rFonts w:ascii="宋体" w:hAnsi="宋体"/>
          <w:color w:val="auto"/>
          <w:szCs w:val="24"/>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_Toc32624 </w:instrText>
      </w:r>
      <w:r>
        <w:rPr>
          <w:rFonts w:hint="eastAsia" w:ascii="宋体" w:hAnsi="宋体"/>
          <w:color w:val="auto"/>
          <w:szCs w:val="24"/>
          <w:highlight w:val="none"/>
        </w:rPr>
        <w:fldChar w:fldCharType="separate"/>
      </w:r>
      <w:r>
        <w:rPr>
          <w:rFonts w:hint="eastAsia" w:ascii="宋体" w:hAnsi="宋体"/>
          <w:color w:val="auto"/>
          <w:szCs w:val="24"/>
          <w:highlight w:val="none"/>
        </w:rPr>
        <w:t>（一）总则</w:t>
      </w:r>
      <w:r>
        <w:rPr>
          <w:rFonts w:ascii="宋体" w:hAnsi="宋体"/>
          <w:color w:val="auto"/>
          <w:szCs w:val="24"/>
          <w:highlight w:val="none"/>
        </w:rPr>
        <w:tab/>
      </w:r>
      <w:r>
        <w:rPr>
          <w:rFonts w:hint="eastAsia" w:ascii="宋体" w:hAnsi="宋体"/>
          <w:color w:val="auto"/>
          <w:szCs w:val="24"/>
          <w:highlight w:val="none"/>
        </w:rPr>
        <w:t>.18</w:t>
      </w:r>
      <w:r>
        <w:rPr>
          <w:rFonts w:hint="eastAsia" w:ascii="宋体" w:hAnsi="宋体"/>
          <w:color w:val="auto"/>
          <w:szCs w:val="24"/>
          <w:highlight w:val="none"/>
        </w:rPr>
        <w:fldChar w:fldCharType="end"/>
      </w:r>
    </w:p>
    <w:p w14:paraId="2603921B">
      <w:pPr>
        <w:pStyle w:val="12"/>
        <w:tabs>
          <w:tab w:val="right" w:leader="dot" w:pos="9298"/>
        </w:tabs>
        <w:ind w:left="840"/>
        <w:rPr>
          <w:rFonts w:ascii="宋体" w:hAnsi="宋体"/>
          <w:color w:val="auto"/>
          <w:szCs w:val="24"/>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_Toc26659 </w:instrText>
      </w:r>
      <w:r>
        <w:rPr>
          <w:rFonts w:hint="eastAsia" w:ascii="宋体" w:hAnsi="宋体"/>
          <w:color w:val="auto"/>
          <w:szCs w:val="24"/>
          <w:highlight w:val="none"/>
        </w:rPr>
        <w:fldChar w:fldCharType="separate"/>
      </w:r>
      <w:r>
        <w:rPr>
          <w:rFonts w:hint="eastAsia" w:ascii="宋体" w:hAnsi="宋体"/>
          <w:color w:val="auto"/>
          <w:szCs w:val="24"/>
          <w:highlight w:val="none"/>
        </w:rPr>
        <w:t>（二）招标文件</w:t>
      </w:r>
      <w:r>
        <w:rPr>
          <w:rFonts w:ascii="宋体" w:hAnsi="宋体"/>
          <w:color w:val="auto"/>
          <w:szCs w:val="24"/>
          <w:highlight w:val="none"/>
        </w:rPr>
        <w:tab/>
      </w:r>
      <w:r>
        <w:rPr>
          <w:rFonts w:hint="eastAsia" w:ascii="宋体" w:hAnsi="宋体"/>
          <w:color w:val="auto"/>
          <w:szCs w:val="24"/>
          <w:highlight w:val="none"/>
        </w:rPr>
        <w:t>.</w:t>
      </w:r>
      <w:r>
        <w:rPr>
          <w:rFonts w:hint="eastAsia" w:ascii="宋体" w:hAnsi="宋体"/>
          <w:color w:val="auto"/>
          <w:szCs w:val="24"/>
          <w:highlight w:val="none"/>
        </w:rPr>
        <w:fldChar w:fldCharType="end"/>
      </w:r>
      <w:r>
        <w:rPr>
          <w:rFonts w:hint="eastAsia" w:ascii="宋体" w:hAnsi="宋体"/>
          <w:color w:val="auto"/>
          <w:szCs w:val="24"/>
          <w:highlight w:val="none"/>
        </w:rPr>
        <w:t>19</w:t>
      </w:r>
    </w:p>
    <w:p w14:paraId="1A8A5E9A">
      <w:pPr>
        <w:pStyle w:val="12"/>
        <w:tabs>
          <w:tab w:val="right" w:leader="dot" w:pos="9298"/>
        </w:tabs>
        <w:ind w:left="840"/>
        <w:rPr>
          <w:rFonts w:ascii="宋体" w:hAnsi="宋体"/>
          <w:color w:val="auto"/>
          <w:szCs w:val="24"/>
          <w:highlight w:val="none"/>
        </w:rPr>
      </w:pPr>
      <w:r>
        <w:rPr>
          <w:rFonts w:hint="eastAsia" w:ascii="宋体" w:hAnsi="宋体"/>
          <w:color w:val="auto"/>
          <w:szCs w:val="24"/>
          <w:highlight w:val="none"/>
        </w:rPr>
        <w:fldChar w:fldCharType="begin"/>
      </w:r>
      <w:r>
        <w:rPr>
          <w:rFonts w:hint="eastAsia" w:ascii="宋体" w:hAnsi="宋体"/>
          <w:color w:val="auto"/>
          <w:szCs w:val="24"/>
          <w:highlight w:val="none"/>
        </w:rPr>
        <w:instrText xml:space="preserve"> HYPERLINK \l _Toc25475 </w:instrText>
      </w:r>
      <w:r>
        <w:rPr>
          <w:rFonts w:hint="eastAsia" w:ascii="宋体" w:hAnsi="宋体"/>
          <w:color w:val="auto"/>
          <w:szCs w:val="24"/>
          <w:highlight w:val="none"/>
        </w:rPr>
        <w:fldChar w:fldCharType="separate"/>
      </w:r>
      <w:r>
        <w:rPr>
          <w:rFonts w:hint="eastAsia" w:ascii="宋体" w:hAnsi="宋体"/>
          <w:color w:val="auto"/>
          <w:szCs w:val="24"/>
          <w:highlight w:val="none"/>
        </w:rPr>
        <w:t>（三）投标文件的编制</w:t>
      </w:r>
      <w:r>
        <w:rPr>
          <w:rFonts w:ascii="宋体" w:hAnsi="宋体"/>
          <w:color w:val="auto"/>
          <w:szCs w:val="24"/>
          <w:highlight w:val="none"/>
        </w:rPr>
        <w:tab/>
      </w:r>
      <w:r>
        <w:rPr>
          <w:rFonts w:hint="eastAsia" w:ascii="宋体" w:hAnsi="宋体"/>
          <w:color w:val="auto"/>
          <w:szCs w:val="24"/>
          <w:highlight w:val="none"/>
        </w:rPr>
        <w:t>.20</w:t>
      </w:r>
      <w:r>
        <w:rPr>
          <w:rFonts w:hint="eastAsia" w:ascii="宋体" w:hAnsi="宋体"/>
          <w:color w:val="auto"/>
          <w:szCs w:val="24"/>
          <w:highlight w:val="none"/>
        </w:rPr>
        <w:fldChar w:fldCharType="end"/>
      </w:r>
    </w:p>
    <w:p w14:paraId="743EFAAE">
      <w:pPr>
        <w:pStyle w:val="12"/>
        <w:tabs>
          <w:tab w:val="right" w:leader="dot" w:pos="9298"/>
        </w:tabs>
        <w:ind w:left="840"/>
        <w:rPr>
          <w:rFonts w:ascii="宋体" w:hAnsi="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_Toc31275 </w:instrText>
      </w:r>
      <w:r>
        <w:rPr>
          <w:rFonts w:hint="eastAsia" w:ascii="宋体" w:hAnsi="宋体" w:cs="宋体"/>
          <w:color w:val="auto"/>
          <w:highlight w:val="none"/>
        </w:rPr>
        <w:fldChar w:fldCharType="separate"/>
      </w:r>
      <w:r>
        <w:rPr>
          <w:rFonts w:hint="eastAsia" w:ascii="宋体" w:hAnsi="宋体"/>
          <w:bCs/>
          <w:color w:val="auto"/>
          <w:szCs w:val="21"/>
          <w:highlight w:val="none"/>
        </w:rPr>
        <w:t>（四）投标文件的提交</w:t>
      </w:r>
      <w:r>
        <w:rPr>
          <w:rFonts w:ascii="宋体" w:hAnsi="宋体"/>
          <w:color w:val="auto"/>
          <w:highlight w:val="none"/>
        </w:rPr>
        <w:tab/>
      </w:r>
      <w:r>
        <w:rPr>
          <w:rFonts w:hint="eastAsia" w:ascii="宋体" w:hAnsi="宋体"/>
          <w:color w:val="auto"/>
          <w:highlight w:val="none"/>
        </w:rPr>
        <w:t>.26</w:t>
      </w:r>
      <w:r>
        <w:rPr>
          <w:rFonts w:hint="eastAsia" w:ascii="宋体" w:hAnsi="宋体" w:cs="宋体"/>
          <w:color w:val="auto"/>
          <w:highlight w:val="none"/>
        </w:rPr>
        <w:fldChar w:fldCharType="end"/>
      </w:r>
    </w:p>
    <w:p w14:paraId="156E01BE">
      <w:pPr>
        <w:pStyle w:val="12"/>
        <w:tabs>
          <w:tab w:val="right" w:leader="dot" w:pos="9298"/>
        </w:tabs>
        <w:ind w:left="840"/>
        <w:rPr>
          <w:rFonts w:ascii="宋体" w:hAnsi="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_Toc24655 </w:instrText>
      </w:r>
      <w:r>
        <w:rPr>
          <w:rFonts w:hint="eastAsia" w:ascii="宋体" w:hAnsi="宋体" w:cs="宋体"/>
          <w:color w:val="auto"/>
          <w:highlight w:val="none"/>
        </w:rPr>
        <w:fldChar w:fldCharType="separate"/>
      </w:r>
      <w:r>
        <w:rPr>
          <w:rFonts w:hint="eastAsia" w:ascii="宋体" w:hAnsi="宋体"/>
          <w:bCs/>
          <w:color w:val="auto"/>
          <w:szCs w:val="21"/>
          <w:highlight w:val="none"/>
        </w:rPr>
        <w:t>（五）开标、评标、定标及合同签定</w:t>
      </w:r>
      <w:r>
        <w:rPr>
          <w:rFonts w:ascii="宋体" w:hAnsi="宋体"/>
          <w:color w:val="auto"/>
          <w:highlight w:val="none"/>
        </w:rPr>
        <w:tab/>
      </w:r>
      <w:r>
        <w:rPr>
          <w:rFonts w:hint="eastAsia" w:ascii="宋体" w:hAnsi="宋体"/>
          <w:color w:val="auto"/>
          <w:highlight w:val="none"/>
        </w:rPr>
        <w:t>.27</w:t>
      </w:r>
      <w:r>
        <w:rPr>
          <w:rFonts w:hint="eastAsia" w:ascii="宋体" w:hAnsi="宋体" w:cs="宋体"/>
          <w:color w:val="auto"/>
          <w:highlight w:val="none"/>
        </w:rPr>
        <w:fldChar w:fldCharType="end"/>
      </w:r>
    </w:p>
    <w:p w14:paraId="700DF115">
      <w:pPr>
        <w:pStyle w:val="18"/>
        <w:tabs>
          <w:tab w:val="right" w:leader="dot" w:pos="9298"/>
          <w:tab w:val="clear" w:pos="9060"/>
        </w:tabs>
        <w:rPr>
          <w:color w:val="auto"/>
          <w:highlight w:val="none"/>
        </w:rPr>
      </w:pPr>
      <w:r>
        <w:rPr>
          <w:rFonts w:hint="eastAsia" w:cs="宋体"/>
          <w:color w:val="auto"/>
          <w:highlight w:val="none"/>
        </w:rPr>
        <w:fldChar w:fldCharType="begin"/>
      </w:r>
      <w:r>
        <w:rPr>
          <w:rFonts w:hint="eastAsia" w:cs="宋体"/>
          <w:color w:val="auto"/>
          <w:highlight w:val="none"/>
        </w:rPr>
        <w:instrText xml:space="preserve"> HYPERLINK \l _Toc8763 </w:instrText>
      </w:r>
      <w:r>
        <w:rPr>
          <w:rFonts w:hint="eastAsia" w:cs="宋体"/>
          <w:color w:val="auto"/>
          <w:highlight w:val="none"/>
        </w:rPr>
        <w:fldChar w:fldCharType="separate"/>
      </w:r>
      <w:r>
        <w:rPr>
          <w:rFonts w:hint="eastAsia" w:cs="宋体"/>
          <w:color w:val="auto"/>
          <w:highlight w:val="none"/>
        </w:rPr>
        <w:t>第二章  开标、评标及定标办法</w:t>
      </w:r>
      <w:r>
        <w:rPr>
          <w:color w:val="auto"/>
          <w:highlight w:val="none"/>
        </w:rPr>
        <w:tab/>
      </w:r>
      <w:r>
        <w:rPr>
          <w:color w:val="auto"/>
          <w:highlight w:val="none"/>
        </w:rPr>
        <w:fldChar w:fldCharType="begin"/>
      </w:r>
      <w:r>
        <w:rPr>
          <w:color w:val="auto"/>
          <w:highlight w:val="none"/>
        </w:rPr>
        <w:instrText xml:space="preserve"> PAGEREF _Toc8763 \h </w:instrText>
      </w:r>
      <w:r>
        <w:rPr>
          <w:color w:val="auto"/>
          <w:highlight w:val="none"/>
        </w:rPr>
        <w:fldChar w:fldCharType="separate"/>
      </w:r>
      <w:r>
        <w:rPr>
          <w:color w:val="auto"/>
          <w:highlight w:val="none"/>
        </w:rPr>
        <w:t>32</w:t>
      </w:r>
      <w:r>
        <w:rPr>
          <w:color w:val="auto"/>
          <w:highlight w:val="none"/>
        </w:rPr>
        <w:fldChar w:fldCharType="end"/>
      </w:r>
      <w:r>
        <w:rPr>
          <w:rFonts w:hint="eastAsia" w:cs="宋体"/>
          <w:color w:val="auto"/>
          <w:highlight w:val="none"/>
        </w:rPr>
        <w:fldChar w:fldCharType="end"/>
      </w:r>
    </w:p>
    <w:p w14:paraId="6BF908D7">
      <w:pPr>
        <w:pStyle w:val="18"/>
        <w:tabs>
          <w:tab w:val="right" w:leader="dot" w:pos="9298"/>
          <w:tab w:val="clear" w:pos="9060"/>
        </w:tabs>
        <w:rPr>
          <w:color w:val="auto"/>
          <w:highlight w:val="none"/>
        </w:rPr>
      </w:pPr>
      <w:r>
        <w:rPr>
          <w:rFonts w:hint="eastAsia" w:cs="宋体"/>
          <w:color w:val="auto"/>
          <w:highlight w:val="none"/>
        </w:rPr>
        <w:fldChar w:fldCharType="begin"/>
      </w:r>
      <w:r>
        <w:rPr>
          <w:rFonts w:hint="eastAsia" w:cs="宋体"/>
          <w:color w:val="auto"/>
          <w:highlight w:val="none"/>
        </w:rPr>
        <w:instrText xml:space="preserve"> HYPERLINK \l _Toc10239 </w:instrText>
      </w:r>
      <w:r>
        <w:rPr>
          <w:rFonts w:hint="eastAsia" w:cs="宋体"/>
          <w:color w:val="auto"/>
          <w:highlight w:val="none"/>
        </w:rPr>
        <w:fldChar w:fldCharType="separate"/>
      </w:r>
      <w:r>
        <w:rPr>
          <w:rFonts w:hint="eastAsia" w:cs="宋体"/>
          <w:color w:val="auto"/>
          <w:highlight w:val="none"/>
        </w:rPr>
        <w:t>第三章  合同条款</w:t>
      </w:r>
      <w:r>
        <w:rPr>
          <w:color w:val="auto"/>
          <w:highlight w:val="none"/>
        </w:rPr>
        <w:tab/>
      </w:r>
      <w:r>
        <w:rPr>
          <w:color w:val="auto"/>
          <w:highlight w:val="none"/>
        </w:rPr>
        <w:fldChar w:fldCharType="begin"/>
      </w:r>
      <w:r>
        <w:rPr>
          <w:color w:val="auto"/>
          <w:highlight w:val="none"/>
        </w:rPr>
        <w:instrText xml:space="preserve"> PAGEREF _Toc10239 \h </w:instrText>
      </w:r>
      <w:r>
        <w:rPr>
          <w:color w:val="auto"/>
          <w:highlight w:val="none"/>
        </w:rPr>
        <w:fldChar w:fldCharType="separate"/>
      </w:r>
      <w:r>
        <w:rPr>
          <w:color w:val="auto"/>
          <w:highlight w:val="none"/>
        </w:rPr>
        <w:t>60</w:t>
      </w:r>
      <w:r>
        <w:rPr>
          <w:color w:val="auto"/>
          <w:highlight w:val="none"/>
        </w:rPr>
        <w:fldChar w:fldCharType="end"/>
      </w:r>
      <w:r>
        <w:rPr>
          <w:rFonts w:hint="eastAsia" w:cs="宋体"/>
          <w:color w:val="auto"/>
          <w:highlight w:val="none"/>
        </w:rPr>
        <w:fldChar w:fldCharType="end"/>
      </w:r>
    </w:p>
    <w:p w14:paraId="33489E19">
      <w:pPr>
        <w:pStyle w:val="18"/>
        <w:tabs>
          <w:tab w:val="right" w:leader="dot" w:pos="9298"/>
          <w:tab w:val="clear" w:pos="9060"/>
        </w:tabs>
        <w:rPr>
          <w:color w:val="auto"/>
          <w:highlight w:val="none"/>
        </w:rPr>
      </w:pPr>
      <w:r>
        <w:rPr>
          <w:rFonts w:hint="eastAsia" w:cs="宋体"/>
          <w:color w:val="auto"/>
          <w:highlight w:val="none"/>
        </w:rPr>
        <w:fldChar w:fldCharType="begin"/>
      </w:r>
      <w:r>
        <w:rPr>
          <w:rFonts w:hint="eastAsia" w:cs="宋体"/>
          <w:color w:val="auto"/>
          <w:highlight w:val="none"/>
        </w:rPr>
        <w:instrText xml:space="preserve"> HYPERLINK \l _Toc9591 </w:instrText>
      </w:r>
      <w:r>
        <w:rPr>
          <w:rFonts w:hint="eastAsia" w:cs="宋体"/>
          <w:color w:val="auto"/>
          <w:highlight w:val="none"/>
        </w:rPr>
        <w:fldChar w:fldCharType="separate"/>
      </w:r>
      <w:r>
        <w:rPr>
          <w:rFonts w:hint="eastAsia" w:cs="宋体"/>
          <w:color w:val="auto"/>
          <w:highlight w:val="none"/>
        </w:rPr>
        <w:t>第四章  投标文件格式</w:t>
      </w:r>
      <w:r>
        <w:rPr>
          <w:color w:val="auto"/>
          <w:highlight w:val="none"/>
        </w:rPr>
        <w:tab/>
      </w:r>
      <w:r>
        <w:rPr>
          <w:color w:val="auto"/>
          <w:highlight w:val="none"/>
        </w:rPr>
        <w:fldChar w:fldCharType="begin"/>
      </w:r>
      <w:r>
        <w:rPr>
          <w:color w:val="auto"/>
          <w:highlight w:val="none"/>
        </w:rPr>
        <w:instrText xml:space="preserve"> PAGEREF _Toc9591 \h </w:instrText>
      </w:r>
      <w:r>
        <w:rPr>
          <w:color w:val="auto"/>
          <w:highlight w:val="none"/>
        </w:rPr>
        <w:fldChar w:fldCharType="separate"/>
      </w:r>
      <w:r>
        <w:rPr>
          <w:color w:val="auto"/>
          <w:highlight w:val="none"/>
        </w:rPr>
        <w:t>61</w:t>
      </w:r>
      <w:r>
        <w:rPr>
          <w:color w:val="auto"/>
          <w:highlight w:val="none"/>
        </w:rPr>
        <w:fldChar w:fldCharType="end"/>
      </w:r>
      <w:r>
        <w:rPr>
          <w:rFonts w:hint="eastAsia" w:cs="宋体"/>
          <w:color w:val="auto"/>
          <w:highlight w:val="none"/>
        </w:rPr>
        <w:fldChar w:fldCharType="end"/>
      </w:r>
    </w:p>
    <w:p w14:paraId="08A1C47A">
      <w:pPr>
        <w:pStyle w:val="18"/>
        <w:tabs>
          <w:tab w:val="right" w:leader="dot" w:pos="9298"/>
          <w:tab w:val="clear" w:pos="9060"/>
        </w:tabs>
        <w:rPr>
          <w:color w:val="auto"/>
          <w:highlight w:val="none"/>
        </w:rPr>
      </w:pPr>
      <w:r>
        <w:rPr>
          <w:rFonts w:hint="eastAsia" w:cs="宋体"/>
          <w:color w:val="auto"/>
          <w:highlight w:val="none"/>
        </w:rPr>
        <w:fldChar w:fldCharType="begin"/>
      </w:r>
      <w:r>
        <w:rPr>
          <w:rFonts w:hint="eastAsia" w:cs="宋体"/>
          <w:color w:val="auto"/>
          <w:highlight w:val="none"/>
        </w:rPr>
        <w:instrText xml:space="preserve"> HYPERLINK \l _Toc9631 </w:instrText>
      </w:r>
      <w:r>
        <w:rPr>
          <w:rFonts w:hint="eastAsia" w:cs="宋体"/>
          <w:color w:val="auto"/>
          <w:highlight w:val="none"/>
        </w:rPr>
        <w:fldChar w:fldCharType="separate"/>
      </w:r>
      <w:r>
        <w:rPr>
          <w:rFonts w:hint="eastAsia" w:cs="宋体"/>
          <w:color w:val="auto"/>
          <w:highlight w:val="none"/>
        </w:rPr>
        <w:t>第五章  技术条件</w:t>
      </w:r>
      <w:r>
        <w:rPr>
          <w:color w:val="auto"/>
          <w:highlight w:val="none"/>
        </w:rPr>
        <w:tab/>
      </w:r>
      <w:r>
        <w:rPr>
          <w:color w:val="auto"/>
          <w:highlight w:val="none"/>
        </w:rPr>
        <w:fldChar w:fldCharType="begin"/>
      </w:r>
      <w:r>
        <w:rPr>
          <w:color w:val="auto"/>
          <w:highlight w:val="none"/>
        </w:rPr>
        <w:instrText xml:space="preserve"> PAGEREF _Toc9631 \h </w:instrText>
      </w:r>
      <w:r>
        <w:rPr>
          <w:color w:val="auto"/>
          <w:highlight w:val="none"/>
        </w:rPr>
        <w:fldChar w:fldCharType="separate"/>
      </w:r>
      <w:r>
        <w:rPr>
          <w:color w:val="auto"/>
          <w:highlight w:val="none"/>
        </w:rPr>
        <w:t>77</w:t>
      </w:r>
      <w:r>
        <w:rPr>
          <w:color w:val="auto"/>
          <w:highlight w:val="none"/>
        </w:rPr>
        <w:fldChar w:fldCharType="end"/>
      </w:r>
      <w:r>
        <w:rPr>
          <w:rFonts w:hint="eastAsia" w:cs="宋体"/>
          <w:color w:val="auto"/>
          <w:highlight w:val="none"/>
        </w:rPr>
        <w:fldChar w:fldCharType="end"/>
      </w:r>
    </w:p>
    <w:p w14:paraId="31588F60">
      <w:pPr>
        <w:pStyle w:val="18"/>
        <w:tabs>
          <w:tab w:val="right" w:leader="dot" w:pos="9298"/>
          <w:tab w:val="clear" w:pos="9060"/>
        </w:tabs>
        <w:rPr>
          <w:color w:val="auto"/>
          <w:highlight w:val="none"/>
        </w:rPr>
      </w:pPr>
      <w:r>
        <w:rPr>
          <w:rFonts w:hint="eastAsia" w:cs="宋体"/>
          <w:color w:val="auto"/>
          <w:highlight w:val="none"/>
        </w:rPr>
        <w:fldChar w:fldCharType="begin"/>
      </w:r>
      <w:r>
        <w:rPr>
          <w:rFonts w:hint="eastAsia" w:cs="宋体"/>
          <w:color w:val="auto"/>
          <w:highlight w:val="none"/>
        </w:rPr>
        <w:instrText xml:space="preserve"> HYPERLINK \l _Toc26499 </w:instrText>
      </w:r>
      <w:r>
        <w:rPr>
          <w:rFonts w:hint="eastAsia" w:cs="宋体"/>
          <w:color w:val="auto"/>
          <w:highlight w:val="none"/>
        </w:rPr>
        <w:fldChar w:fldCharType="separate"/>
      </w:r>
      <w:r>
        <w:rPr>
          <w:rFonts w:hint="eastAsia" w:cs="宋体"/>
          <w:color w:val="auto"/>
          <w:highlight w:val="none"/>
        </w:rPr>
        <w:t>第六章  图纸及勘察资料</w:t>
      </w:r>
      <w:r>
        <w:rPr>
          <w:color w:val="auto"/>
          <w:highlight w:val="none"/>
        </w:rPr>
        <w:tab/>
      </w:r>
      <w:r>
        <w:rPr>
          <w:color w:val="auto"/>
          <w:highlight w:val="none"/>
        </w:rPr>
        <w:fldChar w:fldCharType="begin"/>
      </w:r>
      <w:r>
        <w:rPr>
          <w:color w:val="auto"/>
          <w:highlight w:val="none"/>
        </w:rPr>
        <w:instrText xml:space="preserve"> PAGEREF _Toc26499 \h </w:instrText>
      </w:r>
      <w:r>
        <w:rPr>
          <w:color w:val="auto"/>
          <w:highlight w:val="none"/>
        </w:rPr>
        <w:fldChar w:fldCharType="separate"/>
      </w:r>
      <w:r>
        <w:rPr>
          <w:color w:val="auto"/>
          <w:highlight w:val="none"/>
        </w:rPr>
        <w:t>83</w:t>
      </w:r>
      <w:r>
        <w:rPr>
          <w:color w:val="auto"/>
          <w:highlight w:val="none"/>
        </w:rPr>
        <w:fldChar w:fldCharType="end"/>
      </w:r>
      <w:r>
        <w:rPr>
          <w:rFonts w:hint="eastAsia" w:cs="宋体"/>
          <w:color w:val="auto"/>
          <w:highlight w:val="none"/>
        </w:rPr>
        <w:fldChar w:fldCharType="end"/>
      </w:r>
    </w:p>
    <w:p w14:paraId="3A6FD998">
      <w:pPr>
        <w:pStyle w:val="18"/>
        <w:tabs>
          <w:tab w:val="right" w:leader="dot" w:pos="9298"/>
          <w:tab w:val="clear" w:pos="9060"/>
        </w:tabs>
        <w:rPr>
          <w:color w:val="auto"/>
          <w:highlight w:val="none"/>
        </w:rPr>
      </w:pPr>
      <w:r>
        <w:rPr>
          <w:rFonts w:hint="eastAsia" w:cs="宋体"/>
          <w:color w:val="auto"/>
          <w:highlight w:val="none"/>
        </w:rPr>
        <w:fldChar w:fldCharType="begin"/>
      </w:r>
      <w:r>
        <w:rPr>
          <w:rFonts w:hint="eastAsia" w:cs="宋体"/>
          <w:color w:val="auto"/>
          <w:highlight w:val="none"/>
        </w:rPr>
        <w:instrText xml:space="preserve"> HYPERLINK \l _Toc14984 </w:instrText>
      </w:r>
      <w:r>
        <w:rPr>
          <w:rFonts w:hint="eastAsia" w:cs="宋体"/>
          <w:color w:val="auto"/>
          <w:highlight w:val="none"/>
        </w:rPr>
        <w:fldChar w:fldCharType="separate"/>
      </w:r>
      <w:r>
        <w:rPr>
          <w:rFonts w:hint="eastAsia" w:cs="宋体"/>
          <w:color w:val="auto"/>
          <w:highlight w:val="none"/>
        </w:rPr>
        <w:t>第七章  工程量清单</w:t>
      </w:r>
      <w:r>
        <w:rPr>
          <w:color w:val="auto"/>
          <w:highlight w:val="none"/>
        </w:rPr>
        <w:tab/>
      </w:r>
      <w:r>
        <w:rPr>
          <w:color w:val="auto"/>
          <w:highlight w:val="none"/>
        </w:rPr>
        <w:fldChar w:fldCharType="begin"/>
      </w:r>
      <w:r>
        <w:rPr>
          <w:color w:val="auto"/>
          <w:highlight w:val="none"/>
        </w:rPr>
        <w:instrText xml:space="preserve"> PAGEREF _Toc14984 \h </w:instrText>
      </w:r>
      <w:r>
        <w:rPr>
          <w:color w:val="auto"/>
          <w:highlight w:val="none"/>
        </w:rPr>
        <w:fldChar w:fldCharType="separate"/>
      </w:r>
      <w:r>
        <w:rPr>
          <w:color w:val="auto"/>
          <w:highlight w:val="none"/>
        </w:rPr>
        <w:t>84</w:t>
      </w:r>
      <w:r>
        <w:rPr>
          <w:color w:val="auto"/>
          <w:highlight w:val="none"/>
        </w:rPr>
        <w:fldChar w:fldCharType="end"/>
      </w:r>
      <w:r>
        <w:rPr>
          <w:rFonts w:hint="eastAsia" w:cs="宋体"/>
          <w:color w:val="auto"/>
          <w:highlight w:val="none"/>
        </w:rPr>
        <w:fldChar w:fldCharType="end"/>
      </w:r>
    </w:p>
    <w:p w14:paraId="5A9984D0">
      <w:pPr>
        <w:pStyle w:val="18"/>
        <w:tabs>
          <w:tab w:val="right" w:leader="dot" w:pos="9298"/>
          <w:tab w:val="clear" w:pos="9060"/>
        </w:tabs>
        <w:rPr>
          <w:color w:val="auto"/>
          <w:highlight w:val="none"/>
        </w:rPr>
      </w:pPr>
      <w:r>
        <w:rPr>
          <w:rFonts w:hint="eastAsia" w:cs="宋体"/>
          <w:color w:val="auto"/>
          <w:highlight w:val="none"/>
        </w:rPr>
        <w:fldChar w:fldCharType="begin"/>
      </w:r>
      <w:r>
        <w:rPr>
          <w:rFonts w:hint="eastAsia" w:cs="宋体"/>
          <w:color w:val="auto"/>
          <w:highlight w:val="none"/>
        </w:rPr>
        <w:instrText xml:space="preserve"> HYPERLINK \l _Toc13527 </w:instrText>
      </w:r>
      <w:r>
        <w:rPr>
          <w:rFonts w:hint="eastAsia" w:cs="宋体"/>
          <w:color w:val="auto"/>
          <w:highlight w:val="none"/>
        </w:rPr>
        <w:fldChar w:fldCharType="separate"/>
      </w:r>
      <w:r>
        <w:rPr>
          <w:rFonts w:hint="eastAsia" w:cs="宋体"/>
          <w:color w:val="auto"/>
          <w:highlight w:val="none"/>
        </w:rPr>
        <w:t>第八章  最高投标限价</w:t>
      </w:r>
      <w:r>
        <w:rPr>
          <w:color w:val="auto"/>
          <w:highlight w:val="none"/>
        </w:rPr>
        <w:tab/>
      </w:r>
      <w:r>
        <w:rPr>
          <w:color w:val="auto"/>
          <w:highlight w:val="none"/>
        </w:rPr>
        <w:fldChar w:fldCharType="begin"/>
      </w:r>
      <w:r>
        <w:rPr>
          <w:color w:val="auto"/>
          <w:highlight w:val="none"/>
        </w:rPr>
        <w:instrText xml:space="preserve"> PAGEREF _Toc13527 \h </w:instrText>
      </w:r>
      <w:r>
        <w:rPr>
          <w:color w:val="auto"/>
          <w:highlight w:val="none"/>
        </w:rPr>
        <w:fldChar w:fldCharType="separate"/>
      </w:r>
      <w:r>
        <w:rPr>
          <w:color w:val="auto"/>
          <w:highlight w:val="none"/>
        </w:rPr>
        <w:t>85</w:t>
      </w:r>
      <w:r>
        <w:rPr>
          <w:color w:val="auto"/>
          <w:highlight w:val="none"/>
        </w:rPr>
        <w:fldChar w:fldCharType="end"/>
      </w:r>
      <w:r>
        <w:rPr>
          <w:rFonts w:hint="eastAsia" w:cs="宋体"/>
          <w:color w:val="auto"/>
          <w:highlight w:val="none"/>
        </w:rPr>
        <w:fldChar w:fldCharType="end"/>
      </w:r>
    </w:p>
    <w:p w14:paraId="2291E97E">
      <w:pPr>
        <w:pStyle w:val="7"/>
        <w:spacing w:line="360" w:lineRule="auto"/>
        <w:ind w:firstLine="0"/>
        <w:rPr>
          <w:rFonts w:hint="eastAsia" w:ascii="宋体" w:hAnsi="宋体" w:cs="宋体"/>
          <w:color w:val="auto"/>
          <w:highlight w:val="none"/>
        </w:rPr>
      </w:pPr>
      <w:r>
        <w:rPr>
          <w:rFonts w:hint="eastAsia" w:ascii="宋体" w:hAnsi="宋体" w:cs="宋体"/>
          <w:color w:val="auto"/>
          <w:highlight w:val="none"/>
        </w:rPr>
        <w:fldChar w:fldCharType="end"/>
      </w:r>
      <w:bookmarkStart w:id="0" w:name="_Toc2272545"/>
    </w:p>
    <w:p w14:paraId="64EF0696">
      <w:pPr>
        <w:widowControl/>
        <w:jc w:val="left"/>
        <w:rPr>
          <w:rFonts w:hint="eastAsia" w:ascii="宋体" w:hAnsi="宋体" w:cs="宋体"/>
          <w:color w:val="auto"/>
          <w:szCs w:val="20"/>
          <w:highlight w:val="none"/>
        </w:rPr>
      </w:pPr>
      <w:r>
        <w:rPr>
          <w:rFonts w:hint="eastAsia" w:ascii="宋体" w:hAnsi="宋体" w:cs="宋体"/>
          <w:color w:val="auto"/>
          <w:highlight w:val="none"/>
        </w:rPr>
        <w:br w:type="page"/>
      </w:r>
    </w:p>
    <w:p w14:paraId="53DD111E">
      <w:pPr>
        <w:pStyle w:val="2"/>
        <w:rPr>
          <w:rFonts w:hint="eastAsia" w:ascii="宋体" w:hAnsi="宋体" w:cs="宋体"/>
          <w:color w:val="auto"/>
          <w:highlight w:val="none"/>
        </w:rPr>
      </w:pPr>
      <w:bookmarkStart w:id="1" w:name="_Toc31898"/>
      <w:r>
        <w:rPr>
          <w:rFonts w:hint="eastAsia" w:ascii="宋体" w:hAnsi="宋体" w:cs="宋体"/>
          <w:color w:val="auto"/>
          <w:highlight w:val="none"/>
        </w:rPr>
        <w:t>第一章  投标须知</w:t>
      </w:r>
      <w:bookmarkEnd w:id="1"/>
    </w:p>
    <w:bookmarkEnd w:id="0"/>
    <w:p w14:paraId="3FB1D95B">
      <w:pPr>
        <w:pStyle w:val="6"/>
        <w:rPr>
          <w:rFonts w:hint="eastAsia" w:ascii="宋体" w:hAnsi="宋体" w:cs="宋体"/>
          <w:color w:val="auto"/>
          <w:highlight w:val="none"/>
        </w:rPr>
      </w:pPr>
      <w:bookmarkStart w:id="2" w:name="_Toc16373"/>
      <w:bookmarkStart w:id="3" w:name="_Toc2272546"/>
      <w:r>
        <w:rPr>
          <w:rFonts w:hint="eastAsia" w:ascii="宋体" w:hAnsi="宋体" w:cs="宋体"/>
          <w:color w:val="auto"/>
          <w:highlight w:val="none"/>
        </w:rPr>
        <w:t>一、投标须知前附表</w:t>
      </w:r>
      <w:bookmarkEnd w:id="2"/>
      <w:bookmarkEnd w:id="3"/>
    </w:p>
    <w:p w14:paraId="260C1D98">
      <w:pPr>
        <w:pStyle w:val="7"/>
        <w:spacing w:line="360" w:lineRule="auto"/>
        <w:ind w:firstLine="0"/>
        <w:rPr>
          <w:rFonts w:hint="eastAsia" w:ascii="宋体" w:hAnsi="宋体" w:cs="宋体"/>
          <w:b/>
          <w:color w:val="auto"/>
          <w:sz w:val="24"/>
          <w:szCs w:val="24"/>
          <w:highlight w:val="none"/>
        </w:rPr>
      </w:pPr>
      <w:r>
        <w:rPr>
          <w:rFonts w:hint="eastAsia" w:ascii="宋体" w:hAnsi="宋体" w:cs="宋体"/>
          <w:b/>
          <w:color w:val="auto"/>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21"/>
        <w:tblW w:w="983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37"/>
        <w:gridCol w:w="814"/>
        <w:gridCol w:w="1924"/>
        <w:gridCol w:w="6563"/>
      </w:tblGrid>
      <w:tr w14:paraId="708672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blHeader/>
        </w:trPr>
        <w:tc>
          <w:tcPr>
            <w:tcW w:w="537" w:type="dxa"/>
            <w:tcBorders>
              <w:top w:val="double" w:color="auto" w:sz="4" w:space="0"/>
              <w:left w:val="double" w:color="auto" w:sz="4" w:space="0"/>
              <w:bottom w:val="single" w:color="auto" w:sz="4" w:space="0"/>
              <w:right w:val="single" w:color="auto" w:sz="4" w:space="0"/>
            </w:tcBorders>
            <w:noWrap w:val="0"/>
            <w:vAlign w:val="center"/>
          </w:tcPr>
          <w:p w14:paraId="31316FA9">
            <w:pPr>
              <w:jc w:val="center"/>
              <w:rPr>
                <w:rFonts w:hint="eastAsia" w:ascii="宋体" w:hAnsi="宋体" w:cs="宋体"/>
                <w:b/>
                <w:color w:val="auto"/>
                <w:szCs w:val="21"/>
                <w:highlight w:val="none"/>
              </w:rPr>
            </w:pPr>
            <w:r>
              <w:rPr>
                <w:rFonts w:hint="eastAsia" w:ascii="宋体" w:hAnsi="宋体" w:cs="宋体"/>
                <w:b/>
                <w:color w:val="auto"/>
                <w:szCs w:val="21"/>
                <w:highlight w:val="none"/>
              </w:rPr>
              <w:t>项目</w:t>
            </w:r>
          </w:p>
        </w:tc>
        <w:tc>
          <w:tcPr>
            <w:tcW w:w="814" w:type="dxa"/>
            <w:tcBorders>
              <w:top w:val="double" w:color="auto" w:sz="4" w:space="0"/>
              <w:left w:val="single" w:color="auto" w:sz="4" w:space="0"/>
              <w:bottom w:val="single" w:color="auto" w:sz="4" w:space="0"/>
              <w:right w:val="single" w:color="auto" w:sz="4" w:space="0"/>
            </w:tcBorders>
            <w:noWrap w:val="0"/>
            <w:vAlign w:val="center"/>
          </w:tcPr>
          <w:p w14:paraId="1D8D54C0">
            <w:pPr>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1924" w:type="dxa"/>
            <w:tcBorders>
              <w:top w:val="double" w:color="auto" w:sz="4" w:space="0"/>
              <w:left w:val="single" w:color="auto" w:sz="4" w:space="0"/>
              <w:bottom w:val="single" w:color="auto" w:sz="4" w:space="0"/>
              <w:right w:val="single" w:color="auto" w:sz="4" w:space="0"/>
            </w:tcBorders>
            <w:noWrap w:val="0"/>
            <w:vAlign w:val="center"/>
          </w:tcPr>
          <w:p w14:paraId="5BD7884B">
            <w:pPr>
              <w:jc w:val="center"/>
              <w:rPr>
                <w:rFonts w:hint="eastAsia" w:ascii="宋体" w:hAnsi="宋体" w:cs="宋体"/>
                <w:b/>
                <w:color w:val="auto"/>
                <w:szCs w:val="21"/>
                <w:highlight w:val="none"/>
              </w:rPr>
            </w:pPr>
            <w:r>
              <w:rPr>
                <w:rFonts w:hint="eastAsia" w:ascii="宋体" w:hAnsi="宋体" w:cs="宋体"/>
                <w:b/>
                <w:color w:val="auto"/>
                <w:szCs w:val="21"/>
                <w:highlight w:val="none"/>
              </w:rPr>
              <w:t>内容</w:t>
            </w:r>
          </w:p>
        </w:tc>
        <w:tc>
          <w:tcPr>
            <w:tcW w:w="6563" w:type="dxa"/>
            <w:tcBorders>
              <w:top w:val="double" w:color="auto" w:sz="4" w:space="0"/>
              <w:left w:val="single" w:color="auto" w:sz="4" w:space="0"/>
              <w:bottom w:val="single" w:color="auto" w:sz="4" w:space="0"/>
              <w:right w:val="double" w:color="auto" w:sz="4" w:space="0"/>
            </w:tcBorders>
            <w:noWrap w:val="0"/>
            <w:vAlign w:val="center"/>
          </w:tcPr>
          <w:p w14:paraId="264D3260">
            <w:pPr>
              <w:pStyle w:val="14"/>
              <w:jc w:val="center"/>
              <w:rPr>
                <w:rFonts w:hint="eastAsia" w:ascii="宋体" w:hAnsi="宋体" w:cs="宋体"/>
                <w:b/>
                <w:color w:val="auto"/>
                <w:kern w:val="2"/>
                <w:sz w:val="21"/>
                <w:szCs w:val="21"/>
                <w:highlight w:val="none"/>
              </w:rPr>
            </w:pPr>
            <w:r>
              <w:rPr>
                <w:rFonts w:hint="eastAsia" w:ascii="宋体" w:hAnsi="宋体" w:cs="宋体"/>
                <w:b/>
                <w:color w:val="auto"/>
                <w:kern w:val="2"/>
                <w:sz w:val="21"/>
                <w:szCs w:val="21"/>
                <w:highlight w:val="none"/>
              </w:rPr>
              <w:t>说明与要求</w:t>
            </w:r>
          </w:p>
        </w:tc>
      </w:tr>
      <w:tr w14:paraId="26C38F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136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58C705E6">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4DDDA833">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7E0FDC74">
            <w:pPr>
              <w:rPr>
                <w:rFonts w:hint="eastAsia" w:ascii="宋体" w:hAnsi="宋体" w:cs="宋体"/>
                <w:color w:val="auto"/>
                <w:szCs w:val="21"/>
                <w:highlight w:val="none"/>
              </w:rPr>
            </w:pPr>
            <w:r>
              <w:rPr>
                <w:rFonts w:hint="eastAsia" w:ascii="宋体" w:hAnsi="宋体" w:cs="宋体"/>
                <w:color w:val="auto"/>
                <w:szCs w:val="21"/>
                <w:highlight w:val="none"/>
              </w:rPr>
              <w:t>定义</w:t>
            </w:r>
          </w:p>
        </w:tc>
        <w:tc>
          <w:tcPr>
            <w:tcW w:w="6563" w:type="dxa"/>
            <w:tcBorders>
              <w:top w:val="single" w:color="auto" w:sz="4" w:space="0"/>
              <w:left w:val="single" w:color="auto" w:sz="4" w:space="0"/>
              <w:bottom w:val="single" w:color="auto" w:sz="4" w:space="0"/>
              <w:right w:val="double" w:color="auto" w:sz="4" w:space="0"/>
            </w:tcBorders>
            <w:noWrap w:val="0"/>
            <w:vAlign w:val="center"/>
          </w:tcPr>
          <w:p w14:paraId="1D6710A0">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招标人（即发包人）：</w:t>
            </w:r>
            <w:r>
              <w:rPr>
                <w:rFonts w:hint="eastAsia" w:ascii="宋体" w:hAnsi="宋体" w:cs="宋体"/>
                <w:color w:val="auto"/>
                <w:szCs w:val="21"/>
                <w:highlight w:val="none"/>
                <w:u w:val="single"/>
                <w:lang w:eastAsia="zh-CN"/>
              </w:rPr>
              <w:t>广东粤清农文旅有限公司</w:t>
            </w:r>
          </w:p>
          <w:p w14:paraId="24948C4E">
            <w:pPr>
              <w:rPr>
                <w:rFonts w:ascii="宋体" w:hAnsi="宋体" w:cs="宋体"/>
                <w:color w:val="auto"/>
                <w:szCs w:val="21"/>
                <w:highlight w:val="none"/>
              </w:rPr>
            </w:pPr>
            <w:r>
              <w:rPr>
                <w:rFonts w:hint="eastAsia" w:ascii="宋体" w:hAnsi="宋体" w:cs="宋体"/>
                <w:color w:val="auto"/>
                <w:szCs w:val="21"/>
                <w:highlight w:val="none"/>
              </w:rPr>
              <w:t>招标代理：</w:t>
            </w:r>
            <w:r>
              <w:rPr>
                <w:rFonts w:hint="eastAsia" w:ascii="宋体" w:hAnsi="宋体" w:cs="宋体"/>
                <w:color w:val="auto"/>
                <w:szCs w:val="21"/>
                <w:highlight w:val="none"/>
                <w:u w:val="single"/>
                <w:lang w:val="zh-CN"/>
              </w:rPr>
              <w:t>广东省机电设备招标中心有限公司</w:t>
            </w:r>
          </w:p>
          <w:p w14:paraId="283921F3">
            <w:pPr>
              <w:rPr>
                <w:rFonts w:hint="eastAsia" w:ascii="宋体" w:hAnsi="宋体" w:cs="宋体"/>
                <w:color w:val="auto"/>
                <w:szCs w:val="21"/>
                <w:highlight w:val="none"/>
              </w:rPr>
            </w:pPr>
            <w:r>
              <w:rPr>
                <w:rFonts w:hint="eastAsia" w:ascii="宋体" w:hAnsi="宋体" w:cs="宋体"/>
                <w:color w:val="auto"/>
                <w:szCs w:val="21"/>
                <w:highlight w:val="none"/>
              </w:rPr>
              <w:t>设计单位：</w:t>
            </w:r>
            <w:r>
              <w:rPr>
                <w:rFonts w:hint="eastAsia" w:ascii="宋体" w:hAnsi="宋体" w:cs="宋体"/>
                <w:color w:val="auto"/>
                <w:szCs w:val="21"/>
                <w:highlight w:val="none"/>
                <w:lang w:val="en-US" w:eastAsia="zh-CN"/>
              </w:rPr>
              <w:t>中大设计集团有限公司/</w:t>
            </w:r>
            <w:r>
              <w:rPr>
                <w:rFonts w:hint="eastAsia"/>
                <w:color w:val="auto"/>
                <w:highlight w:val="none"/>
              </w:rPr>
              <w:t>广州市隆腾富跃装饰工程有限公司</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14:paraId="1B1F8169">
            <w:pPr>
              <w:rPr>
                <w:rFonts w:hint="eastAsia" w:ascii="宋体" w:hAnsi="宋体" w:cs="宋体"/>
                <w:color w:val="auto"/>
                <w:szCs w:val="21"/>
                <w:highlight w:val="none"/>
                <w:u w:val="single"/>
              </w:rPr>
            </w:pPr>
            <w:r>
              <w:rPr>
                <w:rFonts w:hint="eastAsia" w:ascii="宋体" w:hAnsi="宋体" w:cs="宋体"/>
                <w:color w:val="auto"/>
                <w:szCs w:val="21"/>
                <w:highlight w:val="none"/>
              </w:rPr>
              <w:t>监理单位：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成致项目管理有限公司 </w:t>
            </w:r>
            <w:r>
              <w:rPr>
                <w:rFonts w:hint="eastAsia" w:ascii="宋体" w:hAnsi="宋体" w:cs="宋体"/>
                <w:color w:val="auto"/>
                <w:szCs w:val="21"/>
                <w:highlight w:val="none"/>
                <w:u w:val="single"/>
              </w:rPr>
              <w:t xml:space="preserve">  </w:t>
            </w:r>
          </w:p>
          <w:p w14:paraId="64F90FF4">
            <w:pPr>
              <w:rPr>
                <w:rFonts w:hint="eastAsia" w:ascii="宋体" w:hAnsi="宋体" w:cs="宋体"/>
                <w:color w:val="auto"/>
                <w:szCs w:val="21"/>
                <w:highlight w:val="none"/>
              </w:rPr>
            </w:pPr>
            <w:r>
              <w:rPr>
                <w:rFonts w:hint="eastAsia" w:ascii="宋体" w:hAnsi="宋体" w:cs="宋体"/>
                <w:color w:val="auto"/>
                <w:szCs w:val="21"/>
                <w:highlight w:val="none"/>
              </w:rPr>
              <w:t>检测机构：</w:t>
            </w:r>
            <w:r>
              <w:rPr>
                <w:rFonts w:hint="eastAsia" w:ascii="宋体" w:hAnsi="宋体" w:cs="宋体"/>
                <w:color w:val="auto"/>
                <w:szCs w:val="21"/>
                <w:highlight w:val="none"/>
                <w:u w:val="single"/>
              </w:rPr>
              <w:t xml:space="preserve"> 广东睿博建筑设计研究有限公司</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tc>
      </w:tr>
      <w:tr w14:paraId="3B07AA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412"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7869D9B1">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3E05A873">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7E8A20A8">
            <w:pPr>
              <w:rPr>
                <w:rFonts w:hint="eastAsia" w:ascii="宋体" w:hAnsi="宋体" w:cs="宋体"/>
                <w:color w:val="auto"/>
                <w:szCs w:val="21"/>
                <w:highlight w:val="none"/>
              </w:rPr>
            </w:pPr>
            <w:r>
              <w:rPr>
                <w:rFonts w:hint="eastAsia" w:ascii="宋体" w:hAnsi="宋体" w:cs="宋体"/>
                <w:color w:val="auto"/>
                <w:szCs w:val="21"/>
                <w:highlight w:val="none"/>
              </w:rPr>
              <w:t>工程名称</w:t>
            </w:r>
          </w:p>
        </w:tc>
        <w:tc>
          <w:tcPr>
            <w:tcW w:w="6563" w:type="dxa"/>
            <w:tcBorders>
              <w:top w:val="single" w:color="auto" w:sz="4" w:space="0"/>
              <w:left w:val="single" w:color="auto" w:sz="4" w:space="0"/>
              <w:bottom w:val="single" w:color="auto" w:sz="4" w:space="0"/>
              <w:right w:val="double" w:color="auto" w:sz="4" w:space="0"/>
            </w:tcBorders>
            <w:noWrap w:val="0"/>
            <w:vAlign w:val="center"/>
          </w:tcPr>
          <w:p w14:paraId="5489607D">
            <w:pPr>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lang w:eastAsia="zh-CN"/>
              </w:rPr>
              <w:t>清远市和秧合社农文旅项目一号地块三期工程</w:t>
            </w:r>
          </w:p>
        </w:tc>
      </w:tr>
      <w:tr w14:paraId="03461E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48CF2107">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1D510A3A">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4844900E">
            <w:pPr>
              <w:rPr>
                <w:rFonts w:hint="eastAsia" w:ascii="宋体" w:hAnsi="宋体" w:cs="宋体"/>
                <w:color w:val="auto"/>
                <w:szCs w:val="21"/>
                <w:highlight w:val="none"/>
              </w:rPr>
            </w:pPr>
            <w:r>
              <w:rPr>
                <w:rFonts w:hint="eastAsia" w:ascii="宋体" w:hAnsi="宋体" w:cs="宋体"/>
                <w:color w:val="auto"/>
                <w:szCs w:val="21"/>
                <w:highlight w:val="none"/>
              </w:rPr>
              <w:t>建设地点</w:t>
            </w:r>
          </w:p>
        </w:tc>
        <w:tc>
          <w:tcPr>
            <w:tcW w:w="6563" w:type="dxa"/>
            <w:tcBorders>
              <w:top w:val="single" w:color="auto" w:sz="4" w:space="0"/>
              <w:left w:val="single" w:color="auto" w:sz="4" w:space="0"/>
              <w:bottom w:val="single" w:color="auto" w:sz="4" w:space="0"/>
              <w:right w:val="double" w:color="auto" w:sz="4" w:space="0"/>
            </w:tcBorders>
            <w:noWrap w:val="0"/>
            <w:vAlign w:val="center"/>
          </w:tcPr>
          <w:p w14:paraId="48FD8946">
            <w:pPr>
              <w:rPr>
                <w:rFonts w:hint="eastAsia" w:ascii="宋体" w:hAnsi="宋体" w:cs="宋体"/>
                <w:color w:val="auto"/>
                <w:szCs w:val="21"/>
                <w:highlight w:val="none"/>
                <w:u w:val="single"/>
              </w:rPr>
            </w:pPr>
            <w:r>
              <w:rPr>
                <w:rFonts w:hint="eastAsia" w:ascii="宋体" w:hAnsi="宋体" w:cs="宋体"/>
                <w:color w:val="auto"/>
                <w:szCs w:val="21"/>
                <w:highlight w:val="none"/>
              </w:rPr>
              <w:t>详见本工程招标公告。</w:t>
            </w:r>
          </w:p>
        </w:tc>
      </w:tr>
      <w:tr w14:paraId="786207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153765C8">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10853909">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08D023D0">
            <w:pPr>
              <w:rPr>
                <w:rFonts w:hint="eastAsia" w:ascii="宋体" w:hAnsi="宋体" w:cs="宋体"/>
                <w:color w:val="auto"/>
                <w:szCs w:val="21"/>
                <w:highlight w:val="none"/>
              </w:rPr>
            </w:pPr>
            <w:r>
              <w:rPr>
                <w:rFonts w:hint="eastAsia" w:ascii="宋体" w:hAnsi="宋体" w:cs="宋体"/>
                <w:color w:val="auto"/>
                <w:szCs w:val="21"/>
                <w:highlight w:val="none"/>
              </w:rPr>
              <w:t>建设规模</w:t>
            </w:r>
          </w:p>
        </w:tc>
        <w:tc>
          <w:tcPr>
            <w:tcW w:w="6563" w:type="dxa"/>
            <w:tcBorders>
              <w:top w:val="single" w:color="auto" w:sz="4" w:space="0"/>
              <w:left w:val="single" w:color="auto" w:sz="4" w:space="0"/>
              <w:bottom w:val="single" w:color="auto" w:sz="4" w:space="0"/>
              <w:right w:val="double" w:color="auto" w:sz="4" w:space="0"/>
            </w:tcBorders>
            <w:noWrap w:val="0"/>
            <w:vAlign w:val="center"/>
          </w:tcPr>
          <w:p w14:paraId="63C73323">
            <w:pPr>
              <w:rPr>
                <w:rFonts w:hint="eastAsia" w:ascii="宋体" w:hAnsi="宋体" w:cs="宋体"/>
                <w:color w:val="auto"/>
                <w:szCs w:val="21"/>
                <w:highlight w:val="none"/>
                <w:u w:val="single"/>
              </w:rPr>
            </w:pPr>
            <w:r>
              <w:rPr>
                <w:rFonts w:hint="eastAsia" w:ascii="宋体" w:hAnsi="宋体" w:cs="宋体"/>
                <w:color w:val="auto"/>
                <w:szCs w:val="21"/>
                <w:highlight w:val="none"/>
              </w:rPr>
              <w:t>详见本工程招标公告。</w:t>
            </w:r>
          </w:p>
        </w:tc>
      </w:tr>
      <w:tr w14:paraId="224ADB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90"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74C5595C">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32BAB32E">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7BFD9EFD">
            <w:pPr>
              <w:rPr>
                <w:rFonts w:hint="eastAsia" w:ascii="宋体" w:hAnsi="宋体" w:cs="宋体"/>
                <w:color w:val="auto"/>
                <w:szCs w:val="21"/>
                <w:highlight w:val="none"/>
              </w:rPr>
            </w:pPr>
            <w:r>
              <w:rPr>
                <w:rFonts w:hint="eastAsia" w:ascii="宋体" w:hAnsi="宋体" w:cs="宋体"/>
                <w:color w:val="auto"/>
                <w:szCs w:val="21"/>
                <w:highlight w:val="none"/>
              </w:rPr>
              <w:t>承包方式</w:t>
            </w:r>
          </w:p>
        </w:tc>
        <w:tc>
          <w:tcPr>
            <w:tcW w:w="6563" w:type="dxa"/>
            <w:tcBorders>
              <w:top w:val="single" w:color="auto" w:sz="4" w:space="0"/>
              <w:left w:val="single" w:color="auto" w:sz="4" w:space="0"/>
              <w:bottom w:val="single" w:color="auto" w:sz="4" w:space="0"/>
              <w:right w:val="double" w:color="auto" w:sz="4" w:space="0"/>
            </w:tcBorders>
            <w:noWrap w:val="0"/>
            <w:vAlign w:val="center"/>
          </w:tcPr>
          <w:p w14:paraId="697C1337">
            <w:pPr>
              <w:rPr>
                <w:rFonts w:hint="eastAsia" w:ascii="宋体" w:hAnsi="宋体" w:cs="宋体"/>
                <w:color w:val="auto"/>
                <w:szCs w:val="21"/>
                <w:highlight w:val="none"/>
                <w:u w:val="single"/>
              </w:rPr>
            </w:pPr>
            <w:r>
              <w:rPr>
                <w:rFonts w:hint="eastAsia" w:ascii="宋体" w:hAnsi="宋体" w:cs="宋体"/>
                <w:color w:val="auto"/>
                <w:szCs w:val="21"/>
                <w:highlight w:val="none"/>
                <w:u w:val="single"/>
              </w:rPr>
              <w:t>投标人根据招标文件、招标图纸等有关资料及说明，招标图纸范围内及招标文件中的有关规定固定总价包干，包括但不限于包工、包料、包工期、包质量、包安全、包文明施工、包环保、包运输、包手续、包垃圾处理及污染防治,包承包范围内工程验收通过、包移交、包结算、包资料整理、包承包人应当购买的保险、包规费、包税费、包组织项目整体竣工验收（含资料汇总、整理、政府申报）等，并取得相关政府部门认可的验收合格证明文件。</w:t>
            </w:r>
          </w:p>
        </w:tc>
      </w:tr>
      <w:tr w14:paraId="7B642C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402"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67B6E87C">
            <w:pPr>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07955D7B">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1D83B37D">
            <w:pPr>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6563" w:type="dxa"/>
            <w:tcBorders>
              <w:top w:val="single" w:color="auto" w:sz="4" w:space="0"/>
              <w:left w:val="single" w:color="auto" w:sz="4" w:space="0"/>
              <w:bottom w:val="single" w:color="auto" w:sz="4" w:space="0"/>
              <w:right w:val="double" w:color="auto" w:sz="4" w:space="0"/>
            </w:tcBorders>
            <w:noWrap w:val="0"/>
            <w:vAlign w:val="center"/>
          </w:tcPr>
          <w:p w14:paraId="219EE31C">
            <w:pPr>
              <w:rPr>
                <w:rFonts w:hint="eastAsia" w:ascii="宋体" w:hAnsi="宋体" w:cs="宋体"/>
                <w:color w:val="auto"/>
                <w:szCs w:val="21"/>
                <w:highlight w:val="none"/>
              </w:rPr>
            </w:pPr>
            <w:r>
              <w:rPr>
                <w:rFonts w:hint="eastAsia" w:cs="宋体"/>
                <w:color w:val="auto"/>
                <w:highlight w:val="none"/>
                <w:u w:val="single"/>
                <w:lang w:val="en-US" w:eastAsia="zh-CN"/>
              </w:rPr>
              <w:t>参考《建筑装饰装修工程质量验收规范》（GB 50210-2023）</w:t>
            </w:r>
            <w:r>
              <w:rPr>
                <w:rFonts w:hint="eastAsia" w:cs="宋体"/>
                <w:color w:val="auto"/>
                <w:highlight w:val="none"/>
                <w:u w:val="single"/>
              </w:rPr>
              <w:t>达到合格工程标准或以上。</w:t>
            </w:r>
          </w:p>
        </w:tc>
      </w:tr>
      <w:tr w14:paraId="63C285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586F6DE0">
            <w:pPr>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6F58E97A">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10AA7DA1">
            <w:pPr>
              <w:rPr>
                <w:rFonts w:hint="eastAsia" w:ascii="宋体" w:hAnsi="宋体" w:cs="宋体"/>
                <w:color w:val="auto"/>
                <w:szCs w:val="21"/>
                <w:highlight w:val="none"/>
              </w:rPr>
            </w:pPr>
            <w:r>
              <w:rPr>
                <w:rFonts w:hint="eastAsia" w:ascii="宋体" w:hAnsi="宋体" w:cs="宋体"/>
                <w:color w:val="auto"/>
                <w:szCs w:val="21"/>
                <w:highlight w:val="none"/>
              </w:rPr>
              <w:t>招标范围</w:t>
            </w:r>
          </w:p>
        </w:tc>
        <w:tc>
          <w:tcPr>
            <w:tcW w:w="6563" w:type="dxa"/>
            <w:tcBorders>
              <w:top w:val="single" w:color="auto" w:sz="4" w:space="0"/>
              <w:left w:val="single" w:color="auto" w:sz="4" w:space="0"/>
              <w:bottom w:val="single" w:color="auto" w:sz="4" w:space="0"/>
              <w:right w:val="double" w:color="auto" w:sz="4" w:space="0"/>
            </w:tcBorders>
            <w:noWrap w:val="0"/>
            <w:vAlign w:val="center"/>
          </w:tcPr>
          <w:p w14:paraId="6A8E1C25">
            <w:pPr>
              <w:rPr>
                <w:rFonts w:hint="eastAsia" w:ascii="宋体" w:hAnsi="宋体" w:cs="宋体"/>
                <w:color w:val="auto"/>
                <w:szCs w:val="21"/>
                <w:highlight w:val="none"/>
              </w:rPr>
            </w:pPr>
            <w:r>
              <w:rPr>
                <w:rFonts w:hint="eastAsia" w:ascii="宋体" w:hAnsi="宋体" w:cs="宋体"/>
                <w:color w:val="auto"/>
                <w:szCs w:val="21"/>
                <w:highlight w:val="none"/>
              </w:rPr>
              <w:t>详见本项目招标公告。</w:t>
            </w:r>
          </w:p>
        </w:tc>
      </w:tr>
      <w:tr w14:paraId="207CEC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14E59954">
            <w:pPr>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351945EB">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643D30F5">
            <w:pPr>
              <w:rPr>
                <w:rFonts w:hint="eastAsia" w:ascii="宋体" w:hAnsi="宋体" w:cs="宋体"/>
                <w:color w:val="auto"/>
                <w:szCs w:val="21"/>
                <w:highlight w:val="none"/>
              </w:rPr>
            </w:pPr>
            <w:r>
              <w:rPr>
                <w:rFonts w:hint="eastAsia" w:ascii="宋体" w:hAnsi="宋体" w:cs="宋体"/>
                <w:color w:val="auto"/>
                <w:szCs w:val="21"/>
                <w:highlight w:val="none"/>
              </w:rPr>
              <w:t>工期要求</w:t>
            </w:r>
          </w:p>
        </w:tc>
        <w:tc>
          <w:tcPr>
            <w:tcW w:w="6563" w:type="dxa"/>
            <w:tcBorders>
              <w:top w:val="single" w:color="auto" w:sz="4" w:space="0"/>
              <w:left w:val="single" w:color="auto" w:sz="4" w:space="0"/>
              <w:bottom w:val="single" w:color="auto" w:sz="4" w:space="0"/>
              <w:right w:val="double" w:color="auto" w:sz="4" w:space="0"/>
            </w:tcBorders>
            <w:noWrap w:val="0"/>
            <w:vAlign w:val="center"/>
          </w:tcPr>
          <w:p w14:paraId="2919304C">
            <w:pPr>
              <w:rPr>
                <w:rFonts w:hint="eastAsia" w:ascii="宋体" w:hAnsi="宋体" w:cs="宋体"/>
                <w:color w:val="auto"/>
                <w:szCs w:val="21"/>
                <w:highlight w:val="none"/>
                <w:u w:val="single"/>
              </w:rPr>
            </w:pPr>
            <w:r>
              <w:rPr>
                <w:rFonts w:hint="eastAsia" w:ascii="宋体" w:hAnsi="宋体" w:cs="宋体"/>
                <w:bCs/>
                <w:color w:val="auto"/>
                <w:szCs w:val="21"/>
                <w:highlight w:val="none"/>
              </w:rPr>
              <w:t>施工工期为</w:t>
            </w:r>
            <w:r>
              <w:rPr>
                <w:rFonts w:hint="eastAsia" w:ascii="宋体" w:hAnsi="宋体" w:cs="宋体"/>
                <w:bCs/>
                <w:color w:val="auto"/>
                <w:szCs w:val="21"/>
                <w:highlight w:val="none"/>
                <w:lang w:val="en-US" w:eastAsia="zh-CN"/>
              </w:rPr>
              <w:t>200</w:t>
            </w:r>
            <w:r>
              <w:rPr>
                <w:rFonts w:hint="eastAsia" w:ascii="宋体" w:hAnsi="宋体" w:cs="宋体"/>
                <w:bCs/>
                <w:color w:val="auto"/>
                <w:szCs w:val="21"/>
                <w:highlight w:val="none"/>
              </w:rPr>
              <w:t>个日历天，工程的开工日期以招标人或监理单位通知为准。欢迎投标人在保证施工质量的前提下优化施工工期。若进行优化，请提交相应的缩短工期的方案。</w:t>
            </w:r>
          </w:p>
        </w:tc>
      </w:tr>
      <w:tr w14:paraId="693473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5CB0E2C8">
            <w:pPr>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70EFE4B9">
            <w:pPr>
              <w:jc w:val="center"/>
              <w:rPr>
                <w:rFonts w:hint="eastAsia" w:ascii="宋体" w:hAnsi="宋体" w:cs="宋体"/>
                <w:color w:val="auto"/>
                <w:szCs w:val="21"/>
                <w:highlight w:val="none"/>
              </w:rPr>
            </w:pPr>
            <w:r>
              <w:rPr>
                <w:rFonts w:hint="eastAsia" w:ascii="宋体" w:hAnsi="宋体" w:cs="宋体"/>
                <w:color w:val="auto"/>
                <w:szCs w:val="21"/>
                <w:highlight w:val="none"/>
              </w:rPr>
              <w:t>3.1</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29789E27">
            <w:pPr>
              <w:rPr>
                <w:rFonts w:hint="eastAsia" w:ascii="宋体" w:hAnsi="宋体" w:cs="宋体"/>
                <w:color w:val="auto"/>
                <w:szCs w:val="21"/>
                <w:highlight w:val="none"/>
              </w:rPr>
            </w:pPr>
            <w:r>
              <w:rPr>
                <w:rFonts w:hint="eastAsia" w:ascii="宋体" w:hAnsi="宋体" w:cs="宋体"/>
                <w:color w:val="auto"/>
                <w:szCs w:val="21"/>
                <w:highlight w:val="none"/>
              </w:rPr>
              <w:t>资金来源</w:t>
            </w:r>
          </w:p>
        </w:tc>
        <w:tc>
          <w:tcPr>
            <w:tcW w:w="6563" w:type="dxa"/>
            <w:tcBorders>
              <w:top w:val="single" w:color="auto" w:sz="4" w:space="0"/>
              <w:left w:val="single" w:color="auto" w:sz="4" w:space="0"/>
              <w:bottom w:val="single" w:color="auto" w:sz="4" w:space="0"/>
              <w:right w:val="double" w:color="auto" w:sz="4" w:space="0"/>
            </w:tcBorders>
            <w:noWrap w:val="0"/>
            <w:vAlign w:val="center"/>
          </w:tcPr>
          <w:p w14:paraId="106C0C50">
            <w:pPr>
              <w:rPr>
                <w:rFonts w:hint="eastAsia" w:ascii="宋体" w:hAnsi="宋体" w:cs="宋体"/>
                <w:color w:val="auto"/>
                <w:szCs w:val="21"/>
                <w:highlight w:val="none"/>
                <w:u w:val="single"/>
              </w:rPr>
            </w:pPr>
            <w:r>
              <w:rPr>
                <w:rFonts w:hint="eastAsia" w:ascii="宋体" w:hAnsi="宋体" w:cs="宋体"/>
                <w:color w:val="auto"/>
                <w:szCs w:val="21"/>
                <w:highlight w:val="none"/>
              </w:rPr>
              <w:t>详见本工程招标公告。</w:t>
            </w:r>
          </w:p>
        </w:tc>
      </w:tr>
      <w:tr w14:paraId="75431C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729"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1C003D57">
            <w:pPr>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08741AC4">
            <w:pPr>
              <w:jc w:val="center"/>
              <w:rPr>
                <w:rFonts w:hint="eastAsia" w:ascii="宋体" w:hAnsi="宋体" w:cs="宋体"/>
                <w:color w:val="auto"/>
                <w:szCs w:val="21"/>
                <w:highlight w:val="none"/>
              </w:rPr>
            </w:pPr>
            <w:r>
              <w:rPr>
                <w:rFonts w:hint="eastAsia" w:ascii="宋体" w:hAnsi="宋体" w:cs="宋体"/>
                <w:color w:val="auto"/>
                <w:szCs w:val="21"/>
                <w:highlight w:val="none"/>
              </w:rPr>
              <w:t>4.1</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14BDD466">
            <w:pPr>
              <w:rPr>
                <w:rFonts w:hint="eastAsia" w:ascii="宋体" w:hAnsi="宋体" w:cs="宋体"/>
                <w:color w:val="auto"/>
                <w:szCs w:val="21"/>
                <w:highlight w:val="none"/>
              </w:rPr>
            </w:pPr>
            <w:r>
              <w:rPr>
                <w:rFonts w:hint="eastAsia" w:ascii="宋体" w:hAnsi="宋体" w:cs="宋体"/>
                <w:color w:val="auto"/>
                <w:szCs w:val="21"/>
                <w:highlight w:val="none"/>
              </w:rPr>
              <w:t>投标人资质等级及项目负责人等级要求</w:t>
            </w:r>
          </w:p>
        </w:tc>
        <w:tc>
          <w:tcPr>
            <w:tcW w:w="6563" w:type="dxa"/>
            <w:tcBorders>
              <w:top w:val="single" w:color="auto" w:sz="4" w:space="0"/>
              <w:left w:val="single" w:color="auto" w:sz="4" w:space="0"/>
              <w:bottom w:val="single" w:color="auto" w:sz="4" w:space="0"/>
              <w:right w:val="double" w:color="auto" w:sz="4" w:space="0"/>
            </w:tcBorders>
            <w:noWrap w:val="0"/>
            <w:vAlign w:val="center"/>
          </w:tcPr>
          <w:p w14:paraId="2E3FE68F">
            <w:pPr>
              <w:rPr>
                <w:rFonts w:hint="eastAsia" w:ascii="宋体" w:hAnsi="宋体" w:cs="宋体"/>
                <w:color w:val="auto"/>
                <w:szCs w:val="21"/>
                <w:highlight w:val="none"/>
              </w:rPr>
            </w:pPr>
            <w:r>
              <w:rPr>
                <w:rFonts w:hint="eastAsia" w:ascii="宋体" w:hAnsi="宋体" w:cs="宋体"/>
                <w:color w:val="auto"/>
                <w:szCs w:val="21"/>
                <w:highlight w:val="none"/>
              </w:rPr>
              <w:t>详见本工程招标公告。</w:t>
            </w:r>
          </w:p>
        </w:tc>
      </w:tr>
      <w:tr w14:paraId="4E497B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7E1547E0">
            <w:pPr>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4BC26B55">
            <w:pPr>
              <w:jc w:val="center"/>
              <w:rPr>
                <w:rFonts w:hint="eastAsia" w:ascii="宋体" w:hAnsi="宋体" w:cs="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14:paraId="11BE4F6D">
            <w:pPr>
              <w:rPr>
                <w:rFonts w:hint="eastAsia" w:ascii="宋体" w:hAnsi="宋体" w:cs="宋体"/>
                <w:color w:val="auto"/>
                <w:szCs w:val="21"/>
                <w:highlight w:val="none"/>
              </w:rPr>
            </w:pPr>
            <w:r>
              <w:rPr>
                <w:rFonts w:hint="eastAsia" w:ascii="宋体" w:hAnsi="宋体" w:cs="宋体"/>
                <w:color w:val="auto"/>
                <w:szCs w:val="21"/>
                <w:highlight w:val="none"/>
              </w:rPr>
              <w:t>资格审查方式</w:t>
            </w:r>
          </w:p>
        </w:tc>
        <w:tc>
          <w:tcPr>
            <w:tcW w:w="6563" w:type="dxa"/>
            <w:tcBorders>
              <w:top w:val="single" w:color="auto" w:sz="4" w:space="0"/>
              <w:left w:val="single" w:color="auto" w:sz="4" w:space="0"/>
              <w:bottom w:val="single" w:color="auto" w:sz="4" w:space="0"/>
              <w:right w:val="double" w:color="auto" w:sz="4" w:space="0"/>
            </w:tcBorders>
            <w:noWrap w:val="0"/>
            <w:vAlign w:val="center"/>
          </w:tcPr>
          <w:p w14:paraId="0DC81EED">
            <w:pPr>
              <w:rPr>
                <w:rFonts w:hint="eastAsia" w:ascii="宋体" w:hAnsi="宋体" w:cs="宋体"/>
                <w:color w:val="auto"/>
                <w:szCs w:val="21"/>
                <w:highlight w:val="none"/>
              </w:rPr>
            </w:pPr>
            <w:r>
              <w:rPr>
                <w:rFonts w:hint="eastAsia" w:ascii="宋体" w:hAnsi="宋体" w:cs="宋体"/>
                <w:color w:val="auto"/>
                <w:szCs w:val="21"/>
                <w:highlight w:val="none"/>
              </w:rPr>
              <w:t>详见本工程招标公告。</w:t>
            </w:r>
          </w:p>
        </w:tc>
      </w:tr>
      <w:tr w14:paraId="674A78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73B0D4E0">
            <w:pPr>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05C1B709">
            <w:pPr>
              <w:jc w:val="center"/>
              <w:rPr>
                <w:rFonts w:hint="eastAsia" w:ascii="宋体" w:hAnsi="宋体" w:cs="宋体"/>
                <w:color w:val="auto"/>
                <w:szCs w:val="21"/>
                <w:highlight w:val="none"/>
              </w:rPr>
            </w:pPr>
            <w:r>
              <w:rPr>
                <w:rFonts w:hint="eastAsia" w:ascii="宋体" w:hAnsi="宋体" w:cs="宋体"/>
                <w:color w:val="auto"/>
                <w:szCs w:val="21"/>
                <w:highlight w:val="none"/>
              </w:rPr>
              <w:t>13.1</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2C3E801E">
            <w:pPr>
              <w:rPr>
                <w:rFonts w:hint="eastAsia" w:ascii="宋体" w:hAnsi="宋体" w:cs="宋体"/>
                <w:color w:val="auto"/>
                <w:szCs w:val="21"/>
                <w:highlight w:val="none"/>
              </w:rPr>
            </w:pPr>
            <w:r>
              <w:rPr>
                <w:rFonts w:hint="eastAsia" w:ascii="宋体" w:hAnsi="宋体" w:cs="宋体"/>
                <w:color w:val="auto"/>
                <w:szCs w:val="21"/>
                <w:highlight w:val="none"/>
              </w:rPr>
              <w:t>报价以及单价和总价计算方式</w:t>
            </w:r>
          </w:p>
        </w:tc>
        <w:tc>
          <w:tcPr>
            <w:tcW w:w="6563" w:type="dxa"/>
            <w:tcBorders>
              <w:top w:val="single" w:color="auto" w:sz="4" w:space="0"/>
              <w:left w:val="single" w:color="auto" w:sz="4" w:space="0"/>
              <w:bottom w:val="single" w:color="auto" w:sz="4" w:space="0"/>
              <w:right w:val="double" w:color="auto" w:sz="4" w:space="0"/>
            </w:tcBorders>
            <w:noWrap w:val="0"/>
            <w:vAlign w:val="center"/>
          </w:tcPr>
          <w:p w14:paraId="39113536">
            <w:pPr>
              <w:rPr>
                <w:rFonts w:hint="eastAsia" w:ascii="宋体" w:hAnsi="宋体" w:cs="宋体"/>
                <w:color w:val="auto"/>
                <w:szCs w:val="21"/>
                <w:highlight w:val="none"/>
                <w:u w:val="single"/>
              </w:rPr>
            </w:pPr>
            <w:r>
              <w:rPr>
                <w:rFonts w:hint="eastAsia" w:ascii="宋体" w:hAnsi="宋体" w:cs="宋体"/>
                <w:color w:val="auto"/>
                <w:szCs w:val="21"/>
                <w:highlight w:val="none"/>
                <w:u w:val="single"/>
              </w:rPr>
              <w:t>详见本项目合同条款。</w:t>
            </w:r>
          </w:p>
        </w:tc>
      </w:tr>
      <w:tr w14:paraId="30A97D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165951F1">
            <w:pPr>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7B112B94">
            <w:pPr>
              <w:jc w:val="center"/>
              <w:rPr>
                <w:rFonts w:hint="eastAsia" w:ascii="宋体" w:hAnsi="宋体" w:cs="宋体"/>
                <w:color w:val="auto"/>
                <w:szCs w:val="21"/>
                <w:highlight w:val="none"/>
              </w:rPr>
            </w:pPr>
            <w:r>
              <w:rPr>
                <w:rFonts w:hint="eastAsia" w:ascii="宋体" w:hAnsi="宋体" w:cs="宋体"/>
                <w:color w:val="auto"/>
                <w:szCs w:val="21"/>
                <w:highlight w:val="none"/>
              </w:rPr>
              <w:t>15.1</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0673DE0E">
            <w:pP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6563" w:type="dxa"/>
            <w:tcBorders>
              <w:top w:val="single" w:color="auto" w:sz="4" w:space="0"/>
              <w:left w:val="single" w:color="auto" w:sz="4" w:space="0"/>
              <w:bottom w:val="single" w:color="auto" w:sz="4" w:space="0"/>
              <w:right w:val="double" w:color="auto" w:sz="4" w:space="0"/>
            </w:tcBorders>
            <w:noWrap w:val="0"/>
            <w:vAlign w:val="center"/>
          </w:tcPr>
          <w:p w14:paraId="235B418F">
            <w:pPr>
              <w:rPr>
                <w:rFonts w:hint="eastAsia" w:ascii="宋体" w:hAnsi="宋体" w:cs="宋体"/>
                <w:color w:val="auto"/>
                <w:szCs w:val="21"/>
                <w:highlight w:val="none"/>
                <w:u w:val="single"/>
              </w:rPr>
            </w:pPr>
            <w:r>
              <w:rPr>
                <w:rFonts w:hint="eastAsia" w:ascii="宋体" w:hAnsi="宋体" w:cs="宋体"/>
                <w:color w:val="auto"/>
                <w:szCs w:val="21"/>
                <w:highlight w:val="none"/>
                <w:u w:val="single"/>
              </w:rPr>
              <w:t>90日历天（从递交投标文件截止之日计起）</w:t>
            </w:r>
          </w:p>
        </w:tc>
      </w:tr>
      <w:tr w14:paraId="046C96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5CD0317C">
            <w:pPr>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17C267D8">
            <w:pPr>
              <w:jc w:val="center"/>
              <w:rPr>
                <w:rFonts w:hint="eastAsia" w:ascii="宋体" w:hAnsi="宋体" w:cs="宋体"/>
                <w:color w:val="auto"/>
                <w:szCs w:val="21"/>
                <w:highlight w:val="none"/>
              </w:rPr>
            </w:pPr>
            <w:r>
              <w:rPr>
                <w:rFonts w:hint="eastAsia" w:ascii="宋体" w:hAnsi="宋体" w:cs="宋体"/>
                <w:color w:val="auto"/>
                <w:szCs w:val="21"/>
                <w:highlight w:val="none"/>
              </w:rPr>
              <w:t>16.1</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53A21610">
            <w:pPr>
              <w:rPr>
                <w:rFonts w:hint="eastAsia" w:ascii="宋体" w:hAnsi="宋体" w:cs="宋体"/>
                <w:color w:val="auto"/>
                <w:szCs w:val="21"/>
                <w:highlight w:val="none"/>
              </w:rPr>
            </w:pPr>
            <w:r>
              <w:rPr>
                <w:rFonts w:hint="eastAsia" w:ascii="宋体" w:hAnsi="宋体" w:cs="宋体"/>
                <w:color w:val="auto"/>
                <w:szCs w:val="21"/>
                <w:highlight w:val="none"/>
              </w:rPr>
              <w:t>投标保证金</w:t>
            </w:r>
          </w:p>
        </w:tc>
        <w:tc>
          <w:tcPr>
            <w:tcW w:w="6563" w:type="dxa"/>
            <w:tcBorders>
              <w:top w:val="single" w:color="auto" w:sz="4" w:space="0"/>
              <w:left w:val="single" w:color="auto" w:sz="4" w:space="0"/>
              <w:bottom w:val="single" w:color="auto" w:sz="4" w:space="0"/>
              <w:right w:val="double" w:color="auto" w:sz="4" w:space="0"/>
            </w:tcBorders>
            <w:noWrap w:val="0"/>
            <w:vAlign w:val="center"/>
          </w:tcPr>
          <w:p w14:paraId="2EA91C99">
            <w:pPr>
              <w:pStyle w:val="13"/>
              <w:rPr>
                <w:rFonts w:hAnsi="宋体"/>
                <w:color w:val="auto"/>
                <w:sz w:val="21"/>
                <w:szCs w:val="21"/>
                <w:highlight w:val="none"/>
                <w:u w:val="single"/>
              </w:rPr>
            </w:pPr>
            <w:r>
              <w:rPr>
                <w:rFonts w:hint="eastAsia" w:hAnsi="宋体" w:cs="宋体"/>
                <w:color w:val="auto"/>
                <w:sz w:val="21"/>
                <w:szCs w:val="21"/>
                <w:highlight w:val="none"/>
              </w:rPr>
              <w:fldChar w:fldCharType="begin"/>
            </w:r>
            <w:r>
              <w:rPr>
                <w:rFonts w:hint="eastAsia" w:hAnsi="宋体" w:cs="宋体"/>
                <w:color w:val="auto"/>
                <w:sz w:val="21"/>
                <w:szCs w:val="21"/>
                <w:highlight w:val="none"/>
              </w:rPr>
              <w:instrText xml:space="preserve"> eq \o\ac(□,√)</w:instrText>
            </w:r>
            <w:r>
              <w:rPr>
                <w:rFonts w:hint="eastAsia" w:hAnsi="宋体" w:cs="宋体"/>
                <w:color w:val="auto"/>
                <w:sz w:val="21"/>
                <w:szCs w:val="21"/>
                <w:highlight w:val="none"/>
              </w:rPr>
              <w:fldChar w:fldCharType="end"/>
            </w:r>
            <w:r>
              <w:rPr>
                <w:rFonts w:hint="eastAsia" w:hAnsi="宋体"/>
                <w:color w:val="auto"/>
                <w:sz w:val="21"/>
                <w:szCs w:val="21"/>
                <w:highlight w:val="none"/>
                <w:u w:val="single"/>
              </w:rPr>
              <w:t>方式一：本项目不收投标保证金。所有关于保证金内容不适用本项目。</w:t>
            </w:r>
          </w:p>
          <w:p w14:paraId="2EF71F7D">
            <w:pPr>
              <w:widowControl/>
              <w:jc w:val="left"/>
              <w:rPr>
                <w:rFonts w:hint="eastAsia" w:ascii="宋体" w:hAnsi="宋体"/>
                <w:color w:val="auto"/>
                <w:kern w:val="0"/>
                <w:szCs w:val="21"/>
                <w:highlight w:val="none"/>
              </w:rPr>
            </w:pPr>
            <w:r>
              <w:rPr>
                <w:rFonts w:hint="eastAsia" w:ascii="宋体" w:hAnsi="宋体" w:cs="宋体"/>
                <w:color w:val="auto"/>
                <w:kern w:val="0"/>
                <w:szCs w:val="21"/>
                <w:highlight w:val="none"/>
                <w:lang w:val="zh-CN"/>
              </w:rPr>
              <w:t>□</w:t>
            </w:r>
            <w:r>
              <w:rPr>
                <w:rFonts w:hint="eastAsia" w:ascii="宋体" w:hAnsi="宋体"/>
                <w:color w:val="auto"/>
                <w:kern w:val="0"/>
                <w:szCs w:val="21"/>
                <w:highlight w:val="none"/>
              </w:rPr>
              <w:t>方式二：本项目收取投标保证金</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万元人民币，缴纳时间在</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之前。</w:t>
            </w:r>
          </w:p>
        </w:tc>
      </w:tr>
      <w:tr w14:paraId="03F982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109"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27148BEB">
            <w:pPr>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15406582">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25ED725B">
            <w:pPr>
              <w:rPr>
                <w:rFonts w:hint="eastAsia" w:ascii="宋体" w:hAnsi="宋体" w:cs="宋体"/>
                <w:color w:val="auto"/>
                <w:szCs w:val="21"/>
                <w:highlight w:val="none"/>
              </w:rPr>
            </w:pPr>
            <w:r>
              <w:rPr>
                <w:rFonts w:hint="eastAsia" w:ascii="宋体" w:hAnsi="宋体" w:cs="宋体"/>
                <w:color w:val="auto"/>
                <w:szCs w:val="21"/>
                <w:highlight w:val="none"/>
              </w:rPr>
              <w:t>踏勘现场</w:t>
            </w:r>
          </w:p>
        </w:tc>
        <w:tc>
          <w:tcPr>
            <w:tcW w:w="6563" w:type="dxa"/>
            <w:tcBorders>
              <w:top w:val="single" w:color="auto" w:sz="4" w:space="0"/>
              <w:left w:val="single" w:color="auto" w:sz="4" w:space="0"/>
              <w:bottom w:val="single" w:color="auto" w:sz="4" w:space="0"/>
              <w:right w:val="double" w:color="auto" w:sz="4" w:space="0"/>
            </w:tcBorders>
            <w:noWrap w:val="0"/>
            <w:vAlign w:val="center"/>
          </w:tcPr>
          <w:p w14:paraId="67305D4C">
            <w:pPr>
              <w:pStyle w:val="14"/>
              <w:rPr>
                <w:rFonts w:hint="eastAsia" w:ascii="宋体" w:hAnsi="宋体" w:cs="宋体"/>
                <w:color w:val="auto"/>
                <w:kern w:val="2"/>
                <w:sz w:val="21"/>
                <w:szCs w:val="21"/>
                <w:highlight w:val="none"/>
              </w:rPr>
            </w:pPr>
            <w:r>
              <w:rPr>
                <w:rFonts w:hint="eastAsia" w:ascii="宋体" w:hAnsi="宋体"/>
                <w:color w:val="auto"/>
                <w:kern w:val="2"/>
                <w:sz w:val="21"/>
                <w:szCs w:val="21"/>
                <w:highlight w:val="none"/>
                <w:u w:val="single"/>
              </w:rPr>
              <w:t>自行踏勘，</w:t>
            </w:r>
            <w:r>
              <w:rPr>
                <w:rFonts w:ascii="宋体" w:hAnsi="宋体"/>
                <w:color w:val="auto"/>
                <w:kern w:val="2"/>
                <w:sz w:val="21"/>
                <w:szCs w:val="21"/>
                <w:highlight w:val="none"/>
                <w:u w:val="single"/>
              </w:rPr>
              <w:t>投标人不进行踏勘的，视为已熟知现场条件，自行承担相关风险</w:t>
            </w:r>
            <w:r>
              <w:rPr>
                <w:rFonts w:hint="eastAsia" w:ascii="宋体" w:hAnsi="宋体"/>
                <w:color w:val="auto"/>
                <w:kern w:val="2"/>
                <w:sz w:val="21"/>
                <w:szCs w:val="21"/>
                <w:highlight w:val="none"/>
                <w:u w:val="single"/>
              </w:rPr>
              <w:t>。</w:t>
            </w:r>
          </w:p>
        </w:tc>
      </w:tr>
      <w:tr w14:paraId="372C0D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1607"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7B15EDDB">
            <w:pPr>
              <w:jc w:val="center"/>
              <w:rPr>
                <w:rFonts w:hint="eastAsia" w:ascii="宋体" w:hAnsi="宋体" w:cs="宋体"/>
                <w:color w:val="auto"/>
                <w:szCs w:val="21"/>
                <w:highlight w:val="none"/>
              </w:rPr>
            </w:pPr>
            <w:r>
              <w:rPr>
                <w:rFonts w:hint="eastAsia" w:ascii="宋体" w:hAnsi="宋体" w:cs="宋体"/>
                <w:color w:val="auto"/>
                <w:szCs w:val="21"/>
                <w:highlight w:val="none"/>
              </w:rPr>
              <w:t>16</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2743DBDB">
            <w:pPr>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3D43A1E8">
            <w:pPr>
              <w:rPr>
                <w:rFonts w:hint="eastAsia" w:ascii="宋体" w:hAnsi="宋体" w:cs="宋体"/>
                <w:color w:val="auto"/>
                <w:szCs w:val="21"/>
                <w:highlight w:val="none"/>
              </w:rPr>
            </w:pPr>
            <w:r>
              <w:rPr>
                <w:rFonts w:hint="eastAsia" w:ascii="宋体" w:hAnsi="宋体" w:cs="宋体"/>
                <w:color w:val="auto"/>
                <w:szCs w:val="21"/>
                <w:highlight w:val="none"/>
              </w:rPr>
              <w:t>投标答疑</w:t>
            </w:r>
          </w:p>
        </w:tc>
        <w:tc>
          <w:tcPr>
            <w:tcW w:w="6563" w:type="dxa"/>
            <w:tcBorders>
              <w:top w:val="single" w:color="auto" w:sz="4" w:space="0"/>
              <w:left w:val="single" w:color="auto" w:sz="4" w:space="0"/>
              <w:bottom w:val="single" w:color="auto" w:sz="4" w:space="0"/>
              <w:right w:val="double" w:color="auto" w:sz="4" w:space="0"/>
            </w:tcBorders>
            <w:noWrap w:val="0"/>
            <w:vAlign w:val="center"/>
          </w:tcPr>
          <w:p w14:paraId="7D734231">
            <w:pPr>
              <w:rPr>
                <w:rFonts w:hint="eastAsia" w:ascii="宋体" w:hAnsi="宋体"/>
                <w:color w:val="auto"/>
                <w:highlight w:val="none"/>
              </w:rPr>
            </w:pPr>
            <w:r>
              <w:rPr>
                <w:rFonts w:hint="eastAsia" w:ascii="宋体" w:hAnsi="宋体"/>
                <w:color w:val="auto"/>
                <w:highlight w:val="none"/>
              </w:rPr>
              <w:t>疑问提交时间： 2025 年  月   日17时00分前；</w:t>
            </w:r>
          </w:p>
          <w:p w14:paraId="4FA341CC">
            <w:pPr>
              <w:rPr>
                <w:rFonts w:hint="eastAsia" w:ascii="宋体" w:hAnsi="宋体"/>
                <w:color w:val="auto"/>
                <w:highlight w:val="none"/>
                <w:u w:val="single"/>
              </w:rPr>
            </w:pPr>
            <w:r>
              <w:rPr>
                <w:rFonts w:hint="eastAsia" w:ascii="宋体" w:hAnsi="宋体"/>
                <w:color w:val="auto"/>
                <w:highlight w:val="none"/>
              </w:rPr>
              <w:t>形式：</w:t>
            </w:r>
            <w:r>
              <w:rPr>
                <w:rFonts w:hint="eastAsia" w:ascii="宋体" w:hAnsi="宋体"/>
                <w:color w:val="auto"/>
                <w:highlight w:val="none"/>
                <w:u w:val="single"/>
              </w:rPr>
              <w:t>投标人的疑问通过广州交易集团有限公司（广州公共资源交易中心）交易平台提交。</w:t>
            </w:r>
          </w:p>
          <w:p w14:paraId="35B990C0">
            <w:pPr>
              <w:rPr>
                <w:rFonts w:hint="eastAsia" w:ascii="宋体" w:hAnsi="宋体"/>
                <w:color w:val="auto"/>
                <w:highlight w:val="none"/>
                <w:u w:val="single"/>
              </w:rPr>
            </w:pPr>
            <w:r>
              <w:rPr>
                <w:rFonts w:hint="eastAsia" w:ascii="宋体" w:hAnsi="宋体"/>
                <w:color w:val="auto"/>
                <w:highlight w:val="none"/>
                <w:u w:val="single"/>
              </w:rPr>
              <w:t>网上答疑的操作指南为：登陆广州交易集团有限公司（广州公共资源交易中心）网站→进入交易业务/建设工程 “网上答疑”专区→通过项目编号或名称找到所需的项目→在上述的答疑时间内点击“提问”→登录系统进入到提问区域→无记名或匿名提出问题以及查看所有的问题。</w:t>
            </w:r>
          </w:p>
          <w:p w14:paraId="66382423">
            <w:pPr>
              <w:pStyle w:val="13"/>
              <w:rPr>
                <w:rFonts w:hint="eastAsia" w:hAnsi="宋体"/>
                <w:color w:val="auto"/>
                <w:highlight w:val="none"/>
              </w:rPr>
            </w:pPr>
            <w:r>
              <w:rPr>
                <w:rFonts w:hint="eastAsia" w:hAnsi="宋体"/>
                <w:color w:val="auto"/>
                <w:kern w:val="2"/>
                <w:sz w:val="21"/>
                <w:szCs w:val="22"/>
                <w:highlight w:val="none"/>
              </w:rPr>
              <w:t>具体要求：</w:t>
            </w:r>
            <w:r>
              <w:rPr>
                <w:rFonts w:hint="eastAsia" w:hAnsi="宋体"/>
                <w:color w:val="auto"/>
                <w:kern w:val="2"/>
                <w:sz w:val="21"/>
                <w:szCs w:val="22"/>
                <w:highlight w:val="none"/>
                <w:u w:val="single"/>
              </w:rPr>
              <w:t>按照交易平台关于全流程电子化项目的相关指南进行操作，详见：广州交易集团有限公司（广州公共资源交易中心）网站。提问一律不得署名。</w:t>
            </w:r>
          </w:p>
        </w:tc>
      </w:tr>
      <w:tr w14:paraId="2CB534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00F0A259">
            <w:pPr>
              <w:jc w:val="center"/>
              <w:rPr>
                <w:rFonts w:hint="eastAsia" w:ascii="宋体" w:hAnsi="宋体" w:cs="宋体"/>
                <w:color w:val="auto"/>
                <w:szCs w:val="21"/>
                <w:highlight w:val="none"/>
              </w:rPr>
            </w:pPr>
            <w:r>
              <w:rPr>
                <w:rFonts w:hint="eastAsia" w:ascii="宋体" w:hAnsi="宋体" w:cs="宋体"/>
                <w:color w:val="auto"/>
                <w:szCs w:val="21"/>
                <w:highlight w:val="none"/>
              </w:rPr>
              <w:t>17</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0813E3C5">
            <w:pPr>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665329BA">
            <w:pPr>
              <w:rPr>
                <w:rFonts w:hint="eastAsia" w:ascii="宋体" w:hAnsi="宋体" w:cs="宋体"/>
                <w:color w:val="auto"/>
                <w:szCs w:val="21"/>
                <w:highlight w:val="none"/>
              </w:rPr>
            </w:pPr>
            <w:r>
              <w:rPr>
                <w:rFonts w:hint="eastAsia" w:ascii="宋体" w:hAnsi="宋体" w:cs="宋体"/>
                <w:color w:val="auto"/>
                <w:szCs w:val="21"/>
                <w:highlight w:val="none"/>
              </w:rPr>
              <w:t>投标截止时间</w:t>
            </w:r>
          </w:p>
        </w:tc>
        <w:tc>
          <w:tcPr>
            <w:tcW w:w="6563" w:type="dxa"/>
            <w:tcBorders>
              <w:top w:val="single" w:color="auto" w:sz="4" w:space="0"/>
              <w:left w:val="single" w:color="auto" w:sz="4" w:space="0"/>
              <w:bottom w:val="single" w:color="auto" w:sz="4" w:space="0"/>
              <w:right w:val="double" w:color="auto" w:sz="4" w:space="0"/>
            </w:tcBorders>
            <w:noWrap w:val="0"/>
            <w:vAlign w:val="center"/>
          </w:tcPr>
          <w:p w14:paraId="4031DA38">
            <w:pPr>
              <w:rPr>
                <w:rFonts w:hint="eastAsia" w:ascii="宋体" w:hAnsi="宋体" w:cs="宋体"/>
                <w:strike/>
                <w:color w:val="auto"/>
                <w:szCs w:val="21"/>
                <w:highlight w:val="none"/>
              </w:rPr>
            </w:pPr>
            <w:r>
              <w:rPr>
                <w:rFonts w:hint="eastAsia" w:ascii="宋体" w:hAnsi="宋体" w:cs="宋体"/>
                <w:color w:val="auto"/>
                <w:szCs w:val="21"/>
                <w:highlight w:val="none"/>
                <w:u w:val="single"/>
              </w:rPr>
              <w:t xml:space="preserve">2025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时（北京时间）。</w:t>
            </w:r>
          </w:p>
        </w:tc>
      </w:tr>
      <w:tr w14:paraId="04D1D6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7832212B">
            <w:pPr>
              <w:jc w:val="center"/>
              <w:rPr>
                <w:rFonts w:hint="eastAsia" w:ascii="宋体" w:hAnsi="宋体" w:cs="宋体"/>
                <w:color w:val="auto"/>
                <w:szCs w:val="21"/>
                <w:highlight w:val="none"/>
              </w:rPr>
            </w:pPr>
            <w:r>
              <w:rPr>
                <w:rFonts w:hint="eastAsia" w:ascii="宋体" w:hAnsi="宋体" w:cs="宋体"/>
                <w:color w:val="auto"/>
                <w:szCs w:val="21"/>
                <w:highlight w:val="none"/>
              </w:rPr>
              <w:t>18</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272A1990">
            <w:pPr>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7AC52F32">
            <w:pPr>
              <w:rPr>
                <w:rFonts w:hint="eastAsia" w:ascii="宋体" w:hAnsi="宋体" w:cs="宋体"/>
                <w:color w:val="auto"/>
                <w:szCs w:val="21"/>
                <w:highlight w:val="none"/>
              </w:rPr>
            </w:pPr>
            <w:r>
              <w:rPr>
                <w:rFonts w:hint="eastAsia" w:ascii="宋体" w:hAnsi="宋体" w:cs="宋体"/>
                <w:color w:val="auto"/>
                <w:szCs w:val="21"/>
                <w:highlight w:val="none"/>
              </w:rPr>
              <w:t>开标开始时间和地点</w:t>
            </w:r>
          </w:p>
        </w:tc>
        <w:tc>
          <w:tcPr>
            <w:tcW w:w="6563" w:type="dxa"/>
            <w:tcBorders>
              <w:top w:val="single" w:color="auto" w:sz="4" w:space="0"/>
              <w:left w:val="single" w:color="auto" w:sz="4" w:space="0"/>
              <w:bottom w:val="single" w:color="auto" w:sz="4" w:space="0"/>
              <w:right w:val="double" w:color="auto" w:sz="4" w:space="0"/>
            </w:tcBorders>
            <w:noWrap w:val="0"/>
            <w:vAlign w:val="center"/>
          </w:tcPr>
          <w:p w14:paraId="1442646F">
            <w:pPr>
              <w:rPr>
                <w:rFonts w:hint="eastAsia" w:ascii="宋体" w:cs="宋体"/>
                <w:color w:val="auto"/>
                <w:szCs w:val="21"/>
                <w:highlight w:val="none"/>
              </w:rPr>
            </w:pPr>
            <w:r>
              <w:rPr>
                <w:rFonts w:hint="eastAsia" w:ascii="宋体" w:cs="宋体"/>
                <w:color w:val="auto"/>
                <w:szCs w:val="21"/>
                <w:highlight w:val="none"/>
              </w:rPr>
              <w:t>（技术标和经济标同时开标）</w:t>
            </w:r>
          </w:p>
          <w:p w14:paraId="2CDF4AFD">
            <w:pPr>
              <w:rPr>
                <w:rFonts w:hint="eastAsia" w:ascii="宋体" w:cs="宋体"/>
                <w:color w:val="auto"/>
                <w:szCs w:val="21"/>
                <w:highlight w:val="none"/>
                <w:u w:val="single"/>
              </w:rPr>
            </w:pPr>
            <w:r>
              <w:rPr>
                <w:rFonts w:hint="eastAsia" w:ascii="宋体" w:cs="宋体"/>
                <w:color w:val="auto"/>
                <w:szCs w:val="21"/>
                <w:highlight w:val="none"/>
              </w:rPr>
              <w:t>1．开标开始时间：</w:t>
            </w:r>
            <w:r>
              <w:rPr>
                <w:rFonts w:hint="eastAsia" w:ascii="宋体" w:cs="宋体"/>
                <w:color w:val="auto"/>
                <w:szCs w:val="21"/>
                <w:highlight w:val="none"/>
                <w:u w:val="single"/>
              </w:rPr>
              <w:t>2025</w:t>
            </w:r>
            <w:r>
              <w:rPr>
                <w:rFonts w:hint="eastAsia" w:ascii="宋体" w:cs="宋体"/>
                <w:color w:val="auto"/>
                <w:szCs w:val="21"/>
                <w:highlight w:val="none"/>
              </w:rPr>
              <w:t>年  月   日   时  分（与投标截止时间为同一时间），地点：</w:t>
            </w:r>
            <w:r>
              <w:rPr>
                <w:rFonts w:hint="eastAsia" w:ascii="宋体" w:cs="宋体"/>
                <w:color w:val="auto"/>
                <w:szCs w:val="21"/>
                <w:highlight w:val="none"/>
                <w:u w:val="single"/>
              </w:rPr>
              <w:t>广州交易集团有限公司（广州公共资源交易中心）第  开标室。</w:t>
            </w:r>
            <w:r>
              <w:rPr>
                <w:rFonts w:hint="eastAsia" w:ascii="宋体" w:cs="宋体"/>
                <w:bCs/>
                <w:color w:val="auto"/>
                <w:szCs w:val="21"/>
                <w:highlight w:val="none"/>
                <w:u w:val="single"/>
              </w:rPr>
              <w:t>投标人也可选择参加在线开标，具体按照交易平台相关指南进行操作。详见：广州交易集团有限公司（广州公共资源交易中心）网站发布的最新版操作指引。</w:t>
            </w:r>
          </w:p>
          <w:p w14:paraId="4C957F57">
            <w:pPr>
              <w:rPr>
                <w:rFonts w:hint="eastAsia" w:ascii="宋体" w:cs="宋体"/>
                <w:color w:val="auto"/>
                <w:szCs w:val="21"/>
                <w:highlight w:val="none"/>
              </w:rPr>
            </w:pPr>
            <w:r>
              <w:rPr>
                <w:rFonts w:hint="eastAsia" w:ascii="宋体" w:cs="宋体"/>
                <w:color w:val="auto"/>
                <w:szCs w:val="21"/>
                <w:highlight w:val="none"/>
              </w:rPr>
              <w:t>注：投标文件解密问题。投标人只用执行一次解密，招标人执行解密次数根据招标文件开标次数确定。</w:t>
            </w:r>
          </w:p>
          <w:p w14:paraId="7C58E219">
            <w:pPr>
              <w:rPr>
                <w:rFonts w:hint="eastAsia" w:ascii="宋体" w:cs="宋体"/>
                <w:color w:val="auto"/>
                <w:highlight w:val="none"/>
              </w:rPr>
            </w:pPr>
            <w:r>
              <w:rPr>
                <w:rFonts w:hint="eastAsia" w:ascii="宋体" w:cs="宋体"/>
                <w:color w:val="auto"/>
                <w:szCs w:val="21"/>
                <w:highlight w:val="none"/>
              </w:rPr>
              <w:t>2．递交投标文件备用光盘时间：</w:t>
            </w:r>
            <w:r>
              <w:rPr>
                <w:rFonts w:hint="eastAsia" w:ascii="宋体" w:cs="宋体"/>
                <w:color w:val="auto"/>
                <w:szCs w:val="21"/>
                <w:highlight w:val="none"/>
                <w:u w:val="single"/>
              </w:rPr>
              <w:t>2025</w:t>
            </w:r>
            <w:r>
              <w:rPr>
                <w:rFonts w:hint="eastAsia" w:ascii="宋体" w:cs="宋体"/>
                <w:color w:val="auto"/>
                <w:szCs w:val="21"/>
                <w:highlight w:val="none"/>
              </w:rPr>
              <w:t>年  月  日  时  分至</w:t>
            </w:r>
            <w:r>
              <w:rPr>
                <w:rFonts w:hint="eastAsia" w:ascii="宋体" w:cs="宋体"/>
                <w:color w:val="auto"/>
                <w:szCs w:val="21"/>
                <w:highlight w:val="none"/>
                <w:u w:val="single"/>
              </w:rPr>
              <w:t>2025</w:t>
            </w:r>
            <w:r>
              <w:rPr>
                <w:rFonts w:hint="eastAsia" w:ascii="宋体" w:cs="宋体"/>
                <w:color w:val="auto"/>
                <w:szCs w:val="21"/>
                <w:highlight w:val="none"/>
              </w:rPr>
              <w:t>年  月  日 时  分；递交地点：</w:t>
            </w:r>
            <w:r>
              <w:rPr>
                <w:rFonts w:hint="eastAsia" w:ascii="宋体" w:cs="宋体"/>
                <w:color w:val="auto"/>
                <w:szCs w:val="21"/>
                <w:highlight w:val="none"/>
                <w:u w:val="single"/>
              </w:rPr>
              <w:t>广州交易集团有限公司（广州公共资源交易中心）第  开标室</w:t>
            </w:r>
            <w:r>
              <w:rPr>
                <w:rFonts w:hint="eastAsia" w:ascii="宋体" w:cs="宋体"/>
                <w:color w:val="auto"/>
                <w:highlight w:val="none"/>
              </w:rPr>
              <w:t>。(建议安排在投标文件截止时间前15分钟至投标文件截止时间）</w:t>
            </w:r>
          </w:p>
          <w:p w14:paraId="226BD3AE">
            <w:pPr>
              <w:rPr>
                <w:rFonts w:hint="eastAsia"/>
                <w:color w:val="auto"/>
                <w:highlight w:val="none"/>
                <w:u w:val="single"/>
              </w:rPr>
            </w:pPr>
            <w:r>
              <w:rPr>
                <w:rFonts w:hint="eastAsia"/>
                <w:color w:val="auto"/>
                <w:highlight w:val="none"/>
                <w:u w:val="single"/>
              </w:rPr>
              <w:t>3.投标人应在投标文件（含评标部分文件和定标部分文件）递交截止时间前通过广州交易集团有限公司（广州公共资源交易中心）电子招标投标交易平台递交电子投标文件（含评标部分文件和定标部分文件）。</w:t>
            </w:r>
          </w:p>
          <w:p w14:paraId="6B7EF57C">
            <w:pPr>
              <w:rPr>
                <w:rFonts w:hint="eastAsia" w:ascii="宋体" w:hAnsi="宋体" w:cs="宋体"/>
                <w:color w:val="auto"/>
                <w:szCs w:val="21"/>
                <w:highlight w:val="none"/>
              </w:rPr>
            </w:pPr>
            <w:r>
              <w:rPr>
                <w:rFonts w:hint="eastAsia" w:ascii="宋体" w:cs="宋体"/>
                <w:color w:val="auto"/>
                <w:highlight w:val="none"/>
              </w:rPr>
              <w:t>上述时间及地点是否有改变，请密切留意补充公告和招标答疑纪要的相关信息。</w:t>
            </w:r>
          </w:p>
        </w:tc>
      </w:tr>
      <w:tr w14:paraId="045B2A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48CA948D">
            <w:pPr>
              <w:jc w:val="center"/>
              <w:rPr>
                <w:rFonts w:hint="eastAsia" w:ascii="宋体" w:hAnsi="宋体" w:cs="宋体"/>
                <w:color w:val="auto"/>
                <w:szCs w:val="21"/>
                <w:highlight w:val="none"/>
              </w:rPr>
            </w:pPr>
            <w:r>
              <w:rPr>
                <w:rFonts w:hint="eastAsia" w:ascii="宋体" w:hAnsi="宋体" w:cs="宋体"/>
                <w:color w:val="auto"/>
                <w:szCs w:val="21"/>
                <w:highlight w:val="none"/>
              </w:rPr>
              <w:t>19</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4B3A6993">
            <w:pPr>
              <w:jc w:val="center"/>
              <w:rPr>
                <w:rFonts w:hint="eastAsia" w:ascii="宋体" w:hAnsi="宋体" w:cs="宋体"/>
                <w:color w:val="auto"/>
                <w:szCs w:val="21"/>
                <w:highlight w:val="none"/>
              </w:rPr>
            </w:pPr>
            <w:r>
              <w:rPr>
                <w:rFonts w:hint="eastAsia" w:ascii="宋体" w:hAnsi="宋体" w:cs="宋体"/>
                <w:color w:val="auto"/>
                <w:szCs w:val="21"/>
                <w:highlight w:val="none"/>
              </w:rPr>
              <w:t>26</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772F9A10">
            <w:pPr>
              <w:rPr>
                <w:rFonts w:hint="eastAsia" w:ascii="宋体" w:hAnsi="宋体" w:cs="宋体"/>
                <w:color w:val="auto"/>
                <w:szCs w:val="21"/>
                <w:highlight w:val="none"/>
              </w:rPr>
            </w:pPr>
            <w:r>
              <w:rPr>
                <w:rFonts w:hint="eastAsia" w:ascii="宋体" w:hAnsi="宋体" w:cs="宋体"/>
                <w:color w:val="auto"/>
                <w:szCs w:val="21"/>
                <w:highlight w:val="none"/>
              </w:rPr>
              <w:t>开标评标、定标办法</w:t>
            </w:r>
          </w:p>
        </w:tc>
        <w:tc>
          <w:tcPr>
            <w:tcW w:w="6563" w:type="dxa"/>
            <w:tcBorders>
              <w:top w:val="single" w:color="auto" w:sz="4" w:space="0"/>
              <w:left w:val="single" w:color="auto" w:sz="4" w:space="0"/>
              <w:bottom w:val="single" w:color="auto" w:sz="4" w:space="0"/>
              <w:right w:val="double" w:color="auto" w:sz="4" w:space="0"/>
            </w:tcBorders>
            <w:noWrap w:val="0"/>
            <w:vAlign w:val="center"/>
          </w:tcPr>
          <w:p w14:paraId="338FFCC0">
            <w:pPr>
              <w:pStyle w:val="4"/>
              <w:spacing w:after="0"/>
              <w:ind w:firstLine="412" w:firstLineChars="200"/>
              <w:rPr>
                <w:rFonts w:hint="eastAsia" w:ascii="宋体" w:hAnsi="宋体" w:cs="宋体"/>
                <w:color w:val="auto"/>
                <w:spacing w:val="-2"/>
                <w:kern w:val="2"/>
                <w:sz w:val="21"/>
                <w:szCs w:val="21"/>
                <w:highlight w:val="none"/>
                <w:u w:val="single"/>
              </w:rPr>
            </w:pPr>
            <w:r>
              <w:rPr>
                <w:rFonts w:hint="eastAsia" w:ascii="宋体" w:hAnsi="宋体" w:cs="宋体"/>
                <w:color w:val="auto"/>
                <w:spacing w:val="-2"/>
                <w:kern w:val="2"/>
                <w:sz w:val="21"/>
                <w:szCs w:val="21"/>
                <w:highlight w:val="none"/>
                <w:u w:val="single"/>
              </w:rPr>
              <w:t>评标办法：通过制评审法（技术标与经济标同时开启）</w:t>
            </w:r>
          </w:p>
          <w:p w14:paraId="50201A30">
            <w:pPr>
              <w:pStyle w:val="4"/>
              <w:spacing w:after="0"/>
              <w:ind w:firstLine="0"/>
              <w:rPr>
                <w:rFonts w:hint="eastAsia" w:ascii="宋体" w:hAnsi="宋体" w:cs="宋体"/>
                <w:color w:val="auto"/>
                <w:spacing w:val="-2"/>
                <w:kern w:val="2"/>
                <w:sz w:val="21"/>
                <w:szCs w:val="21"/>
                <w:highlight w:val="none"/>
                <w:u w:val="single"/>
              </w:rPr>
            </w:pPr>
            <w:r>
              <w:rPr>
                <w:rFonts w:hint="eastAsia" w:ascii="宋体" w:hAnsi="宋体" w:cs="宋体"/>
                <w:color w:val="auto"/>
                <w:spacing w:val="-2"/>
                <w:kern w:val="2"/>
                <w:sz w:val="21"/>
                <w:szCs w:val="21"/>
                <w:highlight w:val="none"/>
                <w:u w:val="single"/>
              </w:rPr>
              <w:t>评标委员会对投标文件进行资格审查，再对通过资格审查的投标文件经济标和技术标进行有效性审查，评出合格的投标人。若通过有效性审查的合格投标人大于等于3家的，则全部通过有效性审查的为合格中标候选人，且进入定标阶段。</w:t>
            </w:r>
          </w:p>
          <w:p w14:paraId="7C56A30E">
            <w:pPr>
              <w:pStyle w:val="4"/>
              <w:spacing w:after="0"/>
              <w:ind w:firstLine="412" w:firstLineChars="200"/>
              <w:rPr>
                <w:rFonts w:hint="eastAsia" w:ascii="宋体" w:hAnsi="宋体" w:cs="宋体"/>
                <w:color w:val="auto"/>
                <w:spacing w:val="-2"/>
                <w:kern w:val="2"/>
                <w:sz w:val="21"/>
                <w:szCs w:val="21"/>
                <w:highlight w:val="none"/>
                <w:u w:val="single"/>
              </w:rPr>
            </w:pPr>
            <w:r>
              <w:rPr>
                <w:rFonts w:hint="eastAsia" w:ascii="宋体" w:hAnsi="宋体" w:cs="宋体"/>
                <w:color w:val="auto"/>
                <w:spacing w:val="-2"/>
                <w:kern w:val="2"/>
                <w:sz w:val="21"/>
                <w:szCs w:val="21"/>
                <w:highlight w:val="none"/>
                <w:u w:val="single"/>
              </w:rPr>
              <w:t>定标办法：价格因素+方案因素+资信因素</w:t>
            </w:r>
          </w:p>
          <w:p w14:paraId="0CD22973">
            <w:pPr>
              <w:pStyle w:val="4"/>
              <w:spacing w:after="0"/>
              <w:ind w:firstLine="412" w:firstLineChars="200"/>
              <w:rPr>
                <w:rFonts w:hint="eastAsia" w:ascii="宋体" w:hAnsi="宋体" w:cs="宋体"/>
                <w:color w:val="auto"/>
                <w:spacing w:val="-2"/>
                <w:kern w:val="2"/>
                <w:sz w:val="21"/>
                <w:szCs w:val="21"/>
                <w:highlight w:val="none"/>
                <w:u w:val="single"/>
              </w:rPr>
            </w:pPr>
            <w:r>
              <w:rPr>
                <w:rFonts w:hint="eastAsia" w:ascii="宋体" w:hAnsi="宋体" w:cs="宋体"/>
                <w:color w:val="auto"/>
                <w:spacing w:val="-2"/>
                <w:kern w:val="2"/>
                <w:sz w:val="21"/>
                <w:szCs w:val="21"/>
                <w:highlight w:val="none"/>
                <w:u w:val="single"/>
              </w:rPr>
              <w:t>具体要求详见第二章评标及定标办法。</w:t>
            </w:r>
          </w:p>
        </w:tc>
      </w:tr>
      <w:tr w14:paraId="1DBE95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4B7BA831">
            <w:pPr>
              <w:jc w:val="center"/>
              <w:rPr>
                <w:rFonts w:hint="eastAsia" w:ascii="宋体" w:hAnsi="宋体" w:cs="宋体"/>
                <w:color w:val="auto"/>
                <w:szCs w:val="21"/>
                <w:highlight w:val="none"/>
              </w:rPr>
            </w:pPr>
            <w:r>
              <w:rPr>
                <w:rFonts w:hint="eastAsia" w:ascii="宋体" w:hAnsi="宋体" w:cs="宋体"/>
                <w:color w:val="auto"/>
                <w:szCs w:val="21"/>
                <w:highlight w:val="none"/>
              </w:rPr>
              <w:t>20</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68654A5F">
            <w:pPr>
              <w:spacing w:line="380" w:lineRule="exact"/>
              <w:rPr>
                <w:rFonts w:hint="eastAsia" w:ascii="宋体" w:hAnsi="宋体" w:cs="宋体"/>
                <w:color w:val="auto"/>
                <w:szCs w:val="21"/>
                <w:highlight w:val="none"/>
              </w:rPr>
            </w:pPr>
            <w:r>
              <w:rPr>
                <w:rFonts w:hint="eastAsia" w:ascii="宋体" w:hAnsi="宋体" w:eastAsia="宋体" w:cs="宋体"/>
                <w:color w:val="auto"/>
                <w:szCs w:val="21"/>
                <w:highlight w:val="none"/>
              </w:rPr>
              <w:t>29.1</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7B2F1BAC">
            <w:pPr>
              <w:spacing w:line="380" w:lineRule="exact"/>
              <w:rPr>
                <w:rFonts w:hint="eastAsia" w:ascii="宋体" w:hAnsi="宋体" w:cs="宋体"/>
                <w:color w:val="auto"/>
                <w:szCs w:val="21"/>
                <w:highlight w:val="none"/>
              </w:rPr>
            </w:pPr>
            <w:r>
              <w:rPr>
                <w:rFonts w:hint="eastAsia" w:ascii="宋体" w:hAnsi="宋体" w:eastAsia="宋体" w:cs="宋体"/>
                <w:color w:val="auto"/>
                <w:szCs w:val="21"/>
                <w:highlight w:val="none"/>
              </w:rPr>
              <w:t>履约担保</w:t>
            </w:r>
          </w:p>
        </w:tc>
        <w:tc>
          <w:tcPr>
            <w:tcW w:w="6563" w:type="dxa"/>
            <w:tcBorders>
              <w:top w:val="single" w:color="auto" w:sz="4" w:space="0"/>
              <w:left w:val="single" w:color="auto" w:sz="4" w:space="0"/>
              <w:bottom w:val="single" w:color="auto" w:sz="4" w:space="0"/>
              <w:right w:val="double" w:color="auto" w:sz="4" w:space="0"/>
            </w:tcBorders>
            <w:noWrap w:val="0"/>
            <w:vAlign w:val="center"/>
          </w:tcPr>
          <w:p w14:paraId="648D9170">
            <w:pPr>
              <w:spacing w:line="380" w:lineRule="exact"/>
              <w:rPr>
                <w:rFonts w:hint="eastAsia" w:ascii="宋体" w:hAnsi="宋体" w:cs="宋体"/>
                <w:color w:val="auto"/>
                <w:highlight w:val="none"/>
              </w:rPr>
            </w:pPr>
            <w:r>
              <w:rPr>
                <w:rFonts w:hint="eastAsia" w:ascii="宋体" w:hAnsi="宋体"/>
                <w:color w:val="auto"/>
                <w:highlight w:val="none"/>
                <w:u w:val="single"/>
              </w:rPr>
              <w:t>本项目不需要递交履约担保。</w:t>
            </w:r>
          </w:p>
        </w:tc>
      </w:tr>
      <w:tr w14:paraId="3E6C79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54859F76">
            <w:pPr>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54A5F326">
            <w:pPr>
              <w:jc w:val="center"/>
              <w:rPr>
                <w:rFonts w:hint="eastAsia" w:ascii="宋体" w:hAnsi="宋体" w:cs="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14:paraId="532D72A3">
            <w:pPr>
              <w:rPr>
                <w:rFonts w:hint="eastAsia" w:ascii="宋体" w:hAnsi="宋体" w:cs="宋体"/>
                <w:color w:val="auto"/>
                <w:szCs w:val="21"/>
                <w:highlight w:val="none"/>
              </w:rPr>
            </w:pPr>
            <w:r>
              <w:rPr>
                <w:rFonts w:hint="eastAsia" w:ascii="宋体" w:hAnsi="宋体" w:cs="宋体"/>
                <w:color w:val="auto"/>
                <w:szCs w:val="21"/>
                <w:highlight w:val="none"/>
              </w:rPr>
              <w:t>最高投标限价</w:t>
            </w:r>
          </w:p>
        </w:tc>
        <w:tc>
          <w:tcPr>
            <w:tcW w:w="6563" w:type="dxa"/>
            <w:tcBorders>
              <w:top w:val="single" w:color="auto" w:sz="4" w:space="0"/>
              <w:left w:val="single" w:color="auto" w:sz="4" w:space="0"/>
              <w:bottom w:val="single" w:color="auto" w:sz="4" w:space="0"/>
              <w:right w:val="double" w:color="auto" w:sz="4" w:space="0"/>
            </w:tcBorders>
            <w:noWrap w:val="0"/>
            <w:vAlign w:val="center"/>
          </w:tcPr>
          <w:p w14:paraId="4797DAC5">
            <w:pPr>
              <w:pStyle w:val="27"/>
              <w:spacing w:line="440" w:lineRule="exact"/>
              <w:rPr>
                <w:rFonts w:ascii="宋体" w:hAnsi="宋体"/>
                <w:color w:val="auto"/>
                <w:kern w:val="2"/>
                <w:sz w:val="21"/>
                <w:szCs w:val="22"/>
                <w:highlight w:val="none"/>
                <w:u w:val="single"/>
                <w:lang w:eastAsia="zh-CN"/>
              </w:rPr>
            </w:pPr>
            <w:r>
              <w:rPr>
                <w:rFonts w:hint="eastAsia" w:ascii="宋体" w:hAnsi="宋体" w:cs="宋体"/>
                <w:color w:val="auto"/>
                <w:sz w:val="21"/>
                <w:szCs w:val="21"/>
                <w:highlight w:val="none"/>
                <w:u w:val="single"/>
                <w:lang w:val="en-US" w:eastAsia="zh-CN"/>
              </w:rPr>
              <w:t xml:space="preserve"> 19920411.45 </w:t>
            </w:r>
            <w:r>
              <w:rPr>
                <w:rFonts w:hint="eastAsia" w:ascii="宋体" w:hAnsi="宋体" w:cs="宋体"/>
                <w:color w:val="auto"/>
                <w:sz w:val="21"/>
                <w:szCs w:val="21"/>
                <w:highlight w:val="none"/>
                <w:u w:val="single"/>
              </w:rPr>
              <w:t>元。</w:t>
            </w:r>
          </w:p>
        </w:tc>
      </w:tr>
      <w:tr w14:paraId="12EC05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2ED4E601">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27ABFF30">
            <w:pPr>
              <w:jc w:val="center"/>
              <w:rPr>
                <w:rFonts w:hint="eastAsia" w:ascii="宋体" w:hAnsi="宋体" w:cs="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14:paraId="4B22B5F5">
            <w:pPr>
              <w:rPr>
                <w:rFonts w:hint="eastAsia" w:ascii="宋体" w:hAnsi="宋体" w:cs="宋体"/>
                <w:color w:val="auto"/>
                <w:szCs w:val="21"/>
                <w:highlight w:val="none"/>
              </w:rPr>
            </w:pPr>
            <w:r>
              <w:rPr>
                <w:rFonts w:hint="eastAsia" w:ascii="宋体" w:hAnsi="宋体" w:cs="宋体"/>
                <w:color w:val="auto"/>
                <w:szCs w:val="21"/>
                <w:highlight w:val="none"/>
              </w:rPr>
              <w:t>非竞争费用</w:t>
            </w:r>
          </w:p>
        </w:tc>
        <w:tc>
          <w:tcPr>
            <w:tcW w:w="6563" w:type="dxa"/>
            <w:tcBorders>
              <w:top w:val="single" w:color="auto" w:sz="4" w:space="0"/>
              <w:left w:val="single" w:color="auto" w:sz="4" w:space="0"/>
              <w:bottom w:val="single" w:color="auto" w:sz="4" w:space="0"/>
              <w:right w:val="double" w:color="auto" w:sz="4" w:space="0"/>
            </w:tcBorders>
            <w:noWrap w:val="0"/>
            <w:vAlign w:val="center"/>
          </w:tcPr>
          <w:p w14:paraId="49B49488">
            <w:pPr>
              <w:rPr>
                <w:rFonts w:hint="eastAsia" w:ascii="宋体" w:hAnsi="宋体" w:cs="宋体"/>
                <w:color w:val="auto"/>
                <w:szCs w:val="21"/>
                <w:highlight w:val="none"/>
              </w:rPr>
            </w:pPr>
            <w:r>
              <w:rPr>
                <w:rFonts w:hint="eastAsia" w:ascii="宋体" w:hAnsi="宋体"/>
                <w:color w:val="auto"/>
                <w:sz w:val="21"/>
                <w:szCs w:val="21"/>
                <w:highlight w:val="none"/>
              </w:rPr>
              <w:t>本项目绿色施工安全防护措施费为</w:t>
            </w:r>
            <w:r>
              <w:rPr>
                <w:rFonts w:hint="eastAsia" w:ascii="宋体" w:hAnsi="宋体"/>
                <w:color w:val="auto"/>
                <w:sz w:val="21"/>
                <w:szCs w:val="21"/>
                <w:highlight w:val="none"/>
                <w:u w:val="single"/>
                <w:lang w:val="en-US" w:eastAsia="zh-CN"/>
              </w:rPr>
              <w:t>870639.93</w:t>
            </w:r>
            <w:r>
              <w:rPr>
                <w:rFonts w:hint="eastAsia" w:ascii="宋体" w:hAnsi="宋体"/>
                <w:color w:val="auto"/>
                <w:sz w:val="21"/>
                <w:szCs w:val="21"/>
                <w:highlight w:val="none"/>
              </w:rPr>
              <w:t>元，暂列金额为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435910.48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元，暂估价为 </w:t>
            </w:r>
            <w:r>
              <w:rPr>
                <w:rFonts w:hint="eastAsia" w:ascii="宋体" w:hAnsi="宋体"/>
                <w:color w:val="auto"/>
                <w:sz w:val="21"/>
                <w:szCs w:val="21"/>
                <w:highlight w:val="none"/>
                <w:u w:val="single"/>
                <w:lang w:val="en-US" w:eastAsia="zh-CN"/>
              </w:rPr>
              <w:t>1517339.45</w:t>
            </w:r>
            <w:r>
              <w:rPr>
                <w:rFonts w:hint="eastAsia" w:ascii="宋体" w:hAnsi="宋体"/>
                <w:color w:val="auto"/>
                <w:sz w:val="21"/>
                <w:szCs w:val="21"/>
                <w:highlight w:val="none"/>
              </w:rPr>
              <w:t>元。（未按招标文件规定的金额填写的，由评标委员会按照招标文件规定的金额进行修正）</w:t>
            </w:r>
          </w:p>
        </w:tc>
      </w:tr>
      <w:tr w14:paraId="0AC434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3FE981A8">
            <w:pPr>
              <w:jc w:val="center"/>
              <w:rPr>
                <w:rFonts w:hint="eastAsia" w:ascii="宋体" w:hAnsi="宋体" w:cs="宋体"/>
                <w:color w:val="auto"/>
                <w:szCs w:val="21"/>
                <w:highlight w:val="none"/>
              </w:rPr>
            </w:pPr>
            <w:r>
              <w:rPr>
                <w:rFonts w:hint="eastAsia" w:ascii="宋体" w:hAnsi="宋体" w:cs="宋体"/>
                <w:color w:val="auto"/>
                <w:szCs w:val="21"/>
                <w:highlight w:val="none"/>
              </w:rPr>
              <w:t>23</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5A5397B7">
            <w:pPr>
              <w:jc w:val="center"/>
              <w:rPr>
                <w:rFonts w:hint="eastAsia" w:ascii="宋体" w:hAnsi="宋体" w:cs="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14:paraId="4097F6C5">
            <w:pPr>
              <w:pStyle w:val="4"/>
              <w:spacing w:after="0"/>
              <w:ind w:firstLine="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保修期</w:t>
            </w:r>
          </w:p>
        </w:tc>
        <w:tc>
          <w:tcPr>
            <w:tcW w:w="6563" w:type="dxa"/>
            <w:tcBorders>
              <w:top w:val="single" w:color="auto" w:sz="4" w:space="0"/>
              <w:left w:val="single" w:color="auto" w:sz="4" w:space="0"/>
              <w:bottom w:val="single" w:color="auto" w:sz="4" w:space="0"/>
              <w:right w:val="double" w:color="auto" w:sz="4" w:space="0"/>
            </w:tcBorders>
            <w:noWrap w:val="0"/>
            <w:vAlign w:val="center"/>
          </w:tcPr>
          <w:p w14:paraId="33D44F45">
            <w:pPr>
              <w:rPr>
                <w:rFonts w:hint="eastAsia" w:ascii="宋体" w:hAnsi="宋体" w:cs="宋体"/>
                <w:color w:val="auto"/>
                <w:szCs w:val="21"/>
                <w:highlight w:val="none"/>
              </w:rPr>
            </w:pPr>
            <w:r>
              <w:rPr>
                <w:rFonts w:hint="eastAsia" w:ascii="宋体" w:hAnsi="宋体" w:cs="宋体"/>
                <w:color w:val="auto"/>
                <w:szCs w:val="21"/>
                <w:highlight w:val="none"/>
              </w:rPr>
              <w:t>按照《建设工程质量管理条例》</w:t>
            </w:r>
            <w:r>
              <w:rPr>
                <w:rFonts w:hint="eastAsia" w:ascii="宋体" w:hAnsi="宋体" w:cs="宋体"/>
                <w:color w:val="auto"/>
                <w:szCs w:val="21"/>
                <w:highlight w:val="none"/>
                <w:lang w:eastAsia="zh-CN"/>
              </w:rPr>
              <w:t>、</w:t>
            </w:r>
            <w:r>
              <w:rPr>
                <w:rFonts w:hint="eastAsia" w:ascii="宋体" w:hAnsi="宋体" w:cs="宋体"/>
                <w:color w:val="auto"/>
                <w:szCs w:val="21"/>
                <w:highlight w:val="none"/>
              </w:rPr>
              <w:t>《房屋建筑工程质量保修办法》</w:t>
            </w:r>
            <w:r>
              <w:rPr>
                <w:rFonts w:hint="eastAsia" w:ascii="宋体" w:hAnsi="宋体" w:cs="宋体"/>
                <w:color w:val="auto"/>
                <w:szCs w:val="21"/>
                <w:highlight w:val="none"/>
                <w:lang w:val="en-US" w:eastAsia="zh-CN"/>
              </w:rPr>
              <w:t>等有关</w:t>
            </w:r>
            <w:r>
              <w:rPr>
                <w:rFonts w:hint="eastAsia" w:ascii="宋体" w:hAnsi="宋体" w:cs="宋体"/>
                <w:color w:val="auto"/>
                <w:szCs w:val="21"/>
                <w:highlight w:val="none"/>
              </w:rPr>
              <w:t>规定。</w:t>
            </w:r>
          </w:p>
        </w:tc>
      </w:tr>
      <w:tr w14:paraId="649CE9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453"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563ECD1B">
            <w:pPr>
              <w:jc w:val="center"/>
              <w:rPr>
                <w:rFonts w:hint="eastAsia" w:ascii="宋体" w:hAnsi="宋体" w:cs="宋体"/>
                <w:color w:val="auto"/>
                <w:szCs w:val="21"/>
                <w:highlight w:val="none"/>
              </w:rPr>
            </w:pPr>
            <w:r>
              <w:rPr>
                <w:rFonts w:hint="eastAsia" w:ascii="宋体" w:hAnsi="宋体" w:cs="宋体"/>
                <w:color w:val="auto"/>
                <w:szCs w:val="21"/>
                <w:highlight w:val="none"/>
              </w:rPr>
              <w:t>24</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79A4E369">
            <w:pPr>
              <w:jc w:val="center"/>
              <w:rPr>
                <w:rFonts w:hint="eastAsia" w:ascii="宋体" w:hAnsi="宋体" w:cs="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14:paraId="260B7B70">
            <w:pPr>
              <w:rPr>
                <w:rFonts w:hint="eastAsia" w:ascii="宋体" w:hAnsi="宋体" w:cs="宋体"/>
                <w:color w:val="auto"/>
                <w:szCs w:val="21"/>
                <w:highlight w:val="none"/>
              </w:rPr>
            </w:pPr>
            <w:r>
              <w:rPr>
                <w:rFonts w:hint="eastAsia" w:ascii="宋体" w:hAnsi="宋体" w:cs="宋体"/>
                <w:color w:val="auto"/>
                <w:szCs w:val="21"/>
                <w:highlight w:val="none"/>
              </w:rPr>
              <w:t>计算评标参考价的等分点值</w:t>
            </w:r>
          </w:p>
        </w:tc>
        <w:tc>
          <w:tcPr>
            <w:tcW w:w="6563" w:type="dxa"/>
            <w:tcBorders>
              <w:top w:val="single" w:color="auto" w:sz="4" w:space="0"/>
              <w:left w:val="single" w:color="auto" w:sz="4" w:space="0"/>
              <w:bottom w:val="single" w:color="auto" w:sz="4" w:space="0"/>
              <w:right w:val="double" w:color="auto" w:sz="4" w:space="0"/>
            </w:tcBorders>
            <w:noWrap w:val="0"/>
            <w:vAlign w:val="center"/>
          </w:tcPr>
          <w:p w14:paraId="69BC9F31">
            <w:pPr>
              <w:rPr>
                <w:rFonts w:hint="eastAsia" w:ascii="宋体" w:hAnsi="宋体" w:cs="宋体"/>
                <w:color w:val="auto"/>
                <w:szCs w:val="21"/>
                <w:highlight w:val="none"/>
              </w:rPr>
            </w:pPr>
            <w:r>
              <w:rPr>
                <w:rFonts w:hint="eastAsia" w:ascii="宋体" w:hAnsi="宋体" w:cs="宋体"/>
                <w:color w:val="auto"/>
                <w:szCs w:val="21"/>
                <w:highlight w:val="none"/>
                <w:u w:val="single"/>
              </w:rPr>
              <w:t>本条不适用。</w:t>
            </w:r>
          </w:p>
        </w:tc>
      </w:tr>
      <w:tr w14:paraId="2FB195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1DBB245A">
            <w:pPr>
              <w:ind w:left="-27" w:leftChars="-13"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25</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04337255">
            <w:pPr>
              <w:ind w:left="-27" w:leftChars="-13" w:right="-59" w:rightChars="-28" w:firstLine="458"/>
              <w:rPr>
                <w:rFonts w:hint="eastAsia" w:ascii="宋体" w:hAnsi="宋体" w:cs="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14:paraId="3427BDDE">
            <w:pPr>
              <w:ind w:left="-65" w:leftChars="-31" w:right="-59" w:rightChars="-28"/>
              <w:jc w:val="left"/>
              <w:rPr>
                <w:rFonts w:hint="eastAsia" w:ascii="宋体" w:hAnsi="宋体" w:cs="宋体"/>
                <w:color w:val="auto"/>
                <w:szCs w:val="21"/>
                <w:highlight w:val="none"/>
              </w:rPr>
            </w:pPr>
            <w:r>
              <w:rPr>
                <w:rFonts w:hint="eastAsia" w:ascii="宋体" w:hAnsi="宋体" w:cs="宋体"/>
                <w:color w:val="auto"/>
                <w:szCs w:val="21"/>
                <w:highlight w:val="none"/>
              </w:rPr>
              <w:t>进入第二阶段评审的家数</w:t>
            </w:r>
          </w:p>
        </w:tc>
        <w:tc>
          <w:tcPr>
            <w:tcW w:w="6563" w:type="dxa"/>
            <w:tcBorders>
              <w:top w:val="single" w:color="auto" w:sz="4" w:space="0"/>
              <w:left w:val="single" w:color="auto" w:sz="4" w:space="0"/>
              <w:bottom w:val="single" w:color="auto" w:sz="4" w:space="0"/>
              <w:right w:val="double" w:color="auto" w:sz="4" w:space="0"/>
            </w:tcBorders>
            <w:noWrap w:val="0"/>
            <w:vAlign w:val="center"/>
          </w:tcPr>
          <w:p w14:paraId="288A59BD">
            <w:pPr>
              <w:ind w:left="-27" w:leftChars="-13" w:right="-59" w:rightChars="-28"/>
              <w:rPr>
                <w:rFonts w:hint="eastAsia" w:ascii="宋体" w:hAnsi="宋体" w:cs="宋体"/>
                <w:color w:val="auto"/>
                <w:szCs w:val="21"/>
                <w:highlight w:val="none"/>
              </w:rPr>
            </w:pPr>
            <w:r>
              <w:rPr>
                <w:rFonts w:hint="eastAsia" w:ascii="宋体" w:hAnsi="宋体" w:cs="宋体"/>
                <w:color w:val="auto"/>
                <w:szCs w:val="21"/>
                <w:highlight w:val="none"/>
                <w:u w:val="single"/>
              </w:rPr>
              <w:t>本条不适用。</w:t>
            </w:r>
          </w:p>
        </w:tc>
      </w:tr>
      <w:tr w14:paraId="08C6C1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315"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294A860C">
            <w:pPr>
              <w:jc w:val="center"/>
              <w:rPr>
                <w:rFonts w:hint="eastAsia" w:ascii="宋体" w:hAnsi="宋体" w:cs="宋体"/>
                <w:color w:val="auto"/>
                <w:szCs w:val="21"/>
                <w:highlight w:val="none"/>
              </w:rPr>
            </w:pPr>
            <w:r>
              <w:rPr>
                <w:rFonts w:hint="eastAsia" w:ascii="宋体" w:hAnsi="宋体" w:cs="宋体"/>
                <w:color w:val="auto"/>
                <w:szCs w:val="21"/>
                <w:highlight w:val="none"/>
              </w:rPr>
              <w:t>26</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5120BD48">
            <w:pPr>
              <w:jc w:val="center"/>
              <w:rPr>
                <w:rFonts w:hint="eastAsia" w:ascii="宋体" w:hAnsi="宋体" w:cs="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14:paraId="301D2533">
            <w:pPr>
              <w:rPr>
                <w:rFonts w:hint="eastAsia" w:ascii="宋体" w:hAnsi="宋体" w:cs="宋体"/>
                <w:color w:val="auto"/>
                <w:szCs w:val="21"/>
                <w:highlight w:val="none"/>
              </w:rPr>
            </w:pPr>
            <w:r>
              <w:rPr>
                <w:rFonts w:hint="eastAsia" w:ascii="宋体" w:hAnsi="宋体" w:cs="宋体"/>
                <w:color w:val="auto"/>
                <w:szCs w:val="21"/>
                <w:highlight w:val="none"/>
              </w:rPr>
              <w:t>第一阶段各分值的权重</w:t>
            </w:r>
          </w:p>
        </w:tc>
        <w:tc>
          <w:tcPr>
            <w:tcW w:w="6563" w:type="dxa"/>
            <w:tcBorders>
              <w:top w:val="single" w:color="auto" w:sz="4" w:space="0"/>
              <w:left w:val="single" w:color="auto" w:sz="4" w:space="0"/>
              <w:bottom w:val="single" w:color="auto" w:sz="4" w:space="0"/>
              <w:right w:val="double" w:color="auto" w:sz="4" w:space="0"/>
            </w:tcBorders>
            <w:noWrap w:val="0"/>
            <w:vAlign w:val="center"/>
          </w:tcPr>
          <w:p w14:paraId="2F4CF8B7">
            <w:pPr>
              <w:rPr>
                <w:rFonts w:hint="eastAsia" w:ascii="宋体" w:hAnsi="宋体" w:cs="宋体"/>
                <w:color w:val="auto"/>
                <w:spacing w:val="-4"/>
                <w:szCs w:val="21"/>
                <w:highlight w:val="none"/>
              </w:rPr>
            </w:pPr>
            <w:r>
              <w:rPr>
                <w:rFonts w:hint="eastAsia" w:ascii="宋体" w:hAnsi="宋体" w:cs="宋体"/>
                <w:color w:val="auto"/>
                <w:szCs w:val="21"/>
                <w:highlight w:val="none"/>
                <w:u w:val="single"/>
              </w:rPr>
              <w:t>本条不适用。</w:t>
            </w:r>
          </w:p>
        </w:tc>
      </w:tr>
      <w:tr w14:paraId="18D459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3A13C9C0">
            <w:pPr>
              <w:jc w:val="center"/>
              <w:rPr>
                <w:rFonts w:hint="eastAsia" w:ascii="宋体" w:hAnsi="宋体" w:cs="宋体"/>
                <w:color w:val="auto"/>
                <w:szCs w:val="21"/>
                <w:highlight w:val="none"/>
              </w:rPr>
            </w:pPr>
            <w:r>
              <w:rPr>
                <w:rFonts w:hint="eastAsia" w:ascii="宋体" w:hAnsi="宋体" w:cs="宋体"/>
                <w:color w:val="auto"/>
                <w:szCs w:val="21"/>
                <w:highlight w:val="none"/>
              </w:rPr>
              <w:t>27</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2C0699C6">
            <w:pPr>
              <w:jc w:val="center"/>
              <w:rPr>
                <w:rFonts w:hint="eastAsia" w:ascii="宋体" w:hAnsi="宋体" w:cs="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14:paraId="3D1936FE">
            <w:pPr>
              <w:rPr>
                <w:rFonts w:hint="eastAsia" w:ascii="宋体" w:hAnsi="宋体" w:cs="宋体"/>
                <w:color w:val="auto"/>
                <w:szCs w:val="21"/>
                <w:highlight w:val="none"/>
              </w:rPr>
            </w:pPr>
            <w:r>
              <w:rPr>
                <w:rFonts w:hint="eastAsia" w:ascii="宋体" w:hAnsi="宋体" w:cs="宋体"/>
                <w:color w:val="auto"/>
                <w:szCs w:val="21"/>
                <w:highlight w:val="none"/>
              </w:rPr>
              <w:t>评标委员会人数</w:t>
            </w:r>
          </w:p>
        </w:tc>
        <w:tc>
          <w:tcPr>
            <w:tcW w:w="6563" w:type="dxa"/>
            <w:tcBorders>
              <w:top w:val="single" w:color="auto" w:sz="4" w:space="0"/>
              <w:left w:val="single" w:color="auto" w:sz="4" w:space="0"/>
              <w:bottom w:val="single" w:color="auto" w:sz="4" w:space="0"/>
              <w:right w:val="double" w:color="auto" w:sz="4" w:space="0"/>
            </w:tcBorders>
            <w:noWrap w:val="0"/>
            <w:vAlign w:val="center"/>
          </w:tcPr>
          <w:p w14:paraId="38898D85">
            <w:pPr>
              <w:rPr>
                <w:rFonts w:hint="eastAsia" w:ascii="宋体" w:hAnsi="宋体" w:cs="宋体"/>
                <w:color w:val="auto"/>
                <w:szCs w:val="21"/>
                <w:highlight w:val="none"/>
              </w:rPr>
            </w:pPr>
            <w:r>
              <w:rPr>
                <w:rFonts w:hint="eastAsia" w:ascii="宋体" w:hAnsi="宋体" w:cs="宋体"/>
                <w:color w:val="auto"/>
                <w:szCs w:val="21"/>
                <w:highlight w:val="none"/>
              </w:rPr>
              <w:t>评标委员会由招标人依法组建。</w:t>
            </w:r>
          </w:p>
        </w:tc>
      </w:tr>
      <w:tr w14:paraId="7BCA8C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7D4B1D89">
            <w:pPr>
              <w:jc w:val="center"/>
              <w:rPr>
                <w:rFonts w:hint="eastAsia" w:ascii="宋体" w:hAnsi="宋体" w:cs="宋体"/>
                <w:color w:val="auto"/>
                <w:szCs w:val="21"/>
                <w:highlight w:val="none"/>
              </w:rPr>
            </w:pPr>
            <w:r>
              <w:rPr>
                <w:rFonts w:hint="eastAsia" w:ascii="宋体" w:hAnsi="宋体" w:cs="宋体"/>
                <w:color w:val="auto"/>
                <w:szCs w:val="21"/>
                <w:highlight w:val="none"/>
              </w:rPr>
              <w:t>28</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22EEF1D9">
            <w:pPr>
              <w:jc w:val="center"/>
              <w:rPr>
                <w:rFonts w:hint="eastAsia" w:ascii="宋体" w:hAnsi="宋体" w:cs="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14:paraId="120BF20D">
            <w:pPr>
              <w:rPr>
                <w:rFonts w:hint="eastAsia" w:ascii="宋体" w:hAnsi="宋体" w:cs="宋体"/>
                <w:color w:val="auto"/>
                <w:szCs w:val="21"/>
                <w:highlight w:val="none"/>
              </w:rPr>
            </w:pPr>
            <w:r>
              <w:rPr>
                <w:rFonts w:hint="eastAsia" w:ascii="宋体" w:hAnsi="宋体"/>
                <w:color w:val="auto"/>
                <w:szCs w:val="21"/>
                <w:highlight w:val="none"/>
                <w:u w:val="single"/>
              </w:rPr>
              <w:t>定标委员会人数</w:t>
            </w:r>
          </w:p>
        </w:tc>
        <w:tc>
          <w:tcPr>
            <w:tcW w:w="6563" w:type="dxa"/>
            <w:tcBorders>
              <w:top w:val="single" w:color="auto" w:sz="4" w:space="0"/>
              <w:left w:val="single" w:color="auto" w:sz="4" w:space="0"/>
              <w:bottom w:val="single" w:color="auto" w:sz="4" w:space="0"/>
              <w:right w:val="double" w:color="auto" w:sz="4" w:space="0"/>
            </w:tcBorders>
            <w:noWrap w:val="0"/>
            <w:vAlign w:val="center"/>
          </w:tcPr>
          <w:p w14:paraId="358D2D19">
            <w:pPr>
              <w:rPr>
                <w:rFonts w:hint="eastAsia" w:ascii="宋体" w:hAnsi="宋体" w:cs="宋体"/>
                <w:color w:val="auto"/>
                <w:szCs w:val="21"/>
                <w:highlight w:val="none"/>
              </w:rPr>
            </w:pPr>
            <w:r>
              <w:rPr>
                <w:rFonts w:hint="eastAsia" w:ascii="宋体" w:hAnsi="宋体"/>
                <w:color w:val="auto"/>
                <w:szCs w:val="21"/>
                <w:highlight w:val="none"/>
                <w:u w:val="single"/>
              </w:rPr>
              <w:t>定标委员会由招标人依法组建。</w:t>
            </w:r>
          </w:p>
        </w:tc>
      </w:tr>
      <w:tr w14:paraId="55F6C4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2A2F4FB7">
            <w:pPr>
              <w:jc w:val="center"/>
              <w:rPr>
                <w:rFonts w:hint="eastAsia" w:ascii="宋体" w:hAnsi="宋体" w:cs="宋体"/>
                <w:color w:val="auto"/>
                <w:szCs w:val="21"/>
                <w:highlight w:val="none"/>
              </w:rPr>
            </w:pPr>
            <w:r>
              <w:rPr>
                <w:rFonts w:hint="eastAsia" w:ascii="宋体" w:hAnsi="宋体" w:cs="宋体"/>
                <w:color w:val="auto"/>
                <w:szCs w:val="21"/>
                <w:highlight w:val="none"/>
              </w:rPr>
              <w:t>29</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3361DC41">
            <w:pPr>
              <w:jc w:val="center"/>
              <w:rPr>
                <w:rFonts w:hint="eastAsia" w:ascii="宋体" w:hAnsi="宋体" w:cs="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14:paraId="637AB2E8">
            <w:pPr>
              <w:rPr>
                <w:rFonts w:hint="eastAsia" w:ascii="宋体" w:hAnsi="宋体" w:cs="宋体"/>
                <w:color w:val="auto"/>
                <w:szCs w:val="21"/>
                <w:highlight w:val="none"/>
              </w:rPr>
            </w:pPr>
            <w:r>
              <w:rPr>
                <w:rFonts w:hint="eastAsia" w:ascii="宋体" w:hAnsi="宋体" w:cs="宋体"/>
                <w:color w:val="auto"/>
                <w:szCs w:val="21"/>
                <w:highlight w:val="none"/>
              </w:rPr>
              <w:t>企业综合诚信评价分数</w:t>
            </w:r>
          </w:p>
        </w:tc>
        <w:tc>
          <w:tcPr>
            <w:tcW w:w="6563" w:type="dxa"/>
            <w:tcBorders>
              <w:top w:val="single" w:color="auto" w:sz="4" w:space="0"/>
              <w:left w:val="single" w:color="auto" w:sz="4" w:space="0"/>
              <w:bottom w:val="single" w:color="auto" w:sz="4" w:space="0"/>
              <w:right w:val="double" w:color="auto" w:sz="4" w:space="0"/>
            </w:tcBorders>
            <w:noWrap w:val="0"/>
            <w:vAlign w:val="center"/>
          </w:tcPr>
          <w:p w14:paraId="27E8B02F">
            <w:pPr>
              <w:rPr>
                <w:rFonts w:hint="eastAsia" w:ascii="宋体" w:hAnsi="宋体" w:cs="宋体"/>
                <w:color w:val="auto"/>
                <w:szCs w:val="21"/>
                <w:highlight w:val="none"/>
              </w:rPr>
            </w:pPr>
            <w:r>
              <w:rPr>
                <w:rFonts w:hint="eastAsia" w:ascii="宋体" w:hAnsi="宋体" w:cs="宋体"/>
                <w:color w:val="auto"/>
                <w:szCs w:val="21"/>
                <w:highlight w:val="none"/>
                <w:u w:val="single"/>
              </w:rPr>
              <w:t>本条不适用。</w:t>
            </w:r>
          </w:p>
        </w:tc>
      </w:tr>
      <w:tr w14:paraId="1EA589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12B682E6">
            <w:pPr>
              <w:jc w:val="center"/>
              <w:rPr>
                <w:rFonts w:hint="eastAsia" w:ascii="宋体" w:hAnsi="宋体" w:cs="宋体"/>
                <w:color w:val="auto"/>
                <w:szCs w:val="21"/>
                <w:highlight w:val="none"/>
              </w:rPr>
            </w:pPr>
            <w:r>
              <w:rPr>
                <w:rFonts w:hint="eastAsia" w:ascii="宋体" w:hAnsi="宋体" w:cs="宋体"/>
                <w:color w:val="auto"/>
                <w:szCs w:val="21"/>
                <w:highlight w:val="none"/>
              </w:rPr>
              <w:t>30</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5731DB85">
            <w:pPr>
              <w:jc w:val="center"/>
              <w:rPr>
                <w:rFonts w:hint="eastAsia" w:ascii="宋体" w:hAnsi="宋体" w:cs="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14:paraId="4851E0DD">
            <w:pPr>
              <w:rPr>
                <w:rFonts w:hint="eastAsia" w:ascii="宋体" w:hAnsi="宋体" w:cs="宋体"/>
                <w:color w:val="auto"/>
                <w:szCs w:val="21"/>
                <w:highlight w:val="none"/>
              </w:rPr>
            </w:pPr>
            <w:r>
              <w:rPr>
                <w:rFonts w:hint="eastAsia" w:ascii="宋体" w:hAnsi="宋体" w:cs="宋体"/>
                <w:color w:val="auto"/>
                <w:szCs w:val="21"/>
                <w:highlight w:val="none"/>
              </w:rPr>
              <w:t>第二阶段投标人名次的排序方法（适用于办法一、办法二）</w:t>
            </w:r>
          </w:p>
        </w:tc>
        <w:tc>
          <w:tcPr>
            <w:tcW w:w="6563" w:type="dxa"/>
            <w:tcBorders>
              <w:top w:val="single" w:color="auto" w:sz="4" w:space="0"/>
              <w:left w:val="single" w:color="auto" w:sz="4" w:space="0"/>
              <w:bottom w:val="single" w:color="auto" w:sz="4" w:space="0"/>
              <w:right w:val="double" w:color="auto" w:sz="4" w:space="0"/>
            </w:tcBorders>
            <w:noWrap w:val="0"/>
            <w:vAlign w:val="center"/>
          </w:tcPr>
          <w:p w14:paraId="48A8D397">
            <w:pPr>
              <w:rPr>
                <w:rFonts w:hint="eastAsia" w:ascii="宋体" w:hAnsi="宋体" w:cs="宋体"/>
                <w:color w:val="auto"/>
                <w:szCs w:val="21"/>
                <w:highlight w:val="none"/>
              </w:rPr>
            </w:pPr>
            <w:r>
              <w:rPr>
                <w:rFonts w:hint="eastAsia" w:ascii="宋体" w:hAnsi="宋体" w:cs="宋体"/>
                <w:color w:val="auto"/>
                <w:szCs w:val="21"/>
                <w:highlight w:val="none"/>
                <w:u w:val="single"/>
              </w:rPr>
              <w:t>本条不适用。</w:t>
            </w:r>
          </w:p>
        </w:tc>
      </w:tr>
      <w:tr w14:paraId="64C0EE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45ED4A4B">
            <w:pPr>
              <w:jc w:val="center"/>
              <w:rPr>
                <w:rFonts w:hint="eastAsia" w:ascii="宋体" w:hAnsi="宋体" w:cs="宋体"/>
                <w:color w:val="auto"/>
                <w:szCs w:val="21"/>
                <w:highlight w:val="none"/>
              </w:rPr>
            </w:pPr>
            <w:r>
              <w:rPr>
                <w:rFonts w:hint="eastAsia" w:ascii="宋体" w:hAnsi="宋体" w:cs="宋体"/>
                <w:color w:val="auto"/>
                <w:szCs w:val="21"/>
                <w:highlight w:val="none"/>
              </w:rPr>
              <w:t>31</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1E1C08FF">
            <w:pPr>
              <w:jc w:val="center"/>
              <w:rPr>
                <w:rFonts w:hint="eastAsia" w:ascii="宋体" w:hAnsi="宋体" w:cs="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14:paraId="2D0C9C89">
            <w:pPr>
              <w:rPr>
                <w:rFonts w:hint="eastAsia" w:ascii="宋体" w:hAnsi="宋体" w:cs="宋体"/>
                <w:color w:val="auto"/>
                <w:szCs w:val="21"/>
                <w:highlight w:val="none"/>
              </w:rPr>
            </w:pPr>
            <w:r>
              <w:rPr>
                <w:rFonts w:hint="eastAsia" w:ascii="宋体" w:hAnsi="宋体" w:cs="宋体"/>
                <w:color w:val="auto"/>
                <w:szCs w:val="21"/>
                <w:highlight w:val="none"/>
              </w:rPr>
              <w:t>经济分相同情况下的排序方法（适用于办法三、办法四）</w:t>
            </w:r>
          </w:p>
        </w:tc>
        <w:tc>
          <w:tcPr>
            <w:tcW w:w="6563" w:type="dxa"/>
            <w:tcBorders>
              <w:top w:val="single" w:color="auto" w:sz="4" w:space="0"/>
              <w:left w:val="single" w:color="auto" w:sz="4" w:space="0"/>
              <w:bottom w:val="single" w:color="auto" w:sz="4" w:space="0"/>
              <w:right w:val="double" w:color="auto" w:sz="4" w:space="0"/>
            </w:tcBorders>
            <w:noWrap w:val="0"/>
            <w:vAlign w:val="center"/>
          </w:tcPr>
          <w:p w14:paraId="5E3B5B27">
            <w:pPr>
              <w:rPr>
                <w:rFonts w:hint="eastAsia" w:ascii="宋体" w:hAnsi="宋体" w:cs="宋体"/>
                <w:color w:val="auto"/>
                <w:szCs w:val="21"/>
                <w:highlight w:val="none"/>
              </w:rPr>
            </w:pPr>
            <w:r>
              <w:rPr>
                <w:rFonts w:hint="eastAsia" w:ascii="宋体" w:hAnsi="宋体" w:cs="宋体"/>
                <w:color w:val="auto"/>
                <w:szCs w:val="21"/>
                <w:highlight w:val="none"/>
                <w:u w:val="single"/>
              </w:rPr>
              <w:t>本条不适用。</w:t>
            </w:r>
          </w:p>
        </w:tc>
      </w:tr>
      <w:tr w14:paraId="174355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065E71B6">
            <w:pPr>
              <w:jc w:val="center"/>
              <w:rPr>
                <w:rFonts w:hint="eastAsia" w:ascii="宋体" w:hAnsi="宋体" w:cs="宋体"/>
                <w:color w:val="auto"/>
                <w:szCs w:val="21"/>
                <w:highlight w:val="none"/>
              </w:rPr>
            </w:pPr>
            <w:r>
              <w:rPr>
                <w:rFonts w:hint="eastAsia" w:ascii="宋体" w:hAnsi="宋体" w:cs="宋体"/>
                <w:color w:val="auto"/>
                <w:szCs w:val="21"/>
                <w:highlight w:val="none"/>
              </w:rPr>
              <w:t>32</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150B4811">
            <w:pPr>
              <w:jc w:val="center"/>
              <w:rPr>
                <w:rFonts w:hint="eastAsia" w:ascii="宋体" w:hAnsi="宋体" w:cs="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14:paraId="4D129C37">
            <w:pPr>
              <w:rPr>
                <w:rFonts w:hint="eastAsia" w:ascii="宋体" w:hAnsi="宋体" w:cs="宋体"/>
                <w:color w:val="auto"/>
                <w:szCs w:val="21"/>
                <w:highlight w:val="none"/>
              </w:rPr>
            </w:pPr>
            <w:r>
              <w:rPr>
                <w:rFonts w:hint="eastAsia" w:ascii="宋体" w:hAnsi="宋体" w:cs="宋体"/>
                <w:color w:val="auto"/>
                <w:szCs w:val="21"/>
                <w:highlight w:val="none"/>
              </w:rPr>
              <w:t>第二阶段投标人名次的排序方法（适用于办法五、办法六）</w:t>
            </w:r>
          </w:p>
        </w:tc>
        <w:tc>
          <w:tcPr>
            <w:tcW w:w="6563" w:type="dxa"/>
            <w:tcBorders>
              <w:top w:val="single" w:color="auto" w:sz="4" w:space="0"/>
              <w:left w:val="single" w:color="auto" w:sz="4" w:space="0"/>
              <w:bottom w:val="single" w:color="auto" w:sz="4" w:space="0"/>
              <w:right w:val="double" w:color="auto" w:sz="4" w:space="0"/>
            </w:tcBorders>
            <w:noWrap w:val="0"/>
            <w:vAlign w:val="center"/>
          </w:tcPr>
          <w:p w14:paraId="5DF4E961">
            <w:pPr>
              <w:rPr>
                <w:rFonts w:hint="eastAsia" w:ascii="宋体" w:hAnsi="宋体" w:cs="宋体"/>
                <w:color w:val="auto"/>
                <w:szCs w:val="21"/>
                <w:highlight w:val="none"/>
              </w:rPr>
            </w:pPr>
            <w:r>
              <w:rPr>
                <w:rFonts w:hint="eastAsia" w:ascii="宋体" w:hAnsi="宋体" w:cs="宋体"/>
                <w:color w:val="auto"/>
                <w:szCs w:val="21"/>
                <w:highlight w:val="none"/>
                <w:u w:val="single"/>
              </w:rPr>
              <w:t>本条不适用。</w:t>
            </w:r>
          </w:p>
        </w:tc>
      </w:tr>
      <w:tr w14:paraId="12A0E3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428"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4DB2DF88">
            <w:pPr>
              <w:jc w:val="center"/>
              <w:rPr>
                <w:rFonts w:hint="eastAsia" w:ascii="宋体" w:hAnsi="宋体" w:cs="宋体"/>
                <w:color w:val="auto"/>
                <w:szCs w:val="21"/>
                <w:highlight w:val="none"/>
              </w:rPr>
            </w:pPr>
            <w:r>
              <w:rPr>
                <w:rFonts w:hint="eastAsia" w:ascii="宋体" w:hAnsi="宋体" w:cs="宋体"/>
                <w:color w:val="auto"/>
                <w:szCs w:val="21"/>
                <w:highlight w:val="none"/>
              </w:rPr>
              <w:t>33</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47DAAE7E">
            <w:pPr>
              <w:jc w:val="center"/>
              <w:rPr>
                <w:rFonts w:hint="eastAsia" w:ascii="宋体" w:hAnsi="宋体" w:cs="宋体"/>
                <w:color w:val="auto"/>
                <w:szCs w:val="21"/>
                <w:highlight w:val="none"/>
              </w:rPr>
            </w:pPr>
            <w:r>
              <w:rPr>
                <w:rFonts w:hint="eastAsia" w:ascii="宋体" w:hAnsi="宋体" w:cs="宋体"/>
                <w:color w:val="auto"/>
                <w:szCs w:val="21"/>
                <w:highlight w:val="none"/>
              </w:rPr>
              <w:t>13.4、13.5.2</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1E457B5E">
            <w:pPr>
              <w:rPr>
                <w:rFonts w:hint="eastAsia" w:ascii="宋体" w:hAnsi="宋体" w:cs="宋体"/>
                <w:color w:val="auto"/>
                <w:szCs w:val="21"/>
                <w:highlight w:val="none"/>
              </w:rPr>
            </w:pPr>
            <w:r>
              <w:rPr>
                <w:rFonts w:hint="eastAsia" w:ascii="宋体" w:hAnsi="宋体" w:cs="宋体"/>
                <w:color w:val="auto"/>
                <w:szCs w:val="21"/>
                <w:highlight w:val="none"/>
              </w:rPr>
              <w:t>合同价款的调整办法</w:t>
            </w:r>
          </w:p>
        </w:tc>
        <w:tc>
          <w:tcPr>
            <w:tcW w:w="6563" w:type="dxa"/>
            <w:tcBorders>
              <w:top w:val="single" w:color="auto" w:sz="4" w:space="0"/>
              <w:left w:val="single" w:color="auto" w:sz="4" w:space="0"/>
              <w:bottom w:val="single" w:color="auto" w:sz="4" w:space="0"/>
              <w:right w:val="double" w:color="auto" w:sz="4" w:space="0"/>
            </w:tcBorders>
            <w:noWrap w:val="0"/>
            <w:vAlign w:val="center"/>
          </w:tcPr>
          <w:p w14:paraId="355A5F89">
            <w:pPr>
              <w:rPr>
                <w:rFonts w:hint="eastAsia" w:ascii="宋体" w:hAnsi="宋体" w:cs="宋体"/>
                <w:color w:val="auto"/>
                <w:szCs w:val="21"/>
                <w:highlight w:val="none"/>
                <w:u w:val="single"/>
              </w:rPr>
            </w:pPr>
            <w:r>
              <w:rPr>
                <w:rFonts w:hint="eastAsia" w:ascii="宋体" w:hAnsi="宋体" w:cs="宋体"/>
                <w:color w:val="auto"/>
                <w:szCs w:val="21"/>
                <w:highlight w:val="none"/>
                <w:u w:val="single"/>
              </w:rPr>
              <w:t>按合同条款相关约定调整。</w:t>
            </w:r>
          </w:p>
        </w:tc>
      </w:tr>
      <w:tr w14:paraId="30172A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1F9EA696">
            <w:pPr>
              <w:jc w:val="center"/>
              <w:rPr>
                <w:rFonts w:hint="eastAsia" w:ascii="宋体" w:hAnsi="宋体" w:cs="宋体"/>
                <w:color w:val="auto"/>
                <w:szCs w:val="21"/>
                <w:highlight w:val="none"/>
              </w:rPr>
            </w:pPr>
            <w:r>
              <w:rPr>
                <w:rFonts w:hint="eastAsia" w:ascii="宋体" w:hAnsi="宋体" w:cs="宋体"/>
                <w:color w:val="auto"/>
                <w:szCs w:val="21"/>
                <w:highlight w:val="none"/>
              </w:rPr>
              <w:t>34</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6E9F6DAE">
            <w:pPr>
              <w:jc w:val="center"/>
              <w:rPr>
                <w:rFonts w:hint="eastAsia" w:ascii="宋体" w:hAnsi="宋体" w:cs="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14:paraId="3E37CF28">
            <w:pPr>
              <w:rPr>
                <w:rFonts w:hint="eastAsia" w:ascii="宋体" w:hAnsi="宋体" w:cs="宋体"/>
                <w:color w:val="auto"/>
                <w:szCs w:val="21"/>
                <w:highlight w:val="none"/>
              </w:rPr>
            </w:pPr>
            <w:r>
              <w:rPr>
                <w:rFonts w:hint="eastAsia" w:ascii="宋体" w:hAnsi="宋体" w:cs="宋体"/>
                <w:color w:val="auto"/>
                <w:kern w:val="0"/>
                <w:szCs w:val="21"/>
                <w:highlight w:val="none"/>
                <w:lang w:val="zh-CN"/>
              </w:rPr>
              <w:t>建设工程质量检测单位</w:t>
            </w:r>
          </w:p>
        </w:tc>
        <w:tc>
          <w:tcPr>
            <w:tcW w:w="6563" w:type="dxa"/>
            <w:tcBorders>
              <w:top w:val="single" w:color="auto" w:sz="4" w:space="0"/>
              <w:left w:val="single" w:color="auto" w:sz="4" w:space="0"/>
              <w:bottom w:val="single" w:color="auto" w:sz="4" w:space="0"/>
              <w:right w:val="double" w:color="auto" w:sz="4" w:space="0"/>
            </w:tcBorders>
            <w:noWrap w:val="0"/>
            <w:vAlign w:val="center"/>
          </w:tcPr>
          <w:p w14:paraId="1A050474">
            <w:pP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0AFC4E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04EBB6CC">
            <w:pPr>
              <w:jc w:val="center"/>
              <w:rPr>
                <w:rFonts w:hint="eastAsia" w:ascii="宋体" w:hAnsi="宋体" w:cs="宋体"/>
                <w:color w:val="auto"/>
                <w:szCs w:val="21"/>
                <w:highlight w:val="none"/>
              </w:rPr>
            </w:pPr>
            <w:r>
              <w:rPr>
                <w:rFonts w:hint="eastAsia" w:ascii="宋体" w:hAnsi="宋体" w:cs="宋体"/>
                <w:color w:val="auto"/>
                <w:szCs w:val="21"/>
                <w:highlight w:val="none"/>
              </w:rPr>
              <w:t>35</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7665C773">
            <w:pPr>
              <w:jc w:val="center"/>
              <w:rPr>
                <w:rFonts w:hint="eastAsia" w:ascii="宋体" w:hAnsi="宋体" w:cs="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14:paraId="2E8EB4CE">
            <w:pP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分包</w:t>
            </w:r>
          </w:p>
        </w:tc>
        <w:tc>
          <w:tcPr>
            <w:tcW w:w="6563" w:type="dxa"/>
            <w:tcBorders>
              <w:top w:val="single" w:color="auto" w:sz="4" w:space="0"/>
              <w:left w:val="single" w:color="auto" w:sz="4" w:space="0"/>
              <w:bottom w:val="single" w:color="auto" w:sz="4" w:space="0"/>
              <w:right w:val="double" w:color="auto" w:sz="4" w:space="0"/>
            </w:tcBorders>
            <w:noWrap w:val="0"/>
            <w:vAlign w:val="center"/>
          </w:tcPr>
          <w:p w14:paraId="22E0B311">
            <w:pP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□不允许；</w:t>
            </w:r>
          </w:p>
          <w:p w14:paraId="47EEF311">
            <w:pPr>
              <w:rPr>
                <w:rFonts w:hint="eastAsia" w:ascii="宋体" w:hAnsi="宋体" w:cs="宋体"/>
                <w:color w:val="auto"/>
                <w:kern w:val="0"/>
                <w:szCs w:val="21"/>
                <w:highlight w:val="none"/>
                <w:lang w:val="zh-CN"/>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kern w:val="0"/>
                <w:szCs w:val="21"/>
                <w:highlight w:val="none"/>
                <w:lang w:val="zh-CN"/>
              </w:rPr>
              <w:t>允许：</w:t>
            </w:r>
          </w:p>
          <w:p w14:paraId="21D52630">
            <w:pPr>
              <w:rPr>
                <w:rFonts w:hint="eastAsia" w:ascii="宋体" w:cs="宋体"/>
                <w:color w:val="auto"/>
                <w:kern w:val="0"/>
                <w:szCs w:val="21"/>
                <w:highlight w:val="none"/>
                <w:u w:val="single"/>
                <w:lang w:val="zh-CN"/>
              </w:rPr>
            </w:pPr>
            <w:r>
              <w:rPr>
                <w:rFonts w:hint="eastAsia" w:ascii="宋体" w:cs="宋体"/>
                <w:color w:val="auto"/>
                <w:kern w:val="0"/>
                <w:szCs w:val="21"/>
                <w:highlight w:val="none"/>
                <w:lang w:val="zh-CN"/>
              </w:rPr>
              <w:t>分包内容要求：</w:t>
            </w:r>
            <w:r>
              <w:rPr>
                <w:rFonts w:hint="eastAsia" w:ascii="宋体" w:cs="宋体"/>
                <w:color w:val="auto"/>
                <w:kern w:val="0"/>
                <w:szCs w:val="21"/>
                <w:highlight w:val="none"/>
                <w:u w:val="single"/>
                <w:lang w:val="zh-CN"/>
              </w:rPr>
              <w:t>对于非主体、非关键性工程，投标人不具备相应资质的，需经招标人审核批准后分包给具有相应资质和能力的专业单位实施。</w:t>
            </w:r>
          </w:p>
          <w:p w14:paraId="3B7C3D7D">
            <w:pPr>
              <w:rPr>
                <w:rFonts w:hint="eastAsia" w:ascii="宋体" w:cs="宋体"/>
                <w:color w:val="auto"/>
                <w:kern w:val="0"/>
                <w:szCs w:val="21"/>
                <w:highlight w:val="none"/>
                <w:lang w:val="zh-CN"/>
              </w:rPr>
            </w:pPr>
            <w:r>
              <w:rPr>
                <w:rFonts w:hint="eastAsia" w:ascii="宋体" w:cs="宋体"/>
                <w:color w:val="auto"/>
                <w:kern w:val="0"/>
                <w:szCs w:val="21"/>
                <w:highlight w:val="none"/>
                <w:lang w:val="zh-CN"/>
              </w:rPr>
              <w:t>分包金额要求：</w:t>
            </w:r>
            <w:r>
              <w:rPr>
                <w:rFonts w:hint="eastAsia" w:ascii="宋体" w:cs="宋体"/>
                <w:color w:val="auto"/>
                <w:kern w:val="0"/>
                <w:szCs w:val="21"/>
                <w:highlight w:val="none"/>
                <w:u w:val="single"/>
                <w:lang w:val="zh-CN"/>
              </w:rPr>
              <w:t>按国家现行规定执行。</w:t>
            </w:r>
          </w:p>
          <w:p w14:paraId="0C308818">
            <w:pPr>
              <w:rPr>
                <w:rFonts w:hint="eastAsia" w:ascii="宋体" w:cs="宋体"/>
                <w:color w:val="auto"/>
                <w:kern w:val="0"/>
                <w:szCs w:val="21"/>
                <w:highlight w:val="none"/>
                <w:u w:val="single"/>
                <w:lang w:val="zh-CN"/>
              </w:rPr>
            </w:pPr>
            <w:r>
              <w:rPr>
                <w:rFonts w:hint="eastAsia" w:ascii="宋体" w:cs="宋体"/>
                <w:color w:val="auto"/>
                <w:kern w:val="0"/>
                <w:szCs w:val="21"/>
                <w:highlight w:val="none"/>
                <w:lang w:val="zh-CN"/>
              </w:rPr>
              <w:t>对分包人的资质要求：</w:t>
            </w:r>
            <w:r>
              <w:rPr>
                <w:rFonts w:hint="eastAsia" w:ascii="宋体" w:cs="宋体"/>
                <w:color w:val="auto"/>
                <w:kern w:val="0"/>
                <w:szCs w:val="21"/>
                <w:highlight w:val="none"/>
                <w:u w:val="single"/>
                <w:lang w:val="zh-CN"/>
              </w:rPr>
              <w:t>按国家资质管理规定执行。</w:t>
            </w:r>
          </w:p>
          <w:p w14:paraId="0FE7CFC6">
            <w:pPr>
              <w:ind w:firstLine="840" w:firstLineChars="400"/>
              <w:rPr>
                <w:rFonts w:hint="eastAsia" w:ascii="宋体" w:hAnsi="宋体" w:cs="宋体"/>
                <w:color w:val="auto"/>
                <w:kern w:val="0"/>
                <w:szCs w:val="21"/>
                <w:highlight w:val="none"/>
                <w:lang w:val="zh-CN"/>
              </w:rPr>
            </w:pPr>
            <w:r>
              <w:rPr>
                <w:rFonts w:hint="eastAsia" w:ascii="宋体" w:cs="宋体"/>
                <w:color w:val="auto"/>
                <w:kern w:val="0"/>
                <w:szCs w:val="21"/>
                <w:highlight w:val="none"/>
                <w:lang w:val="zh-CN"/>
              </w:rPr>
              <w:t>对分包人的其他要求：</w:t>
            </w:r>
            <w:r>
              <w:rPr>
                <w:rFonts w:hint="eastAsia" w:ascii="宋体" w:cs="宋体"/>
                <w:color w:val="auto"/>
                <w:kern w:val="0"/>
                <w:szCs w:val="21"/>
                <w:highlight w:val="none"/>
                <w:u w:val="single"/>
                <w:lang w:val="zh-CN"/>
              </w:rPr>
              <w:t>/</w:t>
            </w:r>
          </w:p>
        </w:tc>
      </w:tr>
      <w:tr w14:paraId="495CA0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33998676">
            <w:pPr>
              <w:jc w:val="center"/>
              <w:rPr>
                <w:rFonts w:hint="eastAsia" w:ascii="宋体" w:hAnsi="宋体" w:cs="宋体"/>
                <w:color w:val="auto"/>
                <w:szCs w:val="21"/>
                <w:highlight w:val="none"/>
              </w:rPr>
            </w:pPr>
            <w:r>
              <w:rPr>
                <w:rFonts w:hint="eastAsia" w:ascii="宋体" w:hAnsi="宋体" w:cs="宋体"/>
                <w:color w:val="auto"/>
                <w:szCs w:val="21"/>
                <w:highlight w:val="none"/>
              </w:rPr>
              <w:t>36</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15C92312">
            <w:pPr>
              <w:jc w:val="center"/>
              <w:rPr>
                <w:rFonts w:hint="eastAsia" w:ascii="宋体" w:hAnsi="宋体" w:cs="宋体"/>
                <w:color w:val="auto"/>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14:paraId="398685A7">
            <w:pPr>
              <w:jc w:val="center"/>
              <w:rPr>
                <w:rFonts w:hint="eastAsia" w:ascii="宋体" w:hAnsi="宋体" w:cs="宋体"/>
                <w:color w:val="auto"/>
                <w:highlight w:val="none"/>
              </w:rPr>
            </w:pPr>
            <w:r>
              <w:rPr>
                <w:rFonts w:hint="eastAsia" w:ascii="宋体" w:hAnsi="宋体" w:cs="宋体"/>
                <w:color w:val="auto"/>
                <w:highlight w:val="none"/>
              </w:rPr>
              <w:t>电子招标投标解密失败及突发情况的补救</w:t>
            </w:r>
          </w:p>
        </w:tc>
        <w:tc>
          <w:tcPr>
            <w:tcW w:w="6563" w:type="dxa"/>
            <w:tcBorders>
              <w:top w:val="single" w:color="auto" w:sz="4" w:space="0"/>
              <w:left w:val="single" w:color="auto" w:sz="4" w:space="0"/>
              <w:bottom w:val="single" w:color="auto" w:sz="4" w:space="0"/>
              <w:right w:val="double" w:color="auto" w:sz="4" w:space="0"/>
            </w:tcBorders>
            <w:noWrap w:val="0"/>
            <w:vAlign w:val="center"/>
          </w:tcPr>
          <w:p w14:paraId="1FF16D5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1.按照</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rPr>
              <w:t xml:space="preserve">。  </w:t>
            </w:r>
          </w:p>
          <w:p w14:paraId="4C96FE7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2.提交投标文件光盘备用</w:t>
            </w:r>
          </w:p>
          <w:p w14:paraId="25FBAF6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1CC300A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3.补救方案</w:t>
            </w:r>
          </w:p>
          <w:p w14:paraId="2A1F9EC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（1）投标文件解密失败的补救方案：</w:t>
            </w:r>
          </w:p>
          <w:p w14:paraId="591DEAC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4FE3142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（2）评标时突发情况的补救方案</w:t>
            </w:r>
          </w:p>
          <w:p w14:paraId="54BC853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若遇不可抗力发生（指网络瘫痪、服务器损坏、交易系统故障短期无法恢复等因素），由评标委员会开启投标人递交的全部投标文件光盘，并按光盘内容进行评审。</w:t>
            </w:r>
          </w:p>
          <w:p w14:paraId="4DCB6C0B">
            <w:pPr>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（3）除发生上述情况外，开标评标均以投标人通过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交易平台网上递交的电子投标文件为准。</w:t>
            </w:r>
          </w:p>
        </w:tc>
      </w:tr>
      <w:tr w14:paraId="5321DA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43251638">
            <w:pPr>
              <w:jc w:val="center"/>
              <w:rPr>
                <w:rFonts w:hint="eastAsia" w:ascii="宋体" w:hAnsi="宋体" w:cs="宋体"/>
                <w:color w:val="auto"/>
                <w:szCs w:val="21"/>
                <w:highlight w:val="none"/>
              </w:rPr>
            </w:pPr>
            <w:r>
              <w:rPr>
                <w:rFonts w:hint="eastAsia" w:ascii="宋体" w:hAnsi="宋体" w:cs="宋体"/>
                <w:color w:val="auto"/>
                <w:szCs w:val="21"/>
                <w:highlight w:val="none"/>
              </w:rPr>
              <w:t>37</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38B1A7E1">
            <w:pPr>
              <w:jc w:val="center"/>
              <w:rPr>
                <w:rFonts w:hint="eastAsia" w:ascii="宋体" w:hAnsi="宋体" w:cs="宋体"/>
                <w:color w:val="auto"/>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14:paraId="5B448329">
            <w:pPr>
              <w:jc w:val="center"/>
              <w:rPr>
                <w:rFonts w:hint="eastAsia" w:ascii="宋体" w:hAnsi="宋体" w:cs="宋体"/>
                <w:color w:val="auto"/>
                <w:highlight w:val="none"/>
              </w:rPr>
            </w:pPr>
            <w:r>
              <w:rPr>
                <w:rFonts w:hint="eastAsia" w:ascii="宋体" w:hAnsi="宋体"/>
                <w:color w:val="auto"/>
                <w:highlight w:val="none"/>
              </w:rPr>
              <w:t>其他</w:t>
            </w:r>
          </w:p>
        </w:tc>
        <w:tc>
          <w:tcPr>
            <w:tcW w:w="6563" w:type="dxa"/>
            <w:tcBorders>
              <w:top w:val="single" w:color="auto" w:sz="4" w:space="0"/>
              <w:left w:val="single" w:color="auto" w:sz="4" w:space="0"/>
              <w:bottom w:val="single" w:color="auto" w:sz="4" w:space="0"/>
              <w:right w:val="double" w:color="auto" w:sz="4" w:space="0"/>
            </w:tcBorders>
            <w:noWrap w:val="0"/>
            <w:vAlign w:val="center"/>
          </w:tcPr>
          <w:p w14:paraId="6BA1053D">
            <w:pPr>
              <w:spacing w:line="380" w:lineRule="exact"/>
              <w:ind w:firstLine="420" w:firstLineChars="200"/>
              <w:rPr>
                <w:rFonts w:ascii="宋体" w:hAnsi="宋体" w:cs="宋体"/>
                <w:color w:val="auto"/>
                <w:szCs w:val="21"/>
                <w:highlight w:val="none"/>
                <w:u w:val="single"/>
              </w:rPr>
            </w:pPr>
            <w:r>
              <w:rPr>
                <w:rFonts w:ascii="宋体" w:hAnsi="宋体" w:cs="宋体"/>
                <w:color w:val="auto"/>
                <w:szCs w:val="21"/>
                <w:highlight w:val="none"/>
                <w:u w:val="single"/>
              </w:rPr>
              <w:t>1.中标人需向广州公共资源交易中心缴纳公共资源交易服务费，由广州公共资源交易中心向中标人开具发票，</w:t>
            </w:r>
            <w:r>
              <w:rPr>
                <w:rFonts w:hint="eastAsia" w:ascii="宋体" w:hAnsi="宋体" w:cs="宋体"/>
                <w:color w:val="auto"/>
                <w:szCs w:val="21"/>
                <w:highlight w:val="none"/>
                <w:u w:val="single"/>
              </w:rPr>
              <w:t>以上费用由中标单位自行承担，招标人不再另行支付</w:t>
            </w:r>
            <w:r>
              <w:rPr>
                <w:rFonts w:ascii="宋体" w:hAnsi="宋体" w:cs="宋体"/>
                <w:color w:val="auto"/>
                <w:szCs w:val="21"/>
                <w:highlight w:val="none"/>
                <w:u w:val="single"/>
              </w:rPr>
              <w:t>。</w:t>
            </w:r>
          </w:p>
          <w:p w14:paraId="38752464">
            <w:pPr>
              <w:spacing w:line="276" w:lineRule="auto"/>
              <w:ind w:firstLine="420" w:firstLineChars="200"/>
              <w:rPr>
                <w:rFonts w:hint="eastAsia" w:ascii="宋体" w:hAnsi="宋体" w:cs="宋体"/>
                <w:color w:val="auto"/>
                <w:szCs w:val="21"/>
                <w:highlight w:val="none"/>
                <w:u w:val="single"/>
              </w:rPr>
            </w:pPr>
            <w:r>
              <w:rPr>
                <w:rFonts w:ascii="宋体" w:hAnsi="宋体" w:cs="宋体"/>
                <w:color w:val="auto"/>
                <w:szCs w:val="21"/>
                <w:highlight w:val="none"/>
                <w:u w:val="single"/>
              </w:rPr>
              <w:t>2.本项目由中标人支付招标代理费用，中标人在领取《中标通知书》前向招标代理机构一次性足额支付</w:t>
            </w:r>
            <w:r>
              <w:rPr>
                <w:rFonts w:hint="eastAsia" w:ascii="宋体" w:hAnsi="宋体" w:cs="宋体"/>
                <w:color w:val="auto"/>
                <w:szCs w:val="21"/>
                <w:highlight w:val="none"/>
                <w:u w:val="single"/>
              </w:rPr>
              <w:t>，</w:t>
            </w:r>
            <w:r>
              <w:rPr>
                <w:rFonts w:ascii="宋体" w:hAnsi="宋体" w:cs="宋体"/>
                <w:color w:val="auto"/>
                <w:szCs w:val="21"/>
                <w:highlight w:val="none"/>
                <w:u w:val="single"/>
              </w:rPr>
              <w:t>最终以中标通知书的中标金额为基数，招标代理费</w:t>
            </w:r>
            <w:r>
              <w:rPr>
                <w:rFonts w:hint="eastAsia" w:ascii="宋体" w:hAnsi="宋体" w:cs="宋体"/>
                <w:color w:val="auto"/>
                <w:szCs w:val="21"/>
                <w:highlight w:val="none"/>
                <w:u w:val="single"/>
              </w:rPr>
              <w:t>参照国家计委【2002】1980号《招标代理服务收费管理暂行办法》收费标准，费率下浮</w:t>
            </w:r>
            <w:r>
              <w:rPr>
                <w:rFonts w:hint="eastAsia" w:ascii="宋体" w:hAnsi="宋体" w:cs="宋体"/>
                <w:color w:val="auto"/>
                <w:szCs w:val="21"/>
                <w:highlight w:val="none"/>
                <w:u w:val="single"/>
                <w:lang w:val="en-US" w:eastAsia="zh-CN"/>
              </w:rPr>
              <w:t>47</w:t>
            </w:r>
            <w:r>
              <w:rPr>
                <w:rFonts w:hint="eastAsia" w:ascii="宋体" w:hAnsi="宋体" w:cs="宋体"/>
                <w:color w:val="auto"/>
                <w:szCs w:val="21"/>
                <w:highlight w:val="none"/>
                <w:u w:val="single"/>
              </w:rPr>
              <w:t>%。以上费用由中标单位自行承担，招标人不再另行支付。</w:t>
            </w:r>
          </w:p>
          <w:p w14:paraId="2081EF33">
            <w:pPr>
              <w:pStyle w:val="7"/>
              <w:rPr>
                <w:color w:val="auto"/>
                <w:highlight w:val="none"/>
              </w:rPr>
            </w:pPr>
            <w:r>
              <w:rPr>
                <w:rFonts w:hint="eastAsia" w:ascii="宋体" w:hAnsi="宋体" w:cs="宋体"/>
                <w:color w:val="auto"/>
                <w:szCs w:val="21"/>
                <w:highlight w:val="none"/>
                <w:u w:val="single"/>
              </w:rPr>
              <w:t>3.投标文件及定标文件签字盖章要求：投标人采用单位数字证书，按招标文件要求在相应位置加盖电子印章。投标文件及定标文件中需个人签字或盖章的，应加盖个人电子印章或在线下完成后扫描上传。按照交易平台关于全流程电子化项目的相关指南进行操作。</w:t>
            </w:r>
          </w:p>
        </w:tc>
      </w:tr>
      <w:tr w14:paraId="25189F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34038E0F">
            <w:pPr>
              <w:jc w:val="center"/>
              <w:rPr>
                <w:rFonts w:ascii="宋体" w:hAnsi="宋体" w:cs="宋体"/>
                <w:color w:val="auto"/>
                <w:szCs w:val="21"/>
                <w:highlight w:val="none"/>
              </w:rPr>
            </w:pPr>
            <w:r>
              <w:rPr>
                <w:rFonts w:hint="eastAsia" w:ascii="宋体" w:hAnsi="宋体" w:cs="宋体"/>
                <w:color w:val="auto"/>
                <w:szCs w:val="21"/>
                <w:highlight w:val="none"/>
              </w:rPr>
              <w:t>38</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71CF175C">
            <w:pPr>
              <w:jc w:val="center"/>
              <w:rPr>
                <w:rFonts w:hint="eastAsia" w:ascii="宋体" w:hAnsi="宋体" w:cs="宋体"/>
                <w:color w:val="auto"/>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14:paraId="52CD8EBC">
            <w:pPr>
              <w:spacing w:line="380" w:lineRule="exact"/>
              <w:jc w:val="center"/>
              <w:rPr>
                <w:rFonts w:hint="eastAsia" w:ascii="宋体" w:hAnsi="宋体"/>
                <w:color w:val="auto"/>
                <w:highlight w:val="none"/>
              </w:rPr>
            </w:pPr>
            <w:r>
              <w:rPr>
                <w:rFonts w:hint="eastAsia" w:ascii="宋体" w:hAnsi="宋体" w:cs="宋体"/>
                <w:color w:val="auto"/>
                <w:szCs w:val="21"/>
                <w:highlight w:val="none"/>
              </w:rPr>
              <w:t>招标人对中标人参与“百千万工程”的具体要求</w:t>
            </w:r>
          </w:p>
        </w:tc>
        <w:tc>
          <w:tcPr>
            <w:tcW w:w="6563" w:type="dxa"/>
            <w:tcBorders>
              <w:top w:val="single" w:color="auto" w:sz="4" w:space="0"/>
              <w:left w:val="single" w:color="auto" w:sz="4" w:space="0"/>
              <w:bottom w:val="single" w:color="auto" w:sz="4" w:space="0"/>
              <w:right w:val="double" w:color="auto" w:sz="4" w:space="0"/>
            </w:tcBorders>
            <w:noWrap w:val="0"/>
            <w:vAlign w:val="center"/>
          </w:tcPr>
          <w:p w14:paraId="1BA25430">
            <w:pPr>
              <w:spacing w:line="38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☑具体要求在中标后按照投标承诺和招标人的要求执行。</w:t>
            </w:r>
          </w:p>
          <w:p w14:paraId="60BD1E73">
            <w:pPr>
              <w:spacing w:line="380" w:lineRule="exact"/>
              <w:rPr>
                <w:rFonts w:ascii="宋体" w:hAnsi="宋体" w:cs="宋体"/>
                <w:color w:val="auto"/>
                <w:szCs w:val="21"/>
                <w:highlight w:val="none"/>
                <w:u w:val="single"/>
              </w:rPr>
            </w:pPr>
            <w:r>
              <w:rPr>
                <w:rFonts w:hint="eastAsia" w:ascii="宋体" w:hAnsi="宋体" w:cs="宋体"/>
                <w:color w:val="auto"/>
                <w:szCs w:val="21"/>
                <w:highlight w:val="none"/>
                <w:lang w:val="zh-CN"/>
              </w:rPr>
              <w:t>□具体要求：（由招标人填写）</w:t>
            </w:r>
          </w:p>
        </w:tc>
      </w:tr>
    </w:tbl>
    <w:p w14:paraId="130CC87B">
      <w:pPr>
        <w:spacing w:line="480" w:lineRule="auto"/>
        <w:rPr>
          <w:rFonts w:hint="eastAsia" w:ascii="宋体" w:hAnsi="宋体" w:cs="宋体"/>
          <w:strike/>
          <w:color w:val="auto"/>
          <w:szCs w:val="21"/>
          <w:highlight w:val="none"/>
        </w:rPr>
      </w:pPr>
      <w:r>
        <w:rPr>
          <w:rFonts w:hint="eastAsia" w:ascii="宋体" w:hAnsi="宋体" w:cs="宋体"/>
          <w:strike/>
          <w:color w:val="auto"/>
          <w:szCs w:val="21"/>
          <w:highlight w:val="none"/>
        </w:rPr>
        <w:t>注：企业</w:t>
      </w:r>
      <w:r>
        <w:rPr>
          <w:rFonts w:hint="eastAsia" w:ascii="宋体" w:hAnsi="宋体" w:cs="宋体"/>
          <w:strike/>
          <w:color w:val="auto"/>
          <w:kern w:val="0"/>
          <w:szCs w:val="21"/>
          <w:highlight w:val="none"/>
        </w:rPr>
        <w:t>综合诚信评价得分即</w:t>
      </w:r>
      <w:r>
        <w:rPr>
          <w:rFonts w:hint="eastAsia" w:ascii="宋体" w:hAnsi="宋体" w:cs="宋体"/>
          <w:strike/>
          <w:color w:val="auto"/>
          <w:szCs w:val="21"/>
          <w:highlight w:val="none"/>
        </w:rPr>
        <w:t>企业</w:t>
      </w:r>
      <w:r>
        <w:rPr>
          <w:rFonts w:hint="eastAsia" w:ascii="宋体" w:hAnsi="宋体" w:cs="宋体"/>
          <w:strike/>
          <w:color w:val="auto"/>
          <w:kern w:val="0"/>
          <w:szCs w:val="21"/>
          <w:highlight w:val="none"/>
        </w:rPr>
        <w:t>综合诚信评价60日诚信分，以下同。</w:t>
      </w:r>
    </w:p>
    <w:p w14:paraId="26731C4F">
      <w:pPr>
        <w:pStyle w:val="6"/>
        <w:rPr>
          <w:rFonts w:hint="eastAsia" w:ascii="宋体" w:hAnsi="宋体" w:cs="宋体"/>
          <w:color w:val="auto"/>
          <w:highlight w:val="none"/>
        </w:rPr>
      </w:pPr>
      <w:r>
        <w:rPr>
          <w:rFonts w:hint="eastAsia" w:ascii="宋体" w:hAnsi="宋体" w:cs="宋体"/>
          <w:color w:val="auto"/>
          <w:highlight w:val="none"/>
        </w:rPr>
        <w:br w:type="page"/>
      </w:r>
      <w:bookmarkStart w:id="4" w:name="_Toc31199"/>
      <w:bookmarkStart w:id="5" w:name="_Toc2272547"/>
      <w:r>
        <w:rPr>
          <w:rFonts w:hint="eastAsia" w:ascii="宋体" w:hAnsi="宋体" w:cs="宋体"/>
          <w:color w:val="auto"/>
          <w:highlight w:val="none"/>
        </w:rPr>
        <w:t>二、投标须知修改表</w:t>
      </w:r>
      <w:bookmarkEnd w:id="4"/>
      <w:bookmarkEnd w:id="5"/>
    </w:p>
    <w:p w14:paraId="0C520C0C">
      <w:pPr>
        <w:pStyle w:val="4"/>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14:paraId="79B29A36">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条款号：5.1</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14:paraId="6C337FF7">
      <w:pPr>
        <w:pBdr>
          <w:bottom w:val="single" w:color="auto" w:sz="6" w:space="1"/>
        </w:pBd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5.1</w:t>
      </w:r>
      <w:r>
        <w:rPr>
          <w:rFonts w:hint="eastAsia" w:ascii="宋体" w:hAnsi="宋体" w:cs="宋体"/>
          <w:bCs/>
          <w:color w:val="auto"/>
          <w:szCs w:val="21"/>
          <w:highlight w:val="none"/>
        </w:rPr>
        <w:t>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3A0BC678">
      <w:pPr>
        <w:pBdr>
          <w:bottom w:val="single" w:color="auto" w:sz="6" w:space="1"/>
        </w:pBdr>
        <w:spacing w:line="360" w:lineRule="auto"/>
        <w:ind w:firstLine="413" w:firstLineChars="196"/>
        <w:rPr>
          <w:rFonts w:hint="eastAsia" w:asci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5.1</w:t>
      </w:r>
      <w:r>
        <w:rPr>
          <w:rFonts w:hint="eastAsia" w:ascii="宋体" w:cs="宋体"/>
          <w:color w:val="auto"/>
          <w:szCs w:val="21"/>
          <w:highlight w:val="none"/>
        </w:rPr>
        <w:t>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cs="宋体"/>
          <w:color w:val="auto"/>
          <w:szCs w:val="21"/>
          <w:highlight w:val="none"/>
          <w:u w:val="single"/>
        </w:rPr>
        <w:t>投标人不进行踏勘的，视为已熟知现场条件，自行承担相关风险。投标单位自行勘察并对工程量清单（如有）、工作内容及图纸内容、准确性进行复核，如有误差必须在答疑中提出，否则视为已认可本项目的相关资料及图纸所有内容。</w:t>
      </w:r>
      <w:r>
        <w:rPr>
          <w:rFonts w:hint="eastAsia" w:ascii="宋体" w:cs="宋体"/>
          <w:color w:val="auto"/>
          <w:szCs w:val="21"/>
          <w:highlight w:val="none"/>
        </w:rPr>
        <w:t>一旦中标，这种考察即被认为其结果已在中标文件中得到充分反映。</w:t>
      </w:r>
      <w:r>
        <w:rPr>
          <w:rFonts w:hint="eastAsia" w:ascii="宋体" w:cs="宋体"/>
          <w:color w:val="auto"/>
          <w:szCs w:val="21"/>
          <w:highlight w:val="none"/>
          <w:u w:val="single"/>
        </w:rPr>
        <w:t>招标人不受理因投标人缺乏对现场条件的了解或掌握而提出的任何索赔。</w:t>
      </w:r>
      <w:r>
        <w:rPr>
          <w:rFonts w:hint="eastAsia" w:ascii="宋体" w:cs="宋体"/>
          <w:color w:val="auto"/>
          <w:szCs w:val="21"/>
          <w:highlight w:val="none"/>
        </w:rPr>
        <w:t>考察现场的费用由投标人自己承担。</w:t>
      </w:r>
    </w:p>
    <w:p w14:paraId="444D0541">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条款号：7.1                          修改类型：修改</w:t>
      </w:r>
    </w:p>
    <w:p w14:paraId="75559315">
      <w:pPr>
        <w:pBdr>
          <w:bottom w:val="single" w:color="auto" w:sz="6" w:space="1"/>
        </w:pBdr>
        <w:spacing w:line="360" w:lineRule="auto"/>
        <w:ind w:firstLine="411" w:firstLineChars="195"/>
        <w:rPr>
          <w:rFonts w:hint="eastAsia" w:ascii="宋体" w:hAnsi="宋体" w:cs="宋体"/>
          <w:color w:val="auto"/>
          <w:kern w:val="0"/>
          <w:szCs w:val="21"/>
          <w:highlight w:val="none"/>
        </w:rPr>
      </w:pPr>
      <w:r>
        <w:rPr>
          <w:rFonts w:hint="eastAsia" w:ascii="宋体" w:hAnsi="宋体" w:cs="宋体"/>
          <w:b/>
          <w:color w:val="auto"/>
          <w:kern w:val="0"/>
          <w:szCs w:val="21"/>
          <w:highlight w:val="none"/>
        </w:rPr>
        <w:t>原文：</w:t>
      </w:r>
      <w:r>
        <w:rPr>
          <w:rFonts w:hint="eastAsia" w:ascii="宋体" w:hAnsi="宋体" w:cs="宋体"/>
          <w:color w:val="auto"/>
          <w:kern w:val="0"/>
          <w:szCs w:val="21"/>
          <w:highlight w:val="none"/>
        </w:rPr>
        <w:t>7.1本招标文件包括下列文件，以及所有按本须知第8条发出的招标答疑会会议纪要和按本须知第9条发出的澄清或修改：</w:t>
      </w:r>
    </w:p>
    <w:p w14:paraId="4B8943B5">
      <w:pPr>
        <w:pBdr>
          <w:bottom w:val="single" w:color="auto" w:sz="6" w:space="1"/>
        </w:pBdr>
        <w:spacing w:line="360" w:lineRule="auto"/>
        <w:ind w:firstLine="409" w:firstLineChars="195"/>
        <w:rPr>
          <w:rFonts w:hint="eastAsia" w:ascii="宋体" w:hAnsi="宋体" w:cs="宋体"/>
          <w:color w:val="auto"/>
          <w:kern w:val="0"/>
          <w:szCs w:val="21"/>
          <w:highlight w:val="none"/>
        </w:rPr>
      </w:pPr>
      <w:r>
        <w:rPr>
          <w:rFonts w:hint="eastAsia" w:ascii="宋体" w:hAnsi="宋体" w:cs="宋体"/>
          <w:color w:val="auto"/>
          <w:kern w:val="0"/>
          <w:szCs w:val="21"/>
          <w:highlight w:val="none"/>
        </w:rPr>
        <w:t>第一章  投标须知</w:t>
      </w:r>
    </w:p>
    <w:p w14:paraId="793B2CD9">
      <w:pPr>
        <w:pBdr>
          <w:bottom w:val="single" w:color="auto" w:sz="6" w:space="1"/>
        </w:pBdr>
        <w:spacing w:line="360" w:lineRule="auto"/>
        <w:ind w:firstLine="409" w:firstLineChars="195"/>
        <w:rPr>
          <w:rFonts w:hint="eastAsia" w:ascii="宋体" w:hAnsi="宋体" w:cs="宋体"/>
          <w:color w:val="auto"/>
          <w:kern w:val="0"/>
          <w:szCs w:val="21"/>
          <w:highlight w:val="none"/>
        </w:rPr>
      </w:pPr>
      <w:r>
        <w:rPr>
          <w:rFonts w:hint="eastAsia" w:ascii="宋体" w:hAnsi="宋体" w:cs="宋体"/>
          <w:color w:val="auto"/>
          <w:kern w:val="0"/>
          <w:szCs w:val="21"/>
          <w:highlight w:val="none"/>
        </w:rPr>
        <w:t>第二章  开标、评标及定标办法</w:t>
      </w:r>
    </w:p>
    <w:p w14:paraId="1EED6E70">
      <w:pPr>
        <w:pBdr>
          <w:bottom w:val="single" w:color="auto" w:sz="6" w:space="1"/>
        </w:pBdr>
        <w:spacing w:line="360" w:lineRule="auto"/>
        <w:ind w:firstLine="409" w:firstLineChars="195"/>
        <w:rPr>
          <w:rFonts w:hint="eastAsia" w:ascii="宋体" w:hAnsi="宋体" w:cs="宋体"/>
          <w:color w:val="auto"/>
          <w:kern w:val="0"/>
          <w:szCs w:val="21"/>
          <w:highlight w:val="none"/>
        </w:rPr>
      </w:pPr>
      <w:r>
        <w:rPr>
          <w:rFonts w:hint="eastAsia" w:ascii="宋体" w:hAnsi="宋体" w:cs="宋体"/>
          <w:color w:val="auto"/>
          <w:kern w:val="0"/>
          <w:szCs w:val="21"/>
          <w:highlight w:val="none"/>
        </w:rPr>
        <w:t>第三章  合同条款</w:t>
      </w:r>
    </w:p>
    <w:p w14:paraId="48E1A8D7">
      <w:pPr>
        <w:pBdr>
          <w:bottom w:val="single" w:color="auto" w:sz="6" w:space="1"/>
        </w:pBdr>
        <w:spacing w:line="360" w:lineRule="auto"/>
        <w:ind w:firstLine="409" w:firstLineChars="195"/>
        <w:rPr>
          <w:rFonts w:hint="eastAsia" w:ascii="宋体" w:hAnsi="宋体" w:cs="宋体"/>
          <w:color w:val="auto"/>
          <w:kern w:val="0"/>
          <w:szCs w:val="21"/>
          <w:highlight w:val="none"/>
        </w:rPr>
      </w:pPr>
      <w:r>
        <w:rPr>
          <w:rFonts w:hint="eastAsia" w:ascii="宋体" w:hAnsi="宋体" w:cs="宋体"/>
          <w:color w:val="auto"/>
          <w:kern w:val="0"/>
          <w:szCs w:val="21"/>
          <w:highlight w:val="none"/>
        </w:rPr>
        <w:t>第四章  投标文件格式</w:t>
      </w:r>
    </w:p>
    <w:p w14:paraId="58AD3240">
      <w:pPr>
        <w:pBdr>
          <w:bottom w:val="single" w:color="auto" w:sz="6" w:space="1"/>
        </w:pBdr>
        <w:spacing w:line="360" w:lineRule="auto"/>
        <w:ind w:firstLine="409" w:firstLineChars="195"/>
        <w:rPr>
          <w:rFonts w:hint="eastAsia" w:ascii="宋体" w:hAnsi="宋体" w:cs="宋体"/>
          <w:color w:val="auto"/>
          <w:kern w:val="0"/>
          <w:szCs w:val="21"/>
          <w:highlight w:val="none"/>
        </w:rPr>
      </w:pPr>
      <w:r>
        <w:rPr>
          <w:rFonts w:hint="eastAsia" w:ascii="宋体" w:hAnsi="宋体" w:cs="宋体"/>
          <w:color w:val="auto"/>
          <w:kern w:val="0"/>
          <w:szCs w:val="21"/>
          <w:highlight w:val="none"/>
        </w:rPr>
        <w:t>第五章  技术条件（工程建设标准）（另册）</w:t>
      </w:r>
    </w:p>
    <w:p w14:paraId="1D741B32">
      <w:pPr>
        <w:pBdr>
          <w:bottom w:val="single" w:color="auto" w:sz="6" w:space="1"/>
        </w:pBdr>
        <w:spacing w:line="360" w:lineRule="auto"/>
        <w:ind w:firstLine="409" w:firstLineChars="195"/>
        <w:rPr>
          <w:rFonts w:hint="eastAsia" w:ascii="宋体" w:hAnsi="宋体" w:cs="宋体"/>
          <w:color w:val="auto"/>
          <w:kern w:val="0"/>
          <w:szCs w:val="21"/>
          <w:highlight w:val="none"/>
        </w:rPr>
      </w:pPr>
      <w:r>
        <w:rPr>
          <w:rFonts w:hint="eastAsia" w:ascii="宋体" w:hAnsi="宋体" w:cs="宋体"/>
          <w:color w:val="auto"/>
          <w:kern w:val="0"/>
          <w:szCs w:val="21"/>
          <w:highlight w:val="none"/>
        </w:rPr>
        <w:t>第六章  图纸及勘察资料（另册）</w:t>
      </w:r>
    </w:p>
    <w:p w14:paraId="378CF0A5">
      <w:pPr>
        <w:pBdr>
          <w:bottom w:val="single" w:color="auto" w:sz="6" w:space="1"/>
        </w:pBdr>
        <w:spacing w:line="360" w:lineRule="auto"/>
        <w:ind w:firstLine="409" w:firstLineChars="195"/>
        <w:rPr>
          <w:rFonts w:hint="eastAsia" w:ascii="宋体" w:hAnsi="宋体" w:cs="宋体"/>
          <w:color w:val="auto"/>
          <w:kern w:val="0"/>
          <w:szCs w:val="21"/>
          <w:highlight w:val="none"/>
        </w:rPr>
      </w:pPr>
      <w:r>
        <w:rPr>
          <w:rFonts w:hint="eastAsia" w:ascii="宋体" w:hAnsi="宋体" w:cs="宋体"/>
          <w:color w:val="auto"/>
          <w:kern w:val="0"/>
          <w:szCs w:val="21"/>
          <w:highlight w:val="none"/>
        </w:rPr>
        <w:t>第七章  招标工程量清单（另册）</w:t>
      </w:r>
    </w:p>
    <w:p w14:paraId="5946A7D3">
      <w:pPr>
        <w:pBdr>
          <w:bottom w:val="single" w:color="auto" w:sz="6" w:space="1"/>
        </w:pBdr>
        <w:spacing w:line="360" w:lineRule="auto"/>
        <w:ind w:firstLine="409" w:firstLineChars="195"/>
        <w:rPr>
          <w:rFonts w:hint="eastAsia" w:ascii="宋体" w:hAnsi="宋体" w:cs="宋体"/>
          <w:color w:val="auto"/>
          <w:kern w:val="0"/>
          <w:szCs w:val="21"/>
          <w:highlight w:val="none"/>
        </w:rPr>
      </w:pPr>
      <w:r>
        <w:rPr>
          <w:rFonts w:hint="eastAsia" w:ascii="宋体" w:hAnsi="宋体" w:cs="宋体"/>
          <w:color w:val="auto"/>
          <w:kern w:val="0"/>
          <w:szCs w:val="21"/>
          <w:highlight w:val="none"/>
        </w:rPr>
        <w:t>第八章  最高投标限价</w:t>
      </w:r>
    </w:p>
    <w:p w14:paraId="5A41E8A1">
      <w:pPr>
        <w:pBdr>
          <w:bottom w:val="single" w:color="auto" w:sz="6" w:space="1"/>
        </w:pBdr>
        <w:spacing w:line="360" w:lineRule="auto"/>
        <w:ind w:firstLine="409" w:firstLineChars="195"/>
        <w:rPr>
          <w:rFonts w:ascii="宋体" w:hAnsi="宋体" w:cs="宋体"/>
          <w:color w:val="auto"/>
          <w:kern w:val="0"/>
          <w:szCs w:val="21"/>
          <w:highlight w:val="none"/>
        </w:rPr>
      </w:pPr>
      <w:r>
        <w:rPr>
          <w:rFonts w:hint="eastAsia" w:ascii="宋体" w:hAnsi="宋体" w:cs="宋体"/>
          <w:color w:val="auto"/>
          <w:kern w:val="0"/>
          <w:szCs w:val="21"/>
          <w:highlight w:val="none"/>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61F18126">
      <w:pPr>
        <w:pBdr>
          <w:bottom w:val="single" w:color="auto" w:sz="6" w:space="1"/>
        </w:pBdr>
        <w:spacing w:line="360" w:lineRule="auto"/>
        <w:ind w:firstLine="411" w:firstLineChars="195"/>
        <w:rPr>
          <w:rFonts w:hint="eastAsia" w:ascii="宋体" w:hAnsi="宋体" w:cs="宋体"/>
          <w:color w:val="auto"/>
          <w:kern w:val="0"/>
          <w:szCs w:val="21"/>
          <w:highlight w:val="none"/>
        </w:rPr>
      </w:pPr>
      <w:r>
        <w:rPr>
          <w:rFonts w:hint="eastAsia" w:ascii="宋体" w:hAnsi="宋体" w:cs="宋体"/>
          <w:b/>
          <w:color w:val="auto"/>
          <w:kern w:val="0"/>
          <w:szCs w:val="21"/>
          <w:highlight w:val="none"/>
        </w:rPr>
        <w:t>现文：</w:t>
      </w:r>
      <w:r>
        <w:rPr>
          <w:rFonts w:hint="eastAsia" w:ascii="宋体" w:hAnsi="宋体" w:cs="宋体"/>
          <w:color w:val="auto"/>
          <w:kern w:val="0"/>
          <w:szCs w:val="21"/>
          <w:highlight w:val="none"/>
        </w:rPr>
        <w:t>7.1本招标文件包括下列文件，以及所有按本须知第8条发出的招标答疑会会议纪要和按本须知第9条发出的澄清或修改：</w:t>
      </w:r>
    </w:p>
    <w:p w14:paraId="4614DC73">
      <w:pPr>
        <w:pBdr>
          <w:bottom w:val="single" w:color="auto" w:sz="6" w:space="1"/>
        </w:pBdr>
        <w:spacing w:line="360" w:lineRule="auto"/>
        <w:ind w:firstLine="409" w:firstLineChars="195"/>
        <w:rPr>
          <w:rFonts w:hint="eastAsia" w:ascii="宋体" w:hAnsi="宋体" w:cs="宋体"/>
          <w:color w:val="auto"/>
          <w:kern w:val="0"/>
          <w:szCs w:val="21"/>
          <w:highlight w:val="none"/>
        </w:rPr>
      </w:pPr>
      <w:r>
        <w:rPr>
          <w:rFonts w:hint="eastAsia" w:ascii="宋体" w:hAnsi="宋体" w:cs="宋体"/>
          <w:color w:val="auto"/>
          <w:kern w:val="0"/>
          <w:szCs w:val="21"/>
          <w:highlight w:val="none"/>
        </w:rPr>
        <w:t>第一章  投标须知</w:t>
      </w:r>
    </w:p>
    <w:p w14:paraId="69B62490">
      <w:pPr>
        <w:pBdr>
          <w:bottom w:val="single" w:color="auto" w:sz="6" w:space="1"/>
        </w:pBdr>
        <w:spacing w:line="360" w:lineRule="auto"/>
        <w:ind w:firstLine="409" w:firstLineChars="195"/>
        <w:rPr>
          <w:rFonts w:hint="eastAsia" w:ascii="宋体" w:hAnsi="宋体" w:cs="宋体"/>
          <w:color w:val="auto"/>
          <w:kern w:val="0"/>
          <w:szCs w:val="21"/>
          <w:highlight w:val="none"/>
        </w:rPr>
      </w:pPr>
      <w:r>
        <w:rPr>
          <w:rFonts w:hint="eastAsia" w:ascii="宋体" w:hAnsi="宋体" w:cs="宋体"/>
          <w:color w:val="auto"/>
          <w:kern w:val="0"/>
          <w:szCs w:val="21"/>
          <w:highlight w:val="none"/>
        </w:rPr>
        <w:t>第二章  开标、评标及定标办法</w:t>
      </w:r>
    </w:p>
    <w:p w14:paraId="1A4D2DD4">
      <w:pPr>
        <w:pBdr>
          <w:bottom w:val="single" w:color="auto" w:sz="6" w:space="1"/>
        </w:pBdr>
        <w:spacing w:line="360" w:lineRule="auto"/>
        <w:ind w:firstLine="409" w:firstLineChars="195"/>
        <w:rPr>
          <w:rFonts w:hint="eastAsia" w:ascii="宋体" w:hAnsi="宋体" w:cs="宋体"/>
          <w:color w:val="auto"/>
          <w:kern w:val="0"/>
          <w:szCs w:val="21"/>
          <w:highlight w:val="none"/>
        </w:rPr>
      </w:pPr>
      <w:r>
        <w:rPr>
          <w:rFonts w:hint="eastAsia" w:ascii="宋体" w:hAnsi="宋体" w:cs="宋体"/>
          <w:color w:val="auto"/>
          <w:kern w:val="0"/>
          <w:szCs w:val="21"/>
          <w:highlight w:val="none"/>
        </w:rPr>
        <w:t>第三章  合同条款</w:t>
      </w:r>
    </w:p>
    <w:p w14:paraId="01F2ABCA">
      <w:pPr>
        <w:pBdr>
          <w:bottom w:val="single" w:color="auto" w:sz="6" w:space="1"/>
        </w:pBdr>
        <w:spacing w:line="360" w:lineRule="auto"/>
        <w:ind w:firstLine="409" w:firstLineChars="195"/>
        <w:rPr>
          <w:rFonts w:hint="eastAsia" w:ascii="宋体" w:hAnsi="宋体" w:cs="宋体"/>
          <w:color w:val="auto"/>
          <w:kern w:val="0"/>
          <w:szCs w:val="21"/>
          <w:highlight w:val="none"/>
        </w:rPr>
      </w:pPr>
      <w:r>
        <w:rPr>
          <w:rFonts w:hint="eastAsia" w:ascii="宋体" w:hAnsi="宋体" w:cs="宋体"/>
          <w:color w:val="auto"/>
          <w:kern w:val="0"/>
          <w:szCs w:val="21"/>
          <w:highlight w:val="none"/>
        </w:rPr>
        <w:t>第四章  投标文件格式</w:t>
      </w:r>
    </w:p>
    <w:p w14:paraId="6B8E213E">
      <w:pPr>
        <w:pBdr>
          <w:bottom w:val="single" w:color="auto" w:sz="6" w:space="1"/>
        </w:pBdr>
        <w:spacing w:line="360" w:lineRule="auto"/>
        <w:ind w:firstLine="409" w:firstLineChars="195"/>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第五章  </w:t>
      </w:r>
      <w:r>
        <w:rPr>
          <w:rFonts w:hint="eastAsia" w:ascii="宋体" w:hAnsi="宋体" w:cs="宋体"/>
          <w:color w:val="auto"/>
          <w:kern w:val="0"/>
          <w:szCs w:val="21"/>
          <w:highlight w:val="none"/>
          <w:u w:val="single"/>
        </w:rPr>
        <w:t>技术要求</w:t>
      </w:r>
    </w:p>
    <w:p w14:paraId="53AB9921">
      <w:pPr>
        <w:pBdr>
          <w:bottom w:val="single" w:color="auto" w:sz="6" w:space="1"/>
        </w:pBdr>
        <w:spacing w:line="360" w:lineRule="auto"/>
        <w:ind w:firstLine="409" w:firstLineChars="195"/>
        <w:rPr>
          <w:rFonts w:hint="eastAsia" w:ascii="宋体" w:hAnsi="宋体" w:cs="宋体"/>
          <w:color w:val="auto"/>
          <w:kern w:val="0"/>
          <w:szCs w:val="21"/>
          <w:highlight w:val="none"/>
        </w:rPr>
      </w:pPr>
      <w:r>
        <w:rPr>
          <w:rFonts w:hint="eastAsia" w:ascii="宋体" w:hAnsi="宋体" w:cs="宋体"/>
          <w:color w:val="auto"/>
          <w:kern w:val="0"/>
          <w:szCs w:val="21"/>
          <w:highlight w:val="none"/>
        </w:rPr>
        <w:t>第六章  图纸及勘察资料（另册）</w:t>
      </w:r>
    </w:p>
    <w:p w14:paraId="62CA0417">
      <w:pPr>
        <w:pBdr>
          <w:bottom w:val="single" w:color="auto" w:sz="6" w:space="1"/>
        </w:pBdr>
        <w:spacing w:line="360" w:lineRule="auto"/>
        <w:ind w:firstLine="409" w:firstLineChars="195"/>
        <w:rPr>
          <w:rFonts w:hint="eastAsia" w:ascii="宋体" w:hAnsi="宋体" w:cs="宋体"/>
          <w:color w:val="auto"/>
          <w:kern w:val="0"/>
          <w:szCs w:val="21"/>
          <w:highlight w:val="none"/>
        </w:rPr>
      </w:pPr>
      <w:r>
        <w:rPr>
          <w:rFonts w:hint="eastAsia" w:ascii="宋体" w:hAnsi="宋体" w:cs="宋体"/>
          <w:color w:val="auto"/>
          <w:kern w:val="0"/>
          <w:szCs w:val="21"/>
          <w:highlight w:val="none"/>
        </w:rPr>
        <w:t>第七章  招标工程量清单</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u w:val="single"/>
          <w:lang w:val="en-US" w:eastAsia="zh-CN"/>
        </w:rPr>
        <w:t>另册</w:t>
      </w:r>
      <w:r>
        <w:rPr>
          <w:rFonts w:hint="eastAsia" w:ascii="宋体" w:hAnsi="宋体" w:cs="宋体"/>
          <w:color w:val="auto"/>
          <w:kern w:val="0"/>
          <w:szCs w:val="21"/>
          <w:highlight w:val="none"/>
          <w:u w:val="single"/>
        </w:rPr>
        <w:t>）</w:t>
      </w:r>
    </w:p>
    <w:p w14:paraId="18FE7F10">
      <w:pPr>
        <w:pBdr>
          <w:bottom w:val="single" w:color="auto" w:sz="6" w:space="1"/>
        </w:pBdr>
        <w:spacing w:line="360" w:lineRule="auto"/>
        <w:ind w:firstLine="409" w:firstLineChars="195"/>
        <w:rPr>
          <w:rFonts w:hint="eastAsia" w:ascii="宋体" w:hAnsi="宋体" w:cs="宋体"/>
          <w:color w:val="auto"/>
          <w:kern w:val="0"/>
          <w:szCs w:val="21"/>
          <w:highlight w:val="none"/>
        </w:rPr>
      </w:pPr>
      <w:r>
        <w:rPr>
          <w:rFonts w:hint="eastAsia" w:ascii="宋体" w:hAnsi="宋体" w:cs="宋体"/>
          <w:color w:val="auto"/>
          <w:kern w:val="0"/>
          <w:szCs w:val="21"/>
          <w:highlight w:val="none"/>
        </w:rPr>
        <w:t>第八章  最高投标限价</w:t>
      </w:r>
      <w:r>
        <w:rPr>
          <w:rFonts w:hint="eastAsia" w:ascii="宋体" w:hAnsi="宋体" w:cs="宋体"/>
          <w:color w:val="auto"/>
          <w:kern w:val="0"/>
          <w:szCs w:val="21"/>
          <w:highlight w:val="none"/>
          <w:u w:val="single"/>
        </w:rPr>
        <w:t>（详见本项目招标公告）</w:t>
      </w:r>
    </w:p>
    <w:p w14:paraId="5256E639">
      <w:pPr>
        <w:pBdr>
          <w:bottom w:val="single" w:color="auto" w:sz="6" w:space="1"/>
        </w:pBdr>
        <w:spacing w:line="360" w:lineRule="auto"/>
        <w:ind w:firstLine="409" w:firstLineChars="195"/>
        <w:rPr>
          <w:rFonts w:hint="eastAsia" w:ascii="宋体" w:hAnsi="宋体" w:cs="宋体"/>
          <w:color w:val="auto"/>
          <w:szCs w:val="21"/>
          <w:highlight w:val="none"/>
          <w:u w:val="single"/>
        </w:rPr>
      </w:pPr>
      <w:r>
        <w:rPr>
          <w:rFonts w:hint="eastAsia" w:ascii="宋体" w:hAnsi="宋体" w:cs="宋体"/>
          <w:color w:val="auto"/>
          <w:kern w:val="0"/>
          <w:szCs w:val="21"/>
          <w:highlight w:val="none"/>
        </w:rPr>
        <w:t>注：①招标人应在</w:t>
      </w:r>
      <w:r>
        <w:rPr>
          <w:rFonts w:hint="eastAsia" w:ascii="宋体" w:hAnsi="宋体" w:cs="宋体"/>
          <w:color w:val="auto"/>
          <w:kern w:val="0"/>
          <w:szCs w:val="21"/>
          <w:highlight w:val="none"/>
          <w:u w:val="single"/>
        </w:rPr>
        <w:t>技术要求</w:t>
      </w:r>
      <w:r>
        <w:rPr>
          <w:rFonts w:hint="eastAsia" w:ascii="宋体" w:hAnsi="宋体" w:cs="宋体"/>
          <w:color w:val="auto"/>
          <w:kern w:val="0"/>
          <w:szCs w:val="21"/>
          <w:highlight w:val="none"/>
        </w:rPr>
        <w:t>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7AA027C9">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条款号：8.1</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14:paraId="3DF66E0F">
      <w:pPr>
        <w:pBdr>
          <w:bottom w:val="single" w:color="auto" w:sz="6" w:space="1"/>
        </w:pBd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8.1</w:t>
      </w:r>
      <w:r>
        <w:rPr>
          <w:rFonts w:hint="eastAsia" w:ascii="宋体" w:hAnsi="宋体" w:cs="宋体"/>
          <w:bCs/>
          <w:color w:val="auto"/>
          <w:szCs w:val="21"/>
          <w:highlight w:val="none"/>
        </w:rPr>
        <w:t>投标人</w:t>
      </w:r>
      <w:r>
        <w:rPr>
          <w:rFonts w:hint="eastAsia" w:ascii="宋体" w:hAnsi="宋体" w:cs="宋体"/>
          <w:color w:val="auto"/>
          <w:szCs w:val="21"/>
          <w:highlight w:val="none"/>
        </w:rPr>
        <w:t>若对招标文件（包括招标图纸）中有疑问，可以书面形式通过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交易平台提交给招标人或招标代理人，提交形式见本须知前附表第16项。</w:t>
      </w:r>
    </w:p>
    <w:p w14:paraId="634C8ABC">
      <w:pPr>
        <w:pBdr>
          <w:bottom w:val="single" w:color="auto" w:sz="6" w:space="1"/>
        </w:pBdr>
        <w:spacing w:line="440" w:lineRule="exact"/>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 xml:space="preserve">8.1 </w:t>
      </w:r>
      <w:r>
        <w:rPr>
          <w:rStyle w:val="26"/>
          <w:rFonts w:ascii="宋体" w:hAnsi="宋体"/>
          <w:color w:val="auto"/>
          <w:szCs w:val="21"/>
          <w:highlight w:val="none"/>
        </w:rPr>
        <w:t>投标人若对招标文件（包括招标图纸</w:t>
      </w:r>
      <w:r>
        <w:rPr>
          <w:rStyle w:val="26"/>
          <w:rFonts w:ascii="宋体" w:hAnsi="宋体"/>
          <w:color w:val="auto"/>
          <w:szCs w:val="21"/>
          <w:highlight w:val="none"/>
          <w:u w:val="single"/>
        </w:rPr>
        <w:t>、合同条款等</w:t>
      </w:r>
      <w:r>
        <w:rPr>
          <w:rStyle w:val="26"/>
          <w:rFonts w:ascii="宋体" w:hAnsi="宋体"/>
          <w:color w:val="auto"/>
          <w:szCs w:val="21"/>
          <w:highlight w:val="none"/>
        </w:rPr>
        <w:t>）中有疑问，可以书面形式通过</w:t>
      </w:r>
      <w:r>
        <w:rPr>
          <w:rStyle w:val="26"/>
          <w:rFonts w:ascii="宋体" w:hAnsi="宋体"/>
          <w:color w:val="auto"/>
          <w:szCs w:val="21"/>
          <w:highlight w:val="none"/>
          <w:u w:val="single"/>
        </w:rPr>
        <w:t>广州交易集团有限公司（广州公共资源交易中心）</w:t>
      </w:r>
      <w:r>
        <w:rPr>
          <w:rStyle w:val="26"/>
          <w:rFonts w:ascii="宋体" w:hAnsi="宋体"/>
          <w:color w:val="auto"/>
          <w:szCs w:val="21"/>
          <w:highlight w:val="none"/>
        </w:rPr>
        <w:t>交易平台提交给招标人或招标代理人，提交形式见本须知前附表第16项。</w:t>
      </w:r>
    </w:p>
    <w:p w14:paraId="1547043D">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条款号：8.2</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14:paraId="463994FD">
      <w:pP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8.2招标答疑会会议纪要将在提交投标文件截止时间15日前在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交易平台“项目答疑纪要”专区公开发布。答疑纪要一经在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交易平台发布，视作已发放给所有投标人。</w:t>
      </w:r>
    </w:p>
    <w:p w14:paraId="2792BB1F">
      <w:pPr>
        <w:pBdr>
          <w:bottom w:val="single" w:color="auto" w:sz="6" w:space="1"/>
        </w:pBdr>
        <w:spacing w:line="440" w:lineRule="exact"/>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8.2</w:t>
      </w:r>
      <w:r>
        <w:rPr>
          <w:rFonts w:hint="eastAsia" w:ascii="宋体" w:cs="宋体"/>
          <w:color w:val="auto"/>
          <w:szCs w:val="21"/>
          <w:highlight w:val="none"/>
          <w:u w:val="single"/>
        </w:rPr>
        <w:t>招标答疑纪要</w:t>
      </w:r>
      <w:r>
        <w:rPr>
          <w:rFonts w:hint="eastAsia" w:ascii="宋体" w:cs="宋体"/>
          <w:color w:val="auto"/>
          <w:szCs w:val="21"/>
          <w:highlight w:val="none"/>
        </w:rPr>
        <w:t>将在提交投标文件截止时间15日前在</w:t>
      </w:r>
      <w:r>
        <w:rPr>
          <w:rFonts w:hint="eastAsia" w:ascii="宋体" w:cs="宋体"/>
          <w:color w:val="auto"/>
          <w:szCs w:val="21"/>
          <w:highlight w:val="none"/>
          <w:u w:val="single"/>
        </w:rPr>
        <w:t>广州交易集团有限公司（广州公共资源交易中心）</w:t>
      </w:r>
      <w:r>
        <w:rPr>
          <w:rFonts w:hint="eastAsia" w:ascii="宋体" w:cs="宋体"/>
          <w:color w:val="auto"/>
          <w:szCs w:val="21"/>
          <w:highlight w:val="none"/>
        </w:rPr>
        <w:t>交易平台 “项目答疑纪要”专区公开发布。答疑纪要一经在</w:t>
      </w:r>
      <w:r>
        <w:rPr>
          <w:rFonts w:hint="eastAsia" w:ascii="宋体" w:cs="宋体"/>
          <w:color w:val="auto"/>
          <w:szCs w:val="21"/>
          <w:highlight w:val="none"/>
          <w:u w:val="single"/>
        </w:rPr>
        <w:t>广州交易集团有限公司（广州公共资源交易中心）</w:t>
      </w:r>
      <w:r>
        <w:rPr>
          <w:rFonts w:hint="eastAsia" w:ascii="宋体" w:cs="宋体"/>
          <w:color w:val="auto"/>
          <w:szCs w:val="21"/>
          <w:highlight w:val="none"/>
        </w:rPr>
        <w:t>交易平台发布，视作已发放给所有投标人</w:t>
      </w:r>
      <w:r>
        <w:rPr>
          <w:rStyle w:val="26"/>
          <w:rFonts w:ascii="宋体" w:hAnsi="宋体"/>
          <w:color w:val="auto"/>
          <w:szCs w:val="21"/>
          <w:highlight w:val="none"/>
        </w:rPr>
        <w:t>。</w:t>
      </w:r>
    </w:p>
    <w:p w14:paraId="175F3B72">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条款号：8.4</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14:paraId="258A3393">
      <w:pP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olor w:val="auto"/>
          <w:szCs w:val="21"/>
          <w:highlight w:val="none"/>
        </w:rPr>
        <w:t>8.4若招标答疑会会议纪要与招标文件有矛盾，以答疑会议纪要最后发出的书面形式的文件为准。</w:t>
      </w:r>
    </w:p>
    <w:p w14:paraId="12FB6AAE">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olor w:val="auto"/>
          <w:szCs w:val="21"/>
          <w:highlight w:val="none"/>
        </w:rPr>
        <w:t>8.4</w:t>
      </w:r>
      <w:r>
        <w:rPr>
          <w:rFonts w:hint="eastAsia" w:ascii="宋体" w:cs="宋体"/>
          <w:color w:val="auto"/>
          <w:szCs w:val="21"/>
          <w:highlight w:val="none"/>
        </w:rPr>
        <w:t>若</w:t>
      </w:r>
      <w:r>
        <w:rPr>
          <w:rFonts w:hint="eastAsia" w:ascii="宋体" w:cs="宋体"/>
          <w:color w:val="auto"/>
          <w:szCs w:val="21"/>
          <w:highlight w:val="none"/>
          <w:u w:val="single"/>
        </w:rPr>
        <w:t>招标答疑纪要</w:t>
      </w:r>
      <w:r>
        <w:rPr>
          <w:rFonts w:hint="eastAsia" w:ascii="宋体" w:cs="宋体"/>
          <w:color w:val="auto"/>
          <w:szCs w:val="21"/>
          <w:highlight w:val="none"/>
        </w:rPr>
        <w:t>与招标文件有矛盾时，以</w:t>
      </w:r>
      <w:r>
        <w:rPr>
          <w:rFonts w:hint="eastAsia" w:ascii="宋体" w:cs="宋体"/>
          <w:color w:val="auto"/>
          <w:szCs w:val="21"/>
          <w:highlight w:val="none"/>
          <w:u w:val="single"/>
        </w:rPr>
        <w:t>广州交易集团有限公司（广州公共资源交易中心）交易平台</w:t>
      </w:r>
      <w:r>
        <w:rPr>
          <w:rFonts w:hint="eastAsia" w:ascii="宋体" w:cs="宋体"/>
          <w:color w:val="auto"/>
          <w:szCs w:val="21"/>
          <w:highlight w:val="none"/>
        </w:rPr>
        <w:t>最后发布的答疑纪要为准</w:t>
      </w:r>
      <w:r>
        <w:rPr>
          <w:rFonts w:hint="eastAsia" w:ascii="宋体" w:hAnsi="宋体"/>
          <w:color w:val="auto"/>
          <w:szCs w:val="21"/>
          <w:highlight w:val="none"/>
        </w:rPr>
        <w:t>。</w:t>
      </w:r>
    </w:p>
    <w:p w14:paraId="25F6EE2A">
      <w:pPr>
        <w:pBdr>
          <w:top w:val="single" w:color="auto" w:sz="4" w:space="1"/>
          <w:bottom w:val="single" w:color="auto" w:sz="4" w:space="1"/>
        </w:pBd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条款号：9.2</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14:paraId="43B13398">
      <w:pPr>
        <w:pBdr>
          <w:top w:val="single" w:color="auto" w:sz="4" w:space="1"/>
          <w:bottom w:val="single" w:color="auto" w:sz="4" w:space="1"/>
        </w:pBd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9.2招标文件的澄清或修改将在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交易平台“项目答疑纪要”专区公开发布。答疑纪要一经在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交易平台发布，视作已发放给所有投标人，以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交易平台上网发布时间作为送达时间。</w:t>
      </w:r>
    </w:p>
    <w:p w14:paraId="52AD1CA9">
      <w:pPr>
        <w:pBdr>
          <w:top w:val="single" w:color="auto" w:sz="4" w:space="1"/>
          <w:bottom w:val="single" w:color="auto" w:sz="4" w:space="1"/>
        </w:pBd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现文：</w:t>
      </w:r>
      <w:r>
        <w:rPr>
          <w:rStyle w:val="26"/>
          <w:rFonts w:ascii="宋体" w:hAnsi="宋体"/>
          <w:color w:val="auto"/>
          <w:szCs w:val="21"/>
          <w:highlight w:val="none"/>
        </w:rPr>
        <w:t>9.2招标文件的澄清或修改将在</w:t>
      </w:r>
      <w:r>
        <w:rPr>
          <w:rStyle w:val="26"/>
          <w:rFonts w:ascii="宋体" w:hAnsi="宋体"/>
          <w:color w:val="auto"/>
          <w:szCs w:val="21"/>
          <w:highlight w:val="none"/>
          <w:u w:val="single"/>
        </w:rPr>
        <w:t>广州交易集团有限公司（广州公共资源交易中心）</w:t>
      </w:r>
      <w:r>
        <w:rPr>
          <w:rStyle w:val="26"/>
          <w:rFonts w:ascii="宋体" w:hAnsi="宋体"/>
          <w:color w:val="auto"/>
          <w:szCs w:val="21"/>
          <w:highlight w:val="none"/>
        </w:rPr>
        <w:t>交易平台“项目答疑纪要”专区公开发布。答疑纪要一经在</w:t>
      </w:r>
      <w:r>
        <w:rPr>
          <w:rStyle w:val="26"/>
          <w:rFonts w:ascii="宋体" w:hAnsi="宋体"/>
          <w:color w:val="auto"/>
          <w:szCs w:val="21"/>
          <w:highlight w:val="none"/>
          <w:u w:val="single"/>
        </w:rPr>
        <w:t>广州交易集团有限公司（广州公共资源交易中心）</w:t>
      </w:r>
      <w:r>
        <w:rPr>
          <w:rStyle w:val="26"/>
          <w:rFonts w:ascii="宋体" w:hAnsi="宋体"/>
          <w:color w:val="auto"/>
          <w:szCs w:val="21"/>
          <w:highlight w:val="none"/>
        </w:rPr>
        <w:t>交易平台发布，视作已发放给所有投标人，以</w:t>
      </w:r>
      <w:r>
        <w:rPr>
          <w:rStyle w:val="26"/>
          <w:rFonts w:ascii="宋体" w:hAnsi="宋体"/>
          <w:color w:val="auto"/>
          <w:szCs w:val="21"/>
          <w:highlight w:val="none"/>
          <w:u w:val="single"/>
        </w:rPr>
        <w:t>广州交易集团有限公司（广州公共资源交易中心）</w:t>
      </w:r>
      <w:r>
        <w:rPr>
          <w:rStyle w:val="26"/>
          <w:rFonts w:ascii="宋体" w:hAnsi="宋体"/>
          <w:color w:val="auto"/>
          <w:szCs w:val="21"/>
          <w:highlight w:val="none"/>
        </w:rPr>
        <w:t>交易平台上网发布时间作为送达时间。</w:t>
      </w:r>
    </w:p>
    <w:p w14:paraId="70FC9AAC">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b/>
          <w:bCs/>
          <w:color w:val="auto"/>
          <w:szCs w:val="21"/>
          <w:highlight w:val="none"/>
        </w:rPr>
        <w:t>9.4</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14:paraId="7E88F9FB">
      <w:pPr>
        <w:pBdr>
          <w:bottom w:val="single" w:color="auto" w:sz="6" w:space="1"/>
        </w:pBd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9.4招标文件的澄清或修改均以书面形式明确的内容为准。当招标文件的澄清、修改、补充等在同一内容的表述不一致时，以最后发出的书面形式的文件为准。</w:t>
      </w:r>
    </w:p>
    <w:p w14:paraId="39AA2586">
      <w:pPr>
        <w:pBdr>
          <w:bottom w:val="single" w:color="auto" w:sz="6" w:space="1"/>
        </w:pBd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9.4</w:t>
      </w:r>
      <w:r>
        <w:rPr>
          <w:rFonts w:hint="eastAsia" w:ascii="宋体" w:cs="宋体"/>
          <w:color w:val="auto"/>
          <w:szCs w:val="21"/>
          <w:highlight w:val="none"/>
        </w:rPr>
        <w:t>招标文件的澄清、修改均以</w:t>
      </w:r>
      <w:r>
        <w:rPr>
          <w:rFonts w:hint="eastAsia" w:ascii="宋体" w:cs="宋体"/>
          <w:color w:val="auto"/>
          <w:szCs w:val="21"/>
          <w:highlight w:val="none"/>
          <w:u w:val="single"/>
        </w:rPr>
        <w:t>广州交易集团有限公司（广州公共资源交易中心）交易平台</w:t>
      </w:r>
      <w:r>
        <w:rPr>
          <w:rFonts w:hint="eastAsia" w:ascii="宋体" w:cs="宋体"/>
          <w:color w:val="auto"/>
          <w:szCs w:val="21"/>
          <w:highlight w:val="none"/>
        </w:rPr>
        <w:t>发布的内容为准。当招标文件的澄清、修改在同一内容的表述不一致时，以</w:t>
      </w:r>
      <w:r>
        <w:rPr>
          <w:rFonts w:hint="eastAsia" w:ascii="宋体" w:cs="宋体"/>
          <w:color w:val="auto"/>
          <w:szCs w:val="21"/>
          <w:highlight w:val="none"/>
          <w:u w:val="single"/>
        </w:rPr>
        <w:t>广州交易集团有限公司（广州公共资源交易中心）交易平台</w:t>
      </w:r>
      <w:r>
        <w:rPr>
          <w:rFonts w:hint="eastAsia" w:ascii="宋体" w:cs="宋体"/>
          <w:color w:val="auto"/>
          <w:szCs w:val="21"/>
          <w:highlight w:val="none"/>
        </w:rPr>
        <w:t>最后发布的内容为准</w:t>
      </w:r>
      <w:r>
        <w:rPr>
          <w:rFonts w:hint="eastAsia" w:ascii="宋体" w:hAnsi="宋体" w:cs="宋体"/>
          <w:color w:val="auto"/>
          <w:szCs w:val="21"/>
          <w:highlight w:val="none"/>
        </w:rPr>
        <w:t>。</w:t>
      </w:r>
    </w:p>
    <w:p w14:paraId="2BA761BE">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b/>
          <w:bCs/>
          <w:color w:val="auto"/>
          <w:highlight w:val="none"/>
        </w:rPr>
        <w:t>11</w:t>
      </w:r>
      <w:r>
        <w:rPr>
          <w:rFonts w:hint="eastAsia" w:ascii="宋体" w:hAnsi="宋体"/>
          <w:b/>
          <w:bCs/>
          <w:color w:val="auto"/>
          <w:highlight w:val="none"/>
          <w:u w:val="single"/>
        </w:rPr>
        <w:t>.1-11.2</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14:paraId="5921064B">
      <w:pP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11.1 投标文件由技术部分（含资格审查文件）和经济部分二部分投标文件组成。</w:t>
      </w:r>
    </w:p>
    <w:p w14:paraId="48999B9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11.2投标文件技术标部分主要包括下列内容:</w:t>
      </w:r>
    </w:p>
    <w:p w14:paraId="0991B2E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11.2.1 技术投标文件(按招标文件的要求填写)；</w:t>
      </w:r>
    </w:p>
    <w:p w14:paraId="011A5DC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11.2.2 资格审查文件：</w:t>
      </w:r>
    </w:p>
    <w:p w14:paraId="26C06D3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（1）投标人声明；</w:t>
      </w:r>
    </w:p>
    <w:p w14:paraId="1652C2E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（2）法定代表人证明书、法定代表人签字或盖章的本投标文件授权委托证明书；</w:t>
      </w:r>
    </w:p>
    <w:p w14:paraId="5446139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（3）企业营业执照（取自平台内上传件）；</w:t>
      </w:r>
    </w:p>
    <w:p w14:paraId="7E6B8A8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（4）企业资质证书（取自平台内上传件）；</w:t>
      </w:r>
    </w:p>
    <w:p w14:paraId="3B6BDF4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（5）建筑施工企业安全生产许可证（取自平台内上传件）；</w:t>
      </w:r>
    </w:p>
    <w:p w14:paraId="1F37FC5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（6）项目负责人（按网上投标登记时选择拟投标的项目负责人）</w:t>
      </w:r>
    </w:p>
    <w:p w14:paraId="0FF38D6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（7）专职安全员（按网上投标登记时选择拟投标的专职安全员）</w:t>
      </w:r>
    </w:p>
    <w:p w14:paraId="4B25ADC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（8）拟委托技术负责人的相关证书、资料（具体要求由招标人明确）</w:t>
      </w:r>
    </w:p>
    <w:p w14:paraId="36AEB0A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（9）拟委派项目负责人的建造师注册证书或小型项目负责人相关证明（取自平台内上传件）；</w:t>
      </w:r>
    </w:p>
    <w:p w14:paraId="4E576D5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（10）项目负责人安全培训考核合格证明或在有效期内的安全考核合格证书（B类）或建筑施工企业项目负责人安全生产考核合格证书（取自平台内上传件）；</w:t>
      </w:r>
    </w:p>
    <w:p w14:paraId="2A83DEA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（11）专职安全员须具有在有效期内的安全考核合格证书（C类）或建筑施工企业专职安全生产管理人员安全生产考核合格证书（取自平台内上传件）；</w:t>
      </w:r>
    </w:p>
    <w:p w14:paraId="2AFFB15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（12）用于资格审查的业绩（设置业绩要求时选择此项，投标人须提供类似工程业绩的项目名称及项目编号，具体格式由招标人自定）；</w:t>
      </w:r>
    </w:p>
    <w:p w14:paraId="445E9AF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（13）资格审查前，投标人须在广州市住房和城乡建设局建立企业信用档案，拟担任本工程项目负责人、专职安全员须是本企业信用档案中的在册人员。</w:t>
      </w:r>
    </w:p>
    <w:p w14:paraId="2DF9925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（14）列明主办单位的联合体工作协议（采用联合体投标时需递交，投标人拟任本工程项目负责人应为联合体主办方信用档案中的在册人员，联合体工作协议应明确约定各方拟承担的工作和责任）； </w:t>
      </w:r>
    </w:p>
    <w:p w14:paraId="445EDC5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12DC1D3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11.2.3项目管理机构配备。</w:t>
      </w:r>
    </w:p>
    <w:p w14:paraId="5DB105B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（1）投标人应列出该项目工程的施工组织机构构成和画出机构框架图及其负责人；</w:t>
      </w:r>
    </w:p>
    <w:p w14:paraId="75D87C9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（2）投标人应详细列出该施工组织机构中主要成员的名单、职务职称和在本项目中拟担任的职务等资料，并附上有关证明材料扫描件；</w:t>
      </w:r>
    </w:p>
    <w:p w14:paraId="5936DA6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（3）其他辅助说明资料。</w:t>
      </w:r>
    </w:p>
    <w:p w14:paraId="186328C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11.2.4投标人在广州市可使用适合本工程的机械设备（附：机械设备为自有或租赁的说明；及承诺机械设备如属于租赁的，其租赁是不属于重复租赁）。</w:t>
      </w:r>
    </w:p>
    <w:p w14:paraId="5FA242A5">
      <w:pPr>
        <w:tabs>
          <w:tab w:val="left" w:pos="1125"/>
        </w:tabs>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11.2.5施工组织设计或施工方案。</w:t>
      </w:r>
    </w:p>
    <w:p w14:paraId="06281FA7">
      <w:pPr>
        <w:tabs>
          <w:tab w:val="left" w:pos="1125"/>
        </w:tabs>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11.2.6按照招标文件要求填写的《参与编制技术标投标文件人员名单》。</w:t>
      </w:r>
    </w:p>
    <w:p w14:paraId="5A784D72">
      <w:pP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11.1</w:t>
      </w:r>
      <w:r>
        <w:rPr>
          <w:rFonts w:hint="eastAsia" w:ascii="宋体" w:hAnsi="宋体" w:cs="宋体"/>
          <w:color w:val="auto"/>
          <w:szCs w:val="21"/>
          <w:highlight w:val="none"/>
          <w:u w:val="single"/>
        </w:rPr>
        <w:t>投标文件由评标部分及定标部分组成，其中评标部分由技术部分（含资格审查文件）和经济部分二部分投标文件组成。</w:t>
      </w:r>
    </w:p>
    <w:p w14:paraId="14F8651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 投标文件技术标部分主要包括下列内容:</w:t>
      </w:r>
    </w:p>
    <w:p w14:paraId="17A397C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11.2.1  技术投标文件(按招标文件的要求填写)；</w:t>
      </w:r>
    </w:p>
    <w:p w14:paraId="11958BF8">
      <w:pPr>
        <w:spacing w:line="360" w:lineRule="auto"/>
        <w:ind w:firstLine="420" w:firstLineChars="200"/>
        <w:rPr>
          <w:rStyle w:val="26"/>
          <w:rFonts w:ascii="宋体" w:hAnsi="宋体"/>
          <w:bCs/>
          <w:color w:val="auto"/>
          <w:szCs w:val="21"/>
          <w:highlight w:val="none"/>
          <w:u w:val="single"/>
        </w:rPr>
      </w:pPr>
      <w:r>
        <w:rPr>
          <w:rStyle w:val="26"/>
          <w:rFonts w:ascii="宋体" w:hAnsi="宋体"/>
          <w:bCs/>
          <w:color w:val="auto"/>
          <w:szCs w:val="21"/>
          <w:highlight w:val="none"/>
          <w:u w:val="single"/>
        </w:rPr>
        <w:t>（1）广州建设工程施工招标投标书</w:t>
      </w:r>
      <w:r>
        <w:rPr>
          <w:rFonts w:hint="eastAsia" w:ascii="宋体" w:hAnsi="宋体"/>
          <w:bCs/>
          <w:color w:val="auto"/>
          <w:szCs w:val="21"/>
          <w:highlight w:val="none"/>
          <w:u w:val="single"/>
        </w:rPr>
        <w:t>（按招标文件第四章技术标投标文件格式二）</w:t>
      </w:r>
      <w:r>
        <w:rPr>
          <w:rStyle w:val="26"/>
          <w:rFonts w:ascii="宋体" w:hAnsi="宋体"/>
          <w:bCs/>
          <w:color w:val="auto"/>
          <w:szCs w:val="21"/>
          <w:highlight w:val="none"/>
          <w:u w:val="single"/>
        </w:rPr>
        <w:t>；</w:t>
      </w:r>
    </w:p>
    <w:p w14:paraId="3B1600A2">
      <w:pPr>
        <w:spacing w:line="360" w:lineRule="auto"/>
        <w:ind w:firstLine="420" w:firstLineChars="200"/>
        <w:rPr>
          <w:rFonts w:hint="eastAsia" w:ascii="宋体" w:hAnsi="宋体"/>
          <w:bCs/>
          <w:color w:val="auto"/>
          <w:szCs w:val="21"/>
          <w:highlight w:val="none"/>
          <w:u w:val="single"/>
        </w:rPr>
      </w:pPr>
      <w:r>
        <w:rPr>
          <w:rStyle w:val="26"/>
          <w:rFonts w:ascii="宋体" w:hAnsi="宋体"/>
          <w:bCs/>
          <w:color w:val="auto"/>
          <w:szCs w:val="21"/>
          <w:highlight w:val="none"/>
          <w:u w:val="single"/>
        </w:rPr>
        <w:t>（</w:t>
      </w:r>
      <w:r>
        <w:rPr>
          <w:rStyle w:val="26"/>
          <w:rFonts w:hint="eastAsia" w:ascii="宋体" w:hAnsi="宋体"/>
          <w:bCs/>
          <w:color w:val="auto"/>
          <w:szCs w:val="21"/>
          <w:highlight w:val="none"/>
          <w:u w:val="single"/>
        </w:rPr>
        <w:t>2</w:t>
      </w:r>
      <w:r>
        <w:rPr>
          <w:rStyle w:val="26"/>
          <w:rFonts w:ascii="宋体" w:hAnsi="宋体"/>
          <w:bCs/>
          <w:color w:val="auto"/>
          <w:szCs w:val="21"/>
          <w:highlight w:val="none"/>
          <w:u w:val="single"/>
        </w:rPr>
        <w:t>）</w:t>
      </w:r>
      <w:r>
        <w:rPr>
          <w:rFonts w:hint="eastAsia" w:ascii="宋体" w:hAnsi="宋体"/>
          <w:bCs/>
          <w:color w:val="auto"/>
          <w:szCs w:val="21"/>
          <w:highlight w:val="none"/>
          <w:u w:val="single"/>
        </w:rPr>
        <w:t>投标函（按招标文件第四章技术标投标文件格式三）；</w:t>
      </w:r>
    </w:p>
    <w:p w14:paraId="3CE014C8">
      <w:pPr>
        <w:pStyle w:val="7"/>
        <w:rPr>
          <w:rFonts w:hint="eastAsia" w:ascii="宋体" w:hAnsi="宋体" w:cs="宋体"/>
          <w:color w:val="auto"/>
          <w:szCs w:val="21"/>
          <w:highlight w:val="none"/>
        </w:rPr>
      </w:pPr>
      <w:r>
        <w:rPr>
          <w:rFonts w:hint="eastAsia" w:ascii="宋体" w:hAnsi="宋体" w:cs="宋体"/>
          <w:color w:val="auto"/>
          <w:szCs w:val="21"/>
          <w:highlight w:val="none"/>
        </w:rPr>
        <w:t>11.2.2 资格审查文件：</w:t>
      </w:r>
    </w:p>
    <w:p w14:paraId="08336564">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bCs/>
          <w:color w:val="auto"/>
          <w:sz w:val="21"/>
          <w:szCs w:val="21"/>
          <w:highlight w:val="none"/>
        </w:rPr>
        <w:t>投标人声明扫描件</w:t>
      </w:r>
      <w:r>
        <w:rPr>
          <w:rFonts w:hint="eastAsia" w:ascii="宋体" w:hAnsi="宋体" w:cs="宋体"/>
          <w:bCs/>
          <w:color w:val="auto"/>
          <w:sz w:val="21"/>
          <w:szCs w:val="21"/>
          <w:highlight w:val="none"/>
          <w:u w:val="single"/>
        </w:rPr>
        <w:t>（须按招标公告附件内容及格式要求编制）</w:t>
      </w:r>
      <w:r>
        <w:rPr>
          <w:rFonts w:hint="eastAsia" w:ascii="宋体" w:hAnsi="宋体" w:cs="宋体"/>
          <w:color w:val="auto"/>
          <w:sz w:val="21"/>
          <w:szCs w:val="21"/>
          <w:highlight w:val="none"/>
        </w:rPr>
        <w:t>；</w:t>
      </w:r>
    </w:p>
    <w:p w14:paraId="11E3A29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（2）法定代表人证明书、法定代表人签字或盖章的本投标文件授权委托证明书</w:t>
      </w:r>
      <w:r>
        <w:rPr>
          <w:rFonts w:hint="eastAsia" w:ascii="宋体" w:hAnsi="宋体" w:eastAsia="宋体" w:cs="宋体"/>
          <w:bCs/>
          <w:color w:val="auto"/>
          <w:szCs w:val="21"/>
          <w:highlight w:val="none"/>
        </w:rPr>
        <w:t>；</w:t>
      </w:r>
    </w:p>
    <w:p w14:paraId="771D207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（3）企业营业执照；</w:t>
      </w:r>
    </w:p>
    <w:p w14:paraId="63E0C4E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（4）企业资质证书；</w:t>
      </w:r>
    </w:p>
    <w:p w14:paraId="6B392A7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（5）建筑施工企业安全生产许可证；</w:t>
      </w:r>
    </w:p>
    <w:p w14:paraId="468E186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（6）项目负责人（按网上投标登记时选择拟投标的项目负责人）；</w:t>
      </w:r>
    </w:p>
    <w:p w14:paraId="2431D0A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（7）专职安全员（按网上投标登记时选择拟投标的专职安全员）；</w:t>
      </w:r>
    </w:p>
    <w:p w14:paraId="6EE2972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（8）拟委托施工技术负责人的相关证书、资料（</w:t>
      </w:r>
      <w:r>
        <w:rPr>
          <w:rFonts w:hint="eastAsia" w:cs="宋体"/>
          <w:color w:val="auto"/>
          <w:szCs w:val="21"/>
          <w:highlight w:val="none"/>
        </w:rPr>
        <w:t>按招标公告要求</w:t>
      </w:r>
      <w:r>
        <w:rPr>
          <w:rFonts w:hint="eastAsia" w:cs="宋体"/>
          <w:color w:val="auto"/>
          <w:szCs w:val="21"/>
          <w:highlight w:val="none"/>
          <w:u w:val="single"/>
        </w:rPr>
        <w:t>，原件扫描件</w:t>
      </w:r>
      <w:r>
        <w:rPr>
          <w:rFonts w:hint="eastAsia" w:ascii="宋体" w:hAnsi="宋体" w:cs="宋体"/>
          <w:color w:val="auto"/>
          <w:szCs w:val="21"/>
          <w:highlight w:val="none"/>
        </w:rPr>
        <w:t>）；</w:t>
      </w:r>
    </w:p>
    <w:p w14:paraId="388F212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bCs/>
          <w:color w:val="auto"/>
          <w:szCs w:val="21"/>
          <w:highlight w:val="none"/>
        </w:rPr>
        <w:t>拟委派项目负责人的有效期内的建造师注册证书扫描件或电子证书</w:t>
      </w:r>
      <w:r>
        <w:rPr>
          <w:rFonts w:hint="eastAsia" w:ascii="宋体" w:hAnsi="宋体" w:cs="宋体"/>
          <w:color w:val="auto"/>
          <w:szCs w:val="21"/>
          <w:highlight w:val="none"/>
        </w:rPr>
        <w:t>；</w:t>
      </w:r>
    </w:p>
    <w:p w14:paraId="24D8419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w:t>
      </w:r>
      <w:r>
        <w:rPr>
          <w:rFonts w:hint="eastAsia" w:ascii="宋体" w:hAnsi="宋体" w:cs="宋体"/>
          <w:bCs/>
          <w:color w:val="auto"/>
          <w:szCs w:val="21"/>
          <w:highlight w:val="none"/>
        </w:rPr>
        <w:t>项目负责人在有效期内的安全生产考核合格证书（B类）或建筑施工企业项目负责人安全生产考核合格证书扫描件或电子证书</w:t>
      </w:r>
      <w:r>
        <w:rPr>
          <w:rFonts w:hint="eastAsia" w:ascii="宋体" w:hAnsi="宋体" w:cs="宋体"/>
          <w:color w:val="auto"/>
          <w:szCs w:val="21"/>
          <w:highlight w:val="none"/>
        </w:rPr>
        <w:t>；</w:t>
      </w:r>
    </w:p>
    <w:p w14:paraId="173C5B4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w:t>
      </w:r>
      <w:r>
        <w:rPr>
          <w:rFonts w:hint="eastAsia" w:ascii="宋体" w:hAnsi="宋体" w:cs="宋体"/>
          <w:bCs/>
          <w:color w:val="auto"/>
          <w:szCs w:val="21"/>
          <w:highlight w:val="none"/>
        </w:rPr>
        <w:t>专职安全员须具有在有效期内的安全考核合格证书（C类）或建筑施工企业专职安全生产管理人员安全生产考核合格证书</w:t>
      </w:r>
      <w:r>
        <w:rPr>
          <w:rFonts w:hint="eastAsia" w:ascii="宋体" w:hAnsi="宋体" w:cs="宋体"/>
          <w:bCs/>
          <w:color w:val="auto"/>
          <w:szCs w:val="21"/>
          <w:highlight w:val="none"/>
          <w:u w:val="single"/>
        </w:rPr>
        <w:t>（C3）</w:t>
      </w:r>
      <w:r>
        <w:rPr>
          <w:rFonts w:hint="eastAsia" w:ascii="宋体" w:hAnsi="宋体" w:cs="宋体"/>
          <w:bCs/>
          <w:color w:val="auto"/>
          <w:szCs w:val="21"/>
          <w:highlight w:val="none"/>
        </w:rPr>
        <w:t>扫描件或电子证书</w:t>
      </w:r>
      <w:r>
        <w:rPr>
          <w:rStyle w:val="26"/>
          <w:rFonts w:ascii="宋体" w:hAnsi="宋体"/>
          <w:bCs/>
          <w:color w:val="auto"/>
          <w:szCs w:val="21"/>
          <w:highlight w:val="none"/>
        </w:rPr>
        <w:t>；</w:t>
      </w:r>
    </w:p>
    <w:p w14:paraId="266E1C15">
      <w:pPr>
        <w:spacing w:line="360" w:lineRule="auto"/>
        <w:ind w:firstLine="371" w:firstLineChars="177"/>
        <w:rPr>
          <w:rFonts w:hint="eastAsia" w:ascii="宋体" w:hAnsi="宋体" w:cs="宋体"/>
          <w:bCs/>
          <w:color w:val="auto"/>
          <w:szCs w:val="21"/>
          <w:highlight w:val="none"/>
        </w:rPr>
      </w:pPr>
      <w:r>
        <w:rPr>
          <w:rFonts w:hint="eastAsia" w:ascii="宋体" w:hAnsi="宋体" w:cs="宋体"/>
          <w:bCs/>
          <w:color w:val="auto"/>
          <w:szCs w:val="21"/>
          <w:highlight w:val="none"/>
        </w:rPr>
        <w:t>（12）资格审查前，投标人须在广州公共资源交易中心办理企业信息登记手续及拟担任本工程项目负责人、专职安全员须是本企业中的在册人员。</w:t>
      </w:r>
    </w:p>
    <w:p w14:paraId="4A88D6AB">
      <w:pPr>
        <w:spacing w:line="360" w:lineRule="auto"/>
        <w:ind w:firstLine="420" w:firstLineChars="200"/>
        <w:rPr>
          <w:rFonts w:hint="eastAsia" w:ascii="宋体" w:hAnsi="宋体" w:cs="宋体"/>
          <w:color w:val="auto"/>
          <w:spacing w:val="-2"/>
          <w:szCs w:val="21"/>
          <w:highlight w:val="none"/>
        </w:rPr>
      </w:pPr>
      <w:r>
        <w:rPr>
          <w:rStyle w:val="26"/>
          <w:rFonts w:ascii="宋体" w:hAnsi="宋体"/>
          <w:bCs/>
          <w:color w:val="auto"/>
          <w:szCs w:val="21"/>
          <w:highlight w:val="none"/>
          <w:u w:val="single"/>
        </w:rPr>
        <w:t>（</w:t>
      </w:r>
      <w:r>
        <w:rPr>
          <w:rStyle w:val="26"/>
          <w:rFonts w:hint="eastAsia" w:ascii="宋体" w:hAnsi="宋体"/>
          <w:bCs/>
          <w:color w:val="auto"/>
          <w:szCs w:val="21"/>
          <w:highlight w:val="none"/>
          <w:u w:val="single"/>
        </w:rPr>
        <w:t>1</w:t>
      </w:r>
      <w:r>
        <w:rPr>
          <w:rStyle w:val="26"/>
          <w:rFonts w:hint="eastAsia" w:ascii="宋体" w:hAnsi="宋体"/>
          <w:bCs/>
          <w:color w:val="auto"/>
          <w:szCs w:val="21"/>
          <w:highlight w:val="none"/>
          <w:u w:val="single"/>
          <w:lang w:val="en-US" w:eastAsia="zh-CN"/>
        </w:rPr>
        <w:t>3</w:t>
      </w:r>
      <w:r>
        <w:rPr>
          <w:rStyle w:val="26"/>
          <w:rFonts w:ascii="宋体" w:hAnsi="宋体"/>
          <w:bCs/>
          <w:color w:val="auto"/>
          <w:szCs w:val="21"/>
          <w:highlight w:val="none"/>
          <w:u w:val="single"/>
        </w:rPr>
        <w:t>）投标人认为应提供的其他资料。</w:t>
      </w:r>
    </w:p>
    <w:p w14:paraId="55B1134A">
      <w:pPr>
        <w:tabs>
          <w:tab w:val="left" w:pos="1125"/>
        </w:tabs>
        <w:spacing w:line="360" w:lineRule="auto"/>
        <w:ind w:firstLine="420" w:firstLineChars="200"/>
        <w:rPr>
          <w:rStyle w:val="26"/>
          <w:rFonts w:hint="eastAsia" w:ascii="宋体" w:hAnsi="宋体"/>
          <w:color w:val="auto"/>
          <w:szCs w:val="21"/>
          <w:highlight w:val="none"/>
        </w:rPr>
      </w:pPr>
      <w:r>
        <w:rPr>
          <w:rStyle w:val="26"/>
          <w:rFonts w:ascii="宋体" w:hAnsi="宋体"/>
          <w:color w:val="auto"/>
          <w:szCs w:val="21"/>
          <w:highlight w:val="none"/>
        </w:rPr>
        <w:t>11.2.</w:t>
      </w:r>
      <w:r>
        <w:rPr>
          <w:rStyle w:val="26"/>
          <w:rFonts w:hint="eastAsia" w:ascii="宋体" w:hAnsi="宋体"/>
          <w:color w:val="auto"/>
          <w:szCs w:val="21"/>
          <w:highlight w:val="none"/>
        </w:rPr>
        <w:t>3</w:t>
      </w:r>
      <w:r>
        <w:rPr>
          <w:rStyle w:val="26"/>
          <w:rFonts w:ascii="宋体" w:hAnsi="宋体"/>
          <w:color w:val="auto"/>
          <w:szCs w:val="21"/>
          <w:highlight w:val="none"/>
        </w:rPr>
        <w:t>按照</w:t>
      </w:r>
      <w:r>
        <w:rPr>
          <w:rStyle w:val="26"/>
          <w:rFonts w:ascii="宋体" w:hAnsi="宋体"/>
          <w:bCs/>
          <w:color w:val="auto"/>
          <w:szCs w:val="21"/>
          <w:highlight w:val="none"/>
        </w:rPr>
        <w:t>招标文件要求</w:t>
      </w:r>
      <w:r>
        <w:rPr>
          <w:rStyle w:val="26"/>
          <w:rFonts w:ascii="宋体" w:hAnsi="宋体"/>
          <w:color w:val="auto"/>
          <w:szCs w:val="21"/>
          <w:highlight w:val="none"/>
        </w:rPr>
        <w:t>填写的《参与编制技术标投标文件人员名单》。</w:t>
      </w:r>
    </w:p>
    <w:p w14:paraId="71F14065">
      <w:pPr>
        <w:pBdr>
          <w:bottom w:val="single" w:color="auto" w:sz="6" w:space="1"/>
        </w:pBd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11.2.4《危险性较大的分部分项工程清单及超过一定规模的危险性较大的分部分项工程清单》。</w:t>
      </w:r>
    </w:p>
    <w:p w14:paraId="2A553144">
      <w:pPr>
        <w:pBdr>
          <w:bottom w:val="single" w:color="auto" w:sz="6" w:space="1"/>
        </w:pBdr>
        <w:spacing w:line="440" w:lineRule="exact"/>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11.2.5其他投标人认为须提供的资料。</w:t>
      </w:r>
    </w:p>
    <w:p w14:paraId="0963C4A5">
      <w:pPr>
        <w:pStyle w:val="7"/>
        <w:rPr>
          <w:rFonts w:hint="eastAsia"/>
          <w:color w:val="auto"/>
          <w:szCs w:val="21"/>
          <w:highlight w:val="none"/>
        </w:rPr>
      </w:pPr>
    </w:p>
    <w:p w14:paraId="3935BC1A">
      <w:pPr>
        <w:spacing w:line="360" w:lineRule="auto"/>
        <w:ind w:firstLine="422" w:firstLineChars="200"/>
        <w:rPr>
          <w:rFonts w:hint="eastAsia" w:ascii="宋体" w:hAnsi="宋体" w:cs="宋体"/>
          <w:color w:val="auto"/>
          <w:sz w:val="21"/>
          <w:szCs w:val="21"/>
          <w:highlight w:val="none"/>
        </w:rPr>
      </w:pPr>
      <w:r>
        <w:rPr>
          <w:rFonts w:hint="eastAsia" w:ascii="宋体" w:hAnsi="宋体" w:cs="宋体"/>
          <w:b/>
          <w:bCs/>
          <w:color w:val="auto"/>
          <w:sz w:val="21"/>
          <w:szCs w:val="21"/>
          <w:highlight w:val="none"/>
        </w:rPr>
        <w:t>条款号：11.3               修改类型：修改</w:t>
      </w:r>
    </w:p>
    <w:p w14:paraId="0A725E28">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原文：11.3 经济部分投标文件主要包括下列内容：</w:t>
      </w:r>
    </w:p>
    <w:p w14:paraId="248A16C2">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11.3.1 经济投标文件(按招标文件的要求填写)。</w:t>
      </w:r>
    </w:p>
    <w:p w14:paraId="5D0AE89C">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65170362">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（1）投标总价封面、扉页；</w:t>
      </w:r>
    </w:p>
    <w:p w14:paraId="3F803F77">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（2）总说明；</w:t>
      </w:r>
    </w:p>
    <w:p w14:paraId="75215AF5">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（3）工程项目投标报价汇总表；</w:t>
      </w:r>
    </w:p>
    <w:p w14:paraId="1C1A7B0E">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（4）单项工程投标报价汇总表；</w:t>
      </w:r>
    </w:p>
    <w:p w14:paraId="77EF5E91">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（5）单位工程投标报价汇总表；</w:t>
      </w:r>
    </w:p>
    <w:p w14:paraId="48E80978">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（6）分部分项工程清单与计价表；</w:t>
      </w:r>
    </w:p>
    <w:p w14:paraId="727CEA52">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（7）单价措施项目清单与计价表；</w:t>
      </w:r>
    </w:p>
    <w:p w14:paraId="71C5D37B">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（8）总价措施项目清单与计价表；</w:t>
      </w:r>
    </w:p>
    <w:p w14:paraId="12C1E22B">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（9）综合单价分析表；</w:t>
      </w:r>
    </w:p>
    <w:p w14:paraId="7BB7EDE3">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（10）其他项目清单与计价汇总表；</w:t>
      </w:r>
    </w:p>
    <w:p w14:paraId="497EDEA2">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（11）暂列金额明细表；</w:t>
      </w:r>
    </w:p>
    <w:p w14:paraId="76AA9591">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（12）材料（工程设备）暂估价明细表；</w:t>
      </w:r>
    </w:p>
    <w:p w14:paraId="140D4456">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（13）专业工程暂估价明细表；</w:t>
      </w:r>
    </w:p>
    <w:p w14:paraId="450FBE07">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（14）计日工表；</w:t>
      </w:r>
    </w:p>
    <w:p w14:paraId="4BF12710">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（15）总承包服务计价表；</w:t>
      </w:r>
    </w:p>
    <w:p w14:paraId="48BC7643">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（16）规费和税金项目计价表；</w:t>
      </w:r>
    </w:p>
    <w:p w14:paraId="1F363F98">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（17）人工、主要材料和设备一览表。</w:t>
      </w:r>
    </w:p>
    <w:p w14:paraId="2B11F786">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11.3.3按照招标文件要求填写的《参与编制经济标投标文件人员名单》。</w:t>
      </w:r>
    </w:p>
    <w:p w14:paraId="53971AFA">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11.3.4若投标人的投标报价低于工程成本警戒价的，投标人还须提供详细的施工组织设计、单价、措施性费用、单价分析表、主要材料价格表、投标人成本分析供评标委员会评审。</w:t>
      </w:r>
    </w:p>
    <w:p w14:paraId="65FAFBB7">
      <w:pPr>
        <w:spacing w:line="360" w:lineRule="auto"/>
        <w:ind w:firstLine="422" w:firstLineChars="200"/>
        <w:rPr>
          <w:rFonts w:hint="eastAsia"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11.3 经济部分投标文件主要包括下列内容：</w:t>
      </w:r>
    </w:p>
    <w:p w14:paraId="19CE9CF9">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11.3.1</w:t>
      </w:r>
      <w:r>
        <w:rPr>
          <w:rFonts w:hint="eastAsia" w:ascii="宋体" w:hAnsi="宋体" w:cs="宋体"/>
          <w:color w:val="auto"/>
          <w:sz w:val="21"/>
          <w:szCs w:val="21"/>
          <w:highlight w:val="none"/>
          <w:u w:val="single"/>
        </w:rPr>
        <w:t>经济标投标文件封面</w:t>
      </w:r>
      <w:r>
        <w:rPr>
          <w:rFonts w:hint="eastAsia" w:ascii="宋体" w:hAnsi="宋体" w:cs="宋体"/>
          <w:color w:val="auto"/>
          <w:sz w:val="21"/>
          <w:szCs w:val="21"/>
          <w:highlight w:val="none"/>
        </w:rPr>
        <w:t>（须按招标文件第四章 “经济标投标文件格式”）</w:t>
      </w:r>
    </w:p>
    <w:p w14:paraId="5A4AE717">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s="宋体"/>
          <w:color w:val="auto"/>
          <w:sz w:val="21"/>
          <w:szCs w:val="21"/>
          <w:highlight w:val="none"/>
          <w:u w:val="single"/>
        </w:rPr>
        <w:t>投标报价的工程量清单的组成、格式等由广州公共资源交易中心的投标文件管理软件自动生成</w:t>
      </w:r>
      <w:r>
        <w:rPr>
          <w:rFonts w:hint="eastAsia" w:ascii="宋体" w:hAnsi="宋体" w:cs="宋体"/>
          <w:color w:val="auto"/>
          <w:sz w:val="21"/>
          <w:szCs w:val="21"/>
          <w:highlight w:val="none"/>
        </w:rPr>
        <w:t>）</w:t>
      </w:r>
    </w:p>
    <w:p w14:paraId="328212EA">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11.3.3按照招标文件要求填写的《参与编制经济标投标文件人员名单》（须按招标文件第四章 “经济标投标文件格式”）。</w:t>
      </w:r>
    </w:p>
    <w:p w14:paraId="5DA78E4A">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11.3.4《对投标文件编制的承诺》（须按招标文件第四章 “经济标投标文件格式”）</w:t>
      </w:r>
    </w:p>
    <w:p w14:paraId="3394F4E5">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11.3.5若投标人的投标报价低于工程成本警戒价的，投标人还须提供详细的施工组织设计、单价、措施性费用、单价分析表、主要材料价格表、投标人成本分析供评标委员会评审。</w:t>
      </w:r>
    </w:p>
    <w:p w14:paraId="2A593AC8">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11.3.6其他投标人认为应该提供的资料。</w:t>
      </w:r>
    </w:p>
    <w:p w14:paraId="28F1F1D2">
      <w:pPr>
        <w:pStyle w:val="7"/>
        <w:rPr>
          <w:rFonts w:hint="eastAsia"/>
          <w:color w:val="auto"/>
          <w:highlight w:val="none"/>
        </w:rPr>
      </w:pPr>
      <w:r>
        <w:rPr>
          <w:rFonts w:hint="eastAsia" w:ascii="宋体" w:hAnsi="宋体" w:cs="宋体"/>
          <w:b/>
          <w:color w:val="auto"/>
          <w:sz w:val="24"/>
          <w:szCs w:val="24"/>
          <w:highlight w:val="none"/>
          <w:u w:val="single"/>
        </w:rPr>
        <w:t xml:space="preserve">                                                                       </w:t>
      </w:r>
    </w:p>
    <w:p w14:paraId="6F4A0A26">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条款号：11.4            修改类型：增加</w:t>
      </w:r>
    </w:p>
    <w:p w14:paraId="0F79C29B">
      <w:pPr>
        <w:pBdr>
          <w:bottom w:val="single" w:color="auto" w:sz="4" w:space="0"/>
        </w:pBdr>
        <w:spacing w:line="440" w:lineRule="exact"/>
        <w:ind w:firstLine="422" w:firstLineChars="200"/>
        <w:rPr>
          <w:rFonts w:ascii="宋体" w:hAnsi="宋体" w:cs="宋体"/>
          <w:color w:val="auto"/>
          <w:szCs w:val="21"/>
          <w:highlight w:val="none"/>
          <w:u w:val="single"/>
        </w:rPr>
      </w:pPr>
      <w:r>
        <w:rPr>
          <w:rFonts w:hint="eastAsia" w:ascii="宋体" w:hAnsi="宋体"/>
          <w:b/>
          <w:color w:val="auto"/>
          <w:szCs w:val="21"/>
          <w:highlight w:val="none"/>
        </w:rPr>
        <w:t>现文：</w:t>
      </w:r>
      <w:r>
        <w:rPr>
          <w:rFonts w:hint="eastAsia" w:ascii="宋体" w:hAnsi="宋体" w:cs="宋体"/>
          <w:color w:val="auto"/>
          <w:szCs w:val="21"/>
          <w:highlight w:val="none"/>
          <w:u w:val="single"/>
        </w:rPr>
        <w:t>11.4投标文件定标部分（定标文件）主要包括下列内容：</w:t>
      </w:r>
    </w:p>
    <w:p w14:paraId="66E231E9">
      <w:pPr>
        <w:pBdr>
          <w:bottom w:val="single" w:color="auto" w:sz="4" w:space="0"/>
        </w:pBdr>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11.4.1 投标人企业单位介绍；</w:t>
      </w:r>
    </w:p>
    <w:p w14:paraId="6140A465">
      <w:pPr>
        <w:pBdr>
          <w:bottom w:val="single" w:color="auto" w:sz="4" w:space="0"/>
        </w:pBdr>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11.4.2 价格因素；</w:t>
      </w:r>
    </w:p>
    <w:p w14:paraId="5074C79E">
      <w:pPr>
        <w:pBdr>
          <w:bottom w:val="single" w:color="auto" w:sz="4" w:space="0"/>
        </w:pBdr>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11.4.3 方案因素；</w:t>
      </w:r>
    </w:p>
    <w:p w14:paraId="6AE16FCD">
      <w:pPr>
        <w:pBdr>
          <w:bottom w:val="single" w:color="auto" w:sz="4" w:space="0"/>
        </w:pBdr>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11.4.4 资信因素；</w:t>
      </w:r>
    </w:p>
    <w:p w14:paraId="2E4F0F54">
      <w:pPr>
        <w:pBdr>
          <w:bottom w:val="single" w:color="auto" w:sz="4" w:space="0"/>
        </w:pBdr>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11.4.5投标人认为应该提供的其它资料。</w:t>
      </w:r>
    </w:p>
    <w:p w14:paraId="58723516">
      <w:pPr>
        <w:pBdr>
          <w:bottom w:val="single" w:color="auto" w:sz="4" w:space="0"/>
        </w:pBdr>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注：定标文件的递交时间和形式由投标人按照投标须知前附表第18项所规定的时间及本须知第18条的相关要求执行。</w:t>
      </w:r>
    </w:p>
    <w:p w14:paraId="02FC3C75">
      <w:pPr>
        <w:pStyle w:val="4"/>
        <w:spacing w:after="0" w:line="460" w:lineRule="exact"/>
        <w:ind w:firstLine="402" w:firstLineChars="200"/>
        <w:rPr>
          <w:rFonts w:hint="eastAsia" w:ascii="宋体" w:cs="宋体"/>
          <w:color w:val="auto"/>
          <w:szCs w:val="21"/>
          <w:highlight w:val="none"/>
        </w:rPr>
      </w:pPr>
      <w:r>
        <w:rPr>
          <w:rFonts w:hint="eastAsia" w:ascii="宋体" w:cs="宋体"/>
          <w:b/>
          <w:color w:val="auto"/>
          <w:szCs w:val="21"/>
          <w:highlight w:val="none"/>
        </w:rPr>
        <w:t xml:space="preserve">条款号：12.1 </w:t>
      </w:r>
      <w:r>
        <w:rPr>
          <w:rFonts w:hint="eastAsia" w:ascii="宋体" w:cs="宋体"/>
          <w:color w:val="auto"/>
          <w:szCs w:val="21"/>
          <w:highlight w:val="none"/>
        </w:rPr>
        <w:t xml:space="preserve">         </w:t>
      </w:r>
      <w:r>
        <w:rPr>
          <w:rFonts w:hint="eastAsia" w:ascii="宋体" w:cs="宋体"/>
          <w:b/>
          <w:color w:val="auto"/>
          <w:szCs w:val="21"/>
          <w:highlight w:val="none"/>
        </w:rPr>
        <w:t>修改类型：修改</w:t>
      </w:r>
    </w:p>
    <w:p w14:paraId="6BDDE485">
      <w:pPr>
        <w:pStyle w:val="4"/>
        <w:spacing w:after="0" w:line="460" w:lineRule="exact"/>
        <w:ind w:firstLine="413" w:firstLineChars="196"/>
        <w:rPr>
          <w:rFonts w:hint="eastAsia" w:ascii="宋体" w:cs="宋体"/>
          <w:color w:val="auto"/>
          <w:sz w:val="21"/>
          <w:szCs w:val="21"/>
          <w:highlight w:val="none"/>
        </w:rPr>
      </w:pPr>
      <w:r>
        <w:rPr>
          <w:rFonts w:hint="eastAsia" w:ascii="宋体" w:cs="宋体"/>
          <w:b/>
          <w:color w:val="auto"/>
          <w:sz w:val="21"/>
          <w:szCs w:val="21"/>
          <w:highlight w:val="none"/>
        </w:rPr>
        <w:t>原文：</w:t>
      </w:r>
      <w:r>
        <w:rPr>
          <w:rFonts w:hint="eastAsia" w:ascii="宋体" w:cs="宋体"/>
          <w:color w:val="auto"/>
          <w:sz w:val="21"/>
          <w:szCs w:val="21"/>
          <w:highlight w:val="none"/>
        </w:rPr>
        <w:t>12.1投标文件包括本须知第</w:t>
      </w:r>
      <w:r>
        <w:rPr>
          <w:rFonts w:ascii="宋体" w:cs="宋体"/>
          <w:color w:val="auto"/>
          <w:sz w:val="21"/>
          <w:szCs w:val="21"/>
          <w:highlight w:val="none"/>
        </w:rPr>
        <w:t>11</w:t>
      </w:r>
      <w:r>
        <w:rPr>
          <w:rFonts w:hint="eastAsia" w:ascii="宋体" w:cs="宋体"/>
          <w:color w:val="auto"/>
          <w:sz w:val="21"/>
          <w:szCs w:val="21"/>
          <w:highlight w:val="none"/>
        </w:rPr>
        <w:t>条中规定的内容，投标人提交的投标文件应当使用招标文件所提供的投标文件全部格式（表格可以按同样格式扩展）。</w:t>
      </w:r>
    </w:p>
    <w:p w14:paraId="7DB40318">
      <w:pPr>
        <w:pBdr>
          <w:bottom w:val="single" w:color="auto" w:sz="6" w:space="0"/>
        </w:pBdr>
        <w:spacing w:line="460" w:lineRule="exact"/>
        <w:ind w:firstLine="413" w:firstLineChars="196"/>
        <w:rPr>
          <w:rFonts w:hint="eastAsia" w:ascii="宋体" w:cs="宋体"/>
          <w:color w:val="auto"/>
          <w:szCs w:val="21"/>
          <w:highlight w:val="none"/>
        </w:rPr>
      </w:pPr>
      <w:r>
        <w:rPr>
          <w:rFonts w:hint="eastAsia" w:ascii="宋体" w:cs="宋体"/>
          <w:b/>
          <w:color w:val="auto"/>
          <w:szCs w:val="21"/>
          <w:highlight w:val="none"/>
        </w:rPr>
        <w:t>现文：</w:t>
      </w:r>
      <w:r>
        <w:rPr>
          <w:rFonts w:hint="eastAsia" w:ascii="宋体" w:cs="宋体"/>
          <w:color w:val="auto"/>
          <w:szCs w:val="21"/>
          <w:highlight w:val="none"/>
        </w:rPr>
        <w:t>12.1投标文件包括本须知第</w:t>
      </w:r>
      <w:r>
        <w:rPr>
          <w:rFonts w:ascii="宋体" w:cs="宋体"/>
          <w:color w:val="auto"/>
          <w:szCs w:val="21"/>
          <w:highlight w:val="none"/>
        </w:rPr>
        <w:t>11</w:t>
      </w:r>
      <w:r>
        <w:rPr>
          <w:rFonts w:hint="eastAsia" w:ascii="宋体" w:cs="宋体"/>
          <w:color w:val="auto"/>
          <w:szCs w:val="21"/>
          <w:highlight w:val="none"/>
        </w:rPr>
        <w:t>条中规定的内容，投标人提交的投标文件应当使用招标文件所提供的投标文件全部格式（表格可以按同样格式扩展）。</w:t>
      </w:r>
      <w:r>
        <w:rPr>
          <w:rFonts w:hint="eastAsia" w:ascii="宋体" w:cs="宋体"/>
          <w:b/>
          <w:bCs/>
          <w:color w:val="auto"/>
          <w:szCs w:val="21"/>
          <w:highlight w:val="none"/>
          <w:u w:val="single"/>
        </w:rPr>
        <w:t>注：若招标文件中有提供格式的，投标文件相应内容按格式填报；没有格式提供的资料，格式自拟</w:t>
      </w:r>
      <w:r>
        <w:rPr>
          <w:rFonts w:hint="eastAsia" w:ascii="宋体" w:cs="宋体"/>
          <w:color w:val="auto"/>
          <w:szCs w:val="21"/>
          <w:highlight w:val="none"/>
        </w:rPr>
        <w:t>。</w:t>
      </w:r>
    </w:p>
    <w:p w14:paraId="4BB8F2ED">
      <w:pPr>
        <w:pStyle w:val="4"/>
        <w:spacing w:after="0" w:line="460" w:lineRule="exact"/>
        <w:ind w:firstLine="402" w:firstLineChars="200"/>
        <w:rPr>
          <w:rFonts w:hint="eastAsia" w:ascii="宋体" w:cs="宋体"/>
          <w:color w:val="auto"/>
          <w:szCs w:val="21"/>
          <w:highlight w:val="none"/>
        </w:rPr>
      </w:pPr>
      <w:r>
        <w:rPr>
          <w:rFonts w:hint="eastAsia" w:ascii="宋体" w:cs="宋体"/>
          <w:b/>
          <w:color w:val="auto"/>
          <w:szCs w:val="21"/>
          <w:highlight w:val="none"/>
        </w:rPr>
        <w:t xml:space="preserve">条款号：12.2  </w:t>
      </w:r>
      <w:r>
        <w:rPr>
          <w:rFonts w:hint="eastAsia" w:ascii="宋体" w:cs="宋体"/>
          <w:color w:val="auto"/>
          <w:szCs w:val="21"/>
          <w:highlight w:val="none"/>
        </w:rPr>
        <w:t xml:space="preserve">        </w:t>
      </w:r>
      <w:r>
        <w:rPr>
          <w:rFonts w:hint="eastAsia" w:ascii="宋体" w:cs="宋体"/>
          <w:b/>
          <w:color w:val="auto"/>
          <w:szCs w:val="21"/>
          <w:highlight w:val="none"/>
        </w:rPr>
        <w:t>修改类型：修改</w:t>
      </w:r>
    </w:p>
    <w:p w14:paraId="6EDCE3C2">
      <w:pPr>
        <w:pStyle w:val="4"/>
        <w:spacing w:after="0" w:line="460" w:lineRule="exact"/>
        <w:ind w:firstLine="413" w:firstLineChars="196"/>
        <w:rPr>
          <w:rFonts w:hint="eastAsia" w:ascii="宋体" w:cs="宋体"/>
          <w:color w:val="auto"/>
          <w:sz w:val="21"/>
          <w:szCs w:val="21"/>
          <w:highlight w:val="none"/>
        </w:rPr>
      </w:pPr>
      <w:r>
        <w:rPr>
          <w:rFonts w:hint="eastAsia" w:ascii="宋体" w:cs="宋体"/>
          <w:b/>
          <w:color w:val="auto"/>
          <w:sz w:val="21"/>
          <w:szCs w:val="21"/>
          <w:highlight w:val="none"/>
        </w:rPr>
        <w:t>原文：</w:t>
      </w:r>
      <w:r>
        <w:rPr>
          <w:rFonts w:hint="eastAsia" w:ascii="宋体" w:cs="宋体"/>
          <w:color w:val="auto"/>
          <w:sz w:val="21"/>
          <w:szCs w:val="21"/>
          <w:highlight w:val="none"/>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 xml:space="preserve"> 。</w:t>
      </w:r>
    </w:p>
    <w:p w14:paraId="18EA65C1">
      <w:pPr>
        <w:pBdr>
          <w:bottom w:val="single" w:color="auto" w:sz="6" w:space="0"/>
        </w:pBdr>
        <w:spacing w:line="460" w:lineRule="exact"/>
        <w:ind w:firstLine="413" w:firstLineChars="196"/>
        <w:rPr>
          <w:rFonts w:hint="eastAsia" w:ascii="宋体" w:cs="宋体"/>
          <w:color w:val="auto"/>
          <w:szCs w:val="21"/>
          <w:highlight w:val="none"/>
        </w:rPr>
      </w:pPr>
      <w:r>
        <w:rPr>
          <w:rFonts w:hint="eastAsia" w:ascii="宋体" w:cs="宋体"/>
          <w:b/>
          <w:color w:val="auto"/>
          <w:szCs w:val="21"/>
          <w:highlight w:val="none"/>
        </w:rPr>
        <w:t>现文：</w:t>
      </w:r>
      <w:r>
        <w:rPr>
          <w:rFonts w:hint="eastAsia" w:ascii="宋体" w:cs="宋体"/>
          <w:color w:val="auto"/>
          <w:szCs w:val="21"/>
          <w:highlight w:val="none"/>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cs="宋体"/>
          <w:color w:val="auto"/>
          <w:szCs w:val="21"/>
          <w:highlight w:val="none"/>
          <w:u w:val="single"/>
        </w:rPr>
        <w:t>广州交易集团有限公司（广州公共资源交易中心）网站</w:t>
      </w:r>
      <w:r>
        <w:rPr>
          <w:rFonts w:hint="eastAsia" w:ascii="宋体" w:cs="宋体"/>
          <w:color w:val="auto"/>
          <w:szCs w:val="21"/>
          <w:highlight w:val="none"/>
        </w:rPr>
        <w:t>。</w:t>
      </w:r>
    </w:p>
    <w:p w14:paraId="3C8C079B">
      <w:pPr>
        <w:pStyle w:val="4"/>
        <w:spacing w:after="0" w:line="460" w:lineRule="exact"/>
        <w:ind w:firstLine="402" w:firstLineChars="200"/>
        <w:rPr>
          <w:rFonts w:hint="eastAsia" w:ascii="宋体" w:cs="宋体"/>
          <w:color w:val="auto"/>
          <w:szCs w:val="21"/>
          <w:highlight w:val="none"/>
        </w:rPr>
      </w:pPr>
      <w:r>
        <w:rPr>
          <w:rFonts w:hint="eastAsia" w:ascii="宋体" w:cs="宋体"/>
          <w:b/>
          <w:color w:val="auto"/>
          <w:szCs w:val="21"/>
          <w:highlight w:val="none"/>
        </w:rPr>
        <w:t xml:space="preserve">条款号：12.3  </w:t>
      </w:r>
      <w:r>
        <w:rPr>
          <w:rFonts w:hint="eastAsia" w:ascii="宋体" w:cs="宋体"/>
          <w:color w:val="auto"/>
          <w:szCs w:val="21"/>
          <w:highlight w:val="none"/>
        </w:rPr>
        <w:t xml:space="preserve">           </w:t>
      </w:r>
      <w:r>
        <w:rPr>
          <w:rFonts w:hint="eastAsia" w:ascii="宋体" w:cs="宋体"/>
          <w:b/>
          <w:color w:val="auto"/>
          <w:szCs w:val="21"/>
          <w:highlight w:val="none"/>
        </w:rPr>
        <w:t>修改类型：修改</w:t>
      </w:r>
    </w:p>
    <w:p w14:paraId="2873A882">
      <w:pPr>
        <w:pStyle w:val="4"/>
        <w:spacing w:after="0" w:line="460" w:lineRule="exact"/>
        <w:ind w:firstLine="413" w:firstLineChars="196"/>
        <w:rPr>
          <w:rFonts w:hint="eastAsia" w:ascii="宋体" w:cs="宋体"/>
          <w:color w:val="auto"/>
          <w:sz w:val="21"/>
          <w:szCs w:val="21"/>
          <w:highlight w:val="none"/>
        </w:rPr>
      </w:pPr>
      <w:r>
        <w:rPr>
          <w:rFonts w:hint="eastAsia" w:ascii="宋体" w:cs="宋体"/>
          <w:b/>
          <w:color w:val="auto"/>
          <w:sz w:val="21"/>
          <w:szCs w:val="21"/>
          <w:highlight w:val="none"/>
        </w:rPr>
        <w:t>原文：</w:t>
      </w:r>
      <w:r>
        <w:rPr>
          <w:rFonts w:hint="eastAsia" w:ascii="宋体" w:cs="宋体"/>
          <w:bCs/>
          <w:color w:val="auto"/>
          <w:sz w:val="21"/>
          <w:szCs w:val="21"/>
          <w:highlight w:val="none"/>
        </w:rPr>
        <w:t>12.3投标文件应按</w:t>
      </w:r>
      <w:r>
        <w:rPr>
          <w:rFonts w:hint="eastAsia" w:ascii="宋体" w:cs="宋体"/>
          <w:color w:val="auto"/>
          <w:sz w:val="21"/>
          <w:szCs w:val="21"/>
          <w:highlight w:val="none"/>
        </w:rPr>
        <w:t>照交易平台关于全流程电子化项目的相关指南进行编制，详见：</w:t>
      </w:r>
      <w:r>
        <w:rPr>
          <w:rFonts w:hint="eastAsia" w:ascii="宋体" w:cs="宋体"/>
          <w:color w:val="auto"/>
          <w:sz w:val="21"/>
          <w:szCs w:val="21"/>
          <w:highlight w:val="none"/>
          <w:u w:val="single"/>
        </w:rPr>
        <w:t xml:space="preserve">            </w:t>
      </w:r>
      <w:r>
        <w:rPr>
          <w:rFonts w:hint="eastAsia" w:ascii="宋体" w:cs="宋体"/>
          <w:color w:val="auto"/>
          <w:sz w:val="21"/>
          <w:szCs w:val="21"/>
          <w:highlight w:val="none"/>
        </w:rPr>
        <w:t>。</w:t>
      </w:r>
    </w:p>
    <w:p w14:paraId="5016D343">
      <w:pPr>
        <w:pBdr>
          <w:bottom w:val="single" w:color="auto" w:sz="6" w:space="1"/>
        </w:pBdr>
        <w:spacing w:line="460" w:lineRule="exact"/>
        <w:ind w:firstLine="413" w:firstLineChars="196"/>
        <w:rPr>
          <w:rFonts w:hint="eastAsia" w:ascii="宋体" w:cs="宋体"/>
          <w:color w:val="auto"/>
          <w:szCs w:val="21"/>
          <w:highlight w:val="none"/>
        </w:rPr>
      </w:pPr>
      <w:r>
        <w:rPr>
          <w:rFonts w:hint="eastAsia" w:ascii="宋体" w:cs="宋体"/>
          <w:b/>
          <w:color w:val="auto"/>
          <w:szCs w:val="21"/>
          <w:highlight w:val="none"/>
        </w:rPr>
        <w:t>现文：</w:t>
      </w:r>
      <w:r>
        <w:rPr>
          <w:rFonts w:hint="eastAsia" w:ascii="宋体" w:cs="宋体"/>
          <w:bCs/>
          <w:color w:val="auto"/>
          <w:szCs w:val="21"/>
          <w:highlight w:val="none"/>
        </w:rPr>
        <w:t>12.3投标文件应按</w:t>
      </w:r>
      <w:r>
        <w:rPr>
          <w:rFonts w:hint="eastAsia" w:ascii="宋体" w:cs="宋体"/>
          <w:color w:val="auto"/>
          <w:szCs w:val="21"/>
          <w:highlight w:val="none"/>
        </w:rPr>
        <w:t>照交易平台关于全流程电子化项目的相关指南进行编制，详见：</w:t>
      </w:r>
      <w:r>
        <w:rPr>
          <w:rFonts w:hint="eastAsia" w:ascii="宋体" w:cs="宋体"/>
          <w:color w:val="auto"/>
          <w:szCs w:val="21"/>
          <w:highlight w:val="none"/>
          <w:u w:val="single"/>
        </w:rPr>
        <w:t>广州交易集团有限公司（广州公共资源交易中心）网站</w:t>
      </w:r>
      <w:r>
        <w:rPr>
          <w:rFonts w:hint="eastAsia" w:ascii="宋体" w:cs="宋体"/>
          <w:color w:val="auto"/>
          <w:szCs w:val="21"/>
          <w:highlight w:val="none"/>
        </w:rPr>
        <w:t>。</w:t>
      </w:r>
    </w:p>
    <w:p w14:paraId="72BEF093">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条款号：13.1</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14:paraId="0C4E1D3E">
      <w:pPr>
        <w:pBdr>
          <w:bottom w:val="single" w:color="auto" w:sz="6" w:space="1"/>
        </w:pBd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13.1 本工程的投标报价采用投标须知前附表第12项所规定的方式。投标报价（含单价及总价）精确到“分”。</w:t>
      </w:r>
    </w:p>
    <w:p w14:paraId="4840E972">
      <w:pPr>
        <w:pBdr>
          <w:bottom w:val="single" w:color="auto" w:sz="6" w:space="1"/>
        </w:pBd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13.1本工程的投标报价采用投标须知前附表第12项所规定的方式。</w:t>
      </w:r>
      <w:r>
        <w:rPr>
          <w:rFonts w:hint="eastAsia" w:ascii="宋体" w:hAnsi="宋体" w:cs="宋体"/>
          <w:color w:val="auto"/>
          <w:szCs w:val="21"/>
          <w:highlight w:val="none"/>
          <w:u w:val="single"/>
        </w:rPr>
        <w:t>投标文件中的大写金额和小写金额不一致的，以大写金额为准，</w:t>
      </w:r>
      <w:r>
        <w:rPr>
          <w:rFonts w:hint="eastAsia" w:ascii="宋体" w:hAnsi="宋体" w:cs="宋体"/>
          <w:color w:val="auto"/>
          <w:szCs w:val="21"/>
          <w:highlight w:val="none"/>
        </w:rPr>
        <w:t>投标报价（含单价及总价）精确到“分”。</w:t>
      </w:r>
    </w:p>
    <w:p w14:paraId="4F71B874">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条款号：13.4</w:t>
      </w:r>
      <w:r>
        <w:rPr>
          <w:rFonts w:hint="eastAsia" w:ascii="宋体" w:hAnsi="宋体" w:cs="宋体"/>
          <w:b/>
          <w:color w:val="auto"/>
          <w:szCs w:val="21"/>
          <w:highlight w:val="none"/>
        </w:rPr>
        <w:tab/>
      </w:r>
      <w:r>
        <w:rPr>
          <w:rFonts w:hint="eastAsia" w:ascii="宋体" w:hAnsi="宋体" w:cs="宋体"/>
          <w:b/>
          <w:color w:val="auto"/>
          <w:szCs w:val="21"/>
          <w:highlight w:val="none"/>
        </w:rPr>
        <w:t>修改类型：删除</w:t>
      </w:r>
    </w:p>
    <w:p w14:paraId="039012FF">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544939B9">
      <w:pPr>
        <w:pBdr>
          <w:bottom w:val="single" w:color="auto" w:sz="6" w:space="1"/>
        </w:pBdr>
        <w:spacing w:line="440" w:lineRule="exact"/>
        <w:ind w:firstLine="420" w:firstLineChars="200"/>
        <w:rPr>
          <w:rFonts w:hint="eastAsia" w:ascii="宋体" w:hAnsi="宋体" w:cs="宋体"/>
          <w:color w:val="auto"/>
          <w:szCs w:val="21"/>
          <w:highlight w:val="none"/>
        </w:rPr>
      </w:pPr>
    </w:p>
    <w:p w14:paraId="61FA5F16">
      <w:pPr>
        <w:spacing w:line="360" w:lineRule="auto"/>
        <w:ind w:firstLine="472" w:firstLineChars="224"/>
        <w:rPr>
          <w:rStyle w:val="26"/>
          <w:rFonts w:ascii="宋体" w:hAnsi="宋体"/>
          <w:b/>
          <w:color w:val="auto"/>
          <w:szCs w:val="21"/>
          <w:highlight w:val="none"/>
        </w:rPr>
      </w:pPr>
      <w:r>
        <w:rPr>
          <w:rStyle w:val="26"/>
          <w:rFonts w:ascii="宋体" w:hAnsi="宋体"/>
          <w:b/>
          <w:color w:val="auto"/>
          <w:szCs w:val="21"/>
          <w:highlight w:val="none"/>
        </w:rPr>
        <w:t>条款号：13.5             修改类型：修改</w:t>
      </w:r>
    </w:p>
    <w:p w14:paraId="7D038977">
      <w:pPr>
        <w:pBdr>
          <w:bottom w:val="single" w:color="000000" w:sz="6" w:space="1"/>
        </w:pBdr>
        <w:spacing w:line="360" w:lineRule="auto"/>
        <w:ind w:firstLine="527" w:firstLineChars="250"/>
        <w:rPr>
          <w:rStyle w:val="26"/>
          <w:rFonts w:ascii="宋体" w:hAnsi="宋体"/>
          <w:bCs/>
          <w:color w:val="auto"/>
          <w:szCs w:val="21"/>
          <w:highlight w:val="none"/>
        </w:rPr>
      </w:pPr>
      <w:r>
        <w:rPr>
          <w:rStyle w:val="26"/>
          <w:rFonts w:ascii="宋体" w:hAnsi="宋体"/>
          <w:b/>
          <w:color w:val="auto"/>
          <w:szCs w:val="21"/>
          <w:highlight w:val="none"/>
        </w:rPr>
        <w:t>原文：</w:t>
      </w:r>
      <w:r>
        <w:rPr>
          <w:rStyle w:val="26"/>
          <w:rFonts w:ascii="宋体" w:hAnsi="宋体"/>
          <w:bCs/>
          <w:color w:val="auto"/>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387A069F">
      <w:pPr>
        <w:pBdr>
          <w:bottom w:val="single" w:color="000000" w:sz="6" w:space="1"/>
        </w:pBdr>
        <w:spacing w:line="360" w:lineRule="auto"/>
        <w:ind w:firstLine="525" w:firstLineChars="250"/>
        <w:rPr>
          <w:rStyle w:val="26"/>
          <w:rFonts w:ascii="宋体" w:hAnsi="宋体"/>
          <w:bCs/>
          <w:color w:val="auto"/>
          <w:szCs w:val="21"/>
          <w:highlight w:val="none"/>
        </w:rPr>
      </w:pPr>
      <w:r>
        <w:rPr>
          <w:rStyle w:val="26"/>
          <w:rFonts w:ascii="宋体" w:hAnsi="宋体"/>
          <w:bCs/>
          <w:color w:val="auto"/>
          <w:szCs w:val="21"/>
          <w:highlight w:val="none"/>
        </w:rPr>
        <w:t>13.5.1中标的投标文件工程量清单中已有相同项目的适用综合单价，则沿用；</w:t>
      </w:r>
    </w:p>
    <w:p w14:paraId="50D726F5">
      <w:pPr>
        <w:pBdr>
          <w:bottom w:val="single" w:color="000000" w:sz="6" w:space="1"/>
        </w:pBdr>
        <w:spacing w:line="360" w:lineRule="auto"/>
        <w:ind w:firstLine="525" w:firstLineChars="250"/>
        <w:rPr>
          <w:rStyle w:val="26"/>
          <w:rFonts w:ascii="宋体" w:hAnsi="宋体"/>
          <w:bCs/>
          <w:color w:val="auto"/>
          <w:szCs w:val="21"/>
          <w:highlight w:val="none"/>
        </w:rPr>
      </w:pPr>
      <w:r>
        <w:rPr>
          <w:rStyle w:val="26"/>
          <w:rFonts w:ascii="宋体" w:hAnsi="宋体"/>
          <w:bCs/>
          <w:color w:val="auto"/>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660F685A">
      <w:pPr>
        <w:pBdr>
          <w:bottom w:val="single" w:color="000000" w:sz="6" w:space="1"/>
        </w:pBdr>
        <w:spacing w:line="360" w:lineRule="auto"/>
        <w:ind w:firstLine="525" w:firstLineChars="250"/>
        <w:rPr>
          <w:rStyle w:val="26"/>
          <w:rFonts w:ascii="宋体" w:hAnsi="宋体"/>
          <w:bCs/>
          <w:color w:val="auto"/>
          <w:szCs w:val="21"/>
          <w:highlight w:val="none"/>
        </w:rPr>
      </w:pPr>
      <w:r>
        <w:rPr>
          <w:rStyle w:val="26"/>
          <w:rFonts w:ascii="宋体" w:hAnsi="宋体"/>
          <w:bCs/>
          <w:color w:val="auto"/>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14:paraId="39F557D9">
      <w:pPr>
        <w:pBdr>
          <w:bottom w:val="single" w:color="000000" w:sz="6" w:space="1"/>
        </w:pBdr>
        <w:spacing w:line="360" w:lineRule="auto"/>
        <w:ind w:firstLine="525" w:firstLineChars="250"/>
        <w:rPr>
          <w:rStyle w:val="26"/>
          <w:rFonts w:ascii="宋体" w:hAnsi="宋体"/>
          <w:b/>
          <w:color w:val="auto"/>
          <w:szCs w:val="21"/>
          <w:highlight w:val="none"/>
        </w:rPr>
      </w:pPr>
      <w:r>
        <w:rPr>
          <w:rStyle w:val="26"/>
          <w:rFonts w:ascii="宋体" w:hAnsi="宋体"/>
          <w:bCs/>
          <w:color w:val="auto"/>
          <w:szCs w:val="21"/>
          <w:highlight w:val="none"/>
        </w:rPr>
        <w:t>13.5.4 如相关定额没有相应子目的，其计价方式由招标人在本招标文件第三章中另行规定。未规定的，中标后双方协商约定。</w:t>
      </w:r>
    </w:p>
    <w:p w14:paraId="220F6D2D">
      <w:pPr>
        <w:pBdr>
          <w:bottom w:val="single" w:color="000000" w:sz="6" w:space="1"/>
        </w:pBdr>
        <w:spacing w:line="360" w:lineRule="auto"/>
        <w:ind w:firstLine="527" w:firstLineChars="250"/>
        <w:rPr>
          <w:rStyle w:val="26"/>
          <w:rFonts w:ascii="宋体" w:hAnsi="宋体"/>
          <w:color w:val="auto"/>
          <w:szCs w:val="21"/>
          <w:highlight w:val="none"/>
          <w:u w:val="single"/>
        </w:rPr>
      </w:pPr>
      <w:r>
        <w:rPr>
          <w:rStyle w:val="26"/>
          <w:rFonts w:ascii="宋体" w:hAnsi="宋体"/>
          <w:b/>
          <w:color w:val="auto"/>
          <w:szCs w:val="21"/>
          <w:highlight w:val="none"/>
        </w:rPr>
        <w:t>现文：</w:t>
      </w:r>
      <w:r>
        <w:rPr>
          <w:rStyle w:val="26"/>
          <w:rFonts w:hint="eastAsia" w:ascii="宋体" w:hAnsi="宋体"/>
          <w:color w:val="auto"/>
          <w:szCs w:val="21"/>
          <w:highlight w:val="none"/>
          <w:u w:val="single"/>
        </w:rPr>
        <w:t>13.5变更结算方式按合同相关规定执行</w:t>
      </w:r>
      <w:r>
        <w:rPr>
          <w:rStyle w:val="26"/>
          <w:rFonts w:ascii="宋体" w:hAnsi="宋体"/>
          <w:color w:val="auto"/>
          <w:szCs w:val="21"/>
          <w:highlight w:val="none"/>
          <w:u w:val="single"/>
        </w:rPr>
        <w:t>。</w:t>
      </w:r>
    </w:p>
    <w:p w14:paraId="79B09BF2">
      <w:pPr>
        <w:spacing w:line="360" w:lineRule="auto"/>
        <w:ind w:firstLine="472" w:firstLineChars="224"/>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w:t>
      </w:r>
      <w:r>
        <w:rPr>
          <w:rFonts w:hint="eastAsia" w:ascii="宋体" w:hAnsi="宋体" w:cs="宋体"/>
          <w:color w:val="auto"/>
          <w:sz w:val="21"/>
          <w:szCs w:val="21"/>
          <w:highlight w:val="none"/>
        </w:rPr>
        <w:t>13.6</w:t>
      </w:r>
      <w:r>
        <w:rPr>
          <w:rFonts w:hint="eastAsia" w:ascii="宋体" w:hAnsi="宋体" w:cs="宋体"/>
          <w:b/>
          <w:color w:val="auto"/>
          <w:sz w:val="21"/>
          <w:szCs w:val="21"/>
          <w:highlight w:val="none"/>
        </w:rPr>
        <w:t xml:space="preserve">              修改类型：修改</w:t>
      </w:r>
    </w:p>
    <w:p w14:paraId="176F2E8C">
      <w:pPr>
        <w:pStyle w:val="4"/>
        <w:pBdr>
          <w:bottom w:val="single" w:color="auto" w:sz="6" w:space="1"/>
        </w:pBdr>
        <w:spacing w:after="0" w:line="360" w:lineRule="auto"/>
        <w:ind w:firstLine="422" w:firstLineChars="200"/>
        <w:rPr>
          <w:rFonts w:hint="eastAsia"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13.6 暂列金额、暂估价</w:t>
      </w:r>
    </w:p>
    <w:p w14:paraId="546A2831">
      <w:pPr>
        <w:pStyle w:val="4"/>
        <w:pBdr>
          <w:bottom w:val="single" w:color="auto" w:sz="6" w:space="1"/>
        </w:pBdr>
        <w:spacing w:after="0" w:line="360" w:lineRule="auto"/>
        <w:ind w:firstLine="422" w:firstLineChars="200"/>
        <w:rPr>
          <w:rFonts w:hint="eastAsia"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13.6</w:t>
      </w:r>
      <w:r>
        <w:rPr>
          <w:rFonts w:hint="eastAsia" w:ascii="宋体" w:hAnsi="宋体" w:cs="宋体"/>
          <w:color w:val="auto"/>
          <w:sz w:val="21"/>
          <w:szCs w:val="21"/>
          <w:highlight w:val="none"/>
          <w:u w:val="single"/>
        </w:rPr>
        <w:t>暂列金额、暂估价按施工合同相关规定执行。</w:t>
      </w:r>
    </w:p>
    <w:p w14:paraId="5446C8ED">
      <w:pPr>
        <w:spacing w:before="156" w:beforeLines="50" w:line="360" w:lineRule="auto"/>
        <w:ind w:firstLine="527" w:firstLineChars="250"/>
        <w:rPr>
          <w:rFonts w:hint="eastAsia" w:ascii="宋体" w:cs="宋体"/>
          <w:b/>
          <w:color w:val="auto"/>
          <w:szCs w:val="21"/>
          <w:highlight w:val="none"/>
        </w:rPr>
      </w:pPr>
      <w:r>
        <w:rPr>
          <w:rFonts w:hint="eastAsia" w:ascii="宋体" w:cs="宋体"/>
          <w:b/>
          <w:color w:val="auto"/>
          <w:szCs w:val="21"/>
          <w:highlight w:val="none"/>
        </w:rPr>
        <w:t>条款号：</w:t>
      </w:r>
      <w:r>
        <w:rPr>
          <w:rFonts w:hint="eastAsia" w:ascii="宋体" w:cs="宋体"/>
          <w:b/>
          <w:bCs/>
          <w:color w:val="auto"/>
          <w:szCs w:val="21"/>
          <w:highlight w:val="none"/>
        </w:rPr>
        <w:t>16</w:t>
      </w:r>
      <w:r>
        <w:rPr>
          <w:rFonts w:hint="eastAsia" w:ascii="宋体" w:cs="宋体"/>
          <w:bCs/>
          <w:color w:val="auto"/>
          <w:szCs w:val="21"/>
          <w:highlight w:val="none"/>
        </w:rPr>
        <w:t xml:space="preserve">. </w:t>
      </w:r>
      <w:r>
        <w:rPr>
          <w:rFonts w:hint="eastAsia" w:ascii="宋体" w:cs="宋体"/>
          <w:b/>
          <w:color w:val="auto"/>
          <w:szCs w:val="21"/>
          <w:highlight w:val="none"/>
        </w:rPr>
        <w:t xml:space="preserve">                           修改类型：删除</w:t>
      </w:r>
    </w:p>
    <w:p w14:paraId="007407CC">
      <w:pPr>
        <w:pStyle w:val="4"/>
        <w:spacing w:after="0" w:line="360" w:lineRule="auto"/>
        <w:ind w:firstLine="402" w:firstLineChars="200"/>
        <w:rPr>
          <w:rFonts w:hint="eastAsia" w:ascii="宋体" w:cs="宋体"/>
          <w:b/>
          <w:color w:val="auto"/>
          <w:szCs w:val="21"/>
          <w:highlight w:val="none"/>
        </w:rPr>
      </w:pPr>
      <w:r>
        <w:rPr>
          <w:rFonts w:hint="eastAsia" w:ascii="宋体" w:cs="宋体"/>
          <w:b/>
          <w:color w:val="auto"/>
          <w:szCs w:val="21"/>
          <w:highlight w:val="none"/>
        </w:rPr>
        <w:t>原文：16．投标保证金</w:t>
      </w:r>
    </w:p>
    <w:p w14:paraId="09D29390">
      <w:pPr>
        <w:spacing w:line="360" w:lineRule="auto"/>
        <w:ind w:firstLine="420" w:firstLineChars="200"/>
        <w:rPr>
          <w:rFonts w:hint="eastAsia" w:ascii="宋体" w:cs="宋体"/>
          <w:color w:val="auto"/>
          <w:szCs w:val="21"/>
          <w:highlight w:val="none"/>
        </w:rPr>
      </w:pPr>
      <w:r>
        <w:rPr>
          <w:rFonts w:hint="eastAsia" w:ascii="宋体" w:cs="宋体"/>
          <w:color w:val="auto"/>
          <w:szCs w:val="21"/>
          <w:highlight w:val="none"/>
        </w:rPr>
        <w:t>16.1投标人应按投标须知前附表第14项所述金额和时间递交投标保证金。招标人应当允许投标人自主选择现金、银行保函、保证保险、专业工程担保公司担保等方式缴纳投标保证金。</w:t>
      </w:r>
    </w:p>
    <w:p w14:paraId="47D6B9FB">
      <w:pPr>
        <w:spacing w:line="360" w:lineRule="auto"/>
        <w:ind w:firstLine="420" w:firstLineChars="200"/>
        <w:rPr>
          <w:rFonts w:hint="eastAsia" w:ascii="宋体" w:cs="宋体"/>
          <w:color w:val="auto"/>
          <w:szCs w:val="21"/>
          <w:highlight w:val="none"/>
        </w:rPr>
      </w:pPr>
      <w:r>
        <w:rPr>
          <w:rFonts w:hint="eastAsia" w:ascii="宋体" w:cs="宋体"/>
          <w:color w:val="auto"/>
          <w:szCs w:val="21"/>
          <w:highlight w:val="none"/>
        </w:rPr>
        <w:t>16.1.1 采用现金或者支票形式提交的，投标保证金须从投标人的银行基本账户转出。</w:t>
      </w:r>
    </w:p>
    <w:p w14:paraId="3C88A0D2">
      <w:pPr>
        <w:spacing w:line="360" w:lineRule="auto"/>
        <w:ind w:firstLine="420" w:firstLineChars="200"/>
        <w:rPr>
          <w:rFonts w:hint="eastAsia" w:ascii="宋体" w:cs="宋体"/>
          <w:color w:val="auto"/>
          <w:szCs w:val="21"/>
          <w:highlight w:val="none"/>
        </w:rPr>
      </w:pPr>
      <w:r>
        <w:rPr>
          <w:rFonts w:hint="eastAsia" w:ascii="宋体" w:cs="宋体"/>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2BB19EF9">
      <w:pPr>
        <w:spacing w:line="360" w:lineRule="auto"/>
        <w:ind w:firstLine="420" w:firstLineChars="200"/>
        <w:rPr>
          <w:rFonts w:hint="eastAsia" w:ascii="宋体" w:cs="宋体"/>
          <w:color w:val="auto"/>
          <w:szCs w:val="21"/>
          <w:highlight w:val="none"/>
        </w:rPr>
      </w:pPr>
      <w:r>
        <w:rPr>
          <w:rFonts w:hint="eastAsia" w:ascii="宋体" w:cs="宋体"/>
          <w:color w:val="auto"/>
          <w:szCs w:val="21"/>
          <w:highlight w:val="none"/>
        </w:rPr>
        <w:t>16.1.3 采用电子形式的保函、担保或保证保险提交投标保证金的，应在招标文件中明确电子递交途径。</w:t>
      </w:r>
    </w:p>
    <w:p w14:paraId="1196AD23">
      <w:pPr>
        <w:spacing w:line="360" w:lineRule="auto"/>
        <w:ind w:firstLine="420" w:firstLineChars="200"/>
        <w:rPr>
          <w:rFonts w:hint="eastAsia" w:ascii="宋体" w:cs="宋体"/>
          <w:color w:val="auto"/>
          <w:szCs w:val="21"/>
          <w:highlight w:val="none"/>
        </w:rPr>
      </w:pPr>
      <w:r>
        <w:rPr>
          <w:rFonts w:hint="eastAsia" w:ascii="宋体" w:cs="宋体"/>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3EFF61B0">
      <w:pPr>
        <w:spacing w:line="360" w:lineRule="auto"/>
        <w:ind w:firstLine="420" w:firstLineChars="200"/>
        <w:rPr>
          <w:rFonts w:hint="eastAsia" w:ascii="宋体" w:cs="宋体"/>
          <w:color w:val="auto"/>
          <w:szCs w:val="21"/>
          <w:highlight w:val="none"/>
        </w:rPr>
      </w:pPr>
      <w:r>
        <w:rPr>
          <w:rFonts w:hint="eastAsia" w:ascii="宋体" w:cs="宋体"/>
          <w:color w:val="auto"/>
          <w:szCs w:val="21"/>
          <w:highlight w:val="none"/>
        </w:rPr>
        <w:t>16.3投标保证金应依据法律法规的相关规定退还。</w:t>
      </w:r>
    </w:p>
    <w:p w14:paraId="1718FEDD">
      <w:pPr>
        <w:spacing w:line="360" w:lineRule="auto"/>
        <w:ind w:firstLine="420" w:firstLineChars="200"/>
        <w:rPr>
          <w:rFonts w:hint="eastAsia" w:ascii="宋体" w:cs="宋体"/>
          <w:color w:val="auto"/>
          <w:szCs w:val="21"/>
          <w:highlight w:val="none"/>
        </w:rPr>
      </w:pPr>
      <w:r>
        <w:rPr>
          <w:rFonts w:hint="eastAsia" w:ascii="宋体" w:cs="宋体"/>
          <w:color w:val="auto"/>
          <w:szCs w:val="21"/>
          <w:highlight w:val="none"/>
        </w:rPr>
        <w:t>16.4如有下列情况之一的，招标人可以不予退还投标保证金（是否退还投标保证金由招标人在招标文件中规定）：</w:t>
      </w:r>
    </w:p>
    <w:p w14:paraId="16FC42AA">
      <w:pPr>
        <w:spacing w:line="360" w:lineRule="auto"/>
        <w:ind w:firstLine="420" w:firstLineChars="200"/>
        <w:rPr>
          <w:rFonts w:hint="eastAsia" w:ascii="宋体" w:cs="宋体"/>
          <w:color w:val="auto"/>
          <w:szCs w:val="21"/>
          <w:highlight w:val="none"/>
        </w:rPr>
      </w:pPr>
      <w:r>
        <w:rPr>
          <w:rFonts w:hint="eastAsia" w:ascii="宋体" w:cs="宋体"/>
          <w:color w:val="auto"/>
          <w:szCs w:val="21"/>
          <w:highlight w:val="none"/>
        </w:rPr>
        <w:t>16.4.1因投标人原因造成投标文件未解密的；</w:t>
      </w:r>
    </w:p>
    <w:p w14:paraId="6802D015">
      <w:pPr>
        <w:spacing w:line="360" w:lineRule="auto"/>
        <w:ind w:firstLine="420" w:firstLineChars="200"/>
        <w:rPr>
          <w:rFonts w:hint="eastAsia" w:ascii="宋体" w:cs="宋体"/>
          <w:color w:val="auto"/>
          <w:szCs w:val="21"/>
          <w:highlight w:val="none"/>
        </w:rPr>
      </w:pPr>
      <w:r>
        <w:rPr>
          <w:rFonts w:hint="eastAsia" w:ascii="宋体" w:cs="宋体"/>
          <w:color w:val="auto"/>
          <w:szCs w:val="21"/>
          <w:highlight w:val="none"/>
        </w:rPr>
        <w:t>16.4.2投标人在投标有效期内撤销投标文件；</w:t>
      </w:r>
    </w:p>
    <w:p w14:paraId="5233854A">
      <w:pPr>
        <w:spacing w:line="360" w:lineRule="auto"/>
        <w:ind w:firstLine="420" w:firstLineChars="200"/>
        <w:rPr>
          <w:rFonts w:hint="eastAsia" w:ascii="宋体" w:cs="宋体"/>
          <w:color w:val="auto"/>
          <w:szCs w:val="21"/>
          <w:highlight w:val="none"/>
        </w:rPr>
      </w:pPr>
      <w:r>
        <w:rPr>
          <w:rFonts w:hint="eastAsia" w:ascii="宋体" w:cs="宋体"/>
          <w:color w:val="auto"/>
          <w:szCs w:val="21"/>
          <w:highlight w:val="none"/>
        </w:rPr>
        <w:t>16.4.3中标人未能在规定期限内按要求提交履约担保；</w:t>
      </w:r>
    </w:p>
    <w:p w14:paraId="273A1F03">
      <w:pPr>
        <w:spacing w:line="360" w:lineRule="auto"/>
        <w:ind w:firstLine="420" w:firstLineChars="200"/>
        <w:rPr>
          <w:rFonts w:hint="eastAsia" w:ascii="宋体" w:cs="宋体"/>
          <w:color w:val="auto"/>
          <w:szCs w:val="21"/>
          <w:highlight w:val="none"/>
        </w:rPr>
      </w:pPr>
      <w:r>
        <w:rPr>
          <w:rFonts w:hint="eastAsia" w:ascii="宋体" w:cs="宋体"/>
          <w:color w:val="auto"/>
          <w:szCs w:val="21"/>
          <w:highlight w:val="none"/>
        </w:rPr>
        <w:t>16.4.4中标人未能在规定期限内签署合同协议。</w:t>
      </w:r>
    </w:p>
    <w:p w14:paraId="16A279FE">
      <w:pPr>
        <w:spacing w:line="360" w:lineRule="auto"/>
        <w:ind w:firstLine="420" w:firstLineChars="200"/>
        <w:rPr>
          <w:rFonts w:hint="eastAsia" w:ascii="宋体" w:cs="宋体"/>
          <w:color w:val="auto"/>
          <w:szCs w:val="21"/>
          <w:highlight w:val="none"/>
        </w:rPr>
      </w:pPr>
      <w:r>
        <w:rPr>
          <w:rFonts w:hint="eastAsia" w:ascii="宋体" w:cs="宋体"/>
          <w:color w:val="auto"/>
          <w:szCs w:val="21"/>
          <w:highlight w:val="none"/>
        </w:rPr>
        <w:t>16.5投标人如存在下列情况之一的，将被拒绝在一定时期内参与招标人后续工程投标（拒绝时限需在招标文件中明确）：</w:t>
      </w:r>
    </w:p>
    <w:p w14:paraId="128CA87F">
      <w:pPr>
        <w:spacing w:line="360" w:lineRule="auto"/>
        <w:ind w:firstLine="420" w:firstLineChars="200"/>
        <w:rPr>
          <w:rFonts w:hint="eastAsia" w:ascii="宋体" w:cs="宋体"/>
          <w:color w:val="auto"/>
          <w:szCs w:val="21"/>
          <w:highlight w:val="none"/>
        </w:rPr>
      </w:pPr>
      <w:r>
        <w:rPr>
          <w:rFonts w:hint="eastAsia" w:ascii="宋体" w:cs="宋体"/>
          <w:color w:val="auto"/>
          <w:szCs w:val="21"/>
          <w:highlight w:val="none"/>
        </w:rPr>
        <w:t>16.5.1投标人存在16.4条款所列情形且投标人提交的保函、担保或保证保险无法兑付的；</w:t>
      </w:r>
    </w:p>
    <w:p w14:paraId="0A352532">
      <w:pPr>
        <w:spacing w:line="360" w:lineRule="auto"/>
        <w:ind w:firstLine="420" w:firstLineChars="200"/>
        <w:rPr>
          <w:rFonts w:hint="eastAsia" w:ascii="宋体" w:cs="宋体"/>
          <w:color w:val="auto"/>
          <w:szCs w:val="21"/>
          <w:highlight w:val="none"/>
        </w:rPr>
      </w:pPr>
      <w:r>
        <w:rPr>
          <w:rFonts w:hint="eastAsia" w:ascii="宋体" w:cs="宋体"/>
          <w:color w:val="auto"/>
          <w:szCs w:val="21"/>
          <w:highlight w:val="none"/>
        </w:rPr>
        <w:t>16.5.2采用非电子形式提交投标保证金的投标人存在16.4条款所列情形，且未按招标人要求补交银行保函、专业工程担保公司担保或保证保险原件的；</w:t>
      </w:r>
    </w:p>
    <w:p w14:paraId="434BA82A">
      <w:pPr>
        <w:spacing w:line="360" w:lineRule="auto"/>
        <w:ind w:firstLine="420" w:firstLineChars="200"/>
        <w:rPr>
          <w:rFonts w:hint="eastAsia" w:ascii="宋体" w:cs="宋体"/>
          <w:color w:val="auto"/>
          <w:szCs w:val="21"/>
          <w:highlight w:val="none"/>
        </w:rPr>
      </w:pPr>
      <w:r>
        <w:rPr>
          <w:rFonts w:hint="eastAsia" w:ascii="宋体" w:cs="宋体"/>
          <w:color w:val="auto"/>
          <w:szCs w:val="21"/>
          <w:highlight w:val="none"/>
        </w:rPr>
        <w:t>16.5.3按招标文件要求免于提供投标保证金的投标人存在16.4条款所列情形，且未按招标人要求补交投标保证金的；</w:t>
      </w:r>
    </w:p>
    <w:p w14:paraId="354BC3A4">
      <w:pPr>
        <w:spacing w:line="360" w:lineRule="auto"/>
        <w:ind w:firstLine="420" w:firstLineChars="200"/>
        <w:rPr>
          <w:rFonts w:hint="eastAsia" w:ascii="宋体" w:cs="宋体"/>
          <w:color w:val="auto"/>
          <w:szCs w:val="21"/>
          <w:highlight w:val="none"/>
        </w:rPr>
      </w:pPr>
      <w:r>
        <w:rPr>
          <w:rFonts w:hint="eastAsia" w:ascii="宋体" w:cs="宋体"/>
          <w:color w:val="auto"/>
          <w:szCs w:val="21"/>
          <w:highlight w:val="none"/>
        </w:rPr>
        <w:t>16.5.3按招标文件要求免于提供投标保证金的投标人存在16.4条款所列情形的。</w:t>
      </w:r>
    </w:p>
    <w:p w14:paraId="6FC4455C">
      <w:pPr>
        <w:spacing w:line="360" w:lineRule="auto"/>
        <w:ind w:firstLine="420" w:firstLineChars="200"/>
        <w:rPr>
          <w:rFonts w:hint="eastAsia" w:ascii="宋体" w:cs="宋体"/>
          <w:color w:val="auto"/>
          <w:szCs w:val="21"/>
          <w:highlight w:val="none"/>
        </w:rPr>
      </w:pPr>
      <w:r>
        <w:rPr>
          <w:rFonts w:hint="eastAsia" w:ascii="宋体" w:cs="宋体"/>
          <w:color w:val="auto"/>
          <w:szCs w:val="21"/>
          <w:highlight w:val="none"/>
        </w:rPr>
        <w:t>注：16.5.3款由招标人二选一，需在招标文件中明确。</w:t>
      </w:r>
    </w:p>
    <w:p w14:paraId="41EC2F99">
      <w:pPr>
        <w:pBdr>
          <w:bottom w:val="single" w:color="auto" w:sz="6" w:space="1"/>
        </w:pBdr>
        <w:spacing w:line="440" w:lineRule="exact"/>
        <w:ind w:firstLine="420" w:firstLineChars="200"/>
        <w:rPr>
          <w:rFonts w:hint="eastAsia" w:ascii="宋体" w:hAnsi="宋体"/>
          <w:color w:val="auto"/>
          <w:highlight w:val="none"/>
        </w:rPr>
      </w:pPr>
    </w:p>
    <w:p w14:paraId="58C24F9E">
      <w:pP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条款号：17.1             修改类型：修改</w:t>
      </w:r>
    </w:p>
    <w:p w14:paraId="7295565F">
      <w:pPr>
        <w:spacing w:line="440" w:lineRule="exact"/>
        <w:ind w:firstLine="472" w:firstLineChars="22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p>
    <w:p w14:paraId="1728F251">
      <w:pPr>
        <w:pBdr>
          <w:bottom w:val="single" w:color="auto" w:sz="6" w:space="1"/>
        </w:pBdr>
        <w:spacing w:line="440" w:lineRule="exact"/>
        <w:ind w:firstLine="527" w:firstLineChars="25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17.1投标人应采用单位数字证书，按招标文件要求在相应位置加盖电子印章。投标文件中需个人签字或盖章的，应加盖个人电子印章或在线下完成后扫描上传。</w:t>
      </w:r>
      <w:r>
        <w:rPr>
          <w:rFonts w:hint="eastAsia" w:ascii="宋体" w:hAnsi="宋体" w:eastAsia="宋体" w:cs="宋体"/>
          <w:color w:val="auto"/>
          <w:szCs w:val="21"/>
          <w:highlight w:val="none"/>
          <w:u w:val="single"/>
        </w:rPr>
        <w:t>由广州投标文件管理软件系统生成的“工程量清单主表--工程量清单报价表”封面页和扉页可以仅采用单位数字证书加盖电子印章处理</w:t>
      </w:r>
      <w:r>
        <w:rPr>
          <w:rFonts w:hint="eastAsia" w:ascii="宋体" w:hAnsi="宋体" w:eastAsia="宋体"/>
          <w:color w:val="auto"/>
          <w:szCs w:val="21"/>
          <w:highlight w:val="none"/>
        </w:rPr>
        <w:t>。</w:t>
      </w:r>
      <w:r>
        <w:rPr>
          <w:rFonts w:hint="eastAsia" w:ascii="宋体" w:hAnsi="宋体" w:eastAsia="宋体" w:cs="宋体"/>
          <w:color w:val="auto"/>
          <w:szCs w:val="21"/>
          <w:highlight w:val="none"/>
        </w:rPr>
        <w:t>按照交易平台关于全流程电子化项目的相关指南进行操作。详见：</w:t>
      </w:r>
      <w:r>
        <w:rPr>
          <w:rFonts w:hint="eastAsia" w:ascii="宋体" w:hAnsi="宋体" w:eastAsia="宋体" w:cs="宋体"/>
          <w:color w:val="auto"/>
          <w:szCs w:val="21"/>
          <w:highlight w:val="none"/>
          <w:u w:val="single"/>
        </w:rPr>
        <w:t>广州公共资源交易中心网站。</w:t>
      </w:r>
    </w:p>
    <w:p w14:paraId="5E6E1D78">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条款号：18.1</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14:paraId="3895A31E">
      <w:pPr>
        <w:spacing w:line="440" w:lineRule="exact"/>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18.1递交的电子投标文件（不含备用光盘）必须进行加密。按照交易平台关于</w:t>
      </w:r>
      <w:r>
        <w:rPr>
          <w:rFonts w:hint="eastAsia" w:ascii="宋体" w:hAnsi="宋体" w:cs="宋体"/>
          <w:color w:val="auto"/>
          <w:szCs w:val="21"/>
          <w:highlight w:val="none"/>
        </w:rPr>
        <w:t>全流程电子化项目的相关指南进行操作。详见：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0EDFEEF">
      <w:pPr>
        <w:pBdr>
          <w:bottom w:val="single" w:color="auto" w:sz="6" w:space="1"/>
        </w:pBd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18.1</w:t>
      </w:r>
      <w:r>
        <w:rPr>
          <w:rFonts w:hint="eastAsia" w:ascii="宋体" w:cs="宋体"/>
          <w:bCs/>
          <w:color w:val="auto"/>
          <w:szCs w:val="21"/>
          <w:highlight w:val="none"/>
        </w:rPr>
        <w:t>递交的电子投标文件（不含备用光盘）必须进行加密。按照交易平台关于</w:t>
      </w:r>
      <w:r>
        <w:rPr>
          <w:rFonts w:hint="eastAsia" w:ascii="宋体" w:cs="宋体"/>
          <w:color w:val="auto"/>
          <w:szCs w:val="21"/>
          <w:highlight w:val="none"/>
        </w:rPr>
        <w:t>全流程电子化项目的相关指南进行操作。详见：</w:t>
      </w:r>
      <w:r>
        <w:rPr>
          <w:rFonts w:hint="eastAsia" w:ascii="宋体" w:cs="宋体"/>
          <w:color w:val="auto"/>
          <w:szCs w:val="21"/>
          <w:highlight w:val="none"/>
          <w:u w:val="single"/>
        </w:rPr>
        <w:t>广州交易集团有限公司（广州公共资源交易中心）网站</w:t>
      </w:r>
      <w:r>
        <w:rPr>
          <w:rFonts w:hint="eastAsia" w:ascii="宋体" w:hAnsi="宋体" w:cs="宋体"/>
          <w:color w:val="auto"/>
          <w:szCs w:val="21"/>
          <w:highlight w:val="none"/>
        </w:rPr>
        <w:t xml:space="preserve"> 。</w:t>
      </w:r>
    </w:p>
    <w:p w14:paraId="5F1B6A86">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条款号：18.2</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14:paraId="66155B1E">
      <w:pPr>
        <w:spacing w:line="440" w:lineRule="exact"/>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18.2 未按要求加密的投标文件，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w:t>
      </w:r>
      <w:r>
        <w:rPr>
          <w:rFonts w:hint="eastAsia" w:ascii="宋体" w:hAnsi="宋体" w:cs="宋体"/>
          <w:bCs/>
          <w:color w:val="auto"/>
          <w:szCs w:val="21"/>
          <w:highlight w:val="none"/>
        </w:rPr>
        <w:t>将予以拒收。</w:t>
      </w:r>
    </w:p>
    <w:p w14:paraId="1A58A59B">
      <w:pPr>
        <w:pBdr>
          <w:bottom w:val="single" w:color="auto" w:sz="6" w:space="1"/>
        </w:pBdr>
        <w:spacing w:line="460" w:lineRule="exact"/>
        <w:ind w:firstLine="413" w:firstLineChars="196"/>
        <w:rPr>
          <w:rFonts w:hint="eastAsia" w:asci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 xml:space="preserve">18.2 </w:t>
      </w:r>
      <w:r>
        <w:rPr>
          <w:rFonts w:hint="eastAsia" w:ascii="宋体" w:cs="宋体"/>
          <w:color w:val="auto"/>
          <w:szCs w:val="21"/>
          <w:highlight w:val="none"/>
        </w:rPr>
        <w:t>未</w:t>
      </w:r>
      <w:r>
        <w:rPr>
          <w:rFonts w:hint="eastAsia" w:ascii="宋体" w:cs="宋体"/>
          <w:bCs/>
          <w:color w:val="auto"/>
          <w:szCs w:val="21"/>
          <w:highlight w:val="none"/>
        </w:rPr>
        <w:t>按要求加密的投标文件，</w:t>
      </w:r>
      <w:r>
        <w:rPr>
          <w:rFonts w:hint="eastAsia" w:ascii="宋体" w:cs="宋体"/>
          <w:color w:val="auto"/>
          <w:szCs w:val="21"/>
          <w:highlight w:val="none"/>
          <w:u w:val="single"/>
        </w:rPr>
        <w:t>广州交易集团有限公司（广州公共资源交易中心）</w:t>
      </w:r>
      <w:r>
        <w:rPr>
          <w:rFonts w:hint="eastAsia" w:ascii="宋体" w:cs="宋体"/>
          <w:color w:val="auto"/>
          <w:szCs w:val="21"/>
          <w:highlight w:val="none"/>
        </w:rPr>
        <w:t>交易平台</w:t>
      </w:r>
      <w:r>
        <w:rPr>
          <w:rFonts w:hint="eastAsia" w:ascii="宋体" w:cs="宋体"/>
          <w:bCs/>
          <w:color w:val="auto"/>
          <w:szCs w:val="21"/>
          <w:highlight w:val="none"/>
        </w:rPr>
        <w:t>将予以拒收。</w:t>
      </w:r>
    </w:p>
    <w:p w14:paraId="6DF68CE4">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条款号：19.1</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14:paraId="3E697153">
      <w:pPr>
        <w:spacing w:line="440" w:lineRule="exact"/>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19.1</w:t>
      </w:r>
      <w:r>
        <w:rPr>
          <w:rFonts w:hint="eastAsia" w:ascii="宋体" w:hAnsi="宋体" w:cs="宋体"/>
          <w:bCs/>
          <w:color w:val="auto"/>
          <w:szCs w:val="21"/>
          <w:highlight w:val="none"/>
        </w:rPr>
        <w:t>投标人通过</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交易平台递交电子投标文件。</w:t>
      </w:r>
    </w:p>
    <w:p w14:paraId="306E121F">
      <w:pPr>
        <w:pBdr>
          <w:bottom w:val="single" w:color="auto" w:sz="6" w:space="1"/>
        </w:pBdr>
        <w:spacing w:line="440" w:lineRule="exact"/>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19.1</w:t>
      </w:r>
      <w:r>
        <w:rPr>
          <w:rFonts w:hint="eastAsia" w:ascii="宋体" w:cs="宋体"/>
          <w:bCs/>
          <w:color w:val="auto"/>
          <w:szCs w:val="21"/>
          <w:highlight w:val="none"/>
        </w:rPr>
        <w:t>投标人通过</w:t>
      </w:r>
      <w:r>
        <w:rPr>
          <w:rFonts w:hint="eastAsia" w:ascii="宋体" w:cs="宋体"/>
          <w:color w:val="auto"/>
          <w:szCs w:val="21"/>
          <w:highlight w:val="none"/>
          <w:u w:val="single"/>
        </w:rPr>
        <w:t>广州交易集团有限公司（广州公共资源交易中心）</w:t>
      </w:r>
      <w:r>
        <w:rPr>
          <w:rFonts w:hint="eastAsia" w:ascii="宋体" w:cs="宋体"/>
          <w:color w:val="auto"/>
          <w:szCs w:val="21"/>
          <w:highlight w:val="none"/>
        </w:rPr>
        <w:t>交易平台递交电子投标文件。</w:t>
      </w:r>
    </w:p>
    <w:p w14:paraId="04C4F5B0">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条款号：19.2</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14:paraId="3460DCA0">
      <w:pPr>
        <w:spacing w:line="440" w:lineRule="exact"/>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19.2</w:t>
      </w:r>
      <w:r>
        <w:rPr>
          <w:rFonts w:hint="eastAsia" w:ascii="宋体" w:hAnsi="宋体" w:cs="宋体"/>
          <w:bCs/>
          <w:color w:val="auto"/>
          <w:szCs w:val="21"/>
          <w:highlight w:val="none"/>
        </w:rPr>
        <w:t>投标人完成电子投标文件上传后，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交易平台即时向投标人发出递交回执通知。递交时间以递交回执通知载明的传输完成时间为准。</w:t>
      </w:r>
    </w:p>
    <w:p w14:paraId="149BDEDD">
      <w:pPr>
        <w:pBdr>
          <w:bottom w:val="single" w:color="auto" w:sz="6" w:space="1"/>
        </w:pBdr>
        <w:spacing w:line="440" w:lineRule="exact"/>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19.2</w:t>
      </w:r>
      <w:r>
        <w:rPr>
          <w:rFonts w:hint="eastAsia" w:ascii="宋体" w:cs="宋体"/>
          <w:bCs/>
          <w:color w:val="auto"/>
          <w:szCs w:val="21"/>
          <w:highlight w:val="none"/>
        </w:rPr>
        <w:t>投标人完成电子</w:t>
      </w:r>
      <w:r>
        <w:rPr>
          <w:rFonts w:hint="eastAsia" w:ascii="宋体" w:cs="宋体"/>
          <w:color w:val="auto"/>
          <w:szCs w:val="21"/>
          <w:highlight w:val="none"/>
        </w:rPr>
        <w:t>投标文件</w:t>
      </w:r>
      <w:r>
        <w:rPr>
          <w:rFonts w:hint="eastAsia" w:ascii="宋体" w:cs="宋体"/>
          <w:bCs/>
          <w:color w:val="auto"/>
          <w:szCs w:val="21"/>
          <w:highlight w:val="none"/>
        </w:rPr>
        <w:t>上传后，</w:t>
      </w:r>
      <w:r>
        <w:rPr>
          <w:rFonts w:hint="eastAsia" w:ascii="宋体" w:cs="宋体"/>
          <w:color w:val="auto"/>
          <w:szCs w:val="21"/>
          <w:highlight w:val="none"/>
          <w:u w:val="single"/>
        </w:rPr>
        <w:t>广州交易集团有限公司（广州公共资源交易中心）</w:t>
      </w:r>
      <w:r>
        <w:rPr>
          <w:rFonts w:hint="eastAsia" w:ascii="宋体" w:cs="宋体"/>
          <w:color w:val="auto"/>
          <w:szCs w:val="21"/>
          <w:highlight w:val="none"/>
        </w:rPr>
        <w:t>交易平台即时向投标人发出递交回执通知。递交时间以递交回执通知载明的传输完成时间为准</w:t>
      </w:r>
      <w:r>
        <w:rPr>
          <w:rFonts w:hint="eastAsia" w:ascii="宋体" w:hAnsi="宋体" w:cs="宋体"/>
          <w:bCs/>
          <w:color w:val="auto"/>
          <w:szCs w:val="21"/>
          <w:highlight w:val="none"/>
        </w:rPr>
        <w:t>。</w:t>
      </w:r>
    </w:p>
    <w:p w14:paraId="22DD080D">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条款号：19.3</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14:paraId="38EBD530">
      <w:pPr>
        <w:spacing w:line="440" w:lineRule="exact"/>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19.3</w:t>
      </w:r>
      <w:r>
        <w:rPr>
          <w:rFonts w:hint="eastAsia" w:ascii="宋体" w:hAnsi="宋体" w:cs="宋体"/>
          <w:bCs/>
          <w:color w:val="auto"/>
          <w:szCs w:val="21"/>
          <w:highlight w:val="none"/>
        </w:rPr>
        <w:t>逾期送达的电子投标文件，</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交易平台将予以拒收。</w:t>
      </w:r>
    </w:p>
    <w:p w14:paraId="66CBB519">
      <w:pPr>
        <w:pBdr>
          <w:bottom w:val="single" w:color="auto" w:sz="6" w:space="1"/>
        </w:pBdr>
        <w:spacing w:line="460" w:lineRule="exact"/>
        <w:ind w:firstLine="413" w:firstLineChars="196"/>
        <w:rPr>
          <w:rFonts w:hint="eastAsia" w:asci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19.3</w:t>
      </w:r>
      <w:r>
        <w:rPr>
          <w:rFonts w:hint="eastAsia" w:ascii="宋体" w:cs="宋体"/>
          <w:bCs/>
          <w:color w:val="auto"/>
          <w:szCs w:val="21"/>
          <w:highlight w:val="none"/>
        </w:rPr>
        <w:t>逾期送达的电子投标文件，</w:t>
      </w:r>
      <w:r>
        <w:rPr>
          <w:rFonts w:hint="eastAsia" w:ascii="宋体" w:cs="宋体"/>
          <w:color w:val="auto"/>
          <w:szCs w:val="21"/>
          <w:highlight w:val="none"/>
          <w:u w:val="single"/>
        </w:rPr>
        <w:t>广州交易集团有限公司（广州公共资源交易中心）</w:t>
      </w:r>
      <w:r>
        <w:rPr>
          <w:rFonts w:hint="eastAsia" w:ascii="宋体" w:cs="宋体"/>
          <w:color w:val="auto"/>
          <w:szCs w:val="21"/>
          <w:highlight w:val="none"/>
        </w:rPr>
        <w:t>交易平台将予以拒收。</w:t>
      </w:r>
    </w:p>
    <w:p w14:paraId="2F2789D1">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条款号：19.5</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14:paraId="42EF805D">
      <w:pP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19.5如技术标和经济标先后分别开启，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交易平台将按招标文件规定的时间分别开启技术标和经济标。</w:t>
      </w:r>
    </w:p>
    <w:p w14:paraId="62A57668">
      <w:pPr>
        <w:pStyle w:val="20"/>
        <w:spacing w:after="0" w:line="440" w:lineRule="exact"/>
        <w:ind w:left="0" w:leftChars="0" w:firstLine="422"/>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19.5</w:t>
      </w:r>
      <w:r>
        <w:rPr>
          <w:rFonts w:hint="eastAsia" w:ascii="宋体" w:hAnsi="宋体" w:cs="宋体"/>
          <w:bCs/>
          <w:color w:val="auto"/>
          <w:szCs w:val="21"/>
          <w:highlight w:val="none"/>
          <w:u w:val="single"/>
        </w:rPr>
        <w:t>技术标和经济标同时开启，广州交易集团有限公司（广州公共资源交易中心）交易平台将按招标文件规定的时间同时开启技术标和经济标。</w:t>
      </w:r>
    </w:p>
    <w:p w14:paraId="44D068AC">
      <w:pPr>
        <w:pBdr>
          <w:top w:val="single" w:color="auto" w:sz="4" w:space="1"/>
        </w:pBd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条款号：19.6</w:t>
      </w:r>
      <w:r>
        <w:rPr>
          <w:rFonts w:hint="eastAsia" w:ascii="宋体" w:hAnsi="宋体" w:cs="宋体"/>
          <w:b/>
          <w:color w:val="auto"/>
          <w:szCs w:val="21"/>
          <w:highlight w:val="none"/>
        </w:rPr>
        <w:tab/>
      </w:r>
      <w:r>
        <w:rPr>
          <w:rFonts w:hint="eastAsia" w:ascii="宋体" w:hAnsi="宋体" w:cs="宋体"/>
          <w:b/>
          <w:color w:val="auto"/>
          <w:szCs w:val="21"/>
          <w:highlight w:val="none"/>
        </w:rPr>
        <w:t>修改类型：删除</w:t>
      </w:r>
    </w:p>
    <w:p w14:paraId="326C261E">
      <w:pP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在规定的时间内，项目负责人须到自助签到。按照交易平台有关项目负责人自助签到流程进行操作。项目负责人凡未凭身份证按时到达指定地点签到的，该投标文件将不能参与资格审查和评标（选择性条款）。</w:t>
      </w:r>
    </w:p>
    <w:p w14:paraId="574D3DF5">
      <w:pPr>
        <w:adjustRightInd w:val="0"/>
        <w:spacing w:line="360" w:lineRule="auto"/>
        <w:ind w:firstLine="470" w:firstLineChars="195"/>
        <w:textAlignment w:val="baseline"/>
        <w:rPr>
          <w:rFonts w:hint="eastAsia" w:ascii="宋体" w:hAnsi="宋体" w:cs="宋体"/>
          <w:b/>
          <w:color w:val="auto"/>
          <w:sz w:val="24"/>
          <w:szCs w:val="24"/>
          <w:highlight w:val="none"/>
        </w:rPr>
      </w:pPr>
    </w:p>
    <w:p w14:paraId="1F7BD6CB">
      <w:pPr>
        <w:adjustRightInd w:val="0"/>
        <w:spacing w:line="360" w:lineRule="auto"/>
        <w:ind w:firstLine="411" w:firstLineChars="195"/>
        <w:textAlignment w:val="baseline"/>
        <w:rPr>
          <w:rFonts w:ascii="宋体" w:hAnsi="宋体" w:cs="宋体"/>
          <w:b/>
          <w:color w:val="auto"/>
          <w:szCs w:val="21"/>
          <w:highlight w:val="none"/>
        </w:rPr>
      </w:pPr>
      <w:r>
        <w:rPr>
          <w:rFonts w:hint="eastAsia" w:ascii="宋体" w:hAnsi="宋体" w:cs="宋体"/>
          <w:b/>
          <w:color w:val="auto"/>
          <w:szCs w:val="21"/>
          <w:highlight w:val="none"/>
        </w:rPr>
        <w:t>条款号：21.1                       修改类型：修改</w:t>
      </w:r>
    </w:p>
    <w:p w14:paraId="5F185935">
      <w:pPr>
        <w:adjustRightInd w:val="0"/>
        <w:spacing w:line="360" w:lineRule="auto"/>
        <w:ind w:firstLine="411" w:firstLineChars="195"/>
        <w:textAlignment w:val="baseline"/>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21.1本须知前附表第17项规定的投标截止时间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交易平台将予以拒收。</w:t>
      </w:r>
    </w:p>
    <w:p w14:paraId="7DD996A7">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21.1本须知前附表第</w:t>
      </w:r>
      <w:r>
        <w:rPr>
          <w:rFonts w:hint="eastAsia" w:ascii="宋体" w:hAnsi="宋体" w:cs="宋体"/>
          <w:color w:val="auto"/>
          <w:szCs w:val="21"/>
          <w:highlight w:val="none"/>
          <w:u w:val="single"/>
        </w:rPr>
        <w:t>17</w:t>
      </w:r>
      <w:r>
        <w:rPr>
          <w:rFonts w:hint="eastAsia" w:ascii="宋体" w:hAnsi="宋体" w:cs="宋体"/>
          <w:color w:val="auto"/>
          <w:szCs w:val="21"/>
          <w:highlight w:val="none"/>
        </w:rPr>
        <w:t>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Cs w:val="21"/>
          <w:highlight w:val="none"/>
          <w:u w:val="single"/>
        </w:rPr>
        <w:t>[含电子定标文件]</w:t>
      </w:r>
      <w:r>
        <w:rPr>
          <w:rFonts w:hint="eastAsia" w:ascii="宋体" w:hAnsi="宋体" w:cs="宋体"/>
          <w:bCs/>
          <w:color w:val="auto"/>
          <w:szCs w:val="21"/>
          <w:highlight w:val="none"/>
        </w:rPr>
        <w:t>，</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交易平台将予以拒收。</w:t>
      </w:r>
    </w:p>
    <w:p w14:paraId="14D1D8B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条款号：24.1  24.2                     修改类型：修改</w:t>
      </w:r>
    </w:p>
    <w:p w14:paraId="69DA696C">
      <w:pPr>
        <w:spacing w:line="360" w:lineRule="auto"/>
        <w:ind w:firstLine="525" w:firstLineChars="249"/>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24.1 开标后，直至中标公示为止，凡属于对投标文件的审查、澄清、评价和比较有关的资料以及中标候选人的推荐情况，与评标有关的其他任何情况均严格保密。</w:t>
      </w:r>
    </w:p>
    <w:p w14:paraId="5B435104">
      <w:pPr>
        <w:pBdr>
          <w:bottom w:val="single" w:color="auto" w:sz="6" w:space="1"/>
        </w:pBd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24.2 在投标文件的评审和比较、中标候选人推荐以及授予合同的过程中，投标人向招标人和评标委员会施加不公正影响的任何行为，都将会导致其投标被拒绝</w:t>
      </w:r>
    </w:p>
    <w:p w14:paraId="1D4FA94C">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24.1开标后，直至合格的中标候选人公示为止，凡属于对投标文件的审查、澄清、评价和比较有关的资料以及合格的中标候选人的推荐</w:t>
      </w:r>
      <w:r>
        <w:rPr>
          <w:rFonts w:hint="eastAsia" w:ascii="宋体" w:hAnsi="宋体" w:cs="宋体"/>
          <w:color w:val="auto"/>
          <w:szCs w:val="21"/>
          <w:highlight w:val="none"/>
          <w:u w:val="single"/>
        </w:rPr>
        <w:t>【不排序，按统一社会信用代码后4位（除校验码外）大小排位，如统一社会信用代码后4位出现字母情况的，字母以“0”进行代替大小排位；如出现后4位（除校验码外）大小一致的，则随机排位】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cs="宋体"/>
          <w:color w:val="auto"/>
          <w:szCs w:val="21"/>
          <w:highlight w:val="none"/>
        </w:rPr>
        <w:t>情况，与评标有关的其他任何情况均严格保密。</w:t>
      </w:r>
    </w:p>
    <w:p w14:paraId="3C01A3E7">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24.2在投标文件的评审和比较、合格的中标候选人推荐</w:t>
      </w:r>
      <w:r>
        <w:rPr>
          <w:rFonts w:hint="eastAsia" w:ascii="宋体" w:hAnsi="宋体" w:cs="宋体"/>
          <w:color w:val="auto"/>
          <w:szCs w:val="21"/>
          <w:highlight w:val="none"/>
          <w:u w:val="single"/>
        </w:rPr>
        <w:t>【不排序，按统一社会信用代码后4位（除校验码外）大小排位，如统一社会信用代码后4位出现字母情况的，字母以“0”进行代替大小排位；如出现后4位（除校验码外）大小一致的，则随机排位】、定标</w:t>
      </w:r>
      <w:r>
        <w:rPr>
          <w:rFonts w:hint="eastAsia" w:ascii="宋体" w:hAnsi="宋体" w:cs="宋体"/>
          <w:color w:val="auto"/>
          <w:szCs w:val="21"/>
          <w:highlight w:val="none"/>
        </w:rPr>
        <w:t>以及授予合同的过程中，投标人向招标人、评标委员会</w:t>
      </w:r>
      <w:r>
        <w:rPr>
          <w:rFonts w:hint="eastAsia" w:ascii="宋体" w:hAnsi="宋体" w:cs="宋体"/>
          <w:color w:val="auto"/>
          <w:szCs w:val="21"/>
          <w:highlight w:val="none"/>
          <w:u w:val="single"/>
        </w:rPr>
        <w:t>和定标委员会</w:t>
      </w:r>
      <w:r>
        <w:rPr>
          <w:rFonts w:hint="eastAsia" w:ascii="宋体" w:hAnsi="宋体" w:cs="宋体"/>
          <w:color w:val="auto"/>
          <w:szCs w:val="21"/>
          <w:highlight w:val="none"/>
        </w:rPr>
        <w:t>施加不公正影响的任何行为，都将会导致其投标被拒绝。</w:t>
      </w:r>
    </w:p>
    <w:p w14:paraId="715F7D58">
      <w:pPr>
        <w:spacing w:line="360" w:lineRule="auto"/>
        <w:ind w:firstLine="411" w:firstLineChars="195"/>
        <w:rPr>
          <w:rFonts w:ascii="宋体" w:hAnsi="宋体" w:cs="宋体"/>
          <w:b/>
          <w:color w:val="auto"/>
          <w:sz w:val="21"/>
          <w:szCs w:val="21"/>
          <w:highlight w:val="none"/>
        </w:rPr>
      </w:pPr>
      <w:r>
        <w:rPr>
          <w:rFonts w:hint="eastAsia" w:ascii="宋体" w:hAnsi="宋体" w:cs="宋体"/>
          <w:b/>
          <w:color w:val="auto"/>
          <w:sz w:val="21"/>
          <w:szCs w:val="21"/>
          <w:highlight w:val="none"/>
        </w:rPr>
        <w:t>条款号：27.1                        修改类型：修改</w:t>
      </w:r>
    </w:p>
    <w:p w14:paraId="320B4EDC">
      <w:pPr>
        <w:spacing w:line="360" w:lineRule="auto"/>
        <w:ind w:firstLine="411" w:firstLineChars="195"/>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bCs/>
          <w:color w:val="auto"/>
          <w:sz w:val="21"/>
          <w:szCs w:val="21"/>
          <w:highlight w:val="none"/>
        </w:rPr>
        <w:t>27.1</w:t>
      </w:r>
      <w:r>
        <w:rPr>
          <w:rFonts w:hint="eastAsia" w:ascii="宋体" w:hAnsi="宋体" w:cs="宋体"/>
          <w:color w:val="auto"/>
          <w:sz w:val="21"/>
          <w:szCs w:val="21"/>
          <w:highlight w:val="none"/>
        </w:rPr>
        <w:t>招标人将在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交易平台、广东省招标投标监管网和中国招标投标公共服务平台公示中标候选人，公示期为三天。</w:t>
      </w:r>
      <w:r>
        <w:rPr>
          <w:rFonts w:hint="eastAsia" w:ascii="宋体" w:hAnsi="宋体" w:cs="宋体"/>
          <w:b/>
          <w:bCs/>
          <w:color w:val="auto"/>
          <w:sz w:val="21"/>
          <w:szCs w:val="21"/>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17BD4F2D">
      <w:pPr>
        <w:tabs>
          <w:tab w:val="left" w:pos="4536"/>
        </w:tabs>
        <w:spacing w:line="440" w:lineRule="exact"/>
        <w:ind w:firstLine="422" w:firstLineChars="200"/>
        <w:rPr>
          <w:rFonts w:hint="eastAsia" w:ascii="宋体" w:hAnsi="宋体" w:cs="宋体"/>
          <w:b/>
          <w:bCs/>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27.1招标人将在</w:t>
      </w:r>
      <w:r>
        <w:rPr>
          <w:rFonts w:hint="eastAsia" w:ascii="宋体" w:hAnsi="宋体" w:cs="宋体"/>
          <w:color w:val="auto"/>
          <w:sz w:val="21"/>
          <w:szCs w:val="21"/>
          <w:highlight w:val="none"/>
          <w:u w:val="single"/>
        </w:rPr>
        <w:t>广州交易集团有限公司（广州公共资源交易中心）</w:t>
      </w:r>
      <w:r>
        <w:rPr>
          <w:rFonts w:hint="eastAsia" w:ascii="宋体" w:hAnsi="宋体" w:cs="宋体"/>
          <w:color w:val="auto"/>
          <w:sz w:val="21"/>
          <w:szCs w:val="21"/>
          <w:highlight w:val="none"/>
        </w:rPr>
        <w:t>交易平台、广东省招标投标监管网和中国招标投标公共服务平台公示合格中标候选人，公示期为三天。</w:t>
      </w:r>
      <w:r>
        <w:rPr>
          <w:rFonts w:hint="eastAsia" w:ascii="宋体" w:hAnsi="宋体" w:cs="宋体"/>
          <w:b/>
          <w:bCs/>
          <w:color w:val="auto"/>
          <w:sz w:val="21"/>
          <w:szCs w:val="21"/>
          <w:highlight w:val="none"/>
        </w:rPr>
        <w:t>投标人或其他利害关系人对评标结果有异议的，应当在合格中标候选人公示期间提出，可以通过线下或线上的形式提出异议。线上提交的，应通过交易平台进行，招标人也应通过交易平台答复线上提交的异议。作出答复前，应当暂停招标投标活动。</w:t>
      </w:r>
    </w:p>
    <w:p w14:paraId="64DDAFC4">
      <w:pPr>
        <w:pBdr>
          <w:bottom w:val="single" w:color="auto" w:sz="6" w:space="1"/>
        </w:pBdr>
        <w:spacing w:line="360" w:lineRule="auto"/>
        <w:ind w:firstLine="409" w:firstLineChars="195"/>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合格中标候选人公示结束后</w:t>
      </w:r>
      <w:r>
        <w:rPr>
          <w:rFonts w:ascii="宋体" w:hAnsi="宋体" w:cs="宋体"/>
          <w:color w:val="auto"/>
          <w:sz w:val="21"/>
          <w:szCs w:val="21"/>
          <w:highlight w:val="none"/>
          <w:u w:val="single"/>
        </w:rPr>
        <w:t>10</w:t>
      </w:r>
      <w:r>
        <w:rPr>
          <w:rFonts w:hint="eastAsia" w:ascii="宋体" w:hAnsi="宋体" w:cs="宋体"/>
          <w:color w:val="auto"/>
          <w:sz w:val="21"/>
          <w:szCs w:val="21"/>
          <w:highlight w:val="none"/>
          <w:u w:val="single"/>
        </w:rPr>
        <w:t>个工作日内在广州交易集团有限公司（广州公共资源交易中心）开展定标工作，在定标委员会完成定标工作后，招标人将在广州交易集团有限公司（广州公共资源交易中心）交易平台、广东省招标投标监管网和中国招标投标公共服务平台进行中标结果公示。</w:t>
      </w:r>
      <w:r>
        <w:rPr>
          <w:rFonts w:hint="eastAsia" w:ascii="宋体" w:hAnsi="宋体" w:cs="宋体"/>
          <w:b/>
          <w:color w:val="auto"/>
          <w:sz w:val="21"/>
          <w:szCs w:val="21"/>
          <w:highlight w:val="none"/>
          <w:u w:val="single"/>
        </w:rPr>
        <w:t>因投诉生效导致中标人不符合中标资格的，或定标后出现中标人不符合法定情形的，招标人可从其他合格中标候选人中采用原定标办法，由原定标委员会确定中标人，也可以重新组织招标。</w:t>
      </w:r>
    </w:p>
    <w:p w14:paraId="79E44636">
      <w:pPr>
        <w:pStyle w:val="7"/>
        <w:rPr>
          <w:rFonts w:hint="eastAsia"/>
          <w:color w:val="auto"/>
          <w:highlight w:val="none"/>
        </w:rPr>
      </w:pPr>
    </w:p>
    <w:p w14:paraId="2B1DB05A">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条款号：27.4</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14:paraId="2826B2E5">
      <w:pPr>
        <w:pBdr>
          <w:bottom w:val="single" w:color="auto" w:sz="6" w:space="1"/>
        </w:pBd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27.4在产生中标候选人后，招标人将中标候选人的投标文件商务部分文件的所有内容（包括报价清单、人员、业绩、奖项等资料）在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交易平台和广东省招标投标监管网公开。</w:t>
      </w:r>
    </w:p>
    <w:p w14:paraId="1696E8C9">
      <w:pPr>
        <w:pBdr>
          <w:bottom w:val="single" w:color="auto" w:sz="6" w:space="1"/>
        </w:pBd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27.4</w:t>
      </w:r>
      <w:r>
        <w:rPr>
          <w:rFonts w:hint="eastAsia" w:ascii="宋体" w:hAnsi="宋体" w:cs="宋体"/>
          <w:bCs/>
          <w:color w:val="auto"/>
          <w:kern w:val="0"/>
          <w:szCs w:val="21"/>
          <w:highlight w:val="none"/>
        </w:rPr>
        <w:t>在产生中标候选人后，招标人将中标候选人的投标文件商务部分文件的所有内容（包括人员、业绩、奖项等资料）在</w:t>
      </w:r>
      <w:r>
        <w:rPr>
          <w:rFonts w:hint="eastAsia" w:ascii="宋体" w:hAnsi="宋体" w:cs="宋体"/>
          <w:bCs/>
          <w:color w:val="auto"/>
          <w:kern w:val="0"/>
          <w:szCs w:val="21"/>
          <w:highlight w:val="none"/>
          <w:u w:val="single"/>
        </w:rPr>
        <w:t xml:space="preserve"> </w:t>
      </w:r>
      <w:r>
        <w:rPr>
          <w:rFonts w:hint="eastAsia" w:ascii="宋体" w:cs="宋体"/>
          <w:color w:val="auto"/>
          <w:szCs w:val="21"/>
          <w:highlight w:val="none"/>
          <w:u w:val="single"/>
        </w:rPr>
        <w:t>广州交易集团有限公司（广州公共资源交易中心）</w:t>
      </w:r>
      <w:r>
        <w:rPr>
          <w:rFonts w:hint="eastAsia" w:ascii="宋体" w:hAnsi="宋体" w:cs="宋体"/>
          <w:bCs/>
          <w:color w:val="auto"/>
          <w:kern w:val="0"/>
          <w:szCs w:val="21"/>
          <w:highlight w:val="none"/>
        </w:rPr>
        <w:t>交易平台和广东省招标投标监管网公开。</w:t>
      </w:r>
    </w:p>
    <w:p w14:paraId="4B8EF988">
      <w:pPr>
        <w:tabs>
          <w:tab w:val="left" w:pos="4536"/>
        </w:tabs>
        <w:spacing w:line="440" w:lineRule="exact"/>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条款号：29</w:t>
      </w:r>
      <w:r>
        <w:rPr>
          <w:rFonts w:hint="eastAsia" w:ascii="宋体" w:hAnsi="宋体" w:cs="宋体"/>
          <w:b/>
          <w:color w:val="auto"/>
          <w:szCs w:val="21"/>
          <w:highlight w:val="none"/>
        </w:rPr>
        <w:tab/>
      </w:r>
      <w:r>
        <w:rPr>
          <w:rFonts w:hint="eastAsia" w:ascii="宋体" w:hAnsi="宋体" w:cs="宋体"/>
          <w:b/>
          <w:color w:val="auto"/>
          <w:szCs w:val="21"/>
          <w:highlight w:val="none"/>
        </w:rPr>
        <w:t>修改类型：</w:t>
      </w:r>
      <w:r>
        <w:rPr>
          <w:rFonts w:hint="default" w:ascii="宋体" w:hAnsi="宋体" w:cs="宋体"/>
          <w:b/>
          <w:color w:val="auto"/>
          <w:szCs w:val="21"/>
          <w:highlight w:val="none"/>
          <w:lang w:val="en-US"/>
        </w:rPr>
        <w:t>删除</w:t>
      </w:r>
    </w:p>
    <w:p w14:paraId="4C45F2A7">
      <w:pPr>
        <w:spacing w:line="360" w:lineRule="auto"/>
        <w:ind w:firstLine="422" w:firstLineChars="200"/>
        <w:rPr>
          <w:rStyle w:val="26"/>
          <w:rFonts w:ascii="宋体" w:hAnsi="宋体"/>
          <w:b/>
          <w:bCs/>
          <w:color w:val="auto"/>
          <w:szCs w:val="21"/>
          <w:highlight w:val="none"/>
        </w:rPr>
      </w:pPr>
      <w:r>
        <w:rPr>
          <w:rFonts w:hint="eastAsia" w:ascii="宋体" w:hAnsi="宋体" w:cs="宋体"/>
          <w:b/>
          <w:color w:val="auto"/>
          <w:szCs w:val="21"/>
          <w:highlight w:val="none"/>
        </w:rPr>
        <w:t>原文：29.</w:t>
      </w:r>
      <w:r>
        <w:rPr>
          <w:rStyle w:val="26"/>
          <w:rFonts w:ascii="宋体" w:hAnsi="宋体"/>
          <w:b/>
          <w:bCs/>
          <w:color w:val="auto"/>
          <w:szCs w:val="21"/>
          <w:highlight w:val="none"/>
        </w:rPr>
        <w:t>履约担保</w:t>
      </w:r>
    </w:p>
    <w:p w14:paraId="7E9FC291">
      <w:pPr>
        <w:snapToGrid w:val="0"/>
        <w:spacing w:line="360" w:lineRule="auto"/>
        <w:ind w:firstLine="420" w:firstLineChars="200"/>
        <w:rPr>
          <w:rStyle w:val="26"/>
          <w:rFonts w:ascii="宋体" w:hAnsi="宋体"/>
          <w:color w:val="auto"/>
          <w:szCs w:val="21"/>
          <w:highlight w:val="none"/>
        </w:rPr>
      </w:pPr>
      <w:r>
        <w:rPr>
          <w:rStyle w:val="26"/>
          <w:rFonts w:ascii="宋体" w:hAnsi="宋体"/>
          <w:color w:val="auto"/>
          <w:szCs w:val="21"/>
          <w:highlight w:val="none"/>
        </w:rPr>
        <w:t>29.1 在收到中标通知书后的15日内，中标人应按本须知前附表第20项的规定向招标人提交履约担保。</w:t>
      </w:r>
    </w:p>
    <w:p w14:paraId="0490F59E">
      <w:pPr>
        <w:tabs>
          <w:tab w:val="left" w:pos="4536"/>
        </w:tabs>
        <w:spacing w:line="440" w:lineRule="exact"/>
        <w:ind w:firstLine="420" w:firstLineChars="200"/>
        <w:rPr>
          <w:rFonts w:hint="eastAsia" w:ascii="宋体" w:hAnsi="宋体" w:cs="宋体"/>
          <w:b/>
          <w:color w:val="auto"/>
          <w:szCs w:val="21"/>
          <w:highlight w:val="none"/>
        </w:rPr>
      </w:pPr>
      <w:r>
        <w:rPr>
          <w:rStyle w:val="26"/>
          <w:rFonts w:ascii="宋体" w:hAnsi="宋体"/>
          <w:color w:val="auto"/>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63F0370">
      <w:pPr>
        <w:pBdr>
          <w:bottom w:val="single" w:color="auto" w:sz="6" w:space="1"/>
        </w:pBdr>
        <w:spacing w:line="440" w:lineRule="exact"/>
        <w:ind w:firstLine="422" w:firstLineChars="200"/>
        <w:rPr>
          <w:rFonts w:hint="eastAsia" w:ascii="宋体" w:hAnsi="宋体" w:cs="宋体"/>
          <w:b/>
          <w:color w:val="auto"/>
          <w:szCs w:val="21"/>
          <w:highlight w:val="none"/>
        </w:rPr>
      </w:pPr>
    </w:p>
    <w:p w14:paraId="348CA6E5">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条款号：30.1</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14:paraId="280A88AA">
      <w:pPr>
        <w:spacing w:line="440" w:lineRule="exact"/>
        <w:ind w:firstLine="422" w:firstLineChars="200"/>
        <w:rPr>
          <w:rFonts w:hint="eastAsia" w:ascii="宋体" w:hAnsi="宋体" w:cs="宋体"/>
          <w:b/>
          <w:color w:val="auto"/>
          <w:spacing w:val="-2"/>
          <w:szCs w:val="21"/>
          <w:highlight w:val="none"/>
        </w:rPr>
      </w:pPr>
      <w:r>
        <w:rPr>
          <w:rFonts w:hint="eastAsia" w:ascii="宋体" w:hAnsi="宋体" w:cs="宋体"/>
          <w:b/>
          <w:color w:val="auto"/>
          <w:szCs w:val="21"/>
          <w:highlight w:val="none"/>
        </w:rPr>
        <w:t>原文：</w:t>
      </w:r>
      <w:r>
        <w:rPr>
          <w:rFonts w:hint="eastAsia" w:ascii="宋体" w:hAnsi="宋体" w:cs="宋体"/>
          <w:color w:val="auto"/>
          <w:spacing w:val="-2"/>
          <w:szCs w:val="21"/>
          <w:highlight w:val="none"/>
        </w:rPr>
        <w:t>在合同双方全权代表在合同协议书上签字，并分别加盖双方单位的公章后，合同正式生效</w:t>
      </w:r>
    </w:p>
    <w:p w14:paraId="37C2AF82">
      <w:pPr>
        <w:pBdr>
          <w:bottom w:val="single" w:color="auto" w:sz="6" w:space="1"/>
        </w:pBdr>
        <w:spacing w:line="440" w:lineRule="exact"/>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合同自发包人、承包人双方法定代表人或委托代理人签字并加盖公章之日起生效。</w:t>
      </w:r>
    </w:p>
    <w:p w14:paraId="6386D7C8">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条款号：32.3</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14:paraId="0BA27BC3">
      <w:pPr>
        <w:pBdr>
          <w:bottom w:val="single" w:color="auto" w:sz="6" w:space="1"/>
        </w:pBd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32.3投标人如在本项目中存在串通投标、弄虚作假、行贿情形的，中标无效，行政监督部门将对其违法行为进行政处罚并通报。该投标人将被招标人列入黑名单并限制其参与招标人后续项目的投标。</w:t>
      </w:r>
    </w:p>
    <w:p w14:paraId="7C41ADDB">
      <w:pPr>
        <w:pBdr>
          <w:bottom w:val="single" w:color="auto" w:sz="6" w:space="1"/>
        </w:pBdr>
        <w:spacing w:line="440" w:lineRule="exact"/>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bCs/>
          <w:color w:val="auto"/>
          <w:szCs w:val="21"/>
          <w:highlight w:val="none"/>
        </w:rPr>
        <w:t>32.3</w:t>
      </w:r>
      <w:r>
        <w:rPr>
          <w:rFonts w:hint="eastAsia" w:ascii="宋体" w:hAnsi="宋体" w:cs="宋体"/>
          <w:bCs/>
          <w:color w:val="auto"/>
          <w:kern w:val="0"/>
          <w:szCs w:val="21"/>
          <w:highlight w:val="none"/>
        </w:rPr>
        <w:t>投标人如在本项目中存在串通投标、弄虚作假</w:t>
      </w:r>
      <w:r>
        <w:rPr>
          <w:rFonts w:hint="eastAsia" w:ascii="宋体" w:hAnsi="宋体" w:cs="宋体"/>
          <w:bCs/>
          <w:color w:val="auto"/>
          <w:kern w:val="0"/>
          <w:szCs w:val="21"/>
          <w:highlight w:val="none"/>
          <w:u w:val="single"/>
        </w:rPr>
        <w:t>骗取中标</w:t>
      </w:r>
      <w:r>
        <w:rPr>
          <w:rFonts w:hint="eastAsia" w:ascii="宋体" w:hAnsi="宋体" w:cs="宋体"/>
          <w:bCs/>
          <w:color w:val="auto"/>
          <w:kern w:val="0"/>
          <w:szCs w:val="21"/>
          <w:highlight w:val="none"/>
        </w:rPr>
        <w:t>、行贿情形的，中标无效，行政监督部门将对其违法行为进行政处罚。该投标人将被招标人列入黑名单并限制其参与招标人后续项目的投标。</w:t>
      </w:r>
    </w:p>
    <w:p w14:paraId="4C37F7E4">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条款号：33</w:t>
      </w:r>
      <w:r>
        <w:rPr>
          <w:rFonts w:hint="eastAsia" w:ascii="宋体" w:hAnsi="宋体" w:cs="宋体"/>
          <w:b/>
          <w:color w:val="auto"/>
          <w:szCs w:val="21"/>
          <w:highlight w:val="none"/>
        </w:rPr>
        <w:tab/>
      </w:r>
      <w:r>
        <w:rPr>
          <w:rFonts w:hint="eastAsia" w:ascii="宋体" w:hAnsi="宋体" w:cs="宋体"/>
          <w:b/>
          <w:color w:val="auto"/>
          <w:szCs w:val="21"/>
          <w:highlight w:val="none"/>
        </w:rPr>
        <w:t>修改类型：删除</w:t>
      </w:r>
    </w:p>
    <w:p w14:paraId="40172022">
      <w:pPr>
        <w:pBdr>
          <w:bottom w:val="single" w:color="auto" w:sz="6" w:space="1"/>
        </w:pBd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原文：33. 投标人信誉的要求</w:t>
      </w:r>
    </w:p>
    <w:p w14:paraId="44CA110F">
      <w:pPr>
        <w:pBdr>
          <w:bottom w:val="single" w:color="auto" w:sz="6" w:space="1"/>
        </w:pBd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存在下列情形之一的，招标人可以限制其投标（需在招标文件中明确评定方法）</w:t>
      </w:r>
    </w:p>
    <w:p w14:paraId="3ECE5E56">
      <w:pPr>
        <w:pBdr>
          <w:bottom w:val="single" w:color="auto" w:sz="6" w:space="1"/>
        </w:pBd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（1）被住房城乡建设行政主管部门在全国建筑市场监管一体化工作平台列入建筑市场主体“黑名单”；</w:t>
      </w:r>
    </w:p>
    <w:p w14:paraId="00CA4DCF">
      <w:pPr>
        <w:pBdr>
          <w:bottom w:val="single" w:color="auto" w:sz="6" w:space="1"/>
        </w:pBdr>
        <w:spacing w:line="44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（2）被发改委、人力资源社会保障、质检总局等有关部门、单位在“信用中国”网站中列入联合惩戒失信黑名单。</w:t>
      </w:r>
    </w:p>
    <w:p w14:paraId="0499512A">
      <w:pPr>
        <w:spacing w:line="360" w:lineRule="auto"/>
        <w:ind w:firstLine="211" w:firstLineChars="100"/>
        <w:rPr>
          <w:rFonts w:hint="eastAsia" w:ascii="宋体" w:hAnsi="宋体" w:cs="宋体"/>
          <w:b/>
          <w:color w:val="auto"/>
          <w:szCs w:val="21"/>
          <w:highlight w:val="none"/>
        </w:rPr>
      </w:pPr>
      <w:r>
        <w:rPr>
          <w:rFonts w:hint="eastAsia" w:ascii="宋体" w:hAnsi="宋体" w:cs="宋体"/>
          <w:b/>
          <w:color w:val="auto"/>
          <w:szCs w:val="21"/>
          <w:highlight w:val="none"/>
        </w:rPr>
        <w:t>注：以上修改，仅限于本范本中有可供选择条款的情形。</w:t>
      </w:r>
    </w:p>
    <w:p w14:paraId="126454CF">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（以下无正文）</w:t>
      </w:r>
    </w:p>
    <w:p w14:paraId="0DA29030">
      <w:pPr>
        <w:pStyle w:val="28"/>
        <w:spacing w:line="276" w:lineRule="auto"/>
        <w:outlineLvl w:val="1"/>
        <w:rPr>
          <w:rStyle w:val="26"/>
          <w:rFonts w:ascii="宋体" w:hAnsi="宋体"/>
          <w:b/>
          <w:color w:val="auto"/>
          <w:highlight w:val="none"/>
        </w:rPr>
      </w:pPr>
      <w:r>
        <w:rPr>
          <w:rFonts w:hint="eastAsia" w:ascii="宋体" w:hAnsi="宋体" w:cs="宋体"/>
          <w:color w:val="auto"/>
          <w:highlight w:val="none"/>
        </w:rPr>
        <w:br w:type="page"/>
      </w:r>
      <w:bookmarkStart w:id="6" w:name="_Toc105014623"/>
      <w:bookmarkStart w:id="7" w:name="_Toc14950"/>
      <w:r>
        <w:rPr>
          <w:rStyle w:val="26"/>
          <w:rFonts w:ascii="宋体" w:hAnsi="宋体"/>
          <w:b/>
          <w:color w:val="auto"/>
          <w:highlight w:val="none"/>
        </w:rPr>
        <w:t>三、投标须知通用条款</w:t>
      </w:r>
      <w:bookmarkEnd w:id="6"/>
      <w:bookmarkEnd w:id="7"/>
    </w:p>
    <w:p w14:paraId="145C7658">
      <w:pPr>
        <w:widowControl/>
        <w:spacing w:before="100" w:beforeAutospacing="1" w:after="100" w:afterAutospacing="1" w:line="360" w:lineRule="auto"/>
        <w:jc w:val="center"/>
        <w:outlineLvl w:val="2"/>
        <w:rPr>
          <w:rFonts w:ascii="宋体" w:hAnsi="宋体" w:cs="宋体"/>
          <w:b/>
          <w:bCs/>
          <w:color w:val="auto"/>
          <w:kern w:val="0"/>
          <w:sz w:val="24"/>
          <w:szCs w:val="24"/>
          <w:highlight w:val="none"/>
        </w:rPr>
      </w:pPr>
      <w:bookmarkStart w:id="8" w:name="_Toc22974"/>
      <w:bookmarkStart w:id="9" w:name="_Toc3006"/>
      <w:bookmarkStart w:id="10" w:name="_Toc2272549"/>
      <w:bookmarkStart w:id="11" w:name="_Toc31237"/>
      <w:bookmarkStart w:id="12" w:name="_Toc27047"/>
      <w:bookmarkStart w:id="13" w:name="_Toc9566"/>
      <w:bookmarkStart w:id="14" w:name="_Toc19152"/>
      <w:bookmarkStart w:id="15" w:name="_Toc58838571"/>
      <w:bookmarkStart w:id="16" w:name="_Toc28097"/>
      <w:bookmarkStart w:id="17" w:name="_Toc17135"/>
      <w:bookmarkStart w:id="18" w:name="_Toc26119"/>
      <w:bookmarkStart w:id="19" w:name="_Toc25900"/>
      <w:bookmarkStart w:id="20" w:name="_Toc81"/>
      <w:bookmarkStart w:id="21" w:name="_Toc140501728"/>
      <w:r>
        <w:rPr>
          <w:rFonts w:hint="eastAsia" w:ascii="宋体" w:hAnsi="宋体" w:cs="宋体"/>
          <w:b/>
          <w:bCs/>
          <w:color w:val="auto"/>
          <w:kern w:val="0"/>
          <w:sz w:val="24"/>
          <w:szCs w:val="24"/>
          <w:highlight w:val="none"/>
        </w:rPr>
        <w:t>（一）总则</w:t>
      </w:r>
      <w:bookmarkEnd w:id="8"/>
      <w:bookmarkEnd w:id="9"/>
      <w:bookmarkEnd w:id="10"/>
      <w:bookmarkEnd w:id="11"/>
      <w:bookmarkEnd w:id="12"/>
      <w:bookmarkEnd w:id="13"/>
      <w:bookmarkEnd w:id="14"/>
      <w:bookmarkEnd w:id="15"/>
      <w:bookmarkEnd w:id="16"/>
      <w:bookmarkEnd w:id="17"/>
      <w:bookmarkEnd w:id="18"/>
      <w:bookmarkEnd w:id="19"/>
      <w:bookmarkEnd w:id="20"/>
    </w:p>
    <w:p w14:paraId="54F2BFA1">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1、定义</w:t>
      </w:r>
    </w:p>
    <w:p w14:paraId="3CF2FA36">
      <w:pPr>
        <w:spacing w:line="360" w:lineRule="auto"/>
        <w:ind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rPr>
        <w:t>本招标文件使用的下列词语具有如下规定的意义：</w:t>
      </w:r>
    </w:p>
    <w:p w14:paraId="6C23BA70">
      <w:pPr>
        <w:spacing w:line="360" w:lineRule="auto"/>
        <w:ind w:firstLine="480" w:firstLineChars="200"/>
        <w:rPr>
          <w:rFonts w:hint="eastAsia" w:ascii="宋体" w:hAnsi="宋体" w:cs="宋体"/>
          <w:b/>
          <w:bCs/>
          <w:color w:val="auto"/>
          <w:sz w:val="24"/>
          <w:szCs w:val="24"/>
          <w:highlight w:val="none"/>
          <w:u w:val="single"/>
        </w:rPr>
      </w:pPr>
      <w:r>
        <w:rPr>
          <w:rFonts w:hint="eastAsia" w:ascii="宋体" w:hAnsi="宋体" w:cs="宋体"/>
          <w:color w:val="auto"/>
          <w:sz w:val="24"/>
          <w:szCs w:val="24"/>
          <w:highlight w:val="none"/>
        </w:rPr>
        <w:t>（1）“招标人”（即发包人）、“项目建设管理单位”（或称“项目代建单位”）、“招标代理”、“设计单位”、“监理单位”均已在投标须知前附表中列明。</w:t>
      </w:r>
    </w:p>
    <w:p w14:paraId="75E05EB1">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（2）“投标人”指向招标人提交投标文件的当事人。   </w:t>
      </w:r>
    </w:p>
    <w:p w14:paraId="0401B96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（3）“承包人”指其投标被招标人接受并与其签订承包合同的当事人。</w:t>
      </w:r>
    </w:p>
    <w:p w14:paraId="7BB5935A">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（4）“招标文件”指由招标代理发出的本文件（包括全部章节、附件）及招标答疑会会议纪要和</w:t>
      </w:r>
      <w:r>
        <w:rPr>
          <w:rFonts w:hint="eastAsia" w:ascii="宋体" w:hAnsi="宋体" w:cs="宋体"/>
          <w:bCs/>
          <w:color w:val="auto"/>
          <w:sz w:val="24"/>
          <w:szCs w:val="24"/>
          <w:highlight w:val="none"/>
        </w:rPr>
        <w:t>招标文件的澄清与修改</w:t>
      </w:r>
      <w:r>
        <w:rPr>
          <w:rFonts w:hint="eastAsia" w:ascii="宋体" w:hAnsi="宋体" w:cs="宋体"/>
          <w:color w:val="auto"/>
          <w:sz w:val="24"/>
          <w:szCs w:val="24"/>
          <w:highlight w:val="none"/>
        </w:rPr>
        <w:t>文件。</w:t>
      </w:r>
    </w:p>
    <w:p w14:paraId="2CD0737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（5）“投标文件”指投标人根据本项目招标文件向招标人提交的全部文件。</w:t>
      </w:r>
    </w:p>
    <w:p w14:paraId="294FA3B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（6）“书面形式”指打字或印刷的文件和数据电文（包括电报、电传、传真、电子数据交换和电子邮件）。</w:t>
      </w:r>
    </w:p>
    <w:p w14:paraId="17476DD1">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2、招标说明</w:t>
      </w:r>
    </w:p>
    <w:p w14:paraId="00D0033D">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2.1本招标工程项目按照《中华人民共和国招标投标法》等有关法律、行政法规、规章和规范性文件，通过招标方式选定承包人。</w:t>
      </w:r>
    </w:p>
    <w:p w14:paraId="0CF3E38F">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2.2工程名称、建设地点、建设规模、承包方式、质量标准、招标范围、工期要求等均在投标须知前附表中列明。</w:t>
      </w:r>
    </w:p>
    <w:p w14:paraId="5FF4FCC7">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2.3设计说明：详见招标图纸。</w:t>
      </w:r>
    </w:p>
    <w:p w14:paraId="71B31B88">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2.4工程施工特点：详见招标图纸。</w:t>
      </w:r>
    </w:p>
    <w:p w14:paraId="0CF2093C">
      <w:pPr>
        <w:tabs>
          <w:tab w:val="left" w:pos="105"/>
        </w:tabs>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3．资金来源</w:t>
      </w:r>
    </w:p>
    <w:p w14:paraId="0BB17C0A">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3.1本招标工程项目资金来源见投标须知前附表第9项</w:t>
      </w:r>
    </w:p>
    <w:p w14:paraId="573B06B1">
      <w:pPr>
        <w:tabs>
          <w:tab w:val="left" w:pos="105"/>
        </w:tabs>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4．合格投标人的条件</w:t>
      </w:r>
    </w:p>
    <w:p w14:paraId="20BFB231">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4.1详见本项目招标公告</w:t>
      </w:r>
    </w:p>
    <w:p w14:paraId="49C7765B">
      <w:pPr>
        <w:tabs>
          <w:tab w:val="left" w:pos="105"/>
        </w:tabs>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5．踏勘现场</w:t>
      </w:r>
    </w:p>
    <w:p w14:paraId="511EE388">
      <w:pPr>
        <w:spacing w:line="360" w:lineRule="auto"/>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5.1 投标人应按本投标须知前附表第15项所述时间和要求对工程现场及周围环境进行踏勘，</w:t>
      </w:r>
      <w:r>
        <w:rPr>
          <w:rFonts w:hint="eastAsia" w:ascii="宋体" w:hAnsi="宋体" w:cs="宋体"/>
          <w:color w:val="auto"/>
          <w:sz w:val="24"/>
          <w:szCs w:val="24"/>
          <w:highlight w:val="none"/>
        </w:rPr>
        <w:t>投标人应充分重视和仔细地进行这种考察，</w:t>
      </w:r>
      <w:r>
        <w:rPr>
          <w:rFonts w:hint="eastAsia" w:ascii="宋体" w:hAnsi="宋体" w:cs="宋体"/>
          <w:bCs/>
          <w:color w:val="auto"/>
          <w:sz w:val="24"/>
          <w:szCs w:val="24"/>
          <w:highlight w:val="none"/>
        </w:rPr>
        <w:t>以便投标人获取</w:t>
      </w:r>
      <w:r>
        <w:rPr>
          <w:rFonts w:hint="eastAsia" w:ascii="宋体" w:hAnsi="宋体" w:cs="宋体"/>
          <w:color w:val="auto"/>
          <w:sz w:val="24"/>
          <w:szCs w:val="24"/>
          <w:highlight w:val="none"/>
        </w:rPr>
        <w:t>那些须投标人自己负责的</w:t>
      </w:r>
      <w:r>
        <w:rPr>
          <w:rFonts w:hint="eastAsia" w:ascii="宋体" w:hAnsi="宋体" w:cs="宋体"/>
          <w:bCs/>
          <w:color w:val="auto"/>
          <w:sz w:val="24"/>
          <w:szCs w:val="24"/>
          <w:highlight w:val="none"/>
        </w:rPr>
        <w:t>有关编制投标文件和签署合同所涉及现场所有的资料。</w:t>
      </w:r>
      <w:r>
        <w:rPr>
          <w:rFonts w:hint="eastAsia" w:ascii="宋体" w:hAnsi="宋体" w:cs="宋体"/>
          <w:color w:val="auto"/>
          <w:sz w:val="24"/>
          <w:szCs w:val="24"/>
          <w:highlight w:val="none"/>
        </w:rPr>
        <w:t>一旦中标，这种考察即被认为其结果已在中标文件中得到充分反映。考察现场的费用由投标人自己承担。</w:t>
      </w:r>
    </w:p>
    <w:p w14:paraId="63B744FA">
      <w:pPr>
        <w:tabs>
          <w:tab w:val="left" w:pos="105"/>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5.2 招标人向投标人提供的有关现场的数据和资料，是招标人现有的能被投标人利用的资料，招标人对投标人做出的任何推论、理解和结论均不负责任。</w:t>
      </w:r>
    </w:p>
    <w:p w14:paraId="652B4AA9">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5.3 经招标人允许，投标人可为踏勘目的进入招标人的项目现场。</w:t>
      </w:r>
      <w:r>
        <w:rPr>
          <w:rFonts w:hint="eastAsia" w:ascii="宋体" w:hAnsi="宋体" w:cs="宋体"/>
          <w:color w:val="auto"/>
          <w:sz w:val="24"/>
          <w:szCs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cs="宋体"/>
          <w:bCs/>
          <w:color w:val="auto"/>
          <w:sz w:val="24"/>
          <w:szCs w:val="24"/>
          <w:highlight w:val="none"/>
        </w:rPr>
        <w:t>投标人不得因此使招标人承担有关的责任和蒙受损失。</w:t>
      </w:r>
    </w:p>
    <w:p w14:paraId="4E3C6296">
      <w:pPr>
        <w:tabs>
          <w:tab w:val="left" w:pos="105"/>
        </w:tabs>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6．投标费用</w:t>
      </w:r>
    </w:p>
    <w:p w14:paraId="56991871">
      <w:pPr>
        <w:tabs>
          <w:tab w:val="left" w:pos="105"/>
        </w:tabs>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6.1</w:t>
      </w:r>
      <w:r>
        <w:rPr>
          <w:rFonts w:hint="eastAsia" w:ascii="宋体" w:hAnsi="宋体" w:cs="宋体"/>
          <w:color w:val="auto"/>
          <w:sz w:val="24"/>
          <w:szCs w:val="24"/>
          <w:highlight w:val="none"/>
        </w:rPr>
        <w:t>不论投标结果如何，投标人应承担</w:t>
      </w:r>
      <w:r>
        <w:rPr>
          <w:rFonts w:hint="eastAsia" w:ascii="宋体" w:hAnsi="宋体" w:cs="宋体"/>
          <w:bCs/>
          <w:color w:val="auto"/>
          <w:sz w:val="24"/>
          <w:szCs w:val="24"/>
          <w:highlight w:val="none"/>
        </w:rPr>
        <w:t>自身</w:t>
      </w:r>
      <w:r>
        <w:rPr>
          <w:rFonts w:hint="eastAsia" w:ascii="宋体" w:hAnsi="宋体" w:cs="宋体"/>
          <w:color w:val="auto"/>
          <w:sz w:val="24"/>
          <w:szCs w:val="24"/>
          <w:highlight w:val="none"/>
        </w:rPr>
        <w:t>因投标文件编制、递交及其他</w:t>
      </w:r>
      <w:r>
        <w:rPr>
          <w:rFonts w:hint="eastAsia" w:ascii="宋体" w:hAnsi="宋体" w:cs="宋体"/>
          <w:bCs/>
          <w:color w:val="auto"/>
          <w:sz w:val="24"/>
          <w:szCs w:val="24"/>
          <w:highlight w:val="none"/>
        </w:rPr>
        <w:t>参加本招标活动</w:t>
      </w:r>
      <w:r>
        <w:rPr>
          <w:rFonts w:hint="eastAsia" w:ascii="宋体" w:hAnsi="宋体" w:cs="宋体"/>
          <w:color w:val="auto"/>
          <w:sz w:val="24"/>
          <w:szCs w:val="24"/>
          <w:highlight w:val="none"/>
        </w:rPr>
        <w:t>所涉及的一切费用，招标人对上述费用不负任何责任。</w:t>
      </w:r>
    </w:p>
    <w:p w14:paraId="66CA1499">
      <w:pPr>
        <w:widowControl/>
        <w:spacing w:before="100" w:beforeAutospacing="1" w:after="100" w:afterAutospacing="1" w:line="360" w:lineRule="auto"/>
        <w:jc w:val="center"/>
        <w:outlineLvl w:val="2"/>
        <w:rPr>
          <w:rFonts w:ascii="宋体" w:hAnsi="宋体" w:cs="宋体"/>
          <w:b/>
          <w:bCs/>
          <w:color w:val="auto"/>
          <w:kern w:val="0"/>
          <w:sz w:val="24"/>
          <w:szCs w:val="24"/>
          <w:highlight w:val="none"/>
        </w:rPr>
      </w:pPr>
      <w:bookmarkStart w:id="22" w:name="_Toc18222"/>
      <w:bookmarkStart w:id="23" w:name="_Toc16971"/>
      <w:bookmarkStart w:id="24" w:name="_Toc8212"/>
      <w:bookmarkStart w:id="25" w:name="_Toc17551"/>
      <w:bookmarkStart w:id="26" w:name="_Toc10822"/>
      <w:bookmarkStart w:id="27" w:name="_Toc18412"/>
      <w:bookmarkStart w:id="28" w:name="_Toc20940"/>
      <w:bookmarkStart w:id="29" w:name="_Toc12012"/>
      <w:bookmarkStart w:id="30" w:name="_Toc2272550"/>
      <w:bookmarkStart w:id="31" w:name="_Toc5537"/>
      <w:bookmarkStart w:id="32" w:name="_Toc58838572"/>
      <w:bookmarkStart w:id="33" w:name="_Toc22591"/>
      <w:bookmarkStart w:id="34" w:name="_Toc20411"/>
      <w:r>
        <w:rPr>
          <w:rFonts w:hint="eastAsia" w:ascii="宋体" w:hAnsi="宋体" w:cs="宋体"/>
          <w:b/>
          <w:bCs/>
          <w:color w:val="auto"/>
          <w:kern w:val="0"/>
          <w:sz w:val="24"/>
          <w:szCs w:val="24"/>
          <w:highlight w:val="none"/>
        </w:rPr>
        <w:t>（二）招标文件</w:t>
      </w:r>
      <w:bookmarkEnd w:id="22"/>
      <w:bookmarkEnd w:id="23"/>
      <w:bookmarkEnd w:id="24"/>
      <w:bookmarkEnd w:id="25"/>
      <w:bookmarkEnd w:id="26"/>
      <w:bookmarkEnd w:id="27"/>
      <w:bookmarkEnd w:id="28"/>
      <w:bookmarkEnd w:id="29"/>
      <w:bookmarkEnd w:id="30"/>
      <w:bookmarkEnd w:id="31"/>
      <w:bookmarkEnd w:id="32"/>
      <w:bookmarkEnd w:id="33"/>
      <w:bookmarkEnd w:id="34"/>
    </w:p>
    <w:p w14:paraId="38E63D45">
      <w:pPr>
        <w:tabs>
          <w:tab w:val="left" w:pos="105"/>
        </w:tabs>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7.招标文件的组成</w:t>
      </w:r>
    </w:p>
    <w:p w14:paraId="0BF3D8A7">
      <w:pPr>
        <w:spacing w:line="360" w:lineRule="auto"/>
        <w:ind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7.1</w:t>
      </w:r>
      <w:r>
        <w:rPr>
          <w:rFonts w:hint="eastAsia" w:ascii="宋体" w:hAnsi="宋体" w:cs="宋体"/>
          <w:color w:val="auto"/>
          <w:sz w:val="24"/>
          <w:szCs w:val="24"/>
          <w:highlight w:val="none"/>
        </w:rPr>
        <w:t>本招标文件包括下列文件，以及所有按本须知第8条发出的招标答疑会会议纪要和按本须知第9条发出的澄清或修改：</w:t>
      </w:r>
    </w:p>
    <w:p w14:paraId="7941F1C0">
      <w:pPr>
        <w:spacing w:line="360" w:lineRule="auto"/>
        <w:ind w:left="-2"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 xml:space="preserve">第一章  </w:t>
      </w:r>
      <w:r>
        <w:rPr>
          <w:rFonts w:hint="eastAsia" w:ascii="宋体" w:hAnsi="宋体" w:cs="宋体"/>
          <w:color w:val="auto"/>
          <w:sz w:val="24"/>
          <w:szCs w:val="24"/>
          <w:highlight w:val="none"/>
        </w:rPr>
        <w:t>投标须知</w:t>
      </w:r>
    </w:p>
    <w:p w14:paraId="5C94C018">
      <w:pPr>
        <w:spacing w:line="360" w:lineRule="auto"/>
        <w:ind w:left="-2"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 xml:space="preserve">第二章  </w:t>
      </w:r>
      <w:r>
        <w:rPr>
          <w:rFonts w:hint="eastAsia" w:ascii="宋体" w:hAnsi="宋体" w:cs="宋体"/>
          <w:color w:val="auto"/>
          <w:sz w:val="24"/>
          <w:szCs w:val="24"/>
          <w:highlight w:val="none"/>
        </w:rPr>
        <w:t>开标、评标及定标办法</w:t>
      </w:r>
    </w:p>
    <w:p w14:paraId="7BBCAE2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第三章  合同条款</w:t>
      </w:r>
    </w:p>
    <w:p w14:paraId="1D95CFA4">
      <w:pPr>
        <w:spacing w:line="360" w:lineRule="auto"/>
        <w:ind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 xml:space="preserve">第四章  </w:t>
      </w:r>
      <w:r>
        <w:rPr>
          <w:rFonts w:hint="eastAsia" w:ascii="宋体" w:hAnsi="宋体" w:cs="宋体"/>
          <w:color w:val="auto"/>
          <w:sz w:val="24"/>
          <w:szCs w:val="24"/>
          <w:highlight w:val="none"/>
        </w:rPr>
        <w:t>投标文件格式</w:t>
      </w:r>
    </w:p>
    <w:p w14:paraId="1D68FD8A">
      <w:pPr>
        <w:spacing w:line="360" w:lineRule="auto"/>
        <w:ind w:left="-2"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 xml:space="preserve">第五章  </w:t>
      </w:r>
      <w:r>
        <w:rPr>
          <w:rFonts w:hint="eastAsia" w:ascii="宋体" w:hAnsi="宋体" w:cs="宋体"/>
          <w:color w:val="auto"/>
          <w:sz w:val="24"/>
          <w:szCs w:val="24"/>
          <w:highlight w:val="none"/>
        </w:rPr>
        <w:t>技术条件（工程建设标准）（另册）</w:t>
      </w:r>
    </w:p>
    <w:p w14:paraId="75EFC4B7">
      <w:pPr>
        <w:spacing w:line="360" w:lineRule="auto"/>
        <w:ind w:left="-2"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 xml:space="preserve">第六章  </w:t>
      </w:r>
      <w:r>
        <w:rPr>
          <w:rFonts w:hint="eastAsia" w:ascii="宋体" w:hAnsi="宋体" w:cs="宋体"/>
          <w:color w:val="auto"/>
          <w:sz w:val="24"/>
          <w:szCs w:val="24"/>
          <w:highlight w:val="none"/>
        </w:rPr>
        <w:t>图纸及勘察资料（另册）</w:t>
      </w:r>
    </w:p>
    <w:p w14:paraId="00AB1754">
      <w:pPr>
        <w:spacing w:line="360" w:lineRule="auto"/>
        <w:ind w:left="-2"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第七章  招标</w:t>
      </w:r>
      <w:r>
        <w:rPr>
          <w:rFonts w:hint="eastAsia" w:ascii="宋体" w:hAnsi="宋体" w:cs="宋体"/>
          <w:color w:val="auto"/>
          <w:sz w:val="24"/>
          <w:szCs w:val="24"/>
          <w:highlight w:val="none"/>
        </w:rPr>
        <w:t>工程量清单（另册）</w:t>
      </w:r>
    </w:p>
    <w:p w14:paraId="1A73F1E4">
      <w:pPr>
        <w:spacing w:line="360" w:lineRule="auto"/>
        <w:ind w:left="-2"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第八章  最高投标限价</w:t>
      </w:r>
    </w:p>
    <w:p w14:paraId="3F9BC2A6">
      <w:pPr>
        <w:spacing w:line="360" w:lineRule="auto"/>
        <w:ind w:left="-2"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150CDD7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7A42948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7.3 投标人一旦中标，招标文件的内容对招标人和中标人双方均有约束力。</w:t>
      </w:r>
    </w:p>
    <w:p w14:paraId="36361EF7">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8．招标答疑</w:t>
      </w:r>
    </w:p>
    <w:p w14:paraId="1A5027B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8.1 投标人若对招标文件（包括招标图纸）中有疑问，可以书面形式通过</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交易平台提交给招标人或招标代理人，提交形式见本须知前附表第16项。</w:t>
      </w:r>
    </w:p>
    <w:p w14:paraId="27CAAAD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8.2招标答疑会会议纪要将在提交投标文件截止时间15日前在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 “项目答疑纪要”专区公开发布。答疑纪要一经在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交易平台发布，视作已发放给所有投标人。</w:t>
      </w:r>
    </w:p>
    <w:p w14:paraId="7696078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8.3答疑会会议纪要为招标文件的一部分。</w:t>
      </w:r>
    </w:p>
    <w:p w14:paraId="08211BE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8.4若招标答疑会会议纪要与招标文件有矛盾，以答疑会议纪要最后发出的书面形式的文件为准。</w:t>
      </w:r>
    </w:p>
    <w:p w14:paraId="4B2AA84E">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9.招标文件的澄清与修改</w:t>
      </w:r>
    </w:p>
    <w:p w14:paraId="1415D2B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9.1招标文件发出后,在提交投标文件截止时间15日前，招标人可对招标文件进行必要的澄清或修改。</w:t>
      </w:r>
    </w:p>
    <w:p w14:paraId="3B84FBC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9.2招标文件的澄清或修改将在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交易平台“项目答疑纪要”专区公开发布。答疑纪要一经在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交易平台发布，视作已发放给所有投标人，以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交易平台上网发布时间作为送达时间。</w:t>
      </w:r>
    </w:p>
    <w:p w14:paraId="07BBC64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9.3招标文件的修改内容为招标文件的组成部分。</w:t>
      </w:r>
    </w:p>
    <w:p w14:paraId="69A5B83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9.4招标文件的澄清或修改均以书面形式明确的内容为准。当招标文件的澄清、修改、补充等在同一内容的表述不一致时，以最后发出的书面形式的文件为准。</w:t>
      </w:r>
    </w:p>
    <w:p w14:paraId="014494E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70004812">
      <w:pPr>
        <w:widowControl/>
        <w:spacing w:before="100" w:beforeAutospacing="1" w:after="100" w:afterAutospacing="1" w:line="360" w:lineRule="auto"/>
        <w:jc w:val="center"/>
        <w:outlineLvl w:val="2"/>
        <w:rPr>
          <w:rFonts w:ascii="宋体" w:hAnsi="宋体" w:cs="宋体"/>
          <w:b/>
          <w:bCs/>
          <w:color w:val="auto"/>
          <w:kern w:val="0"/>
          <w:sz w:val="24"/>
          <w:szCs w:val="24"/>
          <w:highlight w:val="none"/>
        </w:rPr>
      </w:pPr>
      <w:bookmarkStart w:id="35" w:name="_Toc17219"/>
      <w:bookmarkStart w:id="36" w:name="_Toc27598"/>
      <w:bookmarkStart w:id="37" w:name="_Toc10961"/>
      <w:bookmarkStart w:id="38" w:name="_Toc1039"/>
      <w:bookmarkStart w:id="39" w:name="_Toc6993"/>
      <w:bookmarkStart w:id="40" w:name="_Toc9985"/>
      <w:bookmarkStart w:id="41" w:name="_Toc12567"/>
      <w:bookmarkStart w:id="42" w:name="_Toc32431"/>
      <w:bookmarkStart w:id="43" w:name="_Toc2272551"/>
      <w:bookmarkStart w:id="44" w:name="_Toc58838573"/>
      <w:bookmarkStart w:id="45" w:name="_Toc32551"/>
      <w:bookmarkStart w:id="46" w:name="_Toc23386"/>
      <w:bookmarkStart w:id="47" w:name="_Toc2791"/>
      <w:r>
        <w:rPr>
          <w:rFonts w:hint="eastAsia" w:ascii="宋体" w:hAnsi="宋体" w:cs="宋体"/>
          <w:b/>
          <w:bCs/>
          <w:color w:val="auto"/>
          <w:kern w:val="0"/>
          <w:sz w:val="24"/>
          <w:szCs w:val="24"/>
          <w:highlight w:val="none"/>
        </w:rPr>
        <w:t>（三）投标文件的编制</w:t>
      </w:r>
      <w:bookmarkEnd w:id="35"/>
      <w:bookmarkEnd w:id="36"/>
      <w:bookmarkEnd w:id="37"/>
      <w:bookmarkEnd w:id="38"/>
      <w:bookmarkEnd w:id="39"/>
      <w:bookmarkEnd w:id="40"/>
      <w:bookmarkEnd w:id="41"/>
      <w:bookmarkEnd w:id="42"/>
      <w:bookmarkEnd w:id="43"/>
      <w:bookmarkEnd w:id="44"/>
      <w:bookmarkEnd w:id="45"/>
      <w:bookmarkEnd w:id="46"/>
      <w:bookmarkEnd w:id="47"/>
    </w:p>
    <w:p w14:paraId="1CD95AB4">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10．投标文件的语言及度量衡单位</w:t>
      </w:r>
    </w:p>
    <w:p w14:paraId="458D8F3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10.1 投标文件和与投标有关的所有文件均应使用中文。</w:t>
      </w:r>
    </w:p>
    <w:p w14:paraId="37476BA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10.2 除工程规范另有规定外，投标文件使用的度量衡单位，均采用中华人民共和国法定计量单位。</w:t>
      </w:r>
    </w:p>
    <w:p w14:paraId="5201643B">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11．投标文件的组成</w:t>
      </w:r>
    </w:p>
    <w:p w14:paraId="158C9400">
      <w:pPr>
        <w:spacing w:line="360" w:lineRule="auto"/>
        <w:ind w:firstLine="480" w:firstLineChars="200"/>
        <w:rPr>
          <w:rFonts w:hint="eastAsia" w:ascii="宋体" w:hAnsi="宋体" w:cs="宋体"/>
          <w:b/>
          <w:color w:val="auto"/>
          <w:sz w:val="24"/>
          <w:szCs w:val="24"/>
          <w:highlight w:val="none"/>
        </w:rPr>
      </w:pPr>
      <w:r>
        <w:rPr>
          <w:rFonts w:hint="eastAsia" w:ascii="宋体" w:hAnsi="宋体" w:cs="宋体"/>
          <w:color w:val="auto"/>
          <w:sz w:val="24"/>
          <w:szCs w:val="24"/>
          <w:highlight w:val="none"/>
        </w:rPr>
        <w:t>11.1 投标文件由技术部分（含资格审查文件）和经济部分二部分投标文件组成</w:t>
      </w:r>
      <w:r>
        <w:rPr>
          <w:rFonts w:hint="eastAsia" w:ascii="宋体" w:hAnsi="宋体" w:cs="宋体"/>
          <w:b/>
          <w:color w:val="auto"/>
          <w:sz w:val="24"/>
          <w:szCs w:val="24"/>
          <w:highlight w:val="none"/>
        </w:rPr>
        <w:t>。</w:t>
      </w:r>
    </w:p>
    <w:p w14:paraId="7372C665">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11.2投标文件技术标部分主要包括下列内容:</w:t>
      </w:r>
    </w:p>
    <w:p w14:paraId="21227637">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11.2.1 技术投标文件</w:t>
      </w:r>
      <w:r>
        <w:rPr>
          <w:rFonts w:hint="eastAsia" w:ascii="宋体" w:hAnsi="宋体" w:cs="宋体"/>
          <w:color w:val="auto"/>
          <w:sz w:val="24"/>
          <w:szCs w:val="24"/>
          <w:highlight w:val="none"/>
        </w:rPr>
        <w:t>(按招标文件的要求填写)</w:t>
      </w:r>
      <w:r>
        <w:rPr>
          <w:rFonts w:hint="eastAsia" w:ascii="宋体" w:hAnsi="宋体" w:cs="宋体"/>
          <w:bCs/>
          <w:color w:val="auto"/>
          <w:sz w:val="24"/>
          <w:szCs w:val="24"/>
          <w:highlight w:val="none"/>
        </w:rPr>
        <w:t>；</w:t>
      </w:r>
    </w:p>
    <w:p w14:paraId="11EB3C2B">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11.2.2 资格审查文件：</w:t>
      </w:r>
    </w:p>
    <w:p w14:paraId="48AD9848">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（1）投标人声明； </w:t>
      </w:r>
    </w:p>
    <w:p w14:paraId="41B82448">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（2）法定代表人证明书、法定代表人签字或盖章的本投标文件授权委托证明书；</w:t>
      </w:r>
    </w:p>
    <w:p w14:paraId="4667BA07">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（3）企业营业执照扫描件或电子证照；</w:t>
      </w:r>
    </w:p>
    <w:p w14:paraId="1479124B">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（4）企业资质证书扫描件或电子证照；</w:t>
      </w:r>
    </w:p>
    <w:p w14:paraId="19BF7798">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（5）建筑施工企业安全生产许可证扫描件或电子证照；</w:t>
      </w:r>
    </w:p>
    <w:p w14:paraId="1031AD9C">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（6）项目负责人（按网上投标登记时选择拟投入本项目的项目负责人）</w:t>
      </w:r>
    </w:p>
    <w:p w14:paraId="2F2C650F">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（7）专职安全员（按网上投标登记时选择拟投入本项目的专职安全员）</w:t>
      </w:r>
    </w:p>
    <w:p w14:paraId="73C61567">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（8）拟委托技术负责人的相关证书、资料（具体要求由招标人明确）</w:t>
      </w:r>
    </w:p>
    <w:p w14:paraId="1F0923F2">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（9）拟委派项目负责人的有效期内的建造师注册证书扫描件或电子证书；  </w:t>
      </w:r>
    </w:p>
    <w:p w14:paraId="620BD921">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（10）项目负责人在有效期内的安全生产考核合格证书（B类）或建筑施工企业项目负责人安全生产考核合格证书扫描件或电子证书；</w:t>
      </w:r>
    </w:p>
    <w:p w14:paraId="5CA3B8D5">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（11）专职安全员须具有在有效期内的安全生产考核合格证书（C类）或建筑施工企业专职安全生产管理人员安全生产考核合格证书扫描件或电子证书；</w:t>
      </w:r>
    </w:p>
    <w:p w14:paraId="156B34A7">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（12）用于资格审查的业绩（设置业绩要求时选择此项，投标人须提供类似工程业绩的项目名称及项目编号，具体格式由招标人自定）；</w:t>
      </w:r>
    </w:p>
    <w:p w14:paraId="14ED22F6">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（13）列明主办单位的联合体工作协议（采用联合体投标时需递交，投标人拟任本工程项目负责人应为联合体主办方信用档案中的在册人员，联合体工作协议应明确约定各方拟承担的工作和责任）； </w:t>
      </w:r>
    </w:p>
    <w:p w14:paraId="1DAE153A">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14:paraId="6DE3EA9A">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注：1.相关电子证书按规定需打印后手写本人签名的，应按照规定手写本人签名后再扫描提交。</w:t>
      </w:r>
    </w:p>
    <w:p w14:paraId="55AEDA56">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216AB47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11.2.3项目管理机构配备。</w:t>
      </w:r>
    </w:p>
    <w:p w14:paraId="47DEB13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（1）投标人应列出该项目工程的施工组织机构构成和画出机构框架图及其负责人；</w:t>
      </w:r>
    </w:p>
    <w:p w14:paraId="074BBBE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（2）投标人应详细列出该施工组织机构中主要成员的名单、职务职称和在本项目中拟担任的职务等资料，并附上有关证明材料扫描件；</w:t>
      </w:r>
    </w:p>
    <w:p w14:paraId="674E653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（3）其他辅助说明资料。</w:t>
      </w:r>
    </w:p>
    <w:p w14:paraId="642E3D8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11.2.4投标人在广州市可使用适合本工程的机械设备（附：机械设备为自有或租赁的说明；及承诺机械设备如属于租赁的，其租赁是不属于重复租赁）。</w:t>
      </w:r>
    </w:p>
    <w:p w14:paraId="1AB278E3">
      <w:pPr>
        <w:tabs>
          <w:tab w:val="left" w:pos="112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11.2.5施工组织设计或施工方案:</w:t>
      </w:r>
    </w:p>
    <w:p w14:paraId="1F0FB752">
      <w:pPr>
        <w:tabs>
          <w:tab w:val="left" w:pos="112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（1）投标人在编制施工组织设计或施工方案时应按照招标人提出的施工现场建筑垃圾源头减量的具体要求以及建筑垃圾综合利用产品的使用要求提供相应措施。</w:t>
      </w:r>
    </w:p>
    <w:p w14:paraId="22E4D6E5">
      <w:pPr>
        <w:tabs>
          <w:tab w:val="left" w:pos="112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70E9D868">
      <w:pPr>
        <w:tabs>
          <w:tab w:val="left" w:pos="112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11.2.6按照</w:t>
      </w:r>
      <w:r>
        <w:rPr>
          <w:rFonts w:hint="eastAsia" w:ascii="宋体" w:hAnsi="宋体" w:cs="宋体"/>
          <w:bCs/>
          <w:color w:val="auto"/>
          <w:sz w:val="24"/>
          <w:szCs w:val="24"/>
          <w:highlight w:val="none"/>
        </w:rPr>
        <w:t>招标文件要求</w:t>
      </w:r>
      <w:r>
        <w:rPr>
          <w:rFonts w:hint="eastAsia" w:ascii="宋体" w:hAnsi="宋体" w:cs="宋体"/>
          <w:color w:val="auto"/>
          <w:sz w:val="24"/>
          <w:szCs w:val="24"/>
          <w:highlight w:val="none"/>
        </w:rPr>
        <w:t>填写的《参与编制技术标投标文件人员名单》。</w:t>
      </w:r>
    </w:p>
    <w:p w14:paraId="669B987A">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11.3 经济部分投标文件主要包括下列内容：</w:t>
      </w:r>
    </w:p>
    <w:p w14:paraId="0650331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11.3.1 经济投标文件(按招标文件的要求填写)。</w:t>
      </w:r>
    </w:p>
    <w:p w14:paraId="7201F0E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170DC6EC">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（1）投标总价封面、扉页；</w:t>
      </w:r>
    </w:p>
    <w:p w14:paraId="08CD94C6">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（2）总说明</w:t>
      </w:r>
    </w:p>
    <w:p w14:paraId="05DA1849">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（3）工程项目投标报价汇总表；</w:t>
      </w:r>
    </w:p>
    <w:p w14:paraId="7633C633">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（4）单项工程投标报价汇总表；</w:t>
      </w:r>
    </w:p>
    <w:p w14:paraId="3BEDA3A4">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（5）单位工程投标报价汇总表；</w:t>
      </w:r>
    </w:p>
    <w:p w14:paraId="4F6E6935">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（6）分部分项工程清单与计价表；</w:t>
      </w:r>
    </w:p>
    <w:p w14:paraId="1F35358A">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（7）单价措施项目清单与计价表；</w:t>
      </w:r>
    </w:p>
    <w:p w14:paraId="2530D08A">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（8）总价措施项目清单与计价表；</w:t>
      </w:r>
    </w:p>
    <w:p w14:paraId="7556829E">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（9）综合单价分析表；</w:t>
      </w:r>
    </w:p>
    <w:p w14:paraId="25BE8936">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（10）其他项目清单与计价汇总表；</w:t>
      </w:r>
    </w:p>
    <w:p w14:paraId="06BC18FE">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（11）暂列金额明细表；</w:t>
      </w:r>
    </w:p>
    <w:p w14:paraId="6B876F70">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（12）材料（工程设备）暂估价明细表；</w:t>
      </w:r>
    </w:p>
    <w:p w14:paraId="41922715">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（13）专业工程暂估价明细表；</w:t>
      </w:r>
    </w:p>
    <w:p w14:paraId="1D49B480">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（14）计日工表；</w:t>
      </w:r>
    </w:p>
    <w:p w14:paraId="3FFFE6C7">
      <w:pPr>
        <w:spacing w:line="360" w:lineRule="auto"/>
        <w:ind w:firstLine="564" w:firstLineChars="235"/>
        <w:rPr>
          <w:rFonts w:hint="eastAsia" w:ascii="宋体" w:hAnsi="宋体" w:cs="宋体"/>
          <w:color w:val="auto"/>
          <w:sz w:val="24"/>
          <w:szCs w:val="24"/>
          <w:highlight w:val="none"/>
        </w:rPr>
      </w:pPr>
      <w:r>
        <w:rPr>
          <w:rFonts w:hint="eastAsia" w:ascii="宋体" w:hAnsi="宋体" w:cs="宋体"/>
          <w:color w:val="auto"/>
          <w:sz w:val="24"/>
          <w:szCs w:val="24"/>
          <w:highlight w:val="none"/>
        </w:rPr>
        <w:t>（15）总承包服务计价表；</w:t>
      </w:r>
    </w:p>
    <w:p w14:paraId="62591AB9">
      <w:pPr>
        <w:spacing w:line="360" w:lineRule="auto"/>
        <w:ind w:firstLine="564" w:firstLineChars="235"/>
        <w:rPr>
          <w:rFonts w:hint="eastAsia" w:ascii="宋体" w:hAnsi="宋体" w:cs="宋体"/>
          <w:color w:val="auto"/>
          <w:sz w:val="24"/>
          <w:szCs w:val="24"/>
          <w:highlight w:val="none"/>
        </w:rPr>
      </w:pPr>
      <w:r>
        <w:rPr>
          <w:rFonts w:hint="eastAsia" w:ascii="宋体" w:hAnsi="宋体" w:cs="宋体"/>
          <w:color w:val="auto"/>
          <w:sz w:val="24"/>
          <w:szCs w:val="24"/>
          <w:highlight w:val="none"/>
        </w:rPr>
        <w:t>（16）规费和税金项目计价表；</w:t>
      </w:r>
    </w:p>
    <w:p w14:paraId="1EEA84AC">
      <w:pPr>
        <w:spacing w:line="360" w:lineRule="auto"/>
        <w:ind w:firstLine="564" w:firstLineChars="235"/>
        <w:rPr>
          <w:rFonts w:hint="eastAsia" w:ascii="宋体" w:hAnsi="宋体" w:cs="宋体"/>
          <w:color w:val="auto"/>
          <w:sz w:val="24"/>
          <w:szCs w:val="24"/>
          <w:highlight w:val="none"/>
        </w:rPr>
      </w:pPr>
      <w:r>
        <w:rPr>
          <w:rFonts w:hint="eastAsia" w:ascii="宋体" w:hAnsi="宋体" w:cs="宋体"/>
          <w:color w:val="auto"/>
          <w:sz w:val="24"/>
          <w:szCs w:val="24"/>
          <w:highlight w:val="none"/>
        </w:rPr>
        <w:t>（17）人工、主要材料和设备一览表</w:t>
      </w:r>
    </w:p>
    <w:p w14:paraId="2EE0CCD1">
      <w:pPr>
        <w:tabs>
          <w:tab w:val="left" w:pos="112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11.3.3按照</w:t>
      </w:r>
      <w:r>
        <w:rPr>
          <w:rFonts w:hint="eastAsia" w:ascii="宋体" w:hAnsi="宋体" w:cs="宋体"/>
          <w:bCs/>
          <w:color w:val="auto"/>
          <w:sz w:val="24"/>
          <w:szCs w:val="24"/>
          <w:highlight w:val="none"/>
        </w:rPr>
        <w:t>招标文件要求</w:t>
      </w:r>
      <w:r>
        <w:rPr>
          <w:rFonts w:hint="eastAsia" w:ascii="宋体" w:hAnsi="宋体" w:cs="宋体"/>
          <w:color w:val="auto"/>
          <w:sz w:val="24"/>
          <w:szCs w:val="24"/>
          <w:highlight w:val="none"/>
        </w:rPr>
        <w:t>填写的《参与编制经济标投标文件人员名单》。</w:t>
      </w:r>
    </w:p>
    <w:p w14:paraId="03CEBA42">
      <w:pPr>
        <w:tabs>
          <w:tab w:val="left" w:pos="112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11.3.4若投标人的投标报价低于工程成本警戒价的，投标人还须提供详细的施工组织设计、单价、措施性费用、单价分析表、主要材料价格表、投标人成本分析供评标委员会评审。</w:t>
      </w:r>
    </w:p>
    <w:p w14:paraId="490FF352">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12．投标文件格式</w:t>
      </w:r>
    </w:p>
    <w:p w14:paraId="4E0128A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12.1 投标文件包括本须知第11条中规定的内容，投标人提交的投标文件应当使用招标文件所提供的投标文件全部格式（表格可以按同样格式扩展）。</w:t>
      </w:r>
    </w:p>
    <w:p w14:paraId="654D81B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。注释：投标文件电子文档需要投标人单位盖章的材料，投标人加盖电子印章即可，不得将投标人未对电子文档加盖实物印章作为否决投标的情形。</w:t>
      </w:r>
    </w:p>
    <w:p w14:paraId="756B502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12.3 </w:t>
      </w:r>
      <w:r>
        <w:rPr>
          <w:rFonts w:hint="eastAsia" w:ascii="宋体" w:hAnsi="宋体" w:cs="宋体"/>
          <w:bCs/>
          <w:color w:val="auto"/>
          <w:sz w:val="24"/>
          <w:szCs w:val="24"/>
          <w:highlight w:val="none"/>
        </w:rPr>
        <w:t>投标文件应按</w:t>
      </w:r>
      <w:r>
        <w:rPr>
          <w:rFonts w:hint="eastAsia" w:ascii="宋体" w:hAnsi="宋体" w:cs="宋体"/>
          <w:color w:val="auto"/>
          <w:sz w:val="24"/>
          <w:szCs w:val="24"/>
          <w:highlight w:val="none"/>
        </w:rPr>
        <w:t>照交易平台关于全流程电子化项目的相关指南进行编制，详见：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54265B58">
      <w:pPr>
        <w:spacing w:line="360" w:lineRule="auto"/>
        <w:rPr>
          <w:rFonts w:hint="eastAsia" w:ascii="宋体" w:hAnsi="宋体" w:cs="宋体"/>
          <w:color w:val="auto"/>
          <w:sz w:val="24"/>
          <w:szCs w:val="24"/>
          <w:highlight w:val="none"/>
        </w:rPr>
      </w:pPr>
      <w:r>
        <w:rPr>
          <w:rFonts w:hint="eastAsia" w:ascii="宋体" w:hAnsi="宋体" w:cs="宋体"/>
          <w:bCs/>
          <w:color w:val="auto"/>
          <w:sz w:val="24"/>
          <w:szCs w:val="24"/>
          <w:highlight w:val="none"/>
        </w:rPr>
        <w:t>如不按上述要求编制引起系统无法检索、读取相关信息的，其后果由投标人承担。</w:t>
      </w:r>
    </w:p>
    <w:p w14:paraId="5F5144AE">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13．投标报价及造价承包和变更结算方式</w:t>
      </w:r>
    </w:p>
    <w:p w14:paraId="4034CA9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13.1 本工程的投标报价采用投标须知前附表第12项所规定的方式。投标报价（含单价及总价）精确到“分”。</w:t>
      </w:r>
    </w:p>
    <w:p w14:paraId="39B78F7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14FA747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40B6B8A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2452F26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1A1B37A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13.5.1中标的投标文件工程量清单中已有相同项目的适用综合单价，则沿用；</w:t>
      </w:r>
    </w:p>
    <w:p w14:paraId="672A9E1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3FA0509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14:paraId="3C0FC94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13.5.4 如相关定额没有相应子目的，其计价方式由招标人在本招标文件第三章中另行规定。未规定的，中标后双方协商约定。</w:t>
      </w:r>
    </w:p>
    <w:p w14:paraId="4650B22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13.6暂列金额、暂估价</w:t>
      </w:r>
    </w:p>
    <w:p w14:paraId="56E0257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29A6B97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暂估价是指招标人在工程量清单中提供的用于支付必然发生但暂时不能确定价格的材料的单价以及专业工程的金额。</w:t>
      </w:r>
    </w:p>
    <w:p w14:paraId="55DC206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7721A4C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1CFCFF2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08DA603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22EACE0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0D2FF74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13.7投标人可先到工地踏勘以充分了解工地位置、情况、道路、储存空间、装卸限制及任何其他足以影响承包价的情况，任何因忽视或误解工地情况而导致的索赔或工期延长申请将不被批准。</w:t>
      </w:r>
    </w:p>
    <w:p w14:paraId="148BE44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5140F9D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1D94980A">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14．投标货币</w:t>
      </w:r>
    </w:p>
    <w:p w14:paraId="4549364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14.1 本工程投标报价采用的币种为人民币。</w:t>
      </w:r>
    </w:p>
    <w:p w14:paraId="1A3BC151">
      <w:pPr>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15．投标有效期</w:t>
      </w:r>
    </w:p>
    <w:p w14:paraId="0B7B0A0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15.1 投标有效期见投标须知前附表第13项所规定的期限，在此期限内，凡符合本招标文件要求的投标文件均保持有效。</w:t>
      </w:r>
    </w:p>
    <w:p w14:paraId="30DB8D3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6026D0AA">
      <w:pPr>
        <w:spacing w:line="360" w:lineRule="auto"/>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16．投标保证金</w:t>
      </w:r>
    </w:p>
    <w:p w14:paraId="56358979">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16.1投标人应按投标须知前附表第14项所述金额和时间递交投标保证金。招标人应当允许投标人自主选择现金、银行保函、保证保险、专业工程担保公司担保等方式缴纳投标保证金。</w:t>
      </w:r>
    </w:p>
    <w:p w14:paraId="3E519185">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16.1.1采用现金或者支票形式提交的，投标保证金须从投标人的银行基本账户转出。</w:t>
      </w:r>
    </w:p>
    <w:p w14:paraId="2B64F03C">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16.1.2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466D3E51">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16.1.3采用电子形式的保函、担保或保证保险提交投标保证金的，应在招标文件中明确电子递交途径。</w:t>
      </w:r>
    </w:p>
    <w:p w14:paraId="5E99AC0E">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1B2B6062">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16.3投标保证金应依据法律法规的相关规定退还。</w:t>
      </w:r>
    </w:p>
    <w:p w14:paraId="012B2B53">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16.4如有下列情况之一的，招标人可以不予退还投标保证金（是否退还投标保证金由招标人在招标文件中规定）：</w:t>
      </w:r>
    </w:p>
    <w:p w14:paraId="5316CD55">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16.4.1因投标人原因造成投标文件未解密的；</w:t>
      </w:r>
    </w:p>
    <w:p w14:paraId="29FEE14E">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16.4.2投标人在投标有效期内撤销投标文件；</w:t>
      </w:r>
    </w:p>
    <w:p w14:paraId="31EF4C35">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16.4.3中标人未能在规定期限内按要求提交履约担保；</w:t>
      </w:r>
    </w:p>
    <w:p w14:paraId="5F53FB4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16.4.4中标人未能在规定期限内签署合同协议。</w:t>
      </w:r>
    </w:p>
    <w:p w14:paraId="6E13C65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16.5投标人如存在下列情况之一的，将被拒绝在一定时期内参与招标人后续工程投标（拒绝时限需在招标文件中明确）：</w:t>
      </w:r>
    </w:p>
    <w:p w14:paraId="325DB06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16.5.1投标人存在16.4条款所列情形且投标人提交的保函、担保或保证保险无法兑付的；</w:t>
      </w:r>
    </w:p>
    <w:p w14:paraId="19AF617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16.5.2采用非电子形式提交投标保证金的投标人存在16.4条款所列情形，且未按招标人要求补交银行保函、专业工程担保公司担保或保证保险原件的；</w:t>
      </w:r>
    </w:p>
    <w:p w14:paraId="7B3D612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16.5.3按招标文件要求免于提供投标保证金的投标人存在16.4条款所列情形，且未按招标人要求补交投标保证金的；</w:t>
      </w:r>
    </w:p>
    <w:p w14:paraId="201F12D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16.5.3按招标文件要求免于提供投标保证金的投标人存在16.4条款所列情形的。</w:t>
      </w:r>
    </w:p>
    <w:p w14:paraId="5A4B842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注：16.5.3款由招标人二选一，需在招标文件中明确。</w:t>
      </w:r>
    </w:p>
    <w:p w14:paraId="3D84D002">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17．投标文件的签署</w:t>
      </w:r>
    </w:p>
    <w:p w14:paraId="419A692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19E6F498">
      <w:pPr>
        <w:widowControl/>
        <w:spacing w:before="100" w:beforeAutospacing="1" w:after="100" w:afterAutospacing="1" w:line="360" w:lineRule="auto"/>
        <w:jc w:val="left"/>
        <w:outlineLvl w:val="2"/>
        <w:rPr>
          <w:rFonts w:ascii="宋体" w:hAnsi="宋体" w:cs="宋体"/>
          <w:color w:val="auto"/>
          <w:kern w:val="0"/>
          <w:sz w:val="24"/>
          <w:szCs w:val="24"/>
          <w:highlight w:val="none"/>
        </w:rPr>
      </w:pPr>
      <w:bookmarkStart w:id="48" w:name="_Toc2364"/>
      <w:bookmarkStart w:id="49" w:name="_Toc1148"/>
      <w:bookmarkStart w:id="50" w:name="_Toc8074"/>
      <w:bookmarkStart w:id="51" w:name="_Toc29510"/>
      <w:bookmarkStart w:id="52" w:name="_Toc2272552"/>
      <w:bookmarkStart w:id="53" w:name="_Toc19111"/>
      <w:bookmarkStart w:id="54" w:name="_Toc287"/>
      <w:bookmarkStart w:id="55" w:name="_Toc13520"/>
      <w:bookmarkStart w:id="56" w:name="_Toc3745"/>
      <w:bookmarkStart w:id="57" w:name="_Toc7267"/>
      <w:bookmarkStart w:id="58" w:name="_Toc32474"/>
      <w:bookmarkStart w:id="59" w:name="_Toc20027"/>
      <w:bookmarkStart w:id="60" w:name="_Toc58838574"/>
      <w:r>
        <w:rPr>
          <w:rFonts w:hint="eastAsia" w:ascii="宋体" w:hAnsi="宋体" w:cs="宋体"/>
          <w:color w:val="auto"/>
          <w:kern w:val="0"/>
          <w:sz w:val="24"/>
          <w:szCs w:val="24"/>
          <w:highlight w:val="none"/>
        </w:rPr>
        <w:t>（四）投标文件的提交</w:t>
      </w:r>
      <w:bookmarkEnd w:id="48"/>
      <w:bookmarkEnd w:id="49"/>
      <w:bookmarkEnd w:id="50"/>
      <w:bookmarkEnd w:id="51"/>
      <w:bookmarkEnd w:id="52"/>
      <w:bookmarkEnd w:id="53"/>
      <w:bookmarkEnd w:id="54"/>
      <w:bookmarkEnd w:id="55"/>
      <w:bookmarkEnd w:id="56"/>
      <w:bookmarkEnd w:id="57"/>
      <w:bookmarkEnd w:id="58"/>
      <w:bookmarkEnd w:id="59"/>
      <w:bookmarkEnd w:id="60"/>
    </w:p>
    <w:p w14:paraId="508402C3">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18．</w:t>
      </w:r>
      <w:r>
        <w:rPr>
          <w:rFonts w:hint="eastAsia" w:ascii="宋体" w:hAnsi="宋体" w:cs="宋体"/>
          <w:b/>
          <w:color w:val="auto"/>
          <w:sz w:val="24"/>
          <w:szCs w:val="24"/>
          <w:highlight w:val="none"/>
        </w:rPr>
        <w:t>投标文件的密封和标记</w:t>
      </w:r>
    </w:p>
    <w:p w14:paraId="7F10A530">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18.1递交的电子投标文件（不含备用光盘）必须进行加密。按照交易平台关于</w:t>
      </w:r>
      <w:r>
        <w:rPr>
          <w:rFonts w:hint="eastAsia" w:ascii="宋体" w:hAnsi="宋体" w:cs="宋体"/>
          <w:color w:val="auto"/>
          <w:sz w:val="24"/>
          <w:szCs w:val="24"/>
          <w:highlight w:val="none"/>
        </w:rPr>
        <w:t>全流程电子化项目的相关指南进行操作。详见：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18B883FB">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18.2 未按要求加密的投标文件，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bCs/>
          <w:color w:val="auto"/>
          <w:sz w:val="24"/>
          <w:szCs w:val="24"/>
          <w:highlight w:val="none"/>
        </w:rPr>
        <w:t>将予以拒收。</w:t>
      </w:r>
    </w:p>
    <w:p w14:paraId="0CB9BC08">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19．投标文件的递交和接收</w:t>
      </w:r>
    </w:p>
    <w:p w14:paraId="44952250">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19.1投标人通过</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交易平台递交电子投标文件。</w:t>
      </w:r>
    </w:p>
    <w:p w14:paraId="75C60F86">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19.2投标人完成电子</w:t>
      </w:r>
      <w:r>
        <w:rPr>
          <w:rFonts w:hint="eastAsia" w:ascii="宋体" w:hAnsi="宋体" w:cs="宋体"/>
          <w:color w:val="auto"/>
          <w:sz w:val="24"/>
          <w:szCs w:val="24"/>
          <w:highlight w:val="none"/>
        </w:rPr>
        <w:t>投标文件</w:t>
      </w:r>
      <w:r>
        <w:rPr>
          <w:rFonts w:hint="eastAsia" w:ascii="宋体" w:hAnsi="宋体" w:cs="宋体"/>
          <w:bCs/>
          <w:color w:val="auto"/>
          <w:sz w:val="24"/>
          <w:szCs w:val="24"/>
          <w:highlight w:val="none"/>
        </w:rPr>
        <w:t>上传后，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交易平台即时向投标人发出递交回执通知。递交时间以递交回执通知载明的传输完成时间为准。</w:t>
      </w:r>
    </w:p>
    <w:p w14:paraId="14256D3B">
      <w:pPr>
        <w:spacing w:line="360" w:lineRule="auto"/>
        <w:ind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19.3逾期送达的电子投标文件，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交易平台将予以拒收。</w:t>
      </w:r>
    </w:p>
    <w:p w14:paraId="780D974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19.4 投标截止前，招标人拒绝接收符合条件的投标文件，投标人可向招标投标监督机构投诉。</w:t>
      </w:r>
    </w:p>
    <w:p w14:paraId="41A4B5E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19.5如技术标和经济标先后分别开启，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交易平台将按招标文件规定的时间分别开启技术标和经济标。</w:t>
      </w:r>
    </w:p>
    <w:p w14:paraId="1109324F">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20．投标文件提交的截止时间</w:t>
      </w:r>
    </w:p>
    <w:p w14:paraId="66723A27">
      <w:pPr>
        <w:spacing w:line="360" w:lineRule="auto"/>
        <w:ind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rPr>
        <w:t>20.1投标人应在投标须知前附表第17项所述的时间前提交投标文件。</w:t>
      </w:r>
    </w:p>
    <w:p w14:paraId="6F91529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20.2招标人可按本须知第9条规定以招标文件修改的方式，酌情延长提交投标文件的截止时间。在此情况下，投标人的所有权利和义务以及投标人受制约的截止时间，均以延长后新的投标截止时间为准。</w:t>
      </w:r>
    </w:p>
    <w:p w14:paraId="0A28101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20.3 到投标截止时间止，招标人收到的投标文件少于3家的，招标人将重新组织招标（当N个标段同时招标且不允许兼中时，若有效投标人不足N+2家，则重新组织招标）。</w:t>
      </w:r>
    </w:p>
    <w:p w14:paraId="1633AD3F">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21．迟交的投标文件</w:t>
      </w:r>
    </w:p>
    <w:p w14:paraId="18676C4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21.1 本须知前附表第17项规定的投标截止时间</w:t>
      </w:r>
      <w:r>
        <w:rPr>
          <w:rFonts w:hint="eastAsia" w:ascii="宋体" w:hAnsi="宋体" w:cs="宋体"/>
          <w:bCs/>
          <w:color w:val="auto"/>
          <w:sz w:val="24"/>
          <w:szCs w:val="24"/>
          <w:highlight w:val="none"/>
        </w:rPr>
        <w:t>后送达的电子投标文件，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交易平台将予以拒收。</w:t>
      </w:r>
    </w:p>
    <w:p w14:paraId="1B5F2857">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22．投标文件的修改与撤回</w:t>
      </w:r>
    </w:p>
    <w:p w14:paraId="3FB4875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22.1在规定的投标截止时间前，投标人可以修改或撤回已递交的投标文件，但应以书面形式通知招标人。</w:t>
      </w:r>
    </w:p>
    <w:p w14:paraId="7FC8880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22.2投标人修改或撤回已递交的投标文件，需在交易平台发出修改或撤回通知，并按要求加盖电子印章。</w:t>
      </w:r>
      <w:r>
        <w:rPr>
          <w:rFonts w:hint="eastAsia" w:ascii="宋体" w:hAnsi="宋体" w:cs="宋体"/>
          <w:bCs/>
          <w:iCs/>
          <w:color w:val="auto"/>
          <w:sz w:val="24"/>
          <w:szCs w:val="24"/>
          <w:highlight w:val="none"/>
        </w:rPr>
        <w:t>电子招标投标交易平台收到通知后，</w:t>
      </w:r>
      <w:r>
        <w:rPr>
          <w:rFonts w:hint="eastAsia" w:ascii="宋体" w:hAnsi="宋体" w:cs="宋体"/>
          <w:color w:val="auto"/>
          <w:sz w:val="24"/>
          <w:szCs w:val="24"/>
          <w:highlight w:val="none"/>
        </w:rPr>
        <w:t>即时向投标人发出确认回执通知。</w:t>
      </w:r>
    </w:p>
    <w:p w14:paraId="28F73E5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22.3修改后再次递交的，按19点的规定执行。</w:t>
      </w:r>
    </w:p>
    <w:p w14:paraId="40F88B5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22.4 在投标截止时间之后，投标人不得补充、修改和更换投标文件。</w:t>
      </w:r>
    </w:p>
    <w:p w14:paraId="42EAD0E9">
      <w:pPr>
        <w:widowControl/>
        <w:spacing w:before="100" w:beforeAutospacing="1" w:after="100" w:afterAutospacing="1" w:line="360" w:lineRule="auto"/>
        <w:jc w:val="left"/>
        <w:outlineLvl w:val="2"/>
        <w:rPr>
          <w:rFonts w:ascii="宋体" w:hAnsi="宋体" w:cs="宋体"/>
          <w:color w:val="auto"/>
          <w:kern w:val="0"/>
          <w:sz w:val="24"/>
          <w:szCs w:val="24"/>
          <w:highlight w:val="none"/>
        </w:rPr>
      </w:pPr>
      <w:bookmarkStart w:id="61" w:name="_Toc18143"/>
      <w:bookmarkStart w:id="62" w:name="_Toc28404"/>
      <w:bookmarkStart w:id="63" w:name="_Toc26236"/>
      <w:bookmarkStart w:id="64" w:name="_Toc25367"/>
      <w:bookmarkStart w:id="65" w:name="_Toc18302"/>
      <w:bookmarkStart w:id="66" w:name="_Toc25975"/>
      <w:bookmarkStart w:id="67" w:name="_Toc17990"/>
      <w:bookmarkStart w:id="68" w:name="_Toc2272553"/>
      <w:bookmarkStart w:id="69" w:name="_Toc58838575"/>
      <w:bookmarkStart w:id="70" w:name="_Toc21589"/>
      <w:bookmarkStart w:id="71" w:name="_Toc9521"/>
      <w:bookmarkStart w:id="72" w:name="_Toc26190"/>
      <w:bookmarkStart w:id="73" w:name="_Toc25942"/>
      <w:r>
        <w:rPr>
          <w:rFonts w:hint="eastAsia" w:ascii="宋体" w:hAnsi="宋体" w:cs="宋体"/>
          <w:color w:val="auto"/>
          <w:kern w:val="0"/>
          <w:sz w:val="24"/>
          <w:szCs w:val="24"/>
          <w:highlight w:val="none"/>
        </w:rPr>
        <w:t>（五）开标、评标、定标及合同签定</w:t>
      </w:r>
      <w:bookmarkEnd w:id="61"/>
      <w:bookmarkEnd w:id="62"/>
      <w:bookmarkEnd w:id="63"/>
      <w:bookmarkEnd w:id="64"/>
      <w:bookmarkEnd w:id="65"/>
      <w:bookmarkEnd w:id="66"/>
      <w:bookmarkEnd w:id="67"/>
      <w:bookmarkEnd w:id="68"/>
      <w:bookmarkEnd w:id="69"/>
      <w:bookmarkEnd w:id="70"/>
      <w:bookmarkEnd w:id="71"/>
      <w:bookmarkEnd w:id="72"/>
      <w:bookmarkEnd w:id="73"/>
    </w:p>
    <w:p w14:paraId="4FB045E0">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23、开标。</w:t>
      </w:r>
    </w:p>
    <w:p w14:paraId="7D4C61F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详见第二章开标、评标及定标办法</w:t>
      </w:r>
    </w:p>
    <w:p w14:paraId="2F8A90A8">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24．评标过程的保密</w:t>
      </w:r>
    </w:p>
    <w:p w14:paraId="172627C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24.1 开标后，直至中标公示为止，凡属于对投标文件的审查、澄清、评价和比较有关的资料以及中标候选人的推荐情况，与评标有关的其他任何情况均严格保密。</w:t>
      </w:r>
    </w:p>
    <w:p w14:paraId="295203C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24.2 在投标文件的评审和比较、中标候选人推荐以及授予合同的过程中，投标人向招标人和评标委员会施加不公正影响的任何行为，都将会导致其投标被拒绝。</w:t>
      </w:r>
    </w:p>
    <w:p w14:paraId="23BAE45D">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25．投标文件的澄清，计算错误的修正</w:t>
      </w:r>
    </w:p>
    <w:p w14:paraId="4476411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详见招标文件第二章开标、评标及定标办法</w:t>
      </w:r>
    </w:p>
    <w:p w14:paraId="0E9C2EAB">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26．投标文件的评审、比较和否决</w:t>
      </w:r>
    </w:p>
    <w:p w14:paraId="27E638D4">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rPr>
        <w:t>详见招标文件第二章开标、评标及定标办法。</w:t>
      </w:r>
    </w:p>
    <w:p w14:paraId="14D8F564">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27．中标通知书</w:t>
      </w:r>
    </w:p>
    <w:p w14:paraId="7529F9E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27.1招标人将在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交易平台、广东省招标投标监管网和中国招标投标公共服务平台公示中标候选人，公示期为三天。</w:t>
      </w:r>
      <w:r>
        <w:rPr>
          <w:rFonts w:hint="eastAsia" w:ascii="宋体" w:hAnsi="宋体" w:cs="宋体"/>
          <w:b/>
          <w:bCs/>
          <w:color w:val="auto"/>
          <w:sz w:val="24"/>
          <w:szCs w:val="24"/>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4BDDC14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27.2招标人应当自确定中标人后，向招标投标监管机构提交招标投标情况的书面报告；经招投标监管机构备案后，方可发出中标通知书。</w:t>
      </w:r>
    </w:p>
    <w:p w14:paraId="4FEF330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27.3中标人必须在收到中标通知书后24小时之内以书面形式回复招标人，确认收到。</w:t>
      </w:r>
    </w:p>
    <w:p w14:paraId="7A64DBC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27.4在产生中标候选人后，招标人将中标候选人的投标文件商务部分文件的所有内容（包括人员、业绩、奖项等资料）在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交易平台和广东省招标投标监管网公开。</w:t>
      </w:r>
    </w:p>
    <w:p w14:paraId="249891A8">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28．合同协议书的签订</w:t>
      </w:r>
    </w:p>
    <w:p w14:paraId="671F582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28.1 招标人与中标人将于中标通知书发出之日起30日内，按照招标文件和中标人的投标文件商定和签订合同，招标人和中标人不得再行订立背离合同实质性内容的其他协议。</w:t>
      </w:r>
    </w:p>
    <w:p w14:paraId="404C66A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23FA414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28.3非经招标人同意，中标人在投标过程中使用的银行名称及帐号至完成竣工结算不得变更，否则招标人有权停止工程款项的拔付及至解除合同，由此造成的一切责任由中标人承担。</w:t>
      </w:r>
    </w:p>
    <w:p w14:paraId="4130F47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28.4招标人支付工程款时，中标人应按规定开具发票。</w:t>
      </w:r>
    </w:p>
    <w:p w14:paraId="6E109A57">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29．履约担保</w:t>
      </w:r>
    </w:p>
    <w:p w14:paraId="3DC1D5F1">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29.1 在收到中标通知书后的</w:t>
      </w:r>
      <w:r>
        <w:rPr>
          <w:rFonts w:hint="eastAsia" w:ascii="宋体" w:hAnsi="宋体" w:cs="宋体"/>
          <w:b/>
          <w:color w:val="auto"/>
          <w:sz w:val="24"/>
          <w:szCs w:val="24"/>
          <w:highlight w:val="none"/>
        </w:rPr>
        <w:t>15日</w:t>
      </w:r>
      <w:r>
        <w:rPr>
          <w:rFonts w:hint="eastAsia" w:ascii="宋体" w:hAnsi="宋体" w:cs="宋体"/>
          <w:color w:val="auto"/>
          <w:sz w:val="24"/>
          <w:szCs w:val="24"/>
          <w:highlight w:val="none"/>
        </w:rPr>
        <w:t>内，中标人应按本须知前附表第20项的规定向招标人提交履约担保；</w:t>
      </w:r>
    </w:p>
    <w:p w14:paraId="7EDD7A26">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22EAA538">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30．合同生效</w:t>
      </w:r>
    </w:p>
    <w:p w14:paraId="6615985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30.1在合同双方全权代表在合同协议书上签字，并分别加盖双方单位的公章后，合同正式生效。</w:t>
      </w:r>
    </w:p>
    <w:p w14:paraId="332795B6">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31．其它费用</w:t>
      </w:r>
    </w:p>
    <w:p w14:paraId="5B008370">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32．腐败与欺诈行为</w:t>
      </w:r>
    </w:p>
    <w:p w14:paraId="4CF0BD6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在招标和合同实施期间，招标人要求投标人和承包人遵守最高的道德标准。</w:t>
      </w:r>
    </w:p>
    <w:p w14:paraId="2E4A54E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32．1对本条款的规定，特定义如下词汇：</w:t>
      </w:r>
    </w:p>
    <w:p w14:paraId="6A773FF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1）、“腐败行为”是指在招标或合同执行期间，通过提供、给予、接受或索要任何有价值的东西，从而影响招标人有关人员工作的行为；</w:t>
      </w:r>
    </w:p>
    <w:p w14:paraId="26CFA16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262C35B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32．2如果投标人被认定在本招标的竞争中有腐败或欺诈行为，则会被取消投标资格。</w:t>
      </w:r>
    </w:p>
    <w:p w14:paraId="4AF45944">
      <w:pPr>
        <w:spacing w:line="360" w:lineRule="auto"/>
        <w:ind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rPr>
        <w:t>32.3投标人如在本项目中存在串通投标、弄虚作假</w:t>
      </w:r>
      <w:r>
        <w:rPr>
          <w:rFonts w:hint="eastAsia" w:ascii="宋体" w:hAnsi="宋体" w:cs="宋体"/>
          <w:b/>
          <w:bCs/>
          <w:color w:val="auto"/>
          <w:sz w:val="24"/>
          <w:szCs w:val="24"/>
          <w:highlight w:val="none"/>
        </w:rPr>
        <w:t>骗取中标、</w:t>
      </w:r>
      <w:r>
        <w:rPr>
          <w:rFonts w:hint="eastAsia" w:ascii="宋体" w:hAnsi="宋体" w:cs="宋体"/>
          <w:color w:val="auto"/>
          <w:sz w:val="24"/>
          <w:szCs w:val="24"/>
          <w:highlight w:val="none"/>
        </w:rPr>
        <w:t>行贿情形的，中标无效，行政监督部门将对其违法行为进行政处罚。</w:t>
      </w:r>
      <w:r>
        <w:rPr>
          <w:rFonts w:hint="eastAsia" w:ascii="宋体" w:hAnsi="宋体" w:cs="宋体"/>
          <w:b/>
          <w:bCs/>
          <w:color w:val="auto"/>
          <w:sz w:val="24"/>
          <w:szCs w:val="24"/>
          <w:highlight w:val="none"/>
        </w:rPr>
        <w:t>该投标人将被招标人列入黑名单并限制其参与招标人后续项目的投标。</w:t>
      </w:r>
    </w:p>
    <w:p w14:paraId="23D27DC5">
      <w:pPr>
        <w:pStyle w:val="4"/>
        <w:spacing w:after="0" w:line="360" w:lineRule="auto"/>
        <w:ind w:firstLineChars="200"/>
        <w:rPr>
          <w:rStyle w:val="26"/>
          <w:rFonts w:ascii="宋体" w:hAnsi="宋体"/>
          <w:color w:val="auto"/>
          <w:kern w:val="2"/>
          <w:sz w:val="21"/>
          <w:szCs w:val="21"/>
          <w:highlight w:val="none"/>
        </w:rPr>
      </w:pPr>
    </w:p>
    <w:bookmarkEnd w:id="21"/>
    <w:p w14:paraId="45DB67DA">
      <w:pPr>
        <w:pStyle w:val="2"/>
        <w:rPr>
          <w:rFonts w:hint="eastAsia" w:ascii="宋体" w:hAnsi="宋体" w:cs="宋体"/>
          <w:color w:val="auto"/>
          <w:highlight w:val="none"/>
        </w:rPr>
      </w:pPr>
      <w:r>
        <w:rPr>
          <w:rFonts w:hint="eastAsia" w:ascii="宋体" w:hAnsi="宋体" w:cs="宋体"/>
          <w:color w:val="auto"/>
          <w:sz w:val="24"/>
          <w:highlight w:val="none"/>
        </w:rPr>
        <w:br w:type="page"/>
      </w:r>
      <w:bookmarkStart w:id="74" w:name="_Toc2272554"/>
      <w:bookmarkStart w:id="75" w:name="_Toc8763"/>
      <w:r>
        <w:rPr>
          <w:rFonts w:hint="eastAsia" w:ascii="宋体" w:hAnsi="宋体" w:cs="宋体"/>
          <w:color w:val="auto"/>
          <w:highlight w:val="none"/>
        </w:rPr>
        <w:t>第二章  开标、评标及定标办法</w:t>
      </w:r>
      <w:bookmarkEnd w:id="74"/>
      <w:bookmarkEnd w:id="75"/>
    </w:p>
    <w:p w14:paraId="7DA6324E">
      <w:pPr>
        <w:pStyle w:val="6"/>
        <w:rPr>
          <w:rFonts w:hint="eastAsia" w:ascii="宋体" w:hAnsi="宋体" w:cs="宋体"/>
          <w:color w:val="auto"/>
          <w:highlight w:val="none"/>
        </w:rPr>
      </w:pPr>
      <w:bookmarkStart w:id="76" w:name="_Toc2272555"/>
      <w:bookmarkStart w:id="77" w:name="_Toc26460"/>
      <w:r>
        <w:rPr>
          <w:rFonts w:hint="eastAsia" w:ascii="宋体" w:hAnsi="宋体" w:cs="宋体"/>
          <w:color w:val="auto"/>
          <w:sz w:val="28"/>
          <w:szCs w:val="28"/>
          <w:highlight w:val="none"/>
        </w:rPr>
        <w:t>一、</w:t>
      </w:r>
      <w:r>
        <w:rPr>
          <w:rFonts w:hint="eastAsia" w:ascii="宋体" w:hAnsi="宋体" w:cs="宋体"/>
          <w:color w:val="auto"/>
          <w:highlight w:val="none"/>
        </w:rPr>
        <w:t>开标、评标及定标办法修改表</w:t>
      </w:r>
      <w:bookmarkEnd w:id="76"/>
      <w:bookmarkEnd w:id="77"/>
    </w:p>
    <w:p w14:paraId="6B2E09CA">
      <w:pPr>
        <w:pStyle w:val="4"/>
        <w:spacing w:after="0"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rPr>
          <w:rStyle w:val="25"/>
          <w:rFonts w:hint="eastAsia" w:ascii="宋体" w:hAnsi="宋体" w:cs="宋体"/>
          <w:b/>
          <w:color w:val="auto"/>
          <w:sz w:val="24"/>
          <w:szCs w:val="24"/>
          <w:highlight w:val="none"/>
          <w:u w:val="none"/>
        </w:rPr>
        <w:fldChar w:fldCharType="begin"/>
      </w:r>
      <w:r>
        <w:rPr>
          <w:rStyle w:val="25"/>
          <w:rFonts w:hint="eastAsia" w:ascii="宋体" w:hAnsi="宋体" w:cs="宋体"/>
          <w:b/>
          <w:color w:val="auto"/>
          <w:sz w:val="24"/>
          <w:szCs w:val="24"/>
          <w:highlight w:val="none"/>
          <w:u w:val="none"/>
        </w:rPr>
        <w:instrText xml:space="preserve">HYPERLINK "http://www.gzcc.gov.cn/）下载GZZB2018-3"</w:instrText>
      </w:r>
      <w:r>
        <w:rPr>
          <w:rStyle w:val="25"/>
          <w:rFonts w:hint="eastAsia" w:ascii="宋体" w:hAnsi="宋体" w:cs="宋体"/>
          <w:b/>
          <w:color w:val="auto"/>
          <w:sz w:val="24"/>
          <w:szCs w:val="24"/>
          <w:highlight w:val="none"/>
          <w:u w:val="none"/>
        </w:rPr>
        <w:fldChar w:fldCharType="separate"/>
      </w:r>
      <w:r>
        <w:rPr>
          <w:rStyle w:val="25"/>
          <w:rFonts w:hint="eastAsia" w:ascii="宋体" w:hAnsi="宋体" w:cs="宋体"/>
          <w:b/>
          <w:color w:val="auto"/>
          <w:sz w:val="24"/>
          <w:szCs w:val="24"/>
          <w:highlight w:val="none"/>
          <w:u w:val="none"/>
        </w:rPr>
        <w:t>http://zfcj.gz.gov.cn/）下载GZZB2018-3</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rPr>
        <w:t>范本查阅。</w:t>
      </w:r>
    </w:p>
    <w:p w14:paraId="753B6954">
      <w:pPr>
        <w:widowControl/>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bidi="ar"/>
        </w:rPr>
        <w:t>条款号：</w:t>
      </w:r>
      <w:r>
        <w:rPr>
          <w:rFonts w:hint="eastAsia" w:ascii="宋体" w:hAnsi="宋体" w:cs="宋体"/>
          <w:color w:val="auto"/>
          <w:szCs w:val="21"/>
          <w:highlight w:val="none"/>
          <w:lang w:bidi="ar"/>
        </w:rPr>
        <w:t>35</w:t>
      </w:r>
      <w:r>
        <w:rPr>
          <w:rFonts w:hint="eastAsia" w:ascii="宋体" w:hAnsi="宋体" w:cs="宋体"/>
          <w:b/>
          <w:color w:val="auto"/>
          <w:szCs w:val="21"/>
          <w:highlight w:val="none"/>
          <w:lang w:bidi="ar"/>
        </w:rPr>
        <w:t xml:space="preserve">          修改类型：修改</w:t>
      </w:r>
    </w:p>
    <w:p w14:paraId="122C15FD">
      <w:pPr>
        <w:widowControl/>
        <w:pBdr>
          <w:bottom w:val="single" w:color="000000"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lang w:bidi="ar"/>
        </w:rPr>
        <w:t>原文：</w:t>
      </w:r>
      <w:r>
        <w:rPr>
          <w:rFonts w:hint="eastAsia" w:ascii="宋体" w:hAnsi="宋体" w:cs="宋体"/>
          <w:color w:val="auto"/>
          <w:szCs w:val="21"/>
          <w:highlight w:val="none"/>
          <w:lang w:bidi="ar"/>
        </w:rPr>
        <w:t>开标、评标及定标所依据的规则</w:t>
      </w:r>
    </w:p>
    <w:p w14:paraId="678A7D43">
      <w:pPr>
        <w:widowControl/>
        <w:pBdr>
          <w:bottom w:val="single" w:color="000000" w:sz="6" w:space="1"/>
        </w:pBdr>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35.1《中华人民共和国招标投标法》；</w:t>
      </w:r>
    </w:p>
    <w:p w14:paraId="46D965D7">
      <w:pPr>
        <w:widowControl/>
        <w:pBdr>
          <w:bottom w:val="single" w:color="000000" w:sz="6" w:space="1"/>
        </w:pBdr>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35.2《中华人民共和国招标投标法实施条例》；</w:t>
      </w:r>
    </w:p>
    <w:p w14:paraId="4DE9A9D3">
      <w:pPr>
        <w:widowControl/>
        <w:pBdr>
          <w:bottom w:val="single" w:color="000000" w:sz="6" w:space="1"/>
        </w:pBdr>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35.3《评标委员会和评标方法暂行规定》（七部委第12号令）</w:t>
      </w:r>
    </w:p>
    <w:p w14:paraId="4505C1CA">
      <w:pPr>
        <w:widowControl/>
        <w:pBdr>
          <w:bottom w:val="single" w:color="000000" w:sz="6" w:space="1"/>
        </w:pBdr>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35.4《工程建设项目施工招标投标办法》（七部委2003年第30号令）</w:t>
      </w:r>
    </w:p>
    <w:p w14:paraId="36DCADBA">
      <w:pPr>
        <w:widowControl/>
        <w:pBdr>
          <w:bottom w:val="single" w:color="000000" w:sz="6" w:space="1"/>
        </w:pBdr>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35.5《广东省实施〈中华人民共和国招标投标法〉办法》；</w:t>
      </w:r>
    </w:p>
    <w:p w14:paraId="12660D0A">
      <w:pPr>
        <w:widowControl/>
        <w:pBdr>
          <w:bottom w:val="single" w:color="000000" w:sz="6" w:space="1"/>
        </w:pBdr>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35.6《房屋建筑和市政基础设施工程施工招标投标管理办法》（建设部令第89号）</w:t>
      </w:r>
    </w:p>
    <w:p w14:paraId="050BC52E">
      <w:pPr>
        <w:widowControl/>
        <w:pBdr>
          <w:bottom w:val="single" w:color="000000" w:sz="6" w:space="1"/>
        </w:pBdr>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35.7《财政部工业和信息化部关于印发〈政府采购促进中小企业发展管理办法〉的通知》（财库〔2020〕46号）</w:t>
      </w:r>
    </w:p>
    <w:p w14:paraId="54F65052">
      <w:pPr>
        <w:widowControl/>
        <w:pBdr>
          <w:bottom w:val="single" w:color="000000" w:sz="6" w:space="1"/>
        </w:pBdr>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35.8《广东省加强建设工程招标投标监督管理的若干规定》（粤发[2004]4号）；</w:t>
      </w:r>
    </w:p>
    <w:p w14:paraId="6B86B2A9">
      <w:pPr>
        <w:widowControl/>
        <w:pBdr>
          <w:bottom w:val="single" w:color="000000" w:sz="6" w:space="1"/>
        </w:pBdr>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35.9《广东省政府采购促进中小企业发展实施细则（试行）》</w:t>
      </w:r>
    </w:p>
    <w:p w14:paraId="6F66CF7C">
      <w:pPr>
        <w:widowControl/>
        <w:pBdr>
          <w:bottom w:val="single" w:color="000000" w:sz="6" w:space="1"/>
        </w:pBdr>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35.10《广州市工程建设项目招标投标管理办法》（穗建规字〔2023〕12号）；</w:t>
      </w:r>
    </w:p>
    <w:p w14:paraId="2C1E263A">
      <w:pPr>
        <w:widowControl/>
        <w:pBdr>
          <w:bottom w:val="single" w:color="000000" w:sz="6" w:space="1"/>
        </w:pBdr>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3CD0FB5C">
      <w:pPr>
        <w:widowControl/>
        <w:pBdr>
          <w:bottom w:val="single" w:color="000000" w:sz="6" w:space="1"/>
        </w:pBd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lang w:bidi="ar"/>
        </w:rPr>
        <w:t>35.12本项目招标文件。</w:t>
      </w:r>
    </w:p>
    <w:p w14:paraId="4207347D">
      <w:pPr>
        <w:widowControl/>
        <w:pBdr>
          <w:bottom w:val="single" w:color="000000" w:sz="6" w:space="1"/>
        </w:pBd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bidi="ar"/>
        </w:rPr>
        <w:t>现文：</w:t>
      </w:r>
      <w:r>
        <w:rPr>
          <w:rFonts w:hint="eastAsia" w:ascii="宋体" w:hAnsi="宋体" w:cs="宋体"/>
          <w:color w:val="auto"/>
          <w:szCs w:val="21"/>
          <w:highlight w:val="none"/>
          <w:lang w:bidi="ar"/>
        </w:rPr>
        <w:t>开标、评标及定标所依据的规则</w:t>
      </w:r>
    </w:p>
    <w:p w14:paraId="5240CAD4">
      <w:pPr>
        <w:widowControl/>
        <w:pBdr>
          <w:bottom w:val="single" w:color="000000"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35 开标、评标及定标所依据的规则</w:t>
      </w:r>
    </w:p>
    <w:p w14:paraId="37658DCB">
      <w:pPr>
        <w:widowControl/>
        <w:pBdr>
          <w:bottom w:val="single" w:color="000000"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35.1《中华人民共和国招标投标法》；</w:t>
      </w:r>
    </w:p>
    <w:p w14:paraId="08978642">
      <w:pPr>
        <w:widowControl/>
        <w:pBdr>
          <w:bottom w:val="single" w:color="000000"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35.2《中华人民共和国招标投标法实施条例》；</w:t>
      </w:r>
    </w:p>
    <w:p w14:paraId="123C4E70">
      <w:pPr>
        <w:widowControl/>
        <w:pBdr>
          <w:bottom w:val="single" w:color="000000"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35.3《评标委员会和评标方法暂行规定》（七部委第12号令）；</w:t>
      </w:r>
    </w:p>
    <w:p w14:paraId="39E6B0FD">
      <w:pPr>
        <w:widowControl/>
        <w:pBdr>
          <w:bottom w:val="single" w:color="000000"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35.4《工程建设项目施工招标投标办法》（七部委2003年第30号令）；</w:t>
      </w:r>
    </w:p>
    <w:p w14:paraId="281B000C">
      <w:pPr>
        <w:widowControl/>
        <w:pBdr>
          <w:bottom w:val="single" w:color="000000"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35.5《广东省实施〈中华人民共和国招标投标法〉办法》；</w:t>
      </w:r>
    </w:p>
    <w:p w14:paraId="2B54ACB2">
      <w:pPr>
        <w:widowControl/>
        <w:pBdr>
          <w:bottom w:val="single" w:color="000000"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35.6《房屋建筑和市政基础设施工程施工招标投标管理办法》（建设部令第89号）；</w:t>
      </w:r>
    </w:p>
    <w:p w14:paraId="5C5DB391">
      <w:pPr>
        <w:widowControl/>
        <w:pBdr>
          <w:bottom w:val="single" w:color="000000" w:sz="6" w:space="1"/>
        </w:pBdr>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35.</w:t>
      </w:r>
      <w:r>
        <w:rPr>
          <w:rFonts w:hint="eastAsia" w:ascii="宋体" w:hAnsi="宋体" w:cs="宋体"/>
          <w:color w:val="auto"/>
          <w:szCs w:val="21"/>
          <w:highlight w:val="none"/>
          <w:lang w:val="en-US" w:eastAsia="zh-CN" w:bidi="ar"/>
        </w:rPr>
        <w:t>7</w:t>
      </w:r>
      <w:r>
        <w:rPr>
          <w:rFonts w:hint="eastAsia" w:ascii="宋体" w:hAnsi="宋体" w:cs="宋体"/>
          <w:color w:val="auto"/>
          <w:szCs w:val="21"/>
          <w:highlight w:val="none"/>
          <w:lang w:bidi="ar"/>
        </w:rPr>
        <w:t>《广东省加强建设工程招标投标监督管理的若干规定》（粤发〔2004〕4号）；</w:t>
      </w:r>
    </w:p>
    <w:p w14:paraId="5042C4A7">
      <w:pPr>
        <w:widowControl/>
        <w:pBdr>
          <w:bottom w:val="single" w:color="000000" w:sz="6" w:space="1"/>
        </w:pBdr>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35.</w:t>
      </w:r>
      <w:r>
        <w:rPr>
          <w:rFonts w:hint="eastAsia" w:ascii="宋体" w:hAnsi="宋体" w:cs="宋体"/>
          <w:color w:val="auto"/>
          <w:szCs w:val="21"/>
          <w:highlight w:val="none"/>
          <w:lang w:val="en-US" w:eastAsia="zh-CN" w:bidi="ar"/>
        </w:rPr>
        <w:t>8</w:t>
      </w:r>
      <w:r>
        <w:rPr>
          <w:rFonts w:hint="eastAsia" w:ascii="宋体" w:hAnsi="宋体" w:cs="宋体"/>
          <w:color w:val="auto"/>
          <w:szCs w:val="21"/>
          <w:highlight w:val="none"/>
          <w:lang w:bidi="ar"/>
        </w:rPr>
        <w:t>本项目招标文件。</w:t>
      </w:r>
    </w:p>
    <w:p w14:paraId="337D4944">
      <w:pPr>
        <w:widowControl/>
        <w:pBdr>
          <w:bottom w:val="single" w:color="000000" w:sz="6" w:space="1"/>
        </w:pBdr>
        <w:spacing w:line="360" w:lineRule="auto"/>
        <w:ind w:firstLine="420" w:firstLineChars="200"/>
        <w:rPr>
          <w:rFonts w:hint="eastAsia" w:ascii="宋体" w:hAnsi="宋体" w:cs="宋体"/>
          <w:color w:val="auto"/>
          <w:szCs w:val="21"/>
          <w:highlight w:val="none"/>
          <w:u w:val="single"/>
          <w:lang w:bidi="ar"/>
        </w:rPr>
      </w:pPr>
      <w:r>
        <w:rPr>
          <w:rFonts w:hint="eastAsia" w:ascii="宋体" w:hAnsi="宋体" w:cs="宋体"/>
          <w:color w:val="auto"/>
          <w:szCs w:val="21"/>
          <w:highlight w:val="none"/>
          <w:u w:val="single"/>
          <w:lang w:bidi="ar"/>
        </w:rPr>
        <w:t>35.</w:t>
      </w:r>
      <w:r>
        <w:rPr>
          <w:rFonts w:hint="eastAsia" w:ascii="宋体" w:hAnsi="宋体" w:cs="宋体"/>
          <w:color w:val="auto"/>
          <w:szCs w:val="21"/>
          <w:highlight w:val="none"/>
          <w:u w:val="single"/>
          <w:lang w:val="en-US" w:eastAsia="zh-CN" w:bidi="ar"/>
        </w:rPr>
        <w:t>9</w:t>
      </w:r>
      <w:r>
        <w:rPr>
          <w:rFonts w:hint="eastAsia" w:ascii="宋体" w:hAnsi="宋体" w:cs="宋体"/>
          <w:color w:val="auto"/>
          <w:szCs w:val="21"/>
          <w:highlight w:val="none"/>
          <w:u w:val="single"/>
          <w:lang w:bidi="ar"/>
        </w:rPr>
        <w:t>本项目采用评定分离定标办法，其中：评标采用</w:t>
      </w:r>
      <w:r>
        <w:rPr>
          <w:rFonts w:hint="eastAsia" w:ascii="宋体" w:hAnsi="宋体" w:cs="宋体"/>
          <w:color w:val="auto"/>
          <w:spacing w:val="-2"/>
          <w:szCs w:val="21"/>
          <w:highlight w:val="none"/>
          <w:u w:val="single"/>
        </w:rPr>
        <w:t>通过制评审</w:t>
      </w:r>
      <w:r>
        <w:rPr>
          <w:rFonts w:hint="eastAsia" w:ascii="宋体" w:hAnsi="宋体" w:cs="宋体"/>
          <w:color w:val="auto"/>
          <w:szCs w:val="21"/>
          <w:highlight w:val="none"/>
          <w:u w:val="single"/>
          <w:lang w:bidi="ar"/>
        </w:rPr>
        <w:t>法，定标采用价格因素+方案因素+资信因素。</w:t>
      </w:r>
    </w:p>
    <w:p w14:paraId="795F0D5D">
      <w:pPr>
        <w:tabs>
          <w:tab w:val="left" w:pos="4410"/>
        </w:tabs>
        <w:spacing w:line="336" w:lineRule="auto"/>
        <w:ind w:firstLine="422" w:firstLineChars="200"/>
        <w:rPr>
          <w:rFonts w:hint="eastAsia" w:ascii="宋体" w:hAnsi="宋体" w:cs="宋体"/>
          <w:b/>
          <w:color w:val="auto"/>
          <w:szCs w:val="21"/>
          <w:highlight w:val="none"/>
        </w:rPr>
      </w:pPr>
    </w:p>
    <w:p w14:paraId="5C04FE11">
      <w:pPr>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条款号：36.1</w:t>
      </w:r>
      <w:r>
        <w:rPr>
          <w:rFonts w:hint="eastAsia" w:ascii="宋体" w:hAnsi="宋体" w:cs="宋体"/>
          <w:b/>
          <w:color w:val="auto"/>
          <w:szCs w:val="21"/>
          <w:highlight w:val="none"/>
        </w:rPr>
        <w:tab/>
      </w:r>
      <w:r>
        <w:rPr>
          <w:rFonts w:hint="eastAsia" w:ascii="宋体" w:hAnsi="宋体" w:cs="宋体"/>
          <w:b/>
          <w:color w:val="auto"/>
          <w:szCs w:val="21"/>
          <w:highlight w:val="none"/>
        </w:rPr>
        <w:t xml:space="preserve">   修改类型：修改</w:t>
      </w:r>
    </w:p>
    <w:p w14:paraId="33C9D91E">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p>
    <w:p w14:paraId="236B7EC7">
      <w:pPr>
        <w:pBdr>
          <w:bottom w:val="single" w:color="auto" w:sz="6" w:space="1"/>
        </w:pBdr>
        <w:spacing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 xml:space="preserve">36.1 </w:t>
      </w:r>
      <w:r>
        <w:rPr>
          <w:rStyle w:val="26"/>
          <w:rFonts w:hint="eastAsia" w:ascii="宋体" w:hAnsi="宋体" w:cs="宋体"/>
          <w:color w:val="auto"/>
          <w:szCs w:val="21"/>
          <w:highlight w:val="none"/>
        </w:rPr>
        <w:t>招标人按投标须知前附表第18项所规定的时间和地点公开开标，并邀请所有投标人参加。截标后，开标开始时间因故推迟的，相关评标信息仍以原定的开标开始时间的信息为准。</w:t>
      </w:r>
      <w:r>
        <w:rPr>
          <w:rStyle w:val="26"/>
          <w:rFonts w:hint="eastAsia" w:ascii="宋体" w:hAnsi="宋体" w:cs="宋体"/>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p>
    <w:p w14:paraId="08588319">
      <w:pPr>
        <w:tabs>
          <w:tab w:val="left" w:pos="4410"/>
        </w:tabs>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条款号：36.3</w:t>
      </w:r>
      <w:r>
        <w:rPr>
          <w:rFonts w:hint="eastAsia" w:ascii="宋体" w:hAnsi="宋体" w:cs="宋体"/>
          <w:b/>
          <w:color w:val="auto"/>
          <w:szCs w:val="21"/>
          <w:highlight w:val="none"/>
        </w:rPr>
        <w:tab/>
      </w:r>
      <w:r>
        <w:rPr>
          <w:rFonts w:hint="eastAsia" w:ascii="宋体" w:hAnsi="宋体" w:cs="宋体"/>
          <w:b/>
          <w:color w:val="auto"/>
          <w:szCs w:val="21"/>
          <w:highlight w:val="none"/>
        </w:rPr>
        <w:t>修改类型：删除</w:t>
      </w:r>
    </w:p>
    <w:p w14:paraId="54740BB1">
      <w:pPr>
        <w:pBdr>
          <w:bottom w:val="single" w:color="auto" w:sz="6" w:space="1"/>
        </w:pBdr>
        <w:spacing w:line="336"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0A5E827C">
      <w:pPr>
        <w:tabs>
          <w:tab w:val="left" w:pos="4410"/>
        </w:tabs>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条款号：36.5.1</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14:paraId="2856695F">
      <w:pPr>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36.5.1在投标截止时间后半小时内，投标人通过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50823742">
      <w:pPr>
        <w:pBdr>
          <w:bottom w:val="single" w:color="auto" w:sz="6" w:space="1"/>
        </w:pBdr>
        <w:spacing w:line="336"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36.5.1</w:t>
      </w:r>
      <w:r>
        <w:rPr>
          <w:rFonts w:hint="eastAsia" w:ascii="宋体" w:cs="宋体"/>
          <w:bCs/>
          <w:color w:val="auto"/>
          <w:szCs w:val="21"/>
          <w:highlight w:val="none"/>
        </w:rPr>
        <w:t>在投标截止时间后一个小时内，投标人通过</w:t>
      </w:r>
      <w:r>
        <w:rPr>
          <w:rFonts w:hint="eastAsia" w:ascii="宋体" w:cs="宋体"/>
          <w:color w:val="auto"/>
          <w:szCs w:val="21"/>
          <w:highlight w:val="none"/>
          <w:u w:val="single"/>
        </w:rPr>
        <w:t>广州交易集团有限公司（广州公共资源交易中心）</w:t>
      </w:r>
      <w:r>
        <w:rPr>
          <w:rFonts w:hint="eastAsia" w:ascii="宋体" w:cs="宋体"/>
          <w:bCs/>
          <w:color w:val="auto"/>
          <w:szCs w:val="21"/>
          <w:highlight w:val="none"/>
        </w:rPr>
        <w:t>交易平台对已递交的电子投标文件进行解密。投标人完成解密后，再由招标人进行解密。解密完成后，公布招标项目名称、投标人名称、投标报价、工期及其他内容</w:t>
      </w:r>
      <w:r>
        <w:rPr>
          <w:rFonts w:hint="eastAsia" w:ascii="宋体" w:hAnsi="宋体" w:cs="宋体"/>
          <w:color w:val="auto"/>
          <w:szCs w:val="21"/>
          <w:highlight w:val="none"/>
        </w:rPr>
        <w:t>；</w:t>
      </w:r>
    </w:p>
    <w:p w14:paraId="4EAB91BC">
      <w:pPr>
        <w:tabs>
          <w:tab w:val="left" w:pos="4410"/>
        </w:tabs>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条款号：36.5.3</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14:paraId="7E6AF331">
      <w:pPr>
        <w:spacing w:line="336"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投标人代表、招标人代表、监标人、记录人等有关人员在开标记录上签字确认；若有关人员不签字的，不影响开标程序；</w:t>
      </w:r>
    </w:p>
    <w:p w14:paraId="4E8C980E">
      <w:pPr>
        <w:pBdr>
          <w:bottom w:val="single" w:color="auto" w:sz="6" w:space="1"/>
        </w:pBdr>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投标人代表、招标人代表、监标人、记录人等有关人员在开标记录上签字确认；若有关人员不签字的，不影响开标程序；</w:t>
      </w:r>
      <w:r>
        <w:rPr>
          <w:rFonts w:hint="eastAsia" w:ascii="宋体" w:hAnsi="宋体" w:cs="宋体"/>
          <w:color w:val="auto"/>
          <w:szCs w:val="21"/>
          <w:highlight w:val="none"/>
          <w:u w:val="single"/>
        </w:rPr>
        <w:t>若投标人不参加开标会的，或不签字确认的，视同该投标人认可开标结果。</w:t>
      </w:r>
    </w:p>
    <w:p w14:paraId="6FBD2311">
      <w:pPr>
        <w:spacing w:line="360" w:lineRule="auto"/>
        <w:ind w:firstLine="472" w:firstLineChars="224"/>
        <w:rPr>
          <w:rFonts w:hint="eastAsia" w:ascii="宋体" w:cs="宋体"/>
          <w:b/>
          <w:color w:val="auto"/>
          <w:szCs w:val="21"/>
          <w:highlight w:val="none"/>
        </w:rPr>
      </w:pPr>
      <w:r>
        <w:rPr>
          <w:rFonts w:hint="eastAsia" w:ascii="宋体" w:cs="宋体"/>
          <w:b/>
          <w:color w:val="auto"/>
          <w:szCs w:val="21"/>
          <w:highlight w:val="none"/>
        </w:rPr>
        <w:t>条款号：36.7          修改类型：修改</w:t>
      </w:r>
    </w:p>
    <w:p w14:paraId="7F6C2117">
      <w:pPr>
        <w:spacing w:line="360" w:lineRule="auto"/>
        <w:ind w:firstLine="422" w:firstLineChars="200"/>
        <w:rPr>
          <w:rFonts w:hint="eastAsia" w:ascii="宋体" w:cs="宋体"/>
          <w:color w:val="auto"/>
          <w:szCs w:val="21"/>
          <w:highlight w:val="none"/>
        </w:rPr>
      </w:pPr>
      <w:r>
        <w:rPr>
          <w:rFonts w:hint="eastAsia" w:ascii="宋体" w:cs="宋体"/>
          <w:b/>
          <w:color w:val="auto"/>
          <w:szCs w:val="21"/>
          <w:highlight w:val="none"/>
        </w:rPr>
        <w:t>原文：</w:t>
      </w:r>
      <w:r>
        <w:rPr>
          <w:rFonts w:hint="eastAsia" w:ascii="宋体" w:cs="宋体"/>
          <w:bCs/>
          <w:color w:val="auto"/>
          <w:szCs w:val="21"/>
          <w:highlight w:val="none"/>
        </w:rPr>
        <w:t>36.7</w:t>
      </w:r>
      <w:r>
        <w:rPr>
          <w:rFonts w:hint="eastAsia" w:ascii="宋体" w:cs="宋体"/>
          <w:color w:val="auto"/>
          <w:szCs w:val="21"/>
          <w:highlight w:val="none"/>
        </w:rPr>
        <w:t>开标时，两个（含两个）以上的投标人加密打包投标文件电脑机器特征码一致的，不参与下一程序，并由评标委员会否决其投标。</w:t>
      </w:r>
    </w:p>
    <w:p w14:paraId="769C8432">
      <w:pPr>
        <w:pBdr>
          <w:bottom w:val="single" w:color="auto" w:sz="6" w:space="1"/>
        </w:pBdr>
        <w:spacing w:line="460" w:lineRule="exact"/>
        <w:ind w:firstLine="413" w:firstLineChars="196"/>
        <w:rPr>
          <w:rFonts w:hint="eastAsia" w:ascii="宋体" w:cs="宋体"/>
          <w:color w:val="auto"/>
          <w:szCs w:val="21"/>
          <w:highlight w:val="none"/>
          <w:u w:val="single"/>
        </w:rPr>
      </w:pPr>
      <w:r>
        <w:rPr>
          <w:rFonts w:hint="eastAsia" w:ascii="宋体" w:cs="宋体"/>
          <w:b/>
          <w:color w:val="auto"/>
          <w:szCs w:val="21"/>
          <w:highlight w:val="none"/>
        </w:rPr>
        <w:t>现文：</w:t>
      </w:r>
      <w:r>
        <w:rPr>
          <w:rFonts w:hint="eastAsia" w:ascii="宋体" w:cs="宋体"/>
          <w:bCs/>
          <w:color w:val="auto"/>
          <w:szCs w:val="21"/>
          <w:highlight w:val="none"/>
        </w:rPr>
        <w:t>36.7</w:t>
      </w:r>
      <w:r>
        <w:rPr>
          <w:rFonts w:hint="eastAsia" w:ascii="宋体" w:cs="宋体"/>
          <w:color w:val="auto"/>
          <w:szCs w:val="21"/>
          <w:highlight w:val="none"/>
        </w:rPr>
        <w:t>开标时，</w:t>
      </w:r>
      <w:r>
        <w:rPr>
          <w:rFonts w:hint="eastAsia" w:ascii="宋体" w:cs="宋体"/>
          <w:color w:val="auto"/>
          <w:szCs w:val="21"/>
          <w:highlight w:val="none"/>
          <w:u w:val="single"/>
        </w:rPr>
        <w:t>本项目</w:t>
      </w:r>
      <w:r>
        <w:rPr>
          <w:rFonts w:hint="eastAsia" w:ascii="宋体" w:cs="宋体"/>
          <w:color w:val="auto"/>
          <w:szCs w:val="21"/>
          <w:highlight w:val="none"/>
        </w:rPr>
        <w:t>两个（含两个）以上的投标人加密打包投标文件电脑机器特征码一致的，不参与下一程序，并由评标委员会否决其投标。</w:t>
      </w:r>
    </w:p>
    <w:p w14:paraId="49196F6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条款号：37.                    修改类型：修改</w:t>
      </w:r>
    </w:p>
    <w:p w14:paraId="052236E7">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原文：37.</w:t>
      </w:r>
      <w:r>
        <w:rPr>
          <w:rFonts w:hint="eastAsia" w:ascii="宋体" w:hAnsi="宋体" w:cs="宋体"/>
          <w:color w:val="auto"/>
          <w:szCs w:val="21"/>
          <w:highlight w:val="none"/>
        </w:rPr>
        <w:t>评标</w:t>
      </w:r>
    </w:p>
    <w:p w14:paraId="1D1A987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37.1评标委员会由招标人依法组建。</w:t>
      </w:r>
    </w:p>
    <w:p w14:paraId="6EC908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37.2评标委员会的职责及守则：</w:t>
      </w:r>
    </w:p>
    <w:p w14:paraId="5A0417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37.2.1根据评标细则，对投标文件进行认真评审，完成评审报告；</w:t>
      </w:r>
    </w:p>
    <w:p w14:paraId="72BFD1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37.2.2向招标人报告评审意见，推荐合格的中标候选人。</w:t>
      </w:r>
    </w:p>
    <w:p w14:paraId="247A8C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37.2.3 所有参加评标人员必须遵守国家、地方政府制定的有关工程招标投标的法则、规定，遵守有关工程招标投标的保密制度；如有违反者，给予行政处分；情节严重，构成犯罪的，由司法机关依法追究其刑事责任。</w:t>
      </w:r>
    </w:p>
    <w:p w14:paraId="70F6BC6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37.2.4全体参与评标人员：</w:t>
      </w:r>
    </w:p>
    <w:p w14:paraId="3ED113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37.2.4.1 必须遵守评标纪律、不得泄密；</w:t>
      </w:r>
    </w:p>
    <w:p w14:paraId="480FF4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37.2.4.2 必须公正、不得循私；</w:t>
      </w:r>
    </w:p>
    <w:p w14:paraId="792801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37.2.4.3 必须科学、不得草率；</w:t>
      </w:r>
    </w:p>
    <w:p w14:paraId="4BB5128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37.2.4.4 必须客观、不得带有成见；</w:t>
      </w:r>
    </w:p>
    <w:p w14:paraId="0BAEBC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37.2.4.5 必须平等、不得强加于人；</w:t>
      </w:r>
    </w:p>
    <w:p w14:paraId="4D7450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37.2.4.6 必须严谨、不得随意马虎。</w:t>
      </w:r>
    </w:p>
    <w:p w14:paraId="505185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37.3 评标结束后，评标委员会递交评标报告并依法推荐中标候选人。</w:t>
      </w:r>
    </w:p>
    <w:p w14:paraId="204364AB">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现文：37 .</w:t>
      </w:r>
      <w:r>
        <w:rPr>
          <w:rFonts w:hint="eastAsia" w:ascii="宋体" w:hAnsi="宋体" w:cs="宋体"/>
          <w:color w:val="auto"/>
          <w:szCs w:val="21"/>
          <w:highlight w:val="none"/>
        </w:rPr>
        <w:t>评标</w:t>
      </w:r>
    </w:p>
    <w:p w14:paraId="2C627B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37.1评标委员会由招标人依法组建。</w:t>
      </w:r>
    </w:p>
    <w:p w14:paraId="0159E1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37.2评标委员会的职责及守则：</w:t>
      </w:r>
    </w:p>
    <w:p w14:paraId="6D11AC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37.2.1根据评标细则，对投标文件进行认真评审，完成评标报告；</w:t>
      </w:r>
    </w:p>
    <w:p w14:paraId="2F62C0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37.2.2向招标人推荐</w:t>
      </w:r>
      <w:r>
        <w:rPr>
          <w:rFonts w:hint="eastAsia" w:ascii="宋体" w:hAnsi="宋体" w:cs="宋体"/>
          <w:color w:val="auto"/>
          <w:szCs w:val="21"/>
          <w:highlight w:val="none"/>
          <w:u w:val="single"/>
        </w:rPr>
        <w:t>合格的中标候选人并进入定标阶段</w:t>
      </w:r>
      <w:r>
        <w:rPr>
          <w:rFonts w:hint="eastAsia" w:ascii="宋体" w:hAnsi="宋体" w:cs="宋体"/>
          <w:color w:val="auto"/>
          <w:szCs w:val="21"/>
          <w:highlight w:val="none"/>
        </w:rPr>
        <w:t>，并递交资格审查报告和评标报告。</w:t>
      </w:r>
    </w:p>
    <w:p w14:paraId="54B92A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37.2.3所有参加评标人员必须遵守国家、地方政府制定的有关工程招标投标的法则、规定，遵守有关工程招标投标的保密制度；如有违反者，给予行政处分；情节严重，构成犯罪的，由司法机关依法追究其刑事责任；</w:t>
      </w:r>
    </w:p>
    <w:p w14:paraId="72010B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37.2.4全体参与评标人员：</w:t>
      </w:r>
    </w:p>
    <w:p w14:paraId="20C829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37.2.4.1 必须遵守评标纪律、不得泄密；</w:t>
      </w:r>
    </w:p>
    <w:p w14:paraId="30FA57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37.2.4.2 必须公正、不得循私；</w:t>
      </w:r>
    </w:p>
    <w:p w14:paraId="4DCB43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37.2.4.3 必须科学、不得草率；</w:t>
      </w:r>
    </w:p>
    <w:p w14:paraId="09F55D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37.2.4.4 必须客观、不得带有成见；</w:t>
      </w:r>
    </w:p>
    <w:p w14:paraId="44536F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37.2.4.5 必须平等、不得强加于人；</w:t>
      </w:r>
    </w:p>
    <w:p w14:paraId="11C789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37.2.4.6 必须严谨、不得随意马虎。</w:t>
      </w:r>
    </w:p>
    <w:p w14:paraId="7FB08F6F">
      <w:pPr>
        <w:pBdr>
          <w:bottom w:val="single" w:color="auto" w:sz="4" w:space="1"/>
        </w:pBdr>
        <w:tabs>
          <w:tab w:val="left" w:pos="4410"/>
        </w:tabs>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37.3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59212B25">
      <w:pPr>
        <w:pBdr>
          <w:bottom w:val="single" w:color="auto" w:sz="4" w:space="1"/>
        </w:pBdr>
        <w:tabs>
          <w:tab w:val="left" w:pos="4410"/>
        </w:tabs>
        <w:spacing w:line="336" w:lineRule="auto"/>
        <w:ind w:firstLine="420" w:firstLineChars="200"/>
        <w:rPr>
          <w:rStyle w:val="26"/>
          <w:rFonts w:ascii="宋体" w:hAnsi="宋体"/>
          <w:b/>
          <w:color w:val="auto"/>
          <w:szCs w:val="21"/>
          <w:highlight w:val="none"/>
        </w:rPr>
      </w:pPr>
      <w:r>
        <w:rPr>
          <w:rFonts w:hint="eastAsia" w:ascii="宋体" w:hAnsi="宋体" w:cs="宋体"/>
          <w:color w:val="auto"/>
          <w:szCs w:val="21"/>
          <w:highlight w:val="none"/>
        </w:rPr>
        <w:t>37.4评标结束后，评标委员会递交资格审查报告和评标报告并依法推荐</w:t>
      </w:r>
      <w:r>
        <w:rPr>
          <w:rFonts w:hint="eastAsia" w:ascii="宋体" w:hAnsi="宋体" w:cs="宋体"/>
          <w:color w:val="auto"/>
          <w:szCs w:val="21"/>
          <w:highlight w:val="none"/>
          <w:u w:val="single"/>
        </w:rPr>
        <w:t>合格的中标候选人并进入定标阶段</w:t>
      </w:r>
      <w:r>
        <w:rPr>
          <w:rFonts w:hint="eastAsia" w:ascii="宋体" w:hAnsi="宋体" w:cs="宋体"/>
          <w:color w:val="auto"/>
          <w:szCs w:val="21"/>
          <w:highlight w:val="none"/>
        </w:rPr>
        <w:t>。</w:t>
      </w:r>
    </w:p>
    <w:p w14:paraId="278695D1">
      <w:pPr>
        <w:spacing w:line="360" w:lineRule="auto"/>
        <w:ind w:firstLine="472" w:firstLineChars="224"/>
        <w:rPr>
          <w:rFonts w:hint="eastAsia" w:ascii="宋体" w:cs="宋体"/>
          <w:b/>
          <w:color w:val="auto"/>
          <w:szCs w:val="21"/>
          <w:highlight w:val="none"/>
        </w:rPr>
      </w:pPr>
      <w:r>
        <w:rPr>
          <w:rFonts w:hint="eastAsia" w:ascii="宋体" w:cs="宋体"/>
          <w:b/>
          <w:color w:val="auto"/>
          <w:szCs w:val="21"/>
          <w:highlight w:val="none"/>
        </w:rPr>
        <w:t>条款号：</w:t>
      </w:r>
      <w:r>
        <w:rPr>
          <w:rFonts w:hint="eastAsia" w:ascii="宋体" w:cs="宋体"/>
          <w:bCs/>
          <w:color w:val="auto"/>
          <w:szCs w:val="21"/>
          <w:highlight w:val="none"/>
        </w:rPr>
        <w:t>38.1</w:t>
      </w:r>
      <w:r>
        <w:rPr>
          <w:rFonts w:hint="eastAsia" w:ascii="宋体" w:cs="宋体"/>
          <w:b/>
          <w:color w:val="auto"/>
          <w:szCs w:val="21"/>
          <w:highlight w:val="none"/>
        </w:rPr>
        <w:t xml:space="preserve">            修改类型：修改</w:t>
      </w:r>
    </w:p>
    <w:p w14:paraId="3433C33D">
      <w:pPr>
        <w:spacing w:line="360" w:lineRule="auto"/>
        <w:ind w:firstLine="472" w:firstLineChars="224"/>
        <w:rPr>
          <w:rFonts w:hint="eastAsia" w:ascii="宋体" w:cs="宋体"/>
          <w:color w:val="auto"/>
          <w:szCs w:val="21"/>
          <w:highlight w:val="none"/>
        </w:rPr>
      </w:pPr>
      <w:r>
        <w:rPr>
          <w:rFonts w:hint="eastAsia" w:ascii="宋体" w:cs="宋体"/>
          <w:b/>
          <w:color w:val="auto"/>
          <w:szCs w:val="21"/>
          <w:highlight w:val="none"/>
        </w:rPr>
        <w:t>原文：</w:t>
      </w:r>
      <w:r>
        <w:rPr>
          <w:rFonts w:hint="eastAsia" w:ascii="宋体"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5116A66E">
      <w:pPr>
        <w:pBdr>
          <w:bottom w:val="single" w:color="auto" w:sz="4" w:space="1"/>
        </w:pBdr>
        <w:tabs>
          <w:tab w:val="left" w:pos="4410"/>
        </w:tabs>
        <w:spacing w:line="336" w:lineRule="auto"/>
        <w:ind w:firstLine="422" w:firstLineChars="200"/>
        <w:rPr>
          <w:rStyle w:val="26"/>
          <w:rFonts w:ascii="宋体" w:hAnsi="宋体"/>
          <w:b/>
          <w:color w:val="auto"/>
          <w:szCs w:val="21"/>
          <w:highlight w:val="none"/>
        </w:rPr>
      </w:pPr>
      <w:r>
        <w:rPr>
          <w:rFonts w:hint="eastAsia" w:ascii="宋体" w:cs="宋体"/>
          <w:b/>
          <w:color w:val="auto"/>
          <w:szCs w:val="21"/>
          <w:highlight w:val="none"/>
        </w:rPr>
        <w:t>现文：</w:t>
      </w:r>
      <w:r>
        <w:rPr>
          <w:rFonts w:hint="eastAsia" w:ascii="宋体"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hint="eastAsia" w:ascii="宋体" w:cs="宋体"/>
          <w:color w:val="auto"/>
          <w:szCs w:val="21"/>
          <w:highlight w:val="none"/>
          <w:u w:val="single"/>
        </w:rPr>
        <w:t>、对同类问题表述不一致、有明显文字和计算错误的内容</w:t>
      </w:r>
      <w:r>
        <w:rPr>
          <w:rFonts w:hint="eastAsia" w:ascii="宋体" w:cs="宋体"/>
          <w:color w:val="auto"/>
          <w:szCs w:val="21"/>
          <w:highlight w:val="none"/>
        </w:rPr>
        <w:t>作出澄清。</w:t>
      </w:r>
    </w:p>
    <w:p w14:paraId="6A5031A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条款号：38.5            修改类型：修改</w:t>
      </w:r>
    </w:p>
    <w:p w14:paraId="65E360E8">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3D70AF6B">
      <w:pPr>
        <w:pBdr>
          <w:bottom w:val="single" w:color="auto" w:sz="4" w:space="1"/>
        </w:pBdr>
        <w:tabs>
          <w:tab w:val="left" w:pos="4410"/>
        </w:tabs>
        <w:spacing w:line="336" w:lineRule="auto"/>
        <w:ind w:firstLine="422" w:firstLineChars="200"/>
        <w:rPr>
          <w:rStyle w:val="26"/>
          <w:rFonts w:ascii="宋体" w:hAnsi="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38.5投标人如在本项目中存在串通投标、弄虚作假、行贿情形且在评标</w:t>
      </w:r>
      <w:r>
        <w:rPr>
          <w:rFonts w:hint="eastAsia" w:ascii="宋体" w:hAnsi="宋体" w:cs="宋体"/>
          <w:b/>
          <w:color w:val="auto"/>
          <w:szCs w:val="21"/>
          <w:highlight w:val="none"/>
          <w:u w:val="single"/>
        </w:rPr>
        <w:t>或定标</w:t>
      </w:r>
      <w:r>
        <w:rPr>
          <w:rFonts w:hint="eastAsia" w:ascii="宋体" w:hAnsi="宋体" w:cs="宋体"/>
          <w:color w:val="auto"/>
          <w:szCs w:val="21"/>
          <w:highlight w:val="none"/>
        </w:rPr>
        <w:t>过程中未被发现的，该投标不改变本项目评标结果排序，</w:t>
      </w:r>
      <w:r>
        <w:rPr>
          <w:rFonts w:hint="eastAsia" w:ascii="宋体" w:hAnsi="宋体" w:cs="宋体"/>
          <w:b/>
          <w:color w:val="auto"/>
          <w:szCs w:val="21"/>
          <w:highlight w:val="none"/>
          <w:u w:val="single"/>
        </w:rPr>
        <w:t>若在定标过程中被确定为中标人，</w:t>
      </w:r>
      <w:r>
        <w:rPr>
          <w:rFonts w:hint="eastAsia" w:ascii="宋体" w:hAnsi="宋体" w:cs="宋体"/>
          <w:color w:val="auto"/>
          <w:szCs w:val="21"/>
          <w:highlight w:val="none"/>
        </w:rPr>
        <w:t>其中标无效。</w:t>
      </w:r>
      <w:r>
        <w:rPr>
          <w:rFonts w:hint="eastAsia" w:ascii="宋体" w:hAnsi="宋体" w:cs="宋体"/>
          <w:b/>
          <w:color w:val="auto"/>
          <w:szCs w:val="21"/>
          <w:highlight w:val="none"/>
          <w:u w:val="single"/>
        </w:rPr>
        <w:t>招标人可从其他合格的中标候选人中采用原定标办法，由原定标委员会重新确定中标人，也可以重新招标。</w:t>
      </w:r>
    </w:p>
    <w:p w14:paraId="144E7E73">
      <w:pPr>
        <w:tabs>
          <w:tab w:val="left" w:pos="4410"/>
        </w:tabs>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条款号：39</w:t>
      </w:r>
      <w:r>
        <w:rPr>
          <w:rFonts w:hint="eastAsia" w:ascii="宋体" w:hAnsi="宋体"/>
          <w:b/>
          <w:bCs/>
          <w:color w:val="auto"/>
          <w:szCs w:val="21"/>
          <w:highlight w:val="none"/>
        </w:rPr>
        <w:t>定标</w:t>
      </w:r>
      <w:r>
        <w:rPr>
          <w:rFonts w:hint="eastAsia" w:ascii="宋体" w:hAnsi="宋体" w:cs="宋体"/>
          <w:b/>
          <w:color w:val="auto"/>
          <w:szCs w:val="21"/>
          <w:highlight w:val="none"/>
        </w:rPr>
        <w:tab/>
      </w:r>
      <w:r>
        <w:rPr>
          <w:rFonts w:hint="eastAsia" w:ascii="宋体" w:hAnsi="宋体" w:cs="宋体"/>
          <w:b/>
          <w:color w:val="auto"/>
          <w:szCs w:val="21"/>
          <w:highlight w:val="none"/>
        </w:rPr>
        <w:t>修改类型：删除</w:t>
      </w:r>
    </w:p>
    <w:p w14:paraId="055DEF56">
      <w:pPr>
        <w:spacing w:line="276" w:lineRule="auto"/>
        <w:ind w:firstLine="422" w:firstLineChars="200"/>
        <w:rPr>
          <w:rFonts w:hint="eastAsia" w:ascii="宋体" w:hAnsi="宋体"/>
          <w:color w:val="auto"/>
          <w:szCs w:val="21"/>
          <w:highlight w:val="none"/>
        </w:rPr>
      </w:pPr>
      <w:r>
        <w:rPr>
          <w:rFonts w:hint="eastAsia" w:ascii="宋体" w:hAnsi="宋体" w:cs="宋体"/>
          <w:b/>
          <w:color w:val="auto"/>
          <w:szCs w:val="21"/>
          <w:highlight w:val="none"/>
        </w:rPr>
        <w:t>原文：</w:t>
      </w:r>
      <w:r>
        <w:rPr>
          <w:rFonts w:hint="eastAsia" w:ascii="宋体" w:hAnsi="宋体"/>
          <w:color w:val="auto"/>
          <w:szCs w:val="21"/>
          <w:highlight w:val="none"/>
        </w:rPr>
        <w:t>39.1 招标人根据评标委员会递交的评标报告，最终审定中标人。</w:t>
      </w:r>
    </w:p>
    <w:p w14:paraId="0C21AB54">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39.2 依法必须进行公开招标的项目，招标人应当确定排名第一的中标候选人为中标人。</w:t>
      </w:r>
    </w:p>
    <w:p w14:paraId="738DD08C">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2039F10D">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39.4排名第二的中标候选人出现前款所列的情形的，招标人可以确定排名第三的中标候选人为中标人。以此类推，如所有中标候选人均出现前款所列的情形，为招标失败，招标人依法重新招标。</w:t>
      </w:r>
    </w:p>
    <w:p w14:paraId="2F5EAFBD">
      <w:pPr>
        <w:pBdr>
          <w:bottom w:val="single" w:color="auto" w:sz="6" w:space="1"/>
        </w:pBdr>
        <w:spacing w:line="336" w:lineRule="auto"/>
        <w:ind w:firstLine="420" w:firstLineChars="200"/>
        <w:rPr>
          <w:rFonts w:hint="eastAsia" w:ascii="宋体" w:hAnsi="宋体" w:cs="宋体"/>
          <w:b/>
          <w:color w:val="auto"/>
          <w:szCs w:val="21"/>
          <w:highlight w:val="none"/>
        </w:rPr>
      </w:pPr>
      <w:r>
        <w:rPr>
          <w:rFonts w:hint="eastAsia" w:ascii="宋体" w:hAnsi="宋体"/>
          <w:color w:val="auto"/>
          <w:szCs w:val="21"/>
          <w:highlight w:val="none"/>
        </w:rPr>
        <w:t>39.5 重新评标的，评标信息（含业绩、奖项等）仍以投标截止时投标人的信息为准。因特殊原因需要延长投标有效期，投标人拒绝延长投标有效期的，仍参与评标，但不被推荐为中标候选人。</w:t>
      </w:r>
    </w:p>
    <w:p w14:paraId="40CBE019">
      <w:pPr>
        <w:spacing w:line="360" w:lineRule="auto"/>
        <w:ind w:firstLine="422" w:firstLineChars="200"/>
        <w:rPr>
          <w:rStyle w:val="26"/>
          <w:rFonts w:ascii="宋体" w:hAnsi="宋体"/>
          <w:b/>
          <w:color w:val="auto"/>
          <w:szCs w:val="21"/>
          <w:highlight w:val="none"/>
        </w:rPr>
      </w:pPr>
      <w:r>
        <w:rPr>
          <w:rStyle w:val="26"/>
          <w:rFonts w:ascii="宋体" w:hAnsi="宋体"/>
          <w:b/>
          <w:color w:val="auto"/>
          <w:szCs w:val="21"/>
          <w:highlight w:val="none"/>
        </w:rPr>
        <w:t xml:space="preserve">条款号：可选办法一（适合综合评分法一，技术标与经济标先后分别开启）  </w:t>
      </w:r>
    </w:p>
    <w:p w14:paraId="76A06796">
      <w:pPr>
        <w:spacing w:line="360" w:lineRule="auto"/>
        <w:ind w:firstLine="422" w:firstLineChars="200"/>
        <w:rPr>
          <w:rStyle w:val="26"/>
          <w:rFonts w:ascii="宋体" w:hAnsi="宋体"/>
          <w:b/>
          <w:color w:val="auto"/>
          <w:szCs w:val="21"/>
          <w:highlight w:val="none"/>
        </w:rPr>
      </w:pPr>
      <w:r>
        <w:rPr>
          <w:rStyle w:val="26"/>
          <w:rFonts w:ascii="宋体" w:hAnsi="宋体"/>
          <w:b/>
          <w:color w:val="auto"/>
          <w:szCs w:val="21"/>
          <w:highlight w:val="none"/>
        </w:rPr>
        <w:t>修改类型：删除</w:t>
      </w:r>
    </w:p>
    <w:p w14:paraId="09AF6D53">
      <w:pPr>
        <w:pBdr>
          <w:bottom w:val="single" w:color="000000" w:sz="6" w:space="1"/>
        </w:pBdr>
        <w:spacing w:line="360" w:lineRule="auto"/>
        <w:ind w:firstLine="472" w:firstLineChars="224"/>
        <w:rPr>
          <w:rStyle w:val="26"/>
          <w:rFonts w:ascii="宋体" w:hAnsi="宋体"/>
          <w:b/>
          <w:color w:val="auto"/>
          <w:szCs w:val="21"/>
          <w:highlight w:val="none"/>
        </w:rPr>
      </w:pPr>
      <w:r>
        <w:rPr>
          <w:rStyle w:val="26"/>
          <w:rFonts w:ascii="宋体" w:hAnsi="宋体"/>
          <w:b/>
          <w:color w:val="auto"/>
          <w:szCs w:val="21"/>
          <w:highlight w:val="none"/>
        </w:rPr>
        <w:t>原文：详见《广州市建设工程施工公开招标项目招标文件范本GZZB2018-3》</w:t>
      </w:r>
    </w:p>
    <w:p w14:paraId="6270164F">
      <w:pPr>
        <w:spacing w:line="360" w:lineRule="auto"/>
        <w:ind w:firstLine="472" w:firstLineChars="224"/>
        <w:rPr>
          <w:rStyle w:val="26"/>
          <w:rFonts w:hint="eastAsia" w:ascii="宋体" w:hAnsi="宋体"/>
          <w:b/>
          <w:color w:val="auto"/>
          <w:szCs w:val="21"/>
          <w:highlight w:val="none"/>
        </w:rPr>
      </w:pPr>
      <w:r>
        <w:rPr>
          <w:rStyle w:val="26"/>
          <w:rFonts w:ascii="宋体" w:hAnsi="宋体"/>
          <w:b/>
          <w:color w:val="auto"/>
          <w:szCs w:val="21"/>
          <w:highlight w:val="none"/>
        </w:rPr>
        <w:t xml:space="preserve">条款号：可选办法二（适合综合评分法一，技术标与经济标同时开启）  </w:t>
      </w:r>
      <w:r>
        <w:rPr>
          <w:rStyle w:val="26"/>
          <w:rFonts w:hint="eastAsia" w:ascii="宋体" w:hAnsi="宋体"/>
          <w:b/>
          <w:color w:val="auto"/>
          <w:szCs w:val="21"/>
          <w:highlight w:val="none"/>
        </w:rPr>
        <w:t xml:space="preserve"> </w:t>
      </w:r>
    </w:p>
    <w:p w14:paraId="3C4E2CFC">
      <w:pPr>
        <w:spacing w:line="360" w:lineRule="auto"/>
        <w:ind w:firstLine="472" w:firstLineChars="224"/>
        <w:rPr>
          <w:rStyle w:val="26"/>
          <w:rFonts w:ascii="宋体" w:hAnsi="宋体"/>
          <w:b/>
          <w:color w:val="auto"/>
          <w:szCs w:val="21"/>
          <w:highlight w:val="none"/>
        </w:rPr>
      </w:pPr>
      <w:r>
        <w:rPr>
          <w:rStyle w:val="26"/>
          <w:rFonts w:ascii="宋体" w:hAnsi="宋体"/>
          <w:b/>
          <w:color w:val="auto"/>
          <w:szCs w:val="21"/>
          <w:highlight w:val="none"/>
        </w:rPr>
        <w:t>修改类型：删除</w:t>
      </w:r>
    </w:p>
    <w:p w14:paraId="37A47943">
      <w:pPr>
        <w:pBdr>
          <w:bottom w:val="single" w:color="000000" w:sz="6" w:space="1"/>
        </w:pBdr>
        <w:spacing w:line="360" w:lineRule="auto"/>
        <w:ind w:firstLine="472" w:firstLineChars="224"/>
        <w:rPr>
          <w:rStyle w:val="26"/>
          <w:rFonts w:ascii="宋体" w:hAnsi="宋体"/>
          <w:b/>
          <w:color w:val="auto"/>
          <w:szCs w:val="21"/>
          <w:highlight w:val="none"/>
        </w:rPr>
      </w:pPr>
      <w:r>
        <w:rPr>
          <w:rStyle w:val="26"/>
          <w:rFonts w:ascii="宋体" w:hAnsi="宋体"/>
          <w:b/>
          <w:color w:val="auto"/>
          <w:szCs w:val="21"/>
          <w:highlight w:val="none"/>
        </w:rPr>
        <w:t>原文：详见《广州市建设工程施工公开招标项目招标文件范本GZZB2018-3》</w:t>
      </w:r>
    </w:p>
    <w:p w14:paraId="21992306">
      <w:pPr>
        <w:spacing w:line="360" w:lineRule="auto"/>
        <w:ind w:firstLine="472" w:firstLineChars="224"/>
        <w:rPr>
          <w:rStyle w:val="26"/>
          <w:rFonts w:ascii="宋体" w:hAnsi="宋体"/>
          <w:b/>
          <w:color w:val="auto"/>
          <w:szCs w:val="21"/>
          <w:highlight w:val="none"/>
        </w:rPr>
      </w:pPr>
      <w:r>
        <w:rPr>
          <w:rStyle w:val="26"/>
          <w:rFonts w:ascii="宋体" w:hAnsi="宋体"/>
          <w:b/>
          <w:color w:val="auto"/>
          <w:szCs w:val="21"/>
          <w:highlight w:val="none"/>
        </w:rPr>
        <w:t xml:space="preserve">条款号：可选办法三（适合综合评分法二，技术标与经济标先后分别开启） </w:t>
      </w:r>
    </w:p>
    <w:p w14:paraId="3E262FD5">
      <w:pPr>
        <w:spacing w:line="360" w:lineRule="auto"/>
        <w:ind w:firstLine="472" w:firstLineChars="224"/>
        <w:rPr>
          <w:rStyle w:val="26"/>
          <w:rFonts w:ascii="宋体" w:hAnsi="宋体"/>
          <w:b/>
          <w:color w:val="auto"/>
          <w:szCs w:val="21"/>
          <w:highlight w:val="none"/>
        </w:rPr>
      </w:pPr>
      <w:r>
        <w:rPr>
          <w:rStyle w:val="26"/>
          <w:rFonts w:ascii="宋体" w:hAnsi="宋体"/>
          <w:b/>
          <w:color w:val="auto"/>
          <w:szCs w:val="21"/>
          <w:highlight w:val="none"/>
        </w:rPr>
        <w:t xml:space="preserve"> 修改类型：删除</w:t>
      </w:r>
    </w:p>
    <w:p w14:paraId="345A53E3">
      <w:pPr>
        <w:pBdr>
          <w:bottom w:val="single" w:color="000000" w:sz="6" w:space="1"/>
        </w:pBdr>
        <w:spacing w:line="360" w:lineRule="auto"/>
        <w:ind w:firstLine="472" w:firstLineChars="224"/>
        <w:rPr>
          <w:rStyle w:val="26"/>
          <w:rFonts w:ascii="宋体" w:hAnsi="宋体"/>
          <w:b/>
          <w:color w:val="auto"/>
          <w:szCs w:val="21"/>
          <w:highlight w:val="none"/>
        </w:rPr>
      </w:pPr>
      <w:r>
        <w:rPr>
          <w:rStyle w:val="26"/>
          <w:rFonts w:ascii="宋体" w:hAnsi="宋体"/>
          <w:b/>
          <w:color w:val="auto"/>
          <w:szCs w:val="21"/>
          <w:highlight w:val="none"/>
        </w:rPr>
        <w:t>原文：详见《广州市建设工程施工公开招标项目招标文件范本GZZB2018-3》</w:t>
      </w:r>
    </w:p>
    <w:p w14:paraId="7C44D222">
      <w:pPr>
        <w:spacing w:line="360" w:lineRule="auto"/>
        <w:ind w:firstLine="472" w:firstLineChars="224"/>
        <w:rPr>
          <w:rStyle w:val="26"/>
          <w:rFonts w:ascii="宋体" w:hAnsi="宋体"/>
          <w:b/>
          <w:color w:val="auto"/>
          <w:szCs w:val="21"/>
          <w:highlight w:val="none"/>
        </w:rPr>
      </w:pPr>
      <w:r>
        <w:rPr>
          <w:rStyle w:val="26"/>
          <w:rFonts w:ascii="宋体" w:hAnsi="宋体"/>
          <w:b/>
          <w:color w:val="auto"/>
          <w:szCs w:val="21"/>
          <w:highlight w:val="none"/>
        </w:rPr>
        <w:t xml:space="preserve">条款号：可选办法四（适合综合评分法二，技术标与经济标同时开启）  </w:t>
      </w:r>
    </w:p>
    <w:p w14:paraId="7E145AA0">
      <w:pPr>
        <w:spacing w:line="360" w:lineRule="auto"/>
        <w:ind w:firstLine="472" w:firstLineChars="224"/>
        <w:rPr>
          <w:rStyle w:val="26"/>
          <w:rFonts w:ascii="宋体" w:hAnsi="宋体"/>
          <w:b/>
          <w:color w:val="auto"/>
          <w:szCs w:val="21"/>
          <w:highlight w:val="none"/>
        </w:rPr>
      </w:pPr>
      <w:r>
        <w:rPr>
          <w:rStyle w:val="26"/>
          <w:rFonts w:ascii="宋体" w:hAnsi="宋体"/>
          <w:b/>
          <w:color w:val="auto"/>
          <w:szCs w:val="21"/>
          <w:highlight w:val="none"/>
        </w:rPr>
        <w:t>修改类型：删除</w:t>
      </w:r>
    </w:p>
    <w:p w14:paraId="0341A1D5">
      <w:pPr>
        <w:pBdr>
          <w:bottom w:val="single" w:color="000000" w:sz="6" w:space="1"/>
        </w:pBdr>
        <w:spacing w:line="360" w:lineRule="auto"/>
        <w:ind w:firstLine="472" w:firstLineChars="224"/>
        <w:rPr>
          <w:rStyle w:val="26"/>
          <w:rFonts w:ascii="宋体" w:hAnsi="宋体"/>
          <w:b/>
          <w:color w:val="auto"/>
          <w:szCs w:val="21"/>
          <w:highlight w:val="none"/>
        </w:rPr>
      </w:pPr>
      <w:r>
        <w:rPr>
          <w:rStyle w:val="26"/>
          <w:rFonts w:ascii="宋体" w:hAnsi="宋体"/>
          <w:b/>
          <w:color w:val="auto"/>
          <w:szCs w:val="21"/>
          <w:highlight w:val="none"/>
        </w:rPr>
        <w:t>原文：详见《广州市建设工程施工公开招标项目招标文件范本GZZB2018-3》</w:t>
      </w:r>
    </w:p>
    <w:p w14:paraId="6F6415A6">
      <w:pPr>
        <w:spacing w:line="360" w:lineRule="auto"/>
        <w:ind w:firstLine="472" w:firstLineChars="224"/>
        <w:rPr>
          <w:rStyle w:val="26"/>
          <w:rFonts w:ascii="宋体" w:hAnsi="宋体"/>
          <w:b/>
          <w:color w:val="auto"/>
          <w:szCs w:val="21"/>
          <w:highlight w:val="none"/>
        </w:rPr>
      </w:pPr>
      <w:r>
        <w:rPr>
          <w:rStyle w:val="26"/>
          <w:rFonts w:ascii="宋体" w:hAnsi="宋体"/>
          <w:b/>
          <w:color w:val="auto"/>
          <w:szCs w:val="21"/>
          <w:highlight w:val="none"/>
        </w:rPr>
        <w:t xml:space="preserve">条款号：可选办法五（适合综合评分法三，技术标与经济标先后分别开启）  </w:t>
      </w:r>
    </w:p>
    <w:p w14:paraId="2A7DFD3E">
      <w:pPr>
        <w:spacing w:line="360" w:lineRule="auto"/>
        <w:ind w:firstLine="472" w:firstLineChars="224"/>
        <w:rPr>
          <w:rStyle w:val="26"/>
          <w:rFonts w:ascii="宋体" w:hAnsi="宋体"/>
          <w:b/>
          <w:color w:val="auto"/>
          <w:szCs w:val="21"/>
          <w:highlight w:val="none"/>
        </w:rPr>
      </w:pPr>
      <w:r>
        <w:rPr>
          <w:rStyle w:val="26"/>
          <w:rFonts w:ascii="宋体" w:hAnsi="宋体"/>
          <w:b/>
          <w:color w:val="auto"/>
          <w:szCs w:val="21"/>
          <w:highlight w:val="none"/>
        </w:rPr>
        <w:t>修改类型：删除</w:t>
      </w:r>
    </w:p>
    <w:p w14:paraId="1CC75EFF">
      <w:pPr>
        <w:pBdr>
          <w:bottom w:val="single" w:color="000000" w:sz="6" w:space="1"/>
        </w:pBdr>
        <w:spacing w:line="360" w:lineRule="auto"/>
        <w:ind w:firstLine="472" w:firstLineChars="224"/>
        <w:rPr>
          <w:rStyle w:val="26"/>
          <w:rFonts w:ascii="宋体" w:hAnsi="宋体"/>
          <w:b/>
          <w:color w:val="auto"/>
          <w:szCs w:val="21"/>
          <w:highlight w:val="none"/>
        </w:rPr>
      </w:pPr>
      <w:r>
        <w:rPr>
          <w:rStyle w:val="26"/>
          <w:rFonts w:ascii="宋体" w:hAnsi="宋体"/>
          <w:b/>
          <w:color w:val="auto"/>
          <w:szCs w:val="21"/>
          <w:highlight w:val="none"/>
        </w:rPr>
        <w:t>原文：详见《广州市建设工程施工公开招标项目招标文件范本GZZB2018-3》</w:t>
      </w:r>
    </w:p>
    <w:p w14:paraId="0F6213E0">
      <w:pPr>
        <w:spacing w:line="360" w:lineRule="auto"/>
        <w:ind w:firstLine="472" w:firstLineChars="224"/>
        <w:rPr>
          <w:rStyle w:val="26"/>
          <w:rFonts w:ascii="宋体" w:hAnsi="宋体"/>
          <w:b/>
          <w:color w:val="auto"/>
          <w:szCs w:val="21"/>
          <w:highlight w:val="none"/>
        </w:rPr>
      </w:pPr>
      <w:r>
        <w:rPr>
          <w:rStyle w:val="26"/>
          <w:rFonts w:ascii="宋体" w:hAnsi="宋体"/>
          <w:b/>
          <w:color w:val="auto"/>
          <w:szCs w:val="21"/>
          <w:highlight w:val="none"/>
        </w:rPr>
        <w:t>条款号：可选办法</w:t>
      </w:r>
      <w:r>
        <w:rPr>
          <w:rStyle w:val="26"/>
          <w:rFonts w:hint="eastAsia" w:ascii="宋体" w:hAnsi="宋体"/>
          <w:b/>
          <w:color w:val="auto"/>
          <w:szCs w:val="21"/>
          <w:highlight w:val="none"/>
        </w:rPr>
        <w:t>六</w:t>
      </w:r>
      <w:r>
        <w:rPr>
          <w:rStyle w:val="26"/>
          <w:rFonts w:ascii="宋体" w:hAnsi="宋体"/>
          <w:b/>
          <w:color w:val="auto"/>
          <w:szCs w:val="21"/>
          <w:highlight w:val="none"/>
        </w:rPr>
        <w:t>（适合综合评分法</w:t>
      </w:r>
      <w:r>
        <w:rPr>
          <w:rStyle w:val="26"/>
          <w:rFonts w:hint="eastAsia" w:ascii="宋体" w:hAnsi="宋体"/>
          <w:b/>
          <w:color w:val="auto"/>
          <w:szCs w:val="21"/>
          <w:highlight w:val="none"/>
        </w:rPr>
        <w:t>三</w:t>
      </w:r>
      <w:r>
        <w:rPr>
          <w:rStyle w:val="26"/>
          <w:rFonts w:ascii="宋体" w:hAnsi="宋体"/>
          <w:b/>
          <w:color w:val="auto"/>
          <w:szCs w:val="21"/>
          <w:highlight w:val="none"/>
        </w:rPr>
        <w:t xml:space="preserve">，技术标与经济标同时开启） </w:t>
      </w:r>
    </w:p>
    <w:p w14:paraId="14C85BD7">
      <w:pPr>
        <w:spacing w:line="360" w:lineRule="auto"/>
        <w:ind w:firstLine="472" w:firstLineChars="224"/>
        <w:rPr>
          <w:rStyle w:val="26"/>
          <w:rFonts w:ascii="宋体" w:hAnsi="宋体"/>
          <w:b/>
          <w:color w:val="auto"/>
          <w:szCs w:val="21"/>
          <w:highlight w:val="none"/>
        </w:rPr>
      </w:pPr>
      <w:r>
        <w:rPr>
          <w:rStyle w:val="26"/>
          <w:rFonts w:ascii="宋体" w:hAnsi="宋体"/>
          <w:b/>
          <w:color w:val="auto"/>
          <w:szCs w:val="21"/>
          <w:highlight w:val="none"/>
        </w:rPr>
        <w:t xml:space="preserve"> 修改类型：删除</w:t>
      </w:r>
    </w:p>
    <w:p w14:paraId="2BD1EBEC">
      <w:pPr>
        <w:pBdr>
          <w:bottom w:val="single" w:color="000000" w:sz="6" w:space="1"/>
        </w:pBdr>
        <w:spacing w:line="360" w:lineRule="auto"/>
        <w:ind w:firstLine="472" w:firstLineChars="224"/>
        <w:rPr>
          <w:rStyle w:val="26"/>
          <w:rFonts w:ascii="宋体" w:hAnsi="宋体"/>
          <w:b/>
          <w:color w:val="auto"/>
          <w:szCs w:val="21"/>
          <w:highlight w:val="none"/>
        </w:rPr>
      </w:pPr>
      <w:r>
        <w:rPr>
          <w:rStyle w:val="26"/>
          <w:rFonts w:ascii="宋体" w:hAnsi="宋体"/>
          <w:b/>
          <w:color w:val="auto"/>
          <w:szCs w:val="21"/>
          <w:highlight w:val="none"/>
        </w:rPr>
        <w:t>原文：详见《广州市建设工程施工公开招标项目招标文件范本GZZB2018-3》</w:t>
      </w:r>
    </w:p>
    <w:p w14:paraId="4DB7E4BB">
      <w:pPr>
        <w:spacing w:line="360" w:lineRule="auto"/>
        <w:ind w:firstLine="472" w:firstLineChars="224"/>
        <w:rPr>
          <w:rStyle w:val="26"/>
          <w:rFonts w:ascii="宋体" w:hAnsi="宋体"/>
          <w:b/>
          <w:color w:val="auto"/>
          <w:szCs w:val="21"/>
          <w:highlight w:val="none"/>
        </w:rPr>
      </w:pPr>
      <w:r>
        <w:rPr>
          <w:rStyle w:val="26"/>
          <w:rFonts w:ascii="宋体" w:hAnsi="宋体"/>
          <w:b/>
          <w:color w:val="auto"/>
          <w:szCs w:val="21"/>
          <w:highlight w:val="none"/>
        </w:rPr>
        <w:t>条款号：可选办法八（适合经评审的最低投标价法，技术标与经济标同时开启）</w:t>
      </w:r>
    </w:p>
    <w:p w14:paraId="485DC779">
      <w:pPr>
        <w:spacing w:line="360" w:lineRule="auto"/>
        <w:ind w:firstLine="472" w:firstLineChars="224"/>
        <w:rPr>
          <w:rStyle w:val="26"/>
          <w:rFonts w:ascii="宋体" w:hAnsi="宋体"/>
          <w:b/>
          <w:color w:val="auto"/>
          <w:szCs w:val="21"/>
          <w:highlight w:val="none"/>
        </w:rPr>
      </w:pPr>
      <w:r>
        <w:rPr>
          <w:rStyle w:val="26"/>
          <w:rFonts w:ascii="宋体" w:hAnsi="宋体"/>
          <w:b/>
          <w:color w:val="auto"/>
          <w:szCs w:val="21"/>
          <w:highlight w:val="none"/>
        </w:rPr>
        <w:t>修改类型：删除</w:t>
      </w:r>
    </w:p>
    <w:p w14:paraId="589843E2">
      <w:pPr>
        <w:pBdr>
          <w:bottom w:val="single" w:color="000000" w:sz="6" w:space="1"/>
        </w:pBdr>
        <w:spacing w:line="360" w:lineRule="auto"/>
        <w:ind w:firstLine="472" w:firstLineChars="224"/>
        <w:rPr>
          <w:rStyle w:val="26"/>
          <w:rFonts w:ascii="宋体" w:hAnsi="宋体"/>
          <w:b/>
          <w:color w:val="auto"/>
          <w:szCs w:val="21"/>
          <w:highlight w:val="none"/>
        </w:rPr>
      </w:pPr>
      <w:r>
        <w:rPr>
          <w:rStyle w:val="26"/>
          <w:rFonts w:ascii="宋体" w:hAnsi="宋体"/>
          <w:b/>
          <w:color w:val="auto"/>
          <w:szCs w:val="21"/>
          <w:highlight w:val="none"/>
        </w:rPr>
        <w:t>原文：详见《广州市建设工程施工公开招标项目招标文件范本GZZB2018-3》</w:t>
      </w:r>
    </w:p>
    <w:p w14:paraId="542D604A">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条款号：40.           修改类型：修改</w:t>
      </w:r>
    </w:p>
    <w:p w14:paraId="37B9309E">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b/>
          <w:bCs/>
          <w:color w:val="auto"/>
          <w:szCs w:val="21"/>
          <w:highlight w:val="none"/>
        </w:rPr>
        <w:t>40．开标和评标程序</w:t>
      </w:r>
    </w:p>
    <w:p w14:paraId="181EAE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40.1技术标（含资格审查文件）与经济标投标文件同时公开开标；</w:t>
      </w:r>
    </w:p>
    <w:p w14:paraId="500D3B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40.2由评标委员会对所有已公开开标的投标人进行资格审查；</w:t>
      </w:r>
    </w:p>
    <w:p w14:paraId="7BC3BE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40.3技术标投标文件有效性审查；</w:t>
      </w:r>
    </w:p>
    <w:p w14:paraId="46105B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40.4技术标详细审查评分；</w:t>
      </w:r>
    </w:p>
    <w:p w14:paraId="1EFAA8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40.5经济标详细审查评分；</w:t>
      </w:r>
      <w:r>
        <w:rPr>
          <w:rFonts w:ascii="宋体" w:hAnsi="宋体" w:cs="宋体"/>
          <w:color w:val="auto"/>
          <w:szCs w:val="21"/>
          <w:highlight w:val="none"/>
        </w:rPr>
        <w:t xml:space="preserve"> </w:t>
      </w:r>
    </w:p>
    <w:p w14:paraId="418171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40.6评标委员会按照投标人总得分由高至低排序；</w:t>
      </w:r>
    </w:p>
    <w:p w14:paraId="6FE288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40.7经济标投标文件有效性审查；</w:t>
      </w:r>
    </w:p>
    <w:p w14:paraId="3101DA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40.8评标委员会按排序向招标人推荐中标候选人名单，并递交资格审查报告及评标报告。</w:t>
      </w:r>
    </w:p>
    <w:p w14:paraId="23538D12">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现文：40.</w:t>
      </w:r>
      <w:r>
        <w:rPr>
          <w:rFonts w:hint="eastAsia" w:ascii="宋体" w:hAnsi="宋体" w:cs="宋体"/>
          <w:color w:val="auto"/>
          <w:szCs w:val="21"/>
          <w:highlight w:val="none"/>
          <w:u w:val="single"/>
        </w:rPr>
        <w:t>通过制评审法</w:t>
      </w:r>
    </w:p>
    <w:p w14:paraId="2FB706B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开标、评标及定标程序</w:t>
      </w:r>
    </w:p>
    <w:p w14:paraId="39DA3AC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40.1技术标（含资格审查文件）与经济标投标文件</w:t>
      </w:r>
      <w:r>
        <w:rPr>
          <w:rFonts w:hint="eastAsia" w:ascii="宋体" w:hAnsi="宋体" w:cs="宋体"/>
          <w:color w:val="auto"/>
          <w:szCs w:val="21"/>
          <w:highlight w:val="none"/>
          <w:u w:val="single"/>
        </w:rPr>
        <w:t>、定标文件</w:t>
      </w:r>
      <w:r>
        <w:rPr>
          <w:rFonts w:hint="eastAsia" w:ascii="宋体" w:hAnsi="宋体" w:cs="宋体"/>
          <w:color w:val="auto"/>
          <w:szCs w:val="21"/>
          <w:highlight w:val="none"/>
        </w:rPr>
        <w:t>同时公开开标；</w:t>
      </w:r>
    </w:p>
    <w:p w14:paraId="7BFB0A7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40.2由评标委员会对所有已公开开标的投标人进行资格审查；</w:t>
      </w:r>
    </w:p>
    <w:p w14:paraId="1A39DCD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40.3技术标投标文件有效性审查；</w:t>
      </w:r>
    </w:p>
    <w:p w14:paraId="6D04E017">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40.4经济标投标文件有效性审查；</w:t>
      </w:r>
    </w:p>
    <w:p w14:paraId="4B6786E6">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40.5评标委员会按通过技术标及经济标有效性审查的合格投标人向招标人推荐合格的中标候选人，合格的中标候选人不排序，并递交资格审查报告及评标报告；</w:t>
      </w:r>
    </w:p>
    <w:p w14:paraId="384DC236">
      <w:pPr>
        <w:pBdr>
          <w:bottom w:val="single" w:color="auto" w:sz="6" w:space="1"/>
        </w:pBdr>
        <w:spacing w:line="336"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u w:val="single"/>
        </w:rPr>
        <w:t xml:space="preserve">40.6 </w:t>
      </w:r>
      <w:r>
        <w:rPr>
          <w:rFonts w:hint="eastAsia" w:ascii="宋体" w:hAnsi="宋体" w:cs="宋体"/>
          <w:bCs/>
          <w:color w:val="auto"/>
          <w:szCs w:val="21"/>
          <w:highlight w:val="none"/>
          <w:u w:val="single"/>
        </w:rPr>
        <w:t>定标委员会对评标委员会推荐的合格的中标候选人按《定标因素表》，以总得分=价格因素（</w:t>
      </w:r>
      <w:r>
        <w:rPr>
          <w:rFonts w:hint="eastAsia" w:ascii="宋体" w:hAnsi="宋体" w:cs="宋体"/>
          <w:bCs/>
          <w:color w:val="auto"/>
          <w:szCs w:val="21"/>
          <w:highlight w:val="none"/>
          <w:u w:val="single"/>
          <w:lang w:val="en-US" w:eastAsia="zh-CN"/>
        </w:rPr>
        <w:t>60</w:t>
      </w:r>
      <w:r>
        <w:rPr>
          <w:rFonts w:hint="eastAsia" w:ascii="宋体" w:hAnsi="宋体" w:cs="宋体"/>
          <w:bCs/>
          <w:color w:val="auto"/>
          <w:szCs w:val="21"/>
          <w:highlight w:val="none"/>
          <w:u w:val="single"/>
        </w:rPr>
        <w:t>分）+方案因素（</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0分）+资信因素（10分），由高至低对合格的中标候选人进行排序，确定总得分最高的中标候选人为中标人。定标结束后，定标委员会向招标人递交定标报告</w:t>
      </w:r>
      <w:r>
        <w:rPr>
          <w:rFonts w:hint="eastAsia" w:ascii="宋体" w:hAnsi="宋体" w:cs="宋体"/>
          <w:color w:val="auto"/>
          <w:szCs w:val="21"/>
          <w:highlight w:val="none"/>
          <w:u w:val="single"/>
        </w:rPr>
        <w:t>。</w:t>
      </w:r>
    </w:p>
    <w:p w14:paraId="38260615">
      <w:pPr>
        <w:tabs>
          <w:tab w:val="left" w:pos="4410"/>
        </w:tabs>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条款号：41.1</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14:paraId="5B990B20">
      <w:pPr>
        <w:pBdr>
          <w:bottom w:val="single" w:color="auto" w:sz="6" w:space="1"/>
        </w:pBdr>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41.1 开标由招标人主持；</w:t>
      </w:r>
    </w:p>
    <w:p w14:paraId="2A240EDB">
      <w:pPr>
        <w:pBdr>
          <w:bottom w:val="single" w:color="auto" w:sz="6" w:space="1"/>
        </w:pBdr>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 xml:space="preserve">41.1 </w:t>
      </w:r>
      <w:r>
        <w:rPr>
          <w:rFonts w:hint="eastAsia" w:ascii="宋体" w:hAnsi="宋体" w:cs="宋体"/>
          <w:color w:val="auto"/>
          <w:szCs w:val="21"/>
          <w:highlight w:val="none"/>
          <w:u w:val="single"/>
        </w:rPr>
        <w:t>开标由招标人或其委托的招标代理机构主持；</w:t>
      </w:r>
    </w:p>
    <w:p w14:paraId="60DC8550">
      <w:pPr>
        <w:tabs>
          <w:tab w:val="left" w:pos="4410"/>
        </w:tabs>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条款号：41.2.1</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14:paraId="6B4DC00D">
      <w:pPr>
        <w:pBdr>
          <w:bottom w:val="single" w:color="auto" w:sz="6" w:space="1"/>
        </w:pBdr>
        <w:spacing w:line="336"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41.2.1投标截止期前，各投标人递交投标文件（包括技术标投标文件、经济标投标文件）至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交易平台。有关投标文件提交的事项详见第一章投标须知。</w:t>
      </w:r>
    </w:p>
    <w:p w14:paraId="4D3CE941">
      <w:pPr>
        <w:pBdr>
          <w:bottom w:val="single" w:color="auto" w:sz="6" w:space="1"/>
        </w:pBdr>
        <w:spacing w:line="336"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41.2.1</w:t>
      </w:r>
      <w:r>
        <w:rPr>
          <w:rStyle w:val="26"/>
          <w:rFonts w:ascii="宋体" w:hAnsi="宋体"/>
          <w:color w:val="auto"/>
          <w:szCs w:val="21"/>
          <w:highlight w:val="none"/>
        </w:rPr>
        <w:t>投标截止期前，各投标人递交投标文件（包括技术标投标文件、经济标投标文件</w:t>
      </w:r>
      <w:r>
        <w:rPr>
          <w:rStyle w:val="26"/>
          <w:rFonts w:hint="eastAsia" w:ascii="宋体" w:hAnsi="宋体"/>
          <w:color w:val="auto"/>
          <w:szCs w:val="21"/>
          <w:highlight w:val="none"/>
        </w:rPr>
        <w:t>、定标文件</w:t>
      </w:r>
      <w:r>
        <w:rPr>
          <w:rStyle w:val="26"/>
          <w:rFonts w:ascii="宋体" w:hAnsi="宋体"/>
          <w:color w:val="auto"/>
          <w:szCs w:val="21"/>
          <w:highlight w:val="none"/>
        </w:rPr>
        <w:t>）至</w:t>
      </w:r>
      <w:r>
        <w:rPr>
          <w:rFonts w:hint="eastAsia" w:ascii="宋体" w:cs="宋体"/>
          <w:color w:val="auto"/>
          <w:szCs w:val="21"/>
          <w:highlight w:val="none"/>
          <w:u w:val="single"/>
        </w:rPr>
        <w:t>广州交易集团有限公司（广州公共资源交易中心）</w:t>
      </w:r>
      <w:r>
        <w:rPr>
          <w:rStyle w:val="26"/>
          <w:rFonts w:ascii="宋体" w:hAnsi="宋体"/>
          <w:color w:val="auto"/>
          <w:szCs w:val="21"/>
          <w:highlight w:val="none"/>
        </w:rPr>
        <w:t>交易平台。有关投标文件提交的事项详见第一章投标须知。</w:t>
      </w:r>
    </w:p>
    <w:p w14:paraId="6EFA3CA3">
      <w:pPr>
        <w:tabs>
          <w:tab w:val="left" w:pos="4410"/>
        </w:tabs>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条款号：41.2.2</w:t>
      </w:r>
      <w:r>
        <w:rPr>
          <w:rFonts w:hint="eastAsia" w:ascii="宋体" w:hAnsi="宋体" w:cs="宋体"/>
          <w:b/>
          <w:color w:val="auto"/>
          <w:szCs w:val="21"/>
          <w:highlight w:val="none"/>
        </w:rPr>
        <w:tab/>
      </w:r>
      <w:r>
        <w:rPr>
          <w:rFonts w:hint="eastAsia" w:ascii="宋体" w:hAnsi="宋体" w:cs="宋体"/>
          <w:b/>
          <w:color w:val="auto"/>
          <w:szCs w:val="21"/>
          <w:highlight w:val="none"/>
        </w:rPr>
        <w:t>修改类型：删除</w:t>
      </w:r>
    </w:p>
    <w:p w14:paraId="156AD637">
      <w:pPr>
        <w:pBdr>
          <w:bottom w:val="single" w:color="auto" w:sz="6" w:space="1"/>
        </w:pBdr>
        <w:spacing w:line="336"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41.2.2开标前，首先由招标人随机抽取确定该工程计算评标参考价的等分点值X。</w:t>
      </w:r>
    </w:p>
    <w:p w14:paraId="60D88131">
      <w:pPr>
        <w:tabs>
          <w:tab w:val="left" w:pos="4410"/>
        </w:tabs>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条款号：41.2.3</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14:paraId="5189DB71">
      <w:pPr>
        <w:pBdr>
          <w:bottom w:val="single" w:color="auto" w:sz="6" w:space="1"/>
        </w:pBdr>
        <w:spacing w:line="336"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41.2.3开标时，投标人代表有权出席开标会，也可以自主决定不参加开标会，若投标人代表对开标过程提出异议，该投标人代表须同时出示本人身份证原件。</w:t>
      </w:r>
    </w:p>
    <w:p w14:paraId="3B86100C">
      <w:pPr>
        <w:pBdr>
          <w:bottom w:val="single" w:color="auto" w:sz="6" w:space="1"/>
        </w:pBdr>
        <w:spacing w:line="336"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现文：</w:t>
      </w:r>
      <w:r>
        <w:rPr>
          <w:rFonts w:hint="eastAsia" w:ascii="宋体" w:hAnsi="宋体" w:cs="宋体"/>
          <w:color w:val="auto"/>
          <w:szCs w:val="21"/>
          <w:highlight w:val="none"/>
        </w:rPr>
        <w:t>41.2.3</w:t>
      </w:r>
      <w:r>
        <w:rPr>
          <w:rFonts w:hint="eastAsia" w:ascii="宋体" w:cs="宋体"/>
          <w:color w:val="auto"/>
          <w:szCs w:val="21"/>
          <w:highlight w:val="none"/>
        </w:rPr>
        <w:t>开标时，投标人代表有权参加现场开标或</w:t>
      </w:r>
      <w:r>
        <w:rPr>
          <w:rFonts w:hint="eastAsia" w:ascii="宋体" w:cs="宋体"/>
          <w:color w:val="auto"/>
          <w:szCs w:val="21"/>
          <w:highlight w:val="none"/>
          <w:u w:val="single"/>
        </w:rPr>
        <w:t>在线开标</w:t>
      </w:r>
      <w:r>
        <w:rPr>
          <w:rFonts w:hint="eastAsia" w:ascii="宋体" w:cs="宋体"/>
          <w:color w:val="auto"/>
          <w:szCs w:val="21"/>
          <w:highlight w:val="none"/>
        </w:rPr>
        <w:t>，也可以自主决定不参加开标，若投标人代表对开标过程有异议的，</w:t>
      </w:r>
      <w:r>
        <w:rPr>
          <w:rFonts w:hint="eastAsia" w:ascii="宋体" w:cs="宋体"/>
          <w:color w:val="auto"/>
          <w:szCs w:val="21"/>
          <w:highlight w:val="none"/>
          <w:u w:val="single"/>
        </w:rPr>
        <w:t>参加现场开标的应当在开标现场提出，同时出示本人身份证原件，招标人应当当场作出答复，并制作记录；参加在线开标的，投标人应通过交易平台在线提出，招标人应通过交易平台答复，答复后方可结束开标</w:t>
      </w:r>
      <w:r>
        <w:rPr>
          <w:rFonts w:hint="eastAsia" w:ascii="宋体" w:hAnsi="宋体" w:cs="宋体"/>
          <w:color w:val="auto"/>
          <w:szCs w:val="21"/>
          <w:highlight w:val="none"/>
        </w:rPr>
        <w:t>。</w:t>
      </w:r>
    </w:p>
    <w:p w14:paraId="5CEE7AF6">
      <w:pPr>
        <w:tabs>
          <w:tab w:val="left" w:pos="4410"/>
        </w:tabs>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条款号：41.3</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14:paraId="13C93DB9">
      <w:pPr>
        <w:pBdr>
          <w:bottom w:val="single" w:color="auto" w:sz="6" w:space="1"/>
        </w:pBdr>
        <w:spacing w:line="336"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41.3招标人对开标过程进行记录，并存档备查，投标人在开标记录上签字。</w:t>
      </w:r>
    </w:p>
    <w:p w14:paraId="241FAA0B">
      <w:pPr>
        <w:pBdr>
          <w:bottom w:val="single" w:color="auto" w:sz="6" w:space="1"/>
        </w:pBdr>
        <w:spacing w:line="336"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现文：</w:t>
      </w:r>
      <w:r>
        <w:rPr>
          <w:rFonts w:hint="eastAsia" w:ascii="宋体" w:hAnsi="宋体" w:cs="宋体"/>
          <w:color w:val="auto"/>
          <w:szCs w:val="21"/>
          <w:highlight w:val="none"/>
        </w:rPr>
        <w:t>41.3招标人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对开标过程进行记录，并存档备查，投标人在开标记录上签字，</w:t>
      </w:r>
      <w:r>
        <w:rPr>
          <w:rFonts w:hint="eastAsia" w:ascii="宋体" w:hAnsi="宋体" w:cs="宋体"/>
          <w:color w:val="auto"/>
          <w:szCs w:val="21"/>
          <w:highlight w:val="none"/>
          <w:u w:val="single"/>
        </w:rPr>
        <w:t>投标人未签字且未提出异议的将被视为默认开标结果</w:t>
      </w:r>
      <w:r>
        <w:rPr>
          <w:rFonts w:hint="eastAsia" w:ascii="宋体" w:hAnsi="宋体" w:cs="宋体"/>
          <w:color w:val="auto"/>
          <w:szCs w:val="21"/>
          <w:highlight w:val="none"/>
        </w:rPr>
        <w:t>。</w:t>
      </w:r>
    </w:p>
    <w:p w14:paraId="25B39499">
      <w:pPr>
        <w:tabs>
          <w:tab w:val="left" w:pos="4410"/>
        </w:tabs>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条款号：42.2</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14:paraId="58D691CD">
      <w:pPr>
        <w:pBdr>
          <w:bottom w:val="single" w:color="auto" w:sz="6" w:space="1"/>
        </w:pBdr>
        <w:spacing w:line="336"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42.2评标委员会的组成：方式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D8AE2B9">
      <w:pPr>
        <w:pBdr>
          <w:bottom w:val="single" w:color="auto" w:sz="6" w:space="1"/>
        </w:pBdr>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方式一：评标委员会为综合评标委员会，负责资格审查及评标工作。</w:t>
      </w:r>
    </w:p>
    <w:p w14:paraId="69F774E6">
      <w:pPr>
        <w:pBdr>
          <w:bottom w:val="single" w:color="auto" w:sz="6" w:space="1"/>
        </w:pBdr>
        <w:spacing w:line="336"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方式二：评标委员会由技术评审组和经济评审组组成。其中：资格审查及技术评审由技术评标组负责，经济评审由经济评审组负责。</w:t>
      </w:r>
    </w:p>
    <w:p w14:paraId="379B0092">
      <w:pPr>
        <w:pBdr>
          <w:bottom w:val="single" w:color="auto" w:sz="6" w:space="1"/>
        </w:pBdr>
        <w:spacing w:line="336"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42.2评标委员会的组成：方式</w:t>
      </w:r>
      <w:r>
        <w:rPr>
          <w:rFonts w:hint="eastAsia" w:ascii="宋体" w:hAnsi="宋体" w:cs="宋体"/>
          <w:color w:val="auto"/>
          <w:szCs w:val="21"/>
          <w:highlight w:val="none"/>
          <w:u w:val="single"/>
        </w:rPr>
        <w:t xml:space="preserve">  一  </w:t>
      </w:r>
      <w:r>
        <w:rPr>
          <w:rFonts w:hint="eastAsia" w:ascii="宋体" w:hAnsi="宋体" w:cs="宋体"/>
          <w:color w:val="auto"/>
          <w:szCs w:val="21"/>
          <w:highlight w:val="none"/>
        </w:rPr>
        <w:t>。</w:t>
      </w:r>
    </w:p>
    <w:p w14:paraId="560DC8E3">
      <w:pPr>
        <w:pBdr>
          <w:bottom w:val="single" w:color="auto" w:sz="6" w:space="1"/>
        </w:pBdr>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方式一：评标委员会为综合评标委员会，负责资格审查及评标工作。</w:t>
      </w:r>
    </w:p>
    <w:p w14:paraId="09634743">
      <w:pPr>
        <w:pBdr>
          <w:bottom w:val="single" w:color="auto" w:sz="6" w:space="1"/>
        </w:pBdr>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方式二：评标委员会由技术评审组和经济评审组组成。其中：资格审查及技术评审由技术评标组负责，经济评审由经济评审组负责。</w:t>
      </w:r>
    </w:p>
    <w:p w14:paraId="009E497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 42.3            修改类型：增加</w:t>
      </w:r>
    </w:p>
    <w:p w14:paraId="6E34C92A">
      <w:pPr>
        <w:pBdr>
          <w:bottom w:val="single" w:color="auto" w:sz="6" w:space="1"/>
        </w:pBd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定标委员会的组成：由招标人依法组建，负责定标环节。</w:t>
      </w:r>
    </w:p>
    <w:p w14:paraId="4233F064">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 43.3            修改类型：修改</w:t>
      </w:r>
    </w:p>
    <w:p w14:paraId="0FA221D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资格审查不合格的投标文件不参加下一阶段的评标，不参与评标参考价的计算。</w:t>
      </w:r>
    </w:p>
    <w:p w14:paraId="6E83EA5C">
      <w:pPr>
        <w:pBdr>
          <w:bottom w:val="single" w:color="auto" w:sz="6" w:space="1"/>
        </w:pBd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资格审查不合格的投标文件不参与下一阶段的评审。</w:t>
      </w:r>
    </w:p>
    <w:p w14:paraId="42B22D40">
      <w:pPr>
        <w:spacing w:line="336"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条款号：43.1                         修改类型：修改</w:t>
      </w:r>
    </w:p>
    <w:p w14:paraId="59B6AFF0">
      <w:pPr>
        <w:spacing w:line="336"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olor w:val="auto"/>
          <w:szCs w:val="21"/>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14:paraId="37BD8CE9">
      <w:pPr>
        <w:pBdr>
          <w:bottom w:val="single" w:color="auto" w:sz="4" w:space="0"/>
        </w:pBdr>
        <w:spacing w:line="336" w:lineRule="auto"/>
        <w:ind w:firstLine="472" w:firstLineChars="224"/>
        <w:rPr>
          <w:rStyle w:val="26"/>
          <w:rFonts w:hint="eastAsia" w:ascii="宋体" w:hAnsi="宋体"/>
          <w:color w:val="auto"/>
          <w:highlight w:val="none"/>
        </w:rPr>
      </w:pPr>
      <w:r>
        <w:rPr>
          <w:rFonts w:hint="eastAsia" w:ascii="宋体" w:hAnsi="宋体" w:cs="宋体"/>
          <w:b/>
          <w:color w:val="auto"/>
          <w:szCs w:val="21"/>
          <w:highlight w:val="none"/>
        </w:rPr>
        <w:t>现文：</w:t>
      </w:r>
      <w:r>
        <w:rPr>
          <w:rFonts w:hint="eastAsia" w:ascii="宋体" w:hAnsi="宋体"/>
          <w:color w:val="auto"/>
          <w:szCs w:val="21"/>
          <w:highlight w:val="none"/>
        </w:rPr>
        <w:t>43.1</w:t>
      </w:r>
      <w:r>
        <w:rPr>
          <w:rFonts w:hint="eastAsia" w:ascii="宋体" w:hAnsi="宋体" w:cs="宋体"/>
          <w:bCs/>
          <w:color w:val="auto"/>
          <w:kern w:val="0"/>
          <w:szCs w:val="21"/>
          <w:highlight w:val="none"/>
        </w:rPr>
        <w:t>资格审查文件中全部符合附表一《资格审查表》中情形的，为资格审查合格；否则为资格审查不合格。如评标委员会成员的评审意见不一致时，以评标委员会过半数成员的意见作为评标委员会对该情形的认定结论。</w:t>
      </w:r>
      <w:r>
        <w:rPr>
          <w:rFonts w:hint="eastAsia" w:ascii="宋体" w:hAnsi="宋体" w:cs="宋体"/>
          <w:bCs/>
          <w:color w:val="auto"/>
          <w:kern w:val="0"/>
          <w:szCs w:val="21"/>
          <w:highlight w:val="none"/>
          <w:u w:val="single"/>
        </w:rPr>
        <w:t>评委发现资格审查文件中含义不明确、对同类问题表述不一致、有明显文字和计算错误的，应当要求投标人作必要的澄清、说明后再判定投标人是否通过资格审查，不得直接认定其不通过资格审查。</w:t>
      </w:r>
    </w:p>
    <w:p w14:paraId="522C223C">
      <w:pPr>
        <w:spacing w:line="336"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条款号：44.1                         修改类型：修改</w:t>
      </w:r>
    </w:p>
    <w:p w14:paraId="5F1F6F30">
      <w:pPr>
        <w:spacing w:line="336"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olor w:val="auto"/>
          <w:szCs w:val="21"/>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14:paraId="2FCBD266">
      <w:pPr>
        <w:pBdr>
          <w:bottom w:val="single" w:color="auto" w:sz="4" w:space="0"/>
        </w:pBdr>
        <w:spacing w:line="336" w:lineRule="auto"/>
        <w:ind w:firstLine="472" w:firstLineChars="224"/>
        <w:rPr>
          <w:rStyle w:val="26"/>
          <w:rFonts w:hint="eastAsia" w:ascii="宋体" w:hAnsi="宋体"/>
          <w:bCs/>
          <w:color w:val="auto"/>
          <w:highlight w:val="none"/>
          <w:u w:val="single"/>
        </w:rPr>
      </w:pPr>
      <w:r>
        <w:rPr>
          <w:rFonts w:hint="eastAsia" w:ascii="宋体" w:hAnsi="宋体" w:cs="宋体"/>
          <w:b/>
          <w:color w:val="auto"/>
          <w:szCs w:val="21"/>
          <w:highlight w:val="none"/>
        </w:rPr>
        <w:t>现文：</w:t>
      </w:r>
      <w:r>
        <w:rPr>
          <w:rFonts w:hint="eastAsia" w:ascii="宋体" w:hAnsi="宋体"/>
          <w:color w:val="auto"/>
          <w:szCs w:val="21"/>
          <w:highlight w:val="none"/>
        </w:rPr>
        <w:t>44.1</w:t>
      </w:r>
      <w:r>
        <w:rPr>
          <w:rFonts w:hint="eastAsia" w:ascii="宋体" w:hAnsi="宋体" w:cs="宋体"/>
          <w:bCs/>
          <w:color w:val="auto"/>
          <w:kern w:val="0"/>
          <w:szCs w:val="21"/>
          <w:highlight w:val="none"/>
        </w:rPr>
        <w:t>技术标的有效性审查：投标文件中没有任一种列于本办法附表二《技术标有效性审查表》中情形的，为有效投标文件。否则其投标文件将被否决。被否决的投标人不参与下一阶段评审。如评标委员会成员的评审意见不一致时，以评标委员会过半数成员的意见作为评标委员会对该情形的认定结论。若通过技术标有效性审查投标人不足3名，则本项目招标失败</w:t>
      </w:r>
      <w:r>
        <w:rPr>
          <w:rFonts w:hint="eastAsia" w:ascii="宋体" w:hAnsi="宋体" w:cs="宋体"/>
          <w:bCs/>
          <w:color w:val="auto"/>
          <w:kern w:val="0"/>
          <w:szCs w:val="21"/>
          <w:highlight w:val="none"/>
          <w:u w:val="single"/>
        </w:rPr>
        <w:t>。评委发现投标文件中含义不明确、对同类问题表述不一致、有明显文字和计算错误的，应当要求投标人作必要的澄清、说明后再判定投标人是否通过有效性审查，不得直接否决投标。</w:t>
      </w:r>
    </w:p>
    <w:p w14:paraId="5DFBAA6C">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条款号：44.2                       修改类型：删除</w:t>
      </w:r>
    </w:p>
    <w:p w14:paraId="3E87B78E">
      <w:pPr>
        <w:pBdr>
          <w:bottom w:val="single" w:color="auto" w:sz="4" w:space="0"/>
        </w:pBdr>
        <w:spacing w:line="336" w:lineRule="auto"/>
        <w:ind w:firstLine="472" w:firstLineChars="224"/>
        <w:rPr>
          <w:rStyle w:val="26"/>
          <w:rFonts w:hint="eastAsia" w:ascii="宋体" w:hAnsi="宋体"/>
          <w:color w:val="auto"/>
          <w:highlight w:val="none"/>
        </w:rPr>
      </w:pPr>
      <w:r>
        <w:rPr>
          <w:rFonts w:hint="eastAsia" w:ascii="宋体" w:hAnsi="宋体" w:cs="宋体"/>
          <w:b/>
          <w:color w:val="auto"/>
          <w:szCs w:val="21"/>
          <w:highlight w:val="none"/>
        </w:rPr>
        <w:t xml:space="preserve"> 原文：</w:t>
      </w:r>
      <w:r>
        <w:rPr>
          <w:rFonts w:hint="eastAsia" w:ascii="宋体" w:hAnsi="宋体"/>
          <w:color w:val="auto"/>
          <w:szCs w:val="21"/>
          <w:highlight w:val="none"/>
        </w:rPr>
        <w:t>技术标详细审查评分：评标委员会按照附表四《技术标详细审查评分表》的标准，对通过技术标有效性审查的投标文件技术标进行详细审查，评出技术分，得分四舍五入精确到小数点后两位。</w:t>
      </w:r>
    </w:p>
    <w:p w14:paraId="5AD52503">
      <w:pPr>
        <w:spacing w:line="336"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条款号：45                         修改类型：删除</w:t>
      </w:r>
    </w:p>
    <w:p w14:paraId="5F4DA833">
      <w:pPr>
        <w:spacing w:line="336" w:lineRule="auto"/>
        <w:ind w:firstLine="422" w:firstLineChars="200"/>
        <w:rPr>
          <w:rFonts w:hint="eastAsia" w:ascii="宋体" w:hAnsi="宋体" w:cs="仿宋"/>
          <w:color w:val="auto"/>
          <w:szCs w:val="21"/>
          <w:highlight w:val="none"/>
        </w:rPr>
      </w:pPr>
      <w:r>
        <w:rPr>
          <w:rFonts w:hint="eastAsia" w:ascii="宋体" w:hAnsi="宋体" w:cs="宋体"/>
          <w:b/>
          <w:color w:val="auto"/>
          <w:szCs w:val="21"/>
          <w:highlight w:val="none"/>
        </w:rPr>
        <w:t>原</w:t>
      </w:r>
      <w:r>
        <w:rPr>
          <w:rFonts w:hint="eastAsia" w:ascii="宋体" w:hAnsi="宋体" w:cs="仿宋"/>
          <w:b/>
          <w:color w:val="auto"/>
          <w:szCs w:val="21"/>
          <w:highlight w:val="none"/>
        </w:rPr>
        <w:t>文：</w:t>
      </w:r>
      <w:r>
        <w:rPr>
          <w:rFonts w:hint="eastAsia" w:ascii="宋体" w:hAnsi="宋体" w:cs="仿宋"/>
          <w:color w:val="auto"/>
          <w:szCs w:val="21"/>
          <w:highlight w:val="none"/>
        </w:rPr>
        <w:t>45.1若通过技术标有效性审查的投标人中所有投标报价均大于等于最高投标限价*D%（D的取值范围为[94,100],由招标人自主确定）的（具体金额为：      元），则本项目招标失败，由招标人依法重新招标。</w:t>
      </w:r>
    </w:p>
    <w:p w14:paraId="256D797C">
      <w:pPr>
        <w:spacing w:line="336" w:lineRule="auto"/>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45.2按方法</w:t>
      </w:r>
      <w:r>
        <w:rPr>
          <w:rFonts w:hint="eastAsia" w:ascii="宋体" w:hAnsi="宋体" w:cs="仿宋"/>
          <w:color w:val="auto"/>
          <w:szCs w:val="21"/>
          <w:highlight w:val="none"/>
          <w:u w:val="single"/>
        </w:rPr>
        <w:t xml:space="preserve">    </w:t>
      </w:r>
      <w:r>
        <w:rPr>
          <w:rFonts w:hint="eastAsia" w:ascii="宋体" w:hAnsi="宋体" w:cs="仿宋"/>
          <w:color w:val="auto"/>
          <w:szCs w:val="21"/>
          <w:highlight w:val="none"/>
        </w:rPr>
        <w:t>计算评标参考价：</w:t>
      </w:r>
    </w:p>
    <w:p w14:paraId="1E761D66">
      <w:pPr>
        <w:spacing w:line="336" w:lineRule="auto"/>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方法一：加权平均法</w:t>
      </w:r>
    </w:p>
    <w:p w14:paraId="066165F3">
      <w:pPr>
        <w:spacing w:line="336" w:lineRule="auto"/>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技术标或技术标加诚信得分（具体由招标人自定）前N名（N≥5，具体由招标人自定）的经济报价加权平均，计算评标参考价。公式如下：</w:t>
      </w:r>
    </w:p>
    <w:p w14:paraId="0F18FE7C">
      <w:pPr>
        <w:spacing w:line="336" w:lineRule="auto"/>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评标参考价=Σ（投标人的投标报价*报价权重）。</w:t>
      </w:r>
    </w:p>
    <w:p w14:paraId="0963712B">
      <w:pPr>
        <w:spacing w:line="336" w:lineRule="auto"/>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其中：报价权重的计算方法为：将N名投标人按技术分由高至低进行排序，第一名投标人的权重为（</w:t>
      </w:r>
      <w:r>
        <w:rPr>
          <w:rFonts w:hint="eastAsia" w:ascii="宋体" w:hAnsi="宋体" w:cs="仿宋"/>
          <w:color w:val="auto"/>
          <w:szCs w:val="21"/>
          <w:highlight w:val="none"/>
        </w:rPr>
        <w:fldChar w:fldCharType="begin"/>
      </w:r>
      <w:r>
        <w:rPr>
          <w:rFonts w:hint="eastAsia" w:ascii="宋体" w:hAnsi="宋体" w:cs="仿宋"/>
          <w:color w:val="auto"/>
          <w:szCs w:val="21"/>
          <w:highlight w:val="none"/>
        </w:rPr>
        <w:instrText xml:space="preserve"> QUOTE </w:instrText>
      </w:r>
      <w:r>
        <w:rPr>
          <w:rFonts w:hint="eastAsia" w:ascii="宋体" w:hAnsi="宋体" w:cs="仿宋"/>
          <w:color w:val="auto"/>
          <w:szCs w:val="21"/>
          <w:highlight w:val="none"/>
        </w:rPr>
        <w:drawing>
          <wp:inline distT="0" distB="0" distL="114300" distR="114300">
            <wp:extent cx="380365" cy="446405"/>
            <wp:effectExtent l="0" t="0" r="635" b="1079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80365" cy="446405"/>
                    </a:xfrm>
                    <a:prstGeom prst="rect">
                      <a:avLst/>
                    </a:prstGeom>
                    <a:noFill/>
                    <a:ln>
                      <a:noFill/>
                    </a:ln>
                  </pic:spPr>
                </pic:pic>
              </a:graphicData>
            </a:graphic>
          </wp:inline>
        </w:drawing>
      </w:r>
      <w:r>
        <w:rPr>
          <w:rFonts w:hint="eastAsia" w:ascii="宋体" w:hAnsi="宋体" w:cs="仿宋"/>
          <w:color w:val="auto"/>
          <w:szCs w:val="21"/>
          <w:highlight w:val="none"/>
        </w:rPr>
        <w:fldChar w:fldCharType="separate"/>
      </w:r>
      <w:r>
        <w:rPr>
          <w:rFonts w:hint="eastAsia" w:ascii="宋体" w:hAnsi="宋体" w:cs="仿宋"/>
          <w:color w:val="auto"/>
          <w:szCs w:val="21"/>
          <w:highlight w:val="none"/>
        </w:rPr>
        <w:drawing>
          <wp:inline distT="0" distB="0" distL="114300" distR="114300">
            <wp:extent cx="380365" cy="446405"/>
            <wp:effectExtent l="0" t="0" r="635" b="1079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80365" cy="446405"/>
                    </a:xfrm>
                    <a:prstGeom prst="rect">
                      <a:avLst/>
                    </a:prstGeom>
                    <a:noFill/>
                    <a:ln>
                      <a:noFill/>
                    </a:ln>
                  </pic:spPr>
                </pic:pic>
              </a:graphicData>
            </a:graphic>
          </wp:inline>
        </w:drawing>
      </w:r>
      <w:r>
        <w:rPr>
          <w:rFonts w:hint="eastAsia" w:ascii="宋体" w:hAnsi="宋体" w:cs="仿宋"/>
          <w:color w:val="auto"/>
          <w:szCs w:val="21"/>
          <w:highlight w:val="none"/>
        </w:rPr>
        <w:fldChar w:fldCharType="end"/>
      </w:r>
      <w:r>
        <w:rPr>
          <w:rFonts w:hint="eastAsia" w:ascii="宋体" w:hAnsi="宋体" w:cs="仿宋"/>
          <w:color w:val="auto"/>
          <w:szCs w:val="21"/>
          <w:highlight w:val="none"/>
        </w:rPr>
        <w:t>），第二名投标人的权重为（</w:t>
      </w:r>
      <w:r>
        <w:rPr>
          <w:rFonts w:hint="eastAsia" w:ascii="宋体" w:hAnsi="宋体" w:cs="仿宋"/>
          <w:color w:val="auto"/>
          <w:szCs w:val="21"/>
          <w:highlight w:val="none"/>
        </w:rPr>
        <w:fldChar w:fldCharType="begin"/>
      </w:r>
      <w:r>
        <w:rPr>
          <w:rFonts w:hint="eastAsia" w:ascii="宋体" w:hAnsi="宋体" w:cs="仿宋"/>
          <w:color w:val="auto"/>
          <w:szCs w:val="21"/>
          <w:highlight w:val="none"/>
        </w:rPr>
        <w:instrText xml:space="preserve"> QUOTE </w:instrText>
      </w:r>
      <w:r>
        <w:rPr>
          <w:rFonts w:hint="eastAsia" w:ascii="宋体" w:hAnsi="宋体" w:cs="仿宋"/>
          <w:color w:val="auto"/>
          <w:szCs w:val="21"/>
          <w:highlight w:val="none"/>
        </w:rPr>
        <w:drawing>
          <wp:inline distT="0" distB="0" distL="114300" distR="114300">
            <wp:extent cx="321945" cy="402590"/>
            <wp:effectExtent l="0" t="0" r="1905" b="1651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321945" cy="402590"/>
                    </a:xfrm>
                    <a:prstGeom prst="rect">
                      <a:avLst/>
                    </a:prstGeom>
                    <a:noFill/>
                    <a:ln>
                      <a:noFill/>
                    </a:ln>
                  </pic:spPr>
                </pic:pic>
              </a:graphicData>
            </a:graphic>
          </wp:inline>
        </w:drawing>
      </w:r>
      <w:r>
        <w:rPr>
          <w:rFonts w:hint="eastAsia" w:ascii="宋体" w:hAnsi="宋体" w:cs="仿宋"/>
          <w:color w:val="auto"/>
          <w:szCs w:val="21"/>
          <w:highlight w:val="none"/>
        </w:rPr>
        <w:fldChar w:fldCharType="separate"/>
      </w:r>
      <w:r>
        <w:rPr>
          <w:rFonts w:hint="eastAsia" w:ascii="宋体" w:hAnsi="宋体" w:cs="仿宋"/>
          <w:color w:val="auto"/>
          <w:szCs w:val="21"/>
          <w:highlight w:val="none"/>
        </w:rPr>
        <w:drawing>
          <wp:inline distT="0" distB="0" distL="114300" distR="114300">
            <wp:extent cx="321945" cy="402590"/>
            <wp:effectExtent l="0" t="0" r="1905" b="1651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321945" cy="402590"/>
                    </a:xfrm>
                    <a:prstGeom prst="rect">
                      <a:avLst/>
                    </a:prstGeom>
                    <a:noFill/>
                    <a:ln>
                      <a:noFill/>
                    </a:ln>
                  </pic:spPr>
                </pic:pic>
              </a:graphicData>
            </a:graphic>
          </wp:inline>
        </w:drawing>
      </w:r>
      <w:r>
        <w:rPr>
          <w:rFonts w:hint="eastAsia" w:ascii="宋体" w:hAnsi="宋体" w:cs="仿宋"/>
          <w:color w:val="auto"/>
          <w:szCs w:val="21"/>
          <w:highlight w:val="none"/>
        </w:rPr>
        <w:fldChar w:fldCharType="end"/>
      </w:r>
      <w:r>
        <w:rPr>
          <w:rFonts w:hint="eastAsia" w:ascii="宋体" w:hAnsi="宋体" w:cs="仿宋"/>
          <w:color w:val="auto"/>
          <w:szCs w:val="21"/>
          <w:highlight w:val="none"/>
        </w:rPr>
        <w:t>），以此类推，最后一名投标人的权重为（</w:t>
      </w:r>
      <w:r>
        <w:rPr>
          <w:rFonts w:hint="eastAsia" w:ascii="宋体" w:hAnsi="宋体" w:cs="仿宋"/>
          <w:color w:val="auto"/>
          <w:szCs w:val="21"/>
          <w:highlight w:val="none"/>
        </w:rPr>
        <w:fldChar w:fldCharType="begin"/>
      </w:r>
      <w:r>
        <w:rPr>
          <w:rFonts w:hint="eastAsia" w:ascii="宋体" w:hAnsi="宋体" w:cs="仿宋"/>
          <w:color w:val="auto"/>
          <w:szCs w:val="21"/>
          <w:highlight w:val="none"/>
        </w:rPr>
        <w:instrText xml:space="preserve"> QUOTE </w:instrText>
      </w:r>
      <w:r>
        <w:rPr>
          <w:rFonts w:hint="eastAsia" w:ascii="宋体" w:hAnsi="宋体" w:cs="仿宋"/>
          <w:color w:val="auto"/>
          <w:szCs w:val="21"/>
          <w:highlight w:val="none"/>
        </w:rPr>
        <w:drawing>
          <wp:inline distT="0" distB="0" distL="114300" distR="114300">
            <wp:extent cx="321945" cy="402590"/>
            <wp:effectExtent l="0" t="0" r="1905" b="1651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21945" cy="402590"/>
                    </a:xfrm>
                    <a:prstGeom prst="rect">
                      <a:avLst/>
                    </a:prstGeom>
                    <a:noFill/>
                    <a:ln>
                      <a:noFill/>
                    </a:ln>
                  </pic:spPr>
                </pic:pic>
              </a:graphicData>
            </a:graphic>
          </wp:inline>
        </w:drawing>
      </w:r>
      <w:r>
        <w:rPr>
          <w:rFonts w:hint="eastAsia" w:ascii="宋体" w:hAnsi="宋体" w:cs="仿宋"/>
          <w:color w:val="auto"/>
          <w:szCs w:val="21"/>
          <w:highlight w:val="none"/>
        </w:rPr>
        <w:fldChar w:fldCharType="separate"/>
      </w:r>
      <w:r>
        <w:rPr>
          <w:rFonts w:hint="eastAsia" w:ascii="宋体" w:hAnsi="宋体" w:cs="仿宋"/>
          <w:color w:val="auto"/>
          <w:szCs w:val="21"/>
          <w:highlight w:val="none"/>
        </w:rPr>
        <w:drawing>
          <wp:inline distT="0" distB="0" distL="114300" distR="114300">
            <wp:extent cx="321945" cy="402590"/>
            <wp:effectExtent l="0" t="0" r="1905" b="1651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21945" cy="402590"/>
                    </a:xfrm>
                    <a:prstGeom prst="rect">
                      <a:avLst/>
                    </a:prstGeom>
                    <a:noFill/>
                    <a:ln>
                      <a:noFill/>
                    </a:ln>
                  </pic:spPr>
                </pic:pic>
              </a:graphicData>
            </a:graphic>
          </wp:inline>
        </w:drawing>
      </w:r>
      <w:r>
        <w:rPr>
          <w:rFonts w:hint="eastAsia" w:ascii="宋体" w:hAnsi="宋体" w:cs="仿宋"/>
          <w:color w:val="auto"/>
          <w:szCs w:val="21"/>
          <w:highlight w:val="none"/>
        </w:rPr>
        <w:fldChar w:fldCharType="end"/>
      </w:r>
      <w:r>
        <w:rPr>
          <w:rFonts w:hint="eastAsia" w:ascii="宋体" w:hAnsi="宋体" w:cs="仿宋"/>
          <w:color w:val="auto"/>
          <w:szCs w:val="21"/>
          <w:highlight w:val="none"/>
        </w:rPr>
        <w:t>）。</w:t>
      </w:r>
    </w:p>
    <w:p w14:paraId="59D3C389">
      <w:pPr>
        <w:spacing w:line="336" w:lineRule="auto"/>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方法二：区间抽取法</w:t>
      </w:r>
    </w:p>
    <w:p w14:paraId="6F3E03DF">
      <w:pPr>
        <w:spacing w:line="336" w:lineRule="auto"/>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40AEA558">
      <w:pPr>
        <w:spacing w:line="336" w:lineRule="auto"/>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评标参考价=（Q高-Q低）/100*Ｘ+Q低</w:t>
      </w:r>
    </w:p>
    <w:p w14:paraId="1564509D">
      <w:pPr>
        <w:spacing w:line="336" w:lineRule="auto"/>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Q低：为达到或超过技术标及格分数线的投标人最低报价与工程成本警示价两者中的较高值；</w:t>
      </w:r>
    </w:p>
    <w:p w14:paraId="1B3E889B">
      <w:pPr>
        <w:spacing w:line="336" w:lineRule="auto"/>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Q高：为（最高投标限价*D%）（D的取值范围为[94,100],由招标人自定）</w:t>
      </w:r>
    </w:p>
    <w:p w14:paraId="031A2BED">
      <w:pPr>
        <w:spacing w:line="336" w:lineRule="auto"/>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X:为等分点值，在开标前从[0,100]整数中随机抽取。</w:t>
      </w:r>
    </w:p>
    <w:p w14:paraId="5E3D086F">
      <w:pPr>
        <w:spacing w:line="336" w:lineRule="auto"/>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45.3当标价等于评标参考价时得100分，标价每高于评标参考价1%，扣1.5分，每低于评标参考价1%，扣1分，扣至0分为止，得出经济分，精确到小数点后两位。</w:t>
      </w:r>
    </w:p>
    <w:p w14:paraId="5530729B">
      <w:pPr>
        <w:pBdr>
          <w:bottom w:val="single" w:color="auto" w:sz="6" w:space="1"/>
        </w:pBdr>
        <w:spacing w:line="336" w:lineRule="auto"/>
        <w:ind w:firstLine="420" w:firstLineChars="200"/>
        <w:rPr>
          <w:rFonts w:hint="eastAsia" w:ascii="宋体" w:hAnsi="宋体" w:cs="宋体"/>
          <w:color w:val="auto"/>
          <w:spacing w:val="2"/>
          <w:szCs w:val="21"/>
          <w:highlight w:val="none"/>
        </w:rPr>
      </w:pPr>
      <w:r>
        <w:rPr>
          <w:rFonts w:hint="eastAsia" w:ascii="宋体" w:hAnsi="宋体" w:cs="仿宋"/>
          <w:color w:val="auto"/>
          <w:szCs w:val="21"/>
          <w:highlight w:val="none"/>
        </w:rPr>
        <w:t>45.4计算通过技术标有效性审查的投标人总得分。投标人总得分=（技术得分×技术得分权重＋经济得分×经济得分权重）×（1-诚信综合评价分数权重）＋诚信综合评价排名得分×诚信综合评价分数权重）。技术、经济得分权重按投标须知前附表的规定执行。总得分四舍五入保留两位小数。</w:t>
      </w:r>
    </w:p>
    <w:p w14:paraId="481BC35C">
      <w:pPr>
        <w:tabs>
          <w:tab w:val="left" w:pos="4410"/>
        </w:tabs>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条款号：46.1</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14:paraId="2EFE9FE0">
      <w:pPr>
        <w:pBdr>
          <w:bottom w:val="single" w:color="auto" w:sz="6" w:space="1"/>
        </w:pBdr>
        <w:spacing w:line="336" w:lineRule="auto"/>
        <w:ind w:firstLine="430" w:firstLineChars="200"/>
        <w:rPr>
          <w:rFonts w:hint="eastAsia" w:ascii="宋体" w:hAnsi="宋体" w:cs="宋体"/>
          <w:color w:val="auto"/>
          <w:spacing w:val="2"/>
          <w:szCs w:val="21"/>
          <w:highlight w:val="none"/>
        </w:rPr>
      </w:pPr>
      <w:r>
        <w:rPr>
          <w:rFonts w:hint="eastAsia" w:ascii="宋体" w:hAnsi="宋体" w:cs="宋体"/>
          <w:b/>
          <w:color w:val="auto"/>
          <w:spacing w:val="2"/>
          <w:szCs w:val="21"/>
          <w:highlight w:val="none"/>
        </w:rPr>
        <w:t>原文：</w:t>
      </w:r>
      <w:r>
        <w:rPr>
          <w:rFonts w:hint="eastAsia" w:ascii="宋体" w:hAnsi="宋体" w:cs="宋体"/>
          <w:color w:val="auto"/>
          <w:spacing w:val="2"/>
          <w:szCs w:val="21"/>
          <w:highlight w:val="none"/>
        </w:rPr>
        <w:t>46.1</w:t>
      </w:r>
      <w:r>
        <w:rPr>
          <w:rFonts w:hint="eastAsia" w:ascii="宋体" w:hAnsi="宋体"/>
          <w:color w:val="auto"/>
          <w:szCs w:val="21"/>
          <w:highlight w:val="none"/>
        </w:rPr>
        <w:t>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14:paraId="77C216A3">
      <w:pPr>
        <w:pBdr>
          <w:bottom w:val="single" w:color="auto" w:sz="6" w:space="1"/>
        </w:pBdr>
        <w:spacing w:line="336" w:lineRule="auto"/>
        <w:ind w:firstLine="430" w:firstLineChars="200"/>
        <w:rPr>
          <w:rFonts w:hint="eastAsia" w:ascii="宋体" w:hAnsi="宋体" w:cs="宋体"/>
          <w:color w:val="auto"/>
          <w:spacing w:val="2"/>
          <w:szCs w:val="21"/>
          <w:highlight w:val="none"/>
        </w:rPr>
      </w:pPr>
      <w:r>
        <w:rPr>
          <w:rFonts w:hint="eastAsia" w:ascii="宋体" w:hAnsi="宋体" w:cs="宋体"/>
          <w:b/>
          <w:color w:val="auto"/>
          <w:spacing w:val="2"/>
          <w:szCs w:val="21"/>
          <w:highlight w:val="none"/>
        </w:rPr>
        <w:t>现文：</w:t>
      </w:r>
      <w:r>
        <w:rPr>
          <w:rFonts w:hint="eastAsia" w:ascii="宋体" w:hAnsi="宋体" w:cs="宋体"/>
          <w:color w:val="auto"/>
          <w:spacing w:val="2"/>
          <w:szCs w:val="21"/>
          <w:highlight w:val="none"/>
        </w:rPr>
        <w:t>46.1经济标的有效性审查：对通过技术标有效性审查投标人的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hint="eastAsia" w:ascii="宋体" w:hAnsi="宋体" w:cs="宋体"/>
          <w:color w:val="auto"/>
          <w:spacing w:val="2"/>
          <w:szCs w:val="21"/>
          <w:highlight w:val="none"/>
          <w:u w:val="single"/>
        </w:rPr>
        <w:t>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1B5344C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条款号：47.、</w:t>
      </w:r>
      <w:r>
        <w:rPr>
          <w:rFonts w:hint="eastAsia" w:ascii="宋体" w:hAnsi="宋体" w:cs="宋体"/>
          <w:b/>
          <w:color w:val="auto"/>
          <w:kern w:val="0"/>
          <w:szCs w:val="21"/>
          <w:highlight w:val="none"/>
        </w:rPr>
        <w:t>48.</w:t>
      </w:r>
      <w:r>
        <w:rPr>
          <w:rFonts w:hint="eastAsia" w:ascii="宋体" w:hAnsi="宋体" w:cs="宋体"/>
          <w:b/>
          <w:color w:val="auto"/>
          <w:szCs w:val="21"/>
          <w:highlight w:val="none"/>
        </w:rPr>
        <w:t xml:space="preserve">                修改类型：修改</w:t>
      </w:r>
    </w:p>
    <w:p w14:paraId="79EAF464">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4DE936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48.评标委员会应在通过投标文件经济标有效性审查的投标人中，按步骤45.4确定的投标人第二阶段排序，推荐前3名依次为第一中标候选人至第三中标候选人,并编制评标报告。</w:t>
      </w:r>
    </w:p>
    <w:p w14:paraId="67BFB0B5">
      <w:pPr>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47.评标委员会按只有通过有效性审查的投标人的投标文件方可进入下一阶段审查的原则，根据有效性审查结果，取消被否决投标的投标人为合格的中标候选人资格，其余全部通过有效性审查的投标人均为合格的中标候选人且进入定标阶段。</w:t>
      </w:r>
    </w:p>
    <w:p w14:paraId="1B4639E3">
      <w:pPr>
        <w:pBdr>
          <w:bottom w:val="single" w:color="auto" w:sz="6" w:space="1"/>
        </w:pBdr>
        <w:spacing w:line="336" w:lineRule="auto"/>
        <w:ind w:firstLine="420" w:firstLineChars="200"/>
        <w:rPr>
          <w:rFonts w:hint="eastAsia" w:ascii="宋体" w:hAnsi="宋体" w:cs="宋体"/>
          <w:color w:val="auto"/>
          <w:spacing w:val="2"/>
          <w:szCs w:val="21"/>
          <w:highlight w:val="none"/>
        </w:rPr>
      </w:pPr>
      <w:r>
        <w:rPr>
          <w:rFonts w:hint="eastAsia" w:ascii="宋体" w:hAnsi="宋体" w:cs="宋体"/>
          <w:color w:val="auto"/>
          <w:szCs w:val="21"/>
          <w:highlight w:val="none"/>
          <w:u w:val="single"/>
        </w:rPr>
        <w:t>48.评标委员会应在通过投标文件经济标有效性审查的投标人中，确定合格的中标候选人资格并进入定标阶段,并编制评标报告。</w:t>
      </w:r>
    </w:p>
    <w:p w14:paraId="727433E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b/>
          <w:color w:val="auto"/>
          <w:kern w:val="0"/>
          <w:szCs w:val="21"/>
          <w:highlight w:val="none"/>
        </w:rPr>
        <w:t>50.</w:t>
      </w:r>
      <w:r>
        <w:rPr>
          <w:rFonts w:hint="eastAsia" w:ascii="宋体" w:hAnsi="宋体" w:cs="宋体"/>
          <w:color w:val="auto"/>
          <w:kern w:val="0"/>
          <w:szCs w:val="21"/>
          <w:highlight w:val="none"/>
        </w:rPr>
        <w:t xml:space="preserve">                       </w:t>
      </w:r>
      <w:r>
        <w:rPr>
          <w:rFonts w:hint="eastAsia" w:ascii="宋体" w:hAnsi="宋体" w:cs="宋体"/>
          <w:b/>
          <w:color w:val="auto"/>
          <w:szCs w:val="21"/>
          <w:highlight w:val="none"/>
        </w:rPr>
        <w:t>修改类型：增加</w:t>
      </w:r>
    </w:p>
    <w:p w14:paraId="57A751E7">
      <w:pPr>
        <w:pBdr>
          <w:bottom w:val="single" w:color="auto" w:sz="6" w:space="1"/>
        </w:pBdr>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b/>
          <w:bCs/>
          <w:color w:val="auto"/>
          <w:szCs w:val="21"/>
          <w:highlight w:val="none"/>
          <w:u w:val="single"/>
        </w:rPr>
        <w:t>50 定标</w:t>
      </w:r>
    </w:p>
    <w:p w14:paraId="3B73C122">
      <w:pPr>
        <w:pBdr>
          <w:bottom w:val="single" w:color="auto" w:sz="6" w:space="1"/>
        </w:pBd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50.1 评标结束后，招标人须公示合格的中标候选人，公示期为三天。定标由招标人依法依规组建的定标委员会负责，成员数量为5人或以上单数。在评标委员会推荐的合格中标候选人中推荐中标人。</w:t>
      </w:r>
    </w:p>
    <w:p w14:paraId="712311C6">
      <w:pPr>
        <w:pBdr>
          <w:bottom w:val="single" w:color="auto" w:sz="6" w:space="1"/>
        </w:pBd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50.2 定标时间和地点：</w:t>
      </w:r>
    </w:p>
    <w:p w14:paraId="2F6DD300">
      <w:pPr>
        <w:pBdr>
          <w:bottom w:val="single" w:color="auto" w:sz="6" w:space="1"/>
        </w:pBd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招标人在合格的中标候选人公示完成后10个工作日内在广州公共资源交易中心举行定标会议，招标人按规定程序在投标人须知的时间和地点完成定标工作。</w:t>
      </w:r>
    </w:p>
    <w:p w14:paraId="418FC7A5">
      <w:pPr>
        <w:pBdr>
          <w:bottom w:val="single" w:color="auto" w:sz="6" w:space="1"/>
        </w:pBd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50.3定标规则及程序</w:t>
      </w:r>
    </w:p>
    <w:p w14:paraId="56413365">
      <w:pPr>
        <w:pBdr>
          <w:bottom w:val="single" w:color="auto" w:sz="6" w:space="1"/>
        </w:pBd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50.3.1 本项目采用价格因素、方案因素、资信因素组合进行定标；</w:t>
      </w:r>
    </w:p>
    <w:p w14:paraId="3728E474">
      <w:pPr>
        <w:pBdr>
          <w:bottom w:val="single" w:color="auto" w:sz="6" w:space="1"/>
        </w:pBd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50.3.2 定标委员会在评标委员会评审的基础上，根据定标因素及投标人提供的定标部分的投标文件，对进入定标阶段的全部合格的中标候选人的价格因素、方案因素和资信因素进行打分。</w:t>
      </w:r>
    </w:p>
    <w:p w14:paraId="65B69E6F">
      <w:pPr>
        <w:pBdr>
          <w:bottom w:val="single" w:color="auto" w:sz="6" w:space="1"/>
        </w:pBd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50.3.3定标工作开始前，招标人（或招标代理单位）应当向定标委员会提供定标所需的信息，包括招标项目的范围、性质、特殊性、需求目标和实施要点，以及招标文件规定的定标方法、定标因素及标准等，但不得明示或者暗示其倾向或者排斥特定合格中标候选人。</w:t>
      </w:r>
    </w:p>
    <w:p w14:paraId="614CF3DC">
      <w:pPr>
        <w:pBdr>
          <w:bottom w:val="single" w:color="auto" w:sz="6" w:space="1"/>
        </w:pBd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50.3.4定标委员会在开始定标前，应了解定标专家的职责及守则，认真阅读附表《定标委员会成员声明》的内容并签名，签字后方可进行定标。</w:t>
      </w:r>
    </w:p>
    <w:p w14:paraId="600663CE">
      <w:pPr>
        <w:pBdr>
          <w:bottom w:val="single" w:color="auto" w:sz="6"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50.3.5定标过程中，定标委员会成员有回避事由、擅离职守或者因健康等原因不能继续定标的，招标人有权更换。被更换的定标委员会成员作出的评审结论无效，由更换后的定标委员会成员重新进行评审。</w:t>
      </w:r>
    </w:p>
    <w:p w14:paraId="08E05EF8">
      <w:pPr>
        <w:pBdr>
          <w:bottom w:val="single" w:color="auto" w:sz="6" w:space="1"/>
        </w:pBd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50.3.6 定标辅助资料为评标阶段的评标报告、投标人提交的投标文件与定标文件。</w:t>
      </w:r>
    </w:p>
    <w:p w14:paraId="2A84E96C">
      <w:pPr>
        <w:pBdr>
          <w:bottom w:val="single" w:color="auto" w:sz="6" w:space="1"/>
        </w:pBd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50.3.7 定标委员会根据定标辅助资料，在同等条件下，定标因素具体评价标准详见附表：</w:t>
      </w:r>
      <w:bookmarkStart w:id="78" w:name="OLE_LINK16"/>
      <w:bookmarkStart w:id="79" w:name="OLE_LINK15"/>
      <w:bookmarkStart w:id="80" w:name="OLE_LINK10"/>
      <w:bookmarkStart w:id="81" w:name="OLE_LINK11"/>
      <w:r>
        <w:rPr>
          <w:rFonts w:hint="eastAsia" w:ascii="宋体" w:hAnsi="宋体" w:cs="宋体"/>
          <w:color w:val="auto"/>
          <w:szCs w:val="21"/>
          <w:highlight w:val="none"/>
          <w:u w:val="single"/>
        </w:rPr>
        <w:t>《定标因素表》</w:t>
      </w:r>
      <w:bookmarkEnd w:id="78"/>
      <w:bookmarkEnd w:id="79"/>
      <w:bookmarkEnd w:id="80"/>
      <w:bookmarkEnd w:id="81"/>
    </w:p>
    <w:p w14:paraId="57B0BF77">
      <w:pPr>
        <w:pBdr>
          <w:bottom w:val="single" w:color="auto" w:sz="6" w:space="1"/>
        </w:pBd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50.3.8定标委员会根据合格的中标候选人总得分由高至低</w:t>
      </w:r>
      <w:r>
        <w:rPr>
          <w:rFonts w:hint="eastAsia" w:ascii="宋体" w:hAnsi="宋体" w:cs="宋体"/>
          <w:bCs/>
          <w:color w:val="auto"/>
          <w:szCs w:val="21"/>
          <w:highlight w:val="none"/>
          <w:u w:val="single"/>
        </w:rPr>
        <w:t>对合格的中标候选人进行排序。</w:t>
      </w:r>
      <w:r>
        <w:rPr>
          <w:rFonts w:hint="eastAsia" w:ascii="宋体" w:hAnsi="宋体" w:cs="宋体"/>
          <w:color w:val="auto"/>
          <w:szCs w:val="21"/>
          <w:highlight w:val="none"/>
          <w:u w:val="single"/>
        </w:rPr>
        <w:t>合格的中标候选人总得分=价格因素（</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0分）+方案因素（</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0分）+资信因素（10分）。总得分四舍五入保留两位小数。</w:t>
      </w:r>
    </w:p>
    <w:p w14:paraId="30023D7B">
      <w:pPr>
        <w:pBdr>
          <w:bottom w:val="single" w:color="auto" w:sz="6" w:space="1"/>
        </w:pBd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注：若合格的中标候选人总得分相同且影响定标排序的，以方案因素得分高的排前；若方案因素得分仍相同的，以价格因素得分高的排前，若价格因素得分相同的，以资信因素得分高的排前；若资信因素得分仍相同的，由定标委员会记名投票确定排序。</w:t>
      </w:r>
    </w:p>
    <w:p w14:paraId="48924F4F">
      <w:pPr>
        <w:pBdr>
          <w:bottom w:val="single" w:color="auto" w:sz="6" w:space="1"/>
        </w:pBd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50.3.9定标委员会确定总得分最高的合格的中标候选人为中标人。</w:t>
      </w:r>
    </w:p>
    <w:p w14:paraId="7D883002">
      <w:pPr>
        <w:pBdr>
          <w:bottom w:val="single" w:color="auto" w:sz="6" w:space="1"/>
        </w:pBd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50.3.10编写定标报告，定标委员会全体确认后签署定标报告。</w:t>
      </w:r>
    </w:p>
    <w:p w14:paraId="620A19AA">
      <w:pPr>
        <w:pBdr>
          <w:bottom w:val="single" w:color="auto" w:sz="6" w:space="1"/>
        </w:pBd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50.4因质疑或投诉生效，需要重新评标或定标的，评标、定标信息仍以投标截止时投标人的信息为准。因特殊原因需要延长投标有效期，投标人拒绝延长投标有效期的，仍参与评标、定标，但不被推荐为中标人。</w:t>
      </w:r>
    </w:p>
    <w:p w14:paraId="0AD87585">
      <w:pPr>
        <w:pBdr>
          <w:bottom w:val="single" w:color="auto" w:sz="6" w:space="1"/>
        </w:pBd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50.5定标委员会向招标人提交书面定标报告后即解散，定标过程中使用的文件、表格以及其他资料不得私自带离。</w:t>
      </w:r>
    </w:p>
    <w:p w14:paraId="25DB3F83">
      <w:pPr>
        <w:pBdr>
          <w:bottom w:val="single" w:color="auto" w:sz="6" w:space="1"/>
        </w:pBd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50.6招标人应当在定标工作完成后的3日内公示中标结果。</w:t>
      </w:r>
    </w:p>
    <w:p w14:paraId="2AC1089E">
      <w:pPr>
        <w:pBdr>
          <w:bottom w:val="single" w:color="auto" w:sz="6" w:space="1"/>
        </w:pBd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50.7重新评标或定标的，评标信息（含业绩、奖项等）、定标信息仍以投标截止时投标人的信息为准。因特殊原因需要延长投标有效期，投标人拒绝延长投标有效期的，仍参与评标、定标，但不被推荐为中标人。</w:t>
      </w:r>
    </w:p>
    <w:p w14:paraId="08CA7B86">
      <w:pPr>
        <w:pBdr>
          <w:bottom w:val="single" w:color="auto" w:sz="6" w:space="1"/>
        </w:pBd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50.8在合格中标候选人公示期间或在定标前，如有合格的中标候选人放弃中标候选人资格或者被查实存在影响中标候选人资格的违法行为等情形，且合格的中标候选人至少有1名的，招标人不再递补其他合格的中标候选人，可以继续定标或依法重新招标；如没有合格的中标候选人的，则依法重新招标。</w:t>
      </w:r>
    </w:p>
    <w:p w14:paraId="13613180">
      <w:pPr>
        <w:pBdr>
          <w:bottom w:val="single" w:color="auto" w:sz="6" w:space="1"/>
        </w:pBdr>
        <w:spacing w:line="336"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u w:val="single"/>
        </w:rPr>
        <w:t>50.9</w:t>
      </w:r>
      <w:r>
        <w:rPr>
          <w:rFonts w:hint="eastAsia" w:ascii="宋体" w:hAnsi="宋体" w:cs="宋体"/>
          <w:color w:val="auto"/>
          <w:szCs w:val="21"/>
          <w:highlight w:val="none"/>
          <w:u w:val="single"/>
        </w:rPr>
        <w:t>在定标后，如中标人放弃中标、或因不可抗力提出不能履行合同，或者招标文件规定应当提交履约担保而在规定的期限内未能提交的，或经核查发现委派的项目负责人已在其他在建项目中担任本职务的，或者被查实存在影响中标结果的违法行为等情形，招标人有权取消其中标人资格或解除合同，可由原定标委员会根据原定标办法从其他合格的中标候选人中重新确定中标人，招标人也可以依法重新招标</w:t>
      </w:r>
      <w:r>
        <w:rPr>
          <w:rFonts w:hint="eastAsia" w:ascii="宋体" w:hAnsi="宋体" w:cs="宋体"/>
          <w:color w:val="auto"/>
          <w:szCs w:val="21"/>
          <w:highlight w:val="none"/>
        </w:rPr>
        <w:t>。</w:t>
      </w:r>
    </w:p>
    <w:p w14:paraId="69733AE6">
      <w:pPr>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条款号：附表一 《资格审查表》            修改类型：修改</w:t>
      </w:r>
    </w:p>
    <w:p w14:paraId="04807CF3">
      <w:pPr>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见范本</w:t>
      </w:r>
    </w:p>
    <w:p w14:paraId="5D9778EB">
      <w:pPr>
        <w:pBdr>
          <w:bottom w:val="single" w:color="auto" w:sz="6" w:space="1"/>
        </w:pBdr>
        <w:spacing w:line="336" w:lineRule="auto"/>
        <w:ind w:firstLine="422" w:firstLineChars="200"/>
        <w:rPr>
          <w:rFonts w:hint="eastAsia" w:ascii="宋体" w:hAnsi="宋体" w:cs="宋体"/>
          <w:color w:val="auto"/>
          <w:highlight w:val="none"/>
        </w:rPr>
      </w:pPr>
      <w:bookmarkStart w:id="82" w:name="OLE_LINK12"/>
      <w:r>
        <w:rPr>
          <w:rFonts w:hint="eastAsia" w:ascii="宋体" w:hAnsi="宋体" w:cs="宋体"/>
          <w:b/>
          <w:color w:val="auto"/>
          <w:szCs w:val="21"/>
          <w:highlight w:val="none"/>
        </w:rPr>
        <w:t>现文：</w:t>
      </w:r>
      <w:r>
        <w:rPr>
          <w:rFonts w:hint="eastAsia" w:ascii="宋体" w:hAnsi="宋体" w:cs="宋体"/>
          <w:color w:val="auto"/>
          <w:szCs w:val="21"/>
          <w:highlight w:val="none"/>
        </w:rPr>
        <w:t>见后附（附表一《资格审查表》）</w:t>
      </w:r>
    </w:p>
    <w:bookmarkEnd w:id="82"/>
    <w:p w14:paraId="520773B1">
      <w:pPr>
        <w:spacing w:line="336" w:lineRule="auto"/>
        <w:ind w:firstLine="422" w:firstLineChars="200"/>
        <w:rPr>
          <w:rFonts w:hint="eastAsia" w:ascii="宋体" w:hAnsi="宋体" w:cs="宋体"/>
          <w:b/>
          <w:color w:val="auto"/>
          <w:szCs w:val="21"/>
          <w:highlight w:val="none"/>
        </w:rPr>
      </w:pPr>
      <w:bookmarkStart w:id="83" w:name="OLE_LINK14"/>
      <w:bookmarkStart w:id="84" w:name="OLE_LINK13"/>
      <w:r>
        <w:rPr>
          <w:rFonts w:hint="eastAsia" w:ascii="宋体" w:hAnsi="宋体" w:cs="宋体"/>
          <w:b/>
          <w:color w:val="auto"/>
          <w:szCs w:val="21"/>
          <w:highlight w:val="none"/>
        </w:rPr>
        <w:t>条款号：附表二 《技术标有效性审查表》     修改类型：修改</w:t>
      </w:r>
    </w:p>
    <w:p w14:paraId="72BC542D">
      <w:pPr>
        <w:pBdr>
          <w:bottom w:val="single" w:color="auto" w:sz="6" w:space="1"/>
        </w:pBdr>
        <w:spacing w:line="336"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见范本</w:t>
      </w:r>
    </w:p>
    <w:p w14:paraId="05502FF5">
      <w:pPr>
        <w:pBdr>
          <w:bottom w:val="single" w:color="auto" w:sz="6" w:space="1"/>
        </w:pBdr>
        <w:spacing w:line="336" w:lineRule="auto"/>
        <w:ind w:firstLine="422" w:firstLineChars="200"/>
        <w:rPr>
          <w:rFonts w:hint="eastAsia" w:ascii="宋体" w:hAnsi="宋体" w:cs="宋体"/>
          <w:color w:val="auto"/>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见后附（附表二《技术标有效性审查表》）</w:t>
      </w:r>
    </w:p>
    <w:bookmarkEnd w:id="83"/>
    <w:bookmarkEnd w:id="84"/>
    <w:p w14:paraId="5784DEE9">
      <w:pPr>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条款号：附表三 《经济标有效性审查表》     修改类型：修改</w:t>
      </w:r>
    </w:p>
    <w:p w14:paraId="78033F99">
      <w:pPr>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见范本</w:t>
      </w:r>
    </w:p>
    <w:p w14:paraId="67C67FD2">
      <w:pPr>
        <w:pBdr>
          <w:bottom w:val="single" w:color="auto" w:sz="6" w:space="1"/>
        </w:pBdr>
        <w:spacing w:line="336" w:lineRule="auto"/>
        <w:ind w:firstLine="422" w:firstLineChars="200"/>
        <w:rPr>
          <w:rFonts w:hint="eastAsia" w:ascii="宋体" w:hAnsi="宋体" w:cs="宋体"/>
          <w:color w:val="auto"/>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见后附（附表三《经济标有效性审查表》）</w:t>
      </w:r>
    </w:p>
    <w:p w14:paraId="4B1CC322">
      <w:pPr>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条款号：附表四《技术标详细审查评分表》     修改类型：删除</w:t>
      </w:r>
    </w:p>
    <w:p w14:paraId="2F5DF410">
      <w:pPr>
        <w:pBdr>
          <w:bottom w:val="single" w:color="auto" w:sz="6" w:space="1"/>
        </w:pBdr>
        <w:spacing w:line="336"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见范本</w:t>
      </w:r>
    </w:p>
    <w:p w14:paraId="026314BD">
      <w:pPr>
        <w:spacing w:line="336"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条款号：附表《定标因素表》     修改类型：增加</w:t>
      </w:r>
    </w:p>
    <w:p w14:paraId="68C39CD8">
      <w:pPr>
        <w:pBdr>
          <w:bottom w:val="single" w:color="auto" w:sz="6" w:space="1"/>
        </w:pBdr>
        <w:spacing w:line="336"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rPr>
        <w:t>现文：</w:t>
      </w:r>
      <w:bookmarkStart w:id="85" w:name="OLE_LINK18"/>
      <w:bookmarkStart w:id="86" w:name="OLE_LINK17"/>
      <w:r>
        <w:rPr>
          <w:rFonts w:hint="eastAsia" w:ascii="宋体" w:hAnsi="宋体" w:cs="宋体"/>
          <w:b/>
          <w:color w:val="auto"/>
          <w:szCs w:val="21"/>
          <w:highlight w:val="none"/>
          <w:u w:val="single"/>
        </w:rPr>
        <w:t>《定标因素表》</w:t>
      </w:r>
      <w:bookmarkEnd w:id="85"/>
      <w:bookmarkEnd w:id="86"/>
    </w:p>
    <w:p w14:paraId="300AF15A">
      <w:pPr>
        <w:pStyle w:val="7"/>
        <w:rPr>
          <w:rFonts w:hint="eastAsia"/>
          <w:color w:val="auto"/>
          <w:highlight w:val="none"/>
        </w:rPr>
      </w:pPr>
    </w:p>
    <w:p w14:paraId="7A86D51E">
      <w:pPr>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注：以上修改，仅限于本范本中有可供选择条款的情形。</w:t>
      </w:r>
    </w:p>
    <w:p w14:paraId="05110666">
      <w:pPr>
        <w:spacing w:line="360" w:lineRule="auto"/>
        <w:jc w:val="center"/>
        <w:rPr>
          <w:rStyle w:val="26"/>
          <w:rFonts w:ascii="宋体" w:hAnsi="宋体"/>
          <w:b/>
          <w:color w:val="auto"/>
          <w:highlight w:val="none"/>
        </w:rPr>
      </w:pPr>
      <w:r>
        <w:rPr>
          <w:rFonts w:hint="eastAsia" w:ascii="宋体" w:hAnsi="宋体" w:cs="宋体"/>
          <w:b/>
          <w:color w:val="auto"/>
          <w:szCs w:val="21"/>
          <w:highlight w:val="none"/>
        </w:rPr>
        <w:t>（以下无正文）</w:t>
      </w:r>
      <w:r>
        <w:rPr>
          <w:rFonts w:hint="eastAsia" w:ascii="宋体" w:hAnsi="宋体" w:cs="宋体"/>
          <w:color w:val="auto"/>
          <w:highlight w:val="none"/>
        </w:rPr>
        <w:br w:type="page"/>
      </w:r>
      <w:bookmarkStart w:id="87" w:name="_Toc105014631"/>
      <w:bookmarkStart w:id="88" w:name="_Toc2272556"/>
      <w:r>
        <w:rPr>
          <w:rStyle w:val="26"/>
          <w:rFonts w:ascii="宋体" w:hAnsi="宋体"/>
          <w:b/>
          <w:color w:val="auto"/>
          <w:highlight w:val="none"/>
        </w:rPr>
        <w:t>二、开标、评标及定标办法通用条款</w:t>
      </w:r>
      <w:bookmarkEnd w:id="87"/>
    </w:p>
    <w:bookmarkEnd w:id="88"/>
    <w:p w14:paraId="2CF51387">
      <w:pPr>
        <w:pStyle w:val="8"/>
        <w:spacing w:before="156" w:beforeAutospacing="0" w:after="156" w:afterAutospacing="0" w:line="360" w:lineRule="auto"/>
        <w:ind w:firstLine="422" w:firstLineChars="200"/>
        <w:rPr>
          <w:rFonts w:hint="eastAsia" w:cs="宋体"/>
          <w:b/>
          <w:bCs/>
          <w:color w:val="auto"/>
          <w:sz w:val="21"/>
          <w:szCs w:val="21"/>
          <w:highlight w:val="none"/>
        </w:rPr>
      </w:pPr>
      <w:bookmarkStart w:id="89" w:name="_Toc21525501"/>
      <w:bookmarkEnd w:id="89"/>
      <w:bookmarkStart w:id="90" w:name="_Toc105014632"/>
      <w:bookmarkStart w:id="91" w:name="_Toc2272557"/>
      <w:bookmarkStart w:id="92" w:name="_Toc32637"/>
      <w:r>
        <w:rPr>
          <w:rFonts w:hint="eastAsia" w:cs="宋体"/>
          <w:b/>
          <w:bCs/>
          <w:color w:val="auto"/>
          <w:sz w:val="21"/>
          <w:szCs w:val="21"/>
          <w:highlight w:val="none"/>
        </w:rPr>
        <w:t>（一）总则</w:t>
      </w:r>
      <w:bookmarkEnd w:id="90"/>
      <w:bookmarkEnd w:id="91"/>
      <w:bookmarkEnd w:id="92"/>
    </w:p>
    <w:p w14:paraId="75CDDF33">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35.开标、评标及定标所依据的规则</w:t>
      </w:r>
    </w:p>
    <w:p w14:paraId="757E0F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35.1《中华人民共和国招标投标法》；</w:t>
      </w:r>
    </w:p>
    <w:p w14:paraId="43271F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35.2《中华人民共和国招标投标法实施条例》；</w:t>
      </w:r>
    </w:p>
    <w:p w14:paraId="6D086E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35.3《评标委员会和评标方法暂行规定》（七部委第12号令）</w:t>
      </w:r>
    </w:p>
    <w:p w14:paraId="21734F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35.4《工程建设项目施工招标投标办法》（七部委2003年第30号令）</w:t>
      </w:r>
    </w:p>
    <w:p w14:paraId="389C6D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35.5《广东省实施〈中华人民共和国招标投标法〉办法》；</w:t>
      </w:r>
    </w:p>
    <w:p w14:paraId="4BF131D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35.6《房屋建筑和市政基础设施工程施工招标投标管理办法》（建设部令第89号）</w:t>
      </w:r>
    </w:p>
    <w:p w14:paraId="599F8E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35.7《财政部工业和信息化部关于印发〈政府采购促进中小企业发展管理办法〉的通知》（财库〔2020〕46号）</w:t>
      </w:r>
    </w:p>
    <w:p w14:paraId="1203A53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35.8《广东省加强建设工程招标投标监督管理的若干规定》（粤发[2004]4号）；</w:t>
      </w:r>
    </w:p>
    <w:p w14:paraId="5497DD0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35.9《广东省政府采购促进中小企业发展实施细则（试行）》</w:t>
      </w:r>
    </w:p>
    <w:p w14:paraId="4C9198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35.10《广州市工程建设项目招标投标管理办法》（穗建规字〔2023〕12号）；</w:t>
      </w:r>
    </w:p>
    <w:p w14:paraId="1F6F71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3C51212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35.12本项目招标文件。</w:t>
      </w:r>
    </w:p>
    <w:p w14:paraId="7106816A">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36.开标</w:t>
      </w:r>
    </w:p>
    <w:p w14:paraId="0B392B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p>
    <w:p w14:paraId="31BA10D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36.2 招标人在招标文件要求提交投标文件的截止时间前收到的投标文件，开标时都当众予以解密、公布。</w:t>
      </w:r>
    </w:p>
    <w:p w14:paraId="68DED8C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2FAE9F8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36.4若递交投标文件的投标人不足3家，则重新组织招标。（当N个标段同时招标且不允许兼中时，若有效投标人不足N+2家，则重新组织招标）</w:t>
      </w:r>
    </w:p>
    <w:p w14:paraId="7C7152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36.5按下列程序进行开标：</w:t>
      </w:r>
    </w:p>
    <w:p w14:paraId="61E98E4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36.5.1在投标截止时间后一个小时内，投标人通过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0411BF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36.5.2备用光盘的读取按投标须知前附表第36项的规定执行；</w:t>
      </w:r>
    </w:p>
    <w:p w14:paraId="7A5E99B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36.5.3投标人代表、招标人代表、监标人、记录人等有关人员在开标记录上签字确认；若有关人员不签字的，不影响开标程序；</w:t>
      </w:r>
    </w:p>
    <w:p w14:paraId="3DBA2B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36.5.4开标结束。</w:t>
      </w:r>
    </w:p>
    <w:p w14:paraId="4DA660A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05DA91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36.7开标时，两个（含两个）以上的投标人加密打包投标文件电脑机器特征码一致的，不参与下一程序，并由评标委员会否决其投标。</w:t>
      </w:r>
    </w:p>
    <w:p w14:paraId="7BA0444C">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37．评标</w:t>
      </w:r>
    </w:p>
    <w:p w14:paraId="67818E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37.1评标委员会由招标人依法组建。</w:t>
      </w:r>
    </w:p>
    <w:p w14:paraId="097D14A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37.2评标委员会在开始评标前，应了解评标专家的职责及守则，认真阅读《评标委员会成员声明》的内容并签名，签字后方可进行评标；</w:t>
      </w:r>
    </w:p>
    <w:p w14:paraId="2E1DC9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37.3评标委员会的职责及守则：</w:t>
      </w:r>
    </w:p>
    <w:p w14:paraId="4BE325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37.3.1根据评标细则，对投标文件进行认真评审，完成评审报告；</w:t>
      </w:r>
    </w:p>
    <w:p w14:paraId="43FB72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37.3.2向招标人报告评审意见，推荐合格的中标候选人。</w:t>
      </w:r>
    </w:p>
    <w:p w14:paraId="230DF7B1">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37.3.3</w:t>
      </w:r>
      <w:r>
        <w:rPr>
          <w:rFonts w:hint="eastAsia" w:ascii="宋体" w:hAnsi="宋体" w:cs="宋体"/>
          <w:b/>
          <w:bCs/>
          <w:color w:val="auto"/>
          <w:szCs w:val="21"/>
          <w:highlight w:val="none"/>
        </w:rPr>
        <w:t xml:space="preserve"> </w:t>
      </w:r>
      <w:r>
        <w:rPr>
          <w:rFonts w:hint="eastAsia" w:ascii="宋体" w:hAnsi="宋体" w:cs="宋体"/>
          <w:color w:val="auto"/>
          <w:szCs w:val="21"/>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10486C8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37.3.4全体参与评标人员：</w:t>
      </w:r>
    </w:p>
    <w:p w14:paraId="2ADC8F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37.3.4.1 必须遵守评标纪律、不得泄密；</w:t>
      </w:r>
    </w:p>
    <w:p w14:paraId="18A7925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37.3.4.2 必须公正、不得循私；</w:t>
      </w:r>
    </w:p>
    <w:p w14:paraId="71B907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37.3.4.3 必须科学、不得草率；</w:t>
      </w:r>
    </w:p>
    <w:p w14:paraId="406347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37.3.4.4 必须客观、不得带有成见；</w:t>
      </w:r>
    </w:p>
    <w:p w14:paraId="105166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37.3.4.5 必须平等、不得强加于人；</w:t>
      </w:r>
    </w:p>
    <w:p w14:paraId="2F7A224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37.3.4.6 必须严谨、不得随意马虎。</w:t>
      </w:r>
    </w:p>
    <w:p w14:paraId="1042E0F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37.4 评标结束后，评标委员会递交评标报告并依法推荐中标候选人。 </w:t>
      </w:r>
    </w:p>
    <w:p w14:paraId="22FDA833">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38．投标文件的澄清</w:t>
      </w:r>
    </w:p>
    <w:p w14:paraId="221A403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509A440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5B77CF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38.3 评标委员会或评标委员会专业评审组成员均应当阅读投标人的澄清，但应独立参考澄清对投标文件进行评审。</w:t>
      </w:r>
    </w:p>
    <w:p w14:paraId="6EFC4A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38.4如果投标文件实质上不响应招标文件的各项要求，评标委员会将按照符合性审查标准予以拒绝，不接受投标人通过修改或撤销其不符合要求的差异或保留，使之成为具有响应性的投标。</w:t>
      </w:r>
    </w:p>
    <w:p w14:paraId="70A159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0EE06C5D">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39．定标</w:t>
      </w:r>
    </w:p>
    <w:p w14:paraId="337E601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39.1 招标人根据评标委员会递交的评标报告，最终审定中标人。</w:t>
      </w:r>
    </w:p>
    <w:p w14:paraId="15EC9F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39.2 依法必须进行公开招标的项目，招标人应当确定排名第一的中标候选人为中标人。</w:t>
      </w:r>
    </w:p>
    <w:p w14:paraId="492865F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674012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39.4排名第二的中标候选人出现前款所列的情形的，招标人可以确定排名第三的中标候选人为中标人。以此类推，如所有中标候选人均出现前款所列的情形，为招标失败，招标人依法重新招标。</w:t>
      </w:r>
    </w:p>
    <w:p w14:paraId="0DF2AD5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39.5 重新评标的，评标信息（含业绩、奖项等）仍以投标截止时投标人的信息为准。因特殊原因需要延长投标有效期，投标人拒绝延长投标有效期的，仍参与评标，但不被推荐为中标候选人。</w:t>
      </w:r>
      <w:bookmarkStart w:id="93" w:name="_Toc2272558"/>
      <w:bookmarkEnd w:id="93"/>
      <w:bookmarkStart w:id="94" w:name="_Toc105014633"/>
      <w:bookmarkStart w:id="95" w:name="_Toc21525502"/>
    </w:p>
    <w:p w14:paraId="140961BD">
      <w:pPr>
        <w:spacing w:line="360"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（二）开标评标办法程序和细则</w:t>
      </w:r>
      <w:bookmarkEnd w:id="94"/>
      <w:bookmarkEnd w:id="95"/>
    </w:p>
    <w:p w14:paraId="272FD79B">
      <w:pPr>
        <w:spacing w:line="360" w:lineRule="auto"/>
        <w:ind w:firstLine="420" w:firstLineChars="200"/>
        <w:rPr>
          <w:rFonts w:hint="eastAsia" w:ascii="宋体" w:hAnsi="宋体" w:cs="宋体"/>
          <w:color w:val="auto"/>
          <w:szCs w:val="21"/>
          <w:highlight w:val="none"/>
        </w:rPr>
      </w:pPr>
      <w:bookmarkStart w:id="96" w:name="_Toc100130481"/>
      <w:bookmarkStart w:id="97" w:name="_Toc71617140"/>
      <w:r>
        <w:rPr>
          <w:rFonts w:hint="eastAsia" w:ascii="宋体" w:hAnsi="宋体" w:cs="宋体"/>
          <w:color w:val="auto"/>
          <w:szCs w:val="21"/>
          <w:highlight w:val="none"/>
        </w:rPr>
        <w:t>注：以下八种评标办法所述企业综合诚信评价分数即投标截止当日广州市工程招标代理行业协会网站上公布的企业综合诚信评价60日诚信分。</w:t>
      </w:r>
    </w:p>
    <w:p w14:paraId="7D9788F7">
      <w:pPr>
        <w:spacing w:line="360" w:lineRule="auto"/>
        <w:ind w:firstLine="420" w:firstLineChars="200"/>
        <w:rPr>
          <w:rFonts w:hint="eastAsia" w:ascii="宋体" w:hAnsi="宋体" w:cs="宋体"/>
          <w:color w:val="auto"/>
          <w:szCs w:val="21"/>
          <w:highlight w:val="none"/>
        </w:rPr>
      </w:pPr>
    </w:p>
    <w:p w14:paraId="0E2ED9F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可选办法七（适合综合评分法四，技术标与经济标同时开启）</w:t>
      </w:r>
      <w:bookmarkEnd w:id="96"/>
      <w:bookmarkEnd w:id="97"/>
    </w:p>
    <w:p w14:paraId="017914F5">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40．开标和评标程序</w:t>
      </w:r>
    </w:p>
    <w:p w14:paraId="4C5319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40.1技术标（含资格审查文件）与经济标投标文件同时公开开标；</w:t>
      </w:r>
    </w:p>
    <w:p w14:paraId="4E7420C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40.2由评标委员会对所有已公开开标的投标人进行资格审查；</w:t>
      </w:r>
    </w:p>
    <w:p w14:paraId="064759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40.3技术标投标文件有效性审查；</w:t>
      </w:r>
    </w:p>
    <w:p w14:paraId="760F43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40.4技术标详细审查评分；</w:t>
      </w:r>
    </w:p>
    <w:p w14:paraId="5EA3E7F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40.5经济标详细审查评分； </w:t>
      </w:r>
    </w:p>
    <w:p w14:paraId="2B993D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40.6评标委员会按照投标人总得分由高至低排序；</w:t>
      </w:r>
    </w:p>
    <w:p w14:paraId="600927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40.7经济标投标文件有效性审查；</w:t>
      </w:r>
    </w:p>
    <w:p w14:paraId="0955AEA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40.8评标委员会按排序向招标人推荐中标候选人名单，并递交资格审查报告及评标报告。</w:t>
      </w:r>
    </w:p>
    <w:p w14:paraId="36206736">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41．开标细则</w:t>
      </w:r>
    </w:p>
    <w:p w14:paraId="263395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41.1开标由招标人主持；</w:t>
      </w:r>
    </w:p>
    <w:p w14:paraId="115DBC4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41.2 细则</w:t>
      </w:r>
    </w:p>
    <w:p w14:paraId="3CDB462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41.2.1投标截止期前，各投标人递交投标文件（包括技术标投标文件、经济标投标文件）至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交易平台。有关投标文件提交的事项详见第一章投标须知。 </w:t>
      </w:r>
    </w:p>
    <w:p w14:paraId="05C193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41.2.2开标前，首先由招标人随机抽取确定该工程计算评标参考价的等分点值X。</w:t>
      </w:r>
    </w:p>
    <w:p w14:paraId="107496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41.2.3开标时，投标人代表有权出席开标会，也可以自主决定不参加开标会，若投标人代表对开标过程提出异议，该投标人代表须同时出示本人身份证原件。</w:t>
      </w:r>
    </w:p>
    <w:p w14:paraId="29E1A06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41.2.4按36.5.1的规定完成解密后，公布下列内容，并予以记录，记录提交评标委员会评审：</w:t>
      </w:r>
    </w:p>
    <w:p w14:paraId="5210BC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252B36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41.3招标人对开标过程进行记录，并存档备查，投标人在技术标开标记录上签字。</w:t>
      </w:r>
    </w:p>
    <w:p w14:paraId="007A50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41.4 招标人将上述符合要求的投标文件，送至评标委员会进行评审。</w:t>
      </w:r>
    </w:p>
    <w:p w14:paraId="70A7CA3D">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42. 资格审查及评标细则</w:t>
      </w:r>
    </w:p>
    <w:p w14:paraId="6C6F08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42.1资格审查及评标均由招标人依法组建的评标委员会负责。</w:t>
      </w:r>
    </w:p>
    <w:p w14:paraId="349AC6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42.2评标委员会的组成：方式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53B830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方式一：评标委员会为综合评标委员会，负责资格审查及评标工作。</w:t>
      </w:r>
    </w:p>
    <w:p w14:paraId="0625F3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方式二：评标委员会由技术评审组和经济评审组组成。其中：资格审查及技术评审由技术评标组负责，经济评审由经济评审组负责。</w:t>
      </w:r>
    </w:p>
    <w:p w14:paraId="64C3F663">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43．投标人资格审查</w:t>
      </w:r>
    </w:p>
    <w:p w14:paraId="6246E4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14:paraId="40460D8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43.2汇总资格审查情况，编写资格审查报告。</w:t>
      </w:r>
    </w:p>
    <w:p w14:paraId="0006E12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43.3资格审查不合格的投标文件不参加下一阶段的评标，不参与评标参考价的计算。</w:t>
      </w:r>
    </w:p>
    <w:p w14:paraId="2208648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68F4633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43.5资审合格后，投标人的资格发生变化而不满足投标人合格条件，在发出中标通知书前，资格问题仍未解决的，招标人将取消其中标资格。</w:t>
      </w:r>
    </w:p>
    <w:p w14:paraId="7646314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43.6资格审查合格的投标人少于3名的（当N个标段同时招标且不允许兼中时，资格审查合格的投标人少于N+2名），则本项目招标失败。</w:t>
      </w:r>
    </w:p>
    <w:p w14:paraId="45510143">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44．技术标评审</w:t>
      </w:r>
    </w:p>
    <w:p w14:paraId="7024EB4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14:paraId="38A6569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58468AB8">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45．经济标评审和得分汇总</w:t>
      </w:r>
    </w:p>
    <w:p w14:paraId="3DE130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45.1若通过技术标有效性审查的投标人中所有投标报价均大于等于最高投标限价*D%（D的取值范围为[94,100],由招标人自主确定）的（具体金额为：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元），则本项目招标失败，由招标人依法重新招标。</w:t>
      </w:r>
    </w:p>
    <w:p w14:paraId="231738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45.2按方法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计算评标参考价：</w:t>
      </w:r>
    </w:p>
    <w:p w14:paraId="79B48848">
      <w:pPr>
        <w:spacing w:line="360" w:lineRule="auto"/>
        <w:ind w:firstLine="422" w:firstLineChars="200"/>
        <w:rPr>
          <w:rFonts w:hint="eastAsia" w:ascii="宋体" w:hAnsi="宋体" w:cs="宋体"/>
          <w:color w:val="auto"/>
          <w:szCs w:val="21"/>
          <w:highlight w:val="none"/>
        </w:rPr>
      </w:pPr>
      <w:r>
        <w:rPr>
          <w:rFonts w:hint="eastAsia" w:ascii="宋体" w:hAnsi="宋体" w:cs="宋体"/>
          <w:b/>
          <w:bCs/>
          <w:color w:val="auto"/>
          <w:kern w:val="0"/>
          <w:szCs w:val="21"/>
          <w:highlight w:val="none"/>
        </w:rPr>
        <w:t>方法：区间抽取法</w:t>
      </w:r>
    </w:p>
    <w:p w14:paraId="6439F04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3229AA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评标参考价=（Q</w:t>
      </w:r>
      <w:r>
        <w:rPr>
          <w:rFonts w:hint="eastAsia" w:ascii="宋体" w:hAnsi="宋体" w:cs="宋体"/>
          <w:color w:val="auto"/>
          <w:kern w:val="0"/>
          <w:szCs w:val="21"/>
          <w:highlight w:val="none"/>
          <w:vertAlign w:val="subscript"/>
        </w:rPr>
        <w:t>高</w:t>
      </w: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低</w:t>
      </w:r>
      <w:r>
        <w:rPr>
          <w:rFonts w:hint="eastAsia" w:ascii="宋体" w:hAnsi="宋体" w:cs="宋体"/>
          <w:color w:val="auto"/>
          <w:kern w:val="0"/>
          <w:szCs w:val="21"/>
          <w:highlight w:val="none"/>
        </w:rPr>
        <w:t>）/100*Ｘ+Q</w:t>
      </w:r>
      <w:r>
        <w:rPr>
          <w:rFonts w:hint="eastAsia" w:ascii="宋体" w:hAnsi="宋体" w:cs="宋体"/>
          <w:color w:val="auto"/>
          <w:kern w:val="0"/>
          <w:szCs w:val="21"/>
          <w:highlight w:val="none"/>
          <w:vertAlign w:val="subscript"/>
        </w:rPr>
        <w:t>低</w:t>
      </w:r>
    </w:p>
    <w:p w14:paraId="47D14A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Q</w:t>
      </w:r>
      <w:r>
        <w:rPr>
          <w:rFonts w:hint="eastAsia" w:ascii="宋体" w:hAnsi="宋体" w:cs="宋体"/>
          <w:color w:val="auto"/>
          <w:szCs w:val="21"/>
          <w:highlight w:val="none"/>
          <w:vertAlign w:val="subscript"/>
        </w:rPr>
        <w:t>低</w:t>
      </w:r>
      <w:r>
        <w:rPr>
          <w:rFonts w:hint="eastAsia" w:ascii="宋体" w:hAnsi="宋体" w:cs="宋体"/>
          <w:color w:val="auto"/>
          <w:szCs w:val="21"/>
          <w:highlight w:val="none"/>
        </w:rPr>
        <w:t>：为达到或超过技术标及格分数线的投标人最低报价与工程成本警示价两者中的较高值；</w:t>
      </w:r>
    </w:p>
    <w:p w14:paraId="7E7F294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高</w:t>
      </w:r>
      <w:r>
        <w:rPr>
          <w:rFonts w:hint="eastAsia" w:ascii="宋体" w:hAnsi="宋体" w:cs="宋体"/>
          <w:color w:val="auto"/>
          <w:szCs w:val="21"/>
          <w:highlight w:val="none"/>
        </w:rPr>
        <w:t>：为（最高投标限价*D%）（D的取值范围为[94,100],由招标人自定）</w:t>
      </w:r>
    </w:p>
    <w:p w14:paraId="6854CD6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X:为等分点值，在开标前从[0,100]整数中随机抽取。</w:t>
      </w:r>
    </w:p>
    <w:p w14:paraId="746800F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45.3</w:t>
      </w:r>
      <w:r>
        <w:rPr>
          <w:rFonts w:hint="eastAsia" w:ascii="宋体" w:hAnsi="宋体" w:cs="宋体"/>
          <w:color w:val="auto"/>
          <w:szCs w:val="21"/>
          <w:highlight w:val="none"/>
        </w:rPr>
        <w:t>当标价等于评标参考价时得100分，标价每高于评标参考价1%，扣1.5分，每低于评标参考价1%，扣1分，扣至0分为止，得出经济分，精确到小数点后两位。</w:t>
      </w:r>
    </w:p>
    <w:p w14:paraId="5B12C0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45.4计算通过技术标有效性审查的投标人总得分。投标人总得分=（技术得分×技术得分权重＋经济得分×经济得分权重）×（1-诚信综合评价分数权重）＋诚信综合评价排名得分×诚信综合评价分数权重）。技术、经济得分权重按投标须知前附表的规定执行。总得分四舍五入保留两位小数。</w:t>
      </w:r>
    </w:p>
    <w:p w14:paraId="47827705">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46.经济标的有效性审查</w:t>
      </w:r>
    </w:p>
    <w:p w14:paraId="26CDB5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14:paraId="603254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46.2经济标的算术校核。评标委员会对进行经济标有效性审查的投标文件投标报价按照就低不就高的原则进行算术校核，具体标准如下：</w:t>
      </w:r>
    </w:p>
    <w:p w14:paraId="0F9A7D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46.2.1如果数字表示的金额和用文字表示的金额不一致时，应以文字表示的金额为准；</w:t>
      </w:r>
    </w:p>
    <w:p w14:paraId="037F00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46.2.2经算术复核的投标人报价与其投标报价不一致时，按就低不就高原则确定其最终报价；</w:t>
      </w:r>
    </w:p>
    <w:p w14:paraId="352119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0A13E7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46.2.4当合价、金额累加错误时，按就低不就高原则，如果累加修正值小于原累加值，则按累加修正值；如果累加修正值大于原累加值，则按原累加值；</w:t>
      </w:r>
    </w:p>
    <w:p w14:paraId="6C19AD5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46.2.5如果投标人的有关规费、暂列金额、暂估价、绿色施工安全防护措施费等未按招标文件规定的金额填写的，由评标委员会按照招标文件规定的金额进行修正；</w:t>
      </w:r>
    </w:p>
    <w:p w14:paraId="3EF794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0A6F3A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46.2.7按就低不就高原则，当修正后报价小于原报价，总价按修正后报价；当修正后报价大于原报价，总价按原报价，并在签订合同时载明在结算价中扣除修正报价与原报价的差额。</w:t>
      </w:r>
    </w:p>
    <w:p w14:paraId="14F6E4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46.2.8按上述修正错误的原则及方法调整或修正投标文件的投标报价，调整后的投标报价对投标人起约束作用。如果投标人不接受修正后的报价，则取消其投标资格，并且其投标保证金也将不予退还。</w:t>
      </w:r>
    </w:p>
    <w:p w14:paraId="4B8A09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69F7550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48.评标委员会应在通过投标文件经济标有效性审查的投标人中，按步骤45.4确定的投标人排序，推荐前3名依次为第一中标候选人至第三中标候选人,并编制评标报告。</w:t>
      </w:r>
    </w:p>
    <w:p w14:paraId="6CFDDE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49.若通过经济标有效性审查的投标人不足三家，应当依法重新招标。（当N个标段同时招标且不允许兼中时，若有效投标人不足N+2家，应当依法重新招标）</w:t>
      </w:r>
    </w:p>
    <w:p w14:paraId="2ED612B3">
      <w:pPr>
        <w:widowControl/>
        <w:jc w:val="left"/>
        <w:rPr>
          <w:rFonts w:hint="eastAsia" w:ascii="宋体" w:hAnsi="宋体" w:cs="宋体"/>
          <w:b/>
          <w:color w:val="auto"/>
          <w:sz w:val="24"/>
          <w:szCs w:val="24"/>
          <w:highlight w:val="none"/>
        </w:rPr>
      </w:pPr>
      <w:r>
        <w:rPr>
          <w:rFonts w:hint="eastAsia" w:ascii="宋体" w:cs="宋体"/>
          <w:color w:val="auto"/>
          <w:sz w:val="24"/>
          <w:szCs w:val="24"/>
          <w:highlight w:val="none"/>
        </w:rPr>
        <w:br w:type="page"/>
      </w:r>
    </w:p>
    <w:p w14:paraId="53D52990">
      <w:pPr>
        <w:widowControl/>
        <w:snapToGrid w:val="0"/>
        <w:spacing w:line="360" w:lineRule="auto"/>
        <w:ind w:right="102"/>
        <w:jc w:val="left"/>
        <w:rPr>
          <w:rFonts w:hint="eastAsia" w:ascii="宋体" w:hAnsi="宋体" w:cs="宋体"/>
          <w:color w:val="auto"/>
          <w:szCs w:val="21"/>
          <w:highlight w:val="none"/>
        </w:rPr>
      </w:pPr>
      <w:r>
        <w:rPr>
          <w:rFonts w:hint="eastAsia" w:ascii="宋体" w:hAnsi="宋体" w:cs="宋体"/>
          <w:color w:val="auto"/>
          <w:szCs w:val="21"/>
          <w:highlight w:val="none"/>
        </w:rPr>
        <w:t>附表一：</w:t>
      </w:r>
    </w:p>
    <w:p w14:paraId="3E7B643A">
      <w:pPr>
        <w:jc w:val="center"/>
        <w:outlineLvl w:val="1"/>
        <w:rPr>
          <w:rFonts w:hint="eastAsia" w:ascii="宋体" w:hAnsi="宋体" w:cs="宋体"/>
          <w:b/>
          <w:color w:val="auto"/>
          <w:sz w:val="32"/>
          <w:szCs w:val="32"/>
          <w:highlight w:val="none"/>
        </w:rPr>
      </w:pPr>
      <w:r>
        <w:rPr>
          <w:rFonts w:hint="eastAsia" w:ascii="宋体" w:hAnsi="宋体" w:cs="宋体"/>
          <w:b/>
          <w:color w:val="auto"/>
          <w:sz w:val="32"/>
          <w:szCs w:val="32"/>
          <w:highlight w:val="none"/>
        </w:rPr>
        <w:t>资格审查表</w:t>
      </w:r>
    </w:p>
    <w:p w14:paraId="61B8663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工程名称：</w:t>
      </w:r>
    </w:p>
    <w:p w14:paraId="7D61557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投标人名称：</w:t>
      </w:r>
    </w:p>
    <w:tbl>
      <w:tblPr>
        <w:tblStyle w:val="21"/>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17"/>
        <w:gridCol w:w="3990"/>
        <w:gridCol w:w="4227"/>
        <w:gridCol w:w="720"/>
      </w:tblGrid>
      <w:tr w14:paraId="3D38C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blHeader/>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673E2AC4">
            <w:pPr>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22DE7D8C">
            <w:pPr>
              <w:jc w:val="center"/>
              <w:rPr>
                <w:rFonts w:hint="eastAsia" w:ascii="宋体" w:hAnsi="宋体" w:cs="宋体"/>
                <w:b/>
                <w:color w:val="auto"/>
                <w:szCs w:val="21"/>
                <w:highlight w:val="none"/>
              </w:rPr>
            </w:pPr>
            <w:r>
              <w:rPr>
                <w:rFonts w:hint="eastAsia" w:ascii="宋体" w:hAnsi="宋体" w:cs="宋体"/>
                <w:b/>
                <w:color w:val="auto"/>
                <w:szCs w:val="21"/>
                <w:highlight w:val="none"/>
              </w:rPr>
              <w:t>审查项目</w:t>
            </w:r>
          </w:p>
        </w:tc>
        <w:tc>
          <w:tcPr>
            <w:tcW w:w="4227" w:type="dxa"/>
            <w:tcBorders>
              <w:top w:val="single" w:color="auto" w:sz="4" w:space="0"/>
              <w:left w:val="single" w:color="auto" w:sz="4" w:space="0"/>
              <w:bottom w:val="single" w:color="auto" w:sz="4" w:space="0"/>
              <w:right w:val="single" w:color="auto" w:sz="4" w:space="0"/>
            </w:tcBorders>
            <w:noWrap w:val="0"/>
            <w:vAlign w:val="center"/>
          </w:tcPr>
          <w:p w14:paraId="58C7C6C0">
            <w:pPr>
              <w:jc w:val="center"/>
              <w:rPr>
                <w:rFonts w:hint="eastAsia" w:ascii="宋体" w:hAnsi="宋体" w:cs="宋体"/>
                <w:b/>
                <w:color w:val="auto"/>
                <w:szCs w:val="21"/>
                <w:highlight w:val="none"/>
              </w:rPr>
            </w:pPr>
            <w:r>
              <w:rPr>
                <w:rFonts w:hint="eastAsia" w:ascii="宋体" w:hAnsi="宋体" w:cs="宋体"/>
                <w:b/>
                <w:color w:val="auto"/>
                <w:szCs w:val="21"/>
                <w:highlight w:val="none"/>
              </w:rPr>
              <w:t>须审查的资料</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272A066">
            <w:pPr>
              <w:jc w:val="center"/>
              <w:rPr>
                <w:rFonts w:hint="eastAsia" w:ascii="宋体" w:hAnsi="宋体" w:cs="宋体"/>
                <w:b/>
                <w:color w:val="auto"/>
                <w:szCs w:val="21"/>
                <w:highlight w:val="none"/>
              </w:rPr>
            </w:pPr>
            <w:r>
              <w:rPr>
                <w:rFonts w:hint="eastAsia" w:ascii="宋体" w:hAnsi="宋体" w:cs="宋体"/>
                <w:b/>
                <w:color w:val="auto"/>
                <w:szCs w:val="21"/>
                <w:highlight w:val="none"/>
              </w:rPr>
              <w:t>审查结果</w:t>
            </w:r>
          </w:p>
        </w:tc>
      </w:tr>
      <w:tr w14:paraId="068F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66"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4D65B3CD">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4545A8C7">
            <w:pPr>
              <w:jc w:val="left"/>
              <w:rPr>
                <w:rFonts w:hint="eastAsia" w:ascii="宋体" w:hAnsi="宋体" w:cs="宋体"/>
                <w:color w:val="auto"/>
                <w:szCs w:val="21"/>
                <w:highlight w:val="none"/>
              </w:rPr>
            </w:pPr>
            <w:r>
              <w:rPr>
                <w:rFonts w:hint="eastAsia" w:ascii="宋体" w:hAnsi="宋体" w:cs="宋体"/>
                <w:color w:val="auto"/>
                <w:szCs w:val="21"/>
                <w:highlight w:val="none"/>
              </w:rPr>
              <w:t>投标人参加投标的意思表达清楚，投标人代表被授权有效</w:t>
            </w:r>
          </w:p>
        </w:tc>
        <w:tc>
          <w:tcPr>
            <w:tcW w:w="4227" w:type="dxa"/>
            <w:tcBorders>
              <w:top w:val="single" w:color="auto" w:sz="4" w:space="0"/>
              <w:left w:val="single" w:color="auto" w:sz="4" w:space="0"/>
              <w:bottom w:val="single" w:color="auto" w:sz="4" w:space="0"/>
              <w:right w:val="single" w:color="auto" w:sz="4" w:space="0"/>
            </w:tcBorders>
            <w:noWrap w:val="0"/>
            <w:vAlign w:val="center"/>
          </w:tcPr>
          <w:p w14:paraId="1CAD5D4F">
            <w:pPr>
              <w:jc w:val="left"/>
              <w:rPr>
                <w:rFonts w:hint="eastAsia" w:ascii="宋体" w:hAnsi="宋体" w:cs="宋体"/>
                <w:color w:val="auto"/>
                <w:szCs w:val="21"/>
                <w:highlight w:val="none"/>
              </w:rPr>
            </w:pPr>
            <w:r>
              <w:rPr>
                <w:rFonts w:hint="eastAsia" w:ascii="宋体" w:hAnsi="宋体" w:cs="宋体"/>
                <w:color w:val="auto"/>
                <w:szCs w:val="21"/>
                <w:highlight w:val="none"/>
              </w:rPr>
              <w:t>投标人声明原件扫描件；法定代表人/</w:t>
            </w:r>
            <w:r>
              <w:rPr>
                <w:rFonts w:hint="eastAsia" w:ascii="宋体" w:hAnsi="宋体" w:cs="宋体"/>
                <w:bCs/>
                <w:color w:val="auto"/>
                <w:szCs w:val="21"/>
                <w:highlight w:val="none"/>
              </w:rPr>
              <w:t>企业负责人</w:t>
            </w:r>
            <w:r>
              <w:rPr>
                <w:rFonts w:hint="eastAsia" w:ascii="宋体" w:hAnsi="宋体" w:cs="宋体"/>
                <w:color w:val="auto"/>
                <w:szCs w:val="21"/>
                <w:highlight w:val="none"/>
              </w:rPr>
              <w:t>证明书；委托投标的还应提供法人授权委托证明书扫描件</w:t>
            </w:r>
            <w:r>
              <w:rPr>
                <w:rFonts w:hint="eastAsia" w:ascii="宋体" w:hAnsi="宋体"/>
                <w:color w:val="auto"/>
                <w:szCs w:val="21"/>
                <w:highlight w:val="none"/>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553B658B">
            <w:pPr>
              <w:jc w:val="center"/>
              <w:rPr>
                <w:rFonts w:hint="eastAsia" w:ascii="宋体" w:hAnsi="宋体" w:cs="宋体"/>
                <w:color w:val="auto"/>
                <w:szCs w:val="21"/>
                <w:highlight w:val="none"/>
              </w:rPr>
            </w:pPr>
          </w:p>
        </w:tc>
      </w:tr>
      <w:tr w14:paraId="0499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0"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312BBD07">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1B729F18">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投标人均具有独立法人资格，按国家法律经营</w:t>
            </w:r>
          </w:p>
        </w:tc>
        <w:tc>
          <w:tcPr>
            <w:tcW w:w="4227" w:type="dxa"/>
            <w:tcBorders>
              <w:top w:val="single" w:color="auto" w:sz="4" w:space="0"/>
              <w:left w:val="single" w:color="auto" w:sz="4" w:space="0"/>
              <w:bottom w:val="single" w:color="auto" w:sz="4" w:space="0"/>
              <w:right w:val="single" w:color="auto" w:sz="4" w:space="0"/>
            </w:tcBorders>
            <w:noWrap w:val="0"/>
            <w:vAlign w:val="center"/>
          </w:tcPr>
          <w:p w14:paraId="08EE50E2">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营业执照扫描件或电子证照。</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0D6E76EF">
            <w:pPr>
              <w:jc w:val="center"/>
              <w:rPr>
                <w:rFonts w:hint="eastAsia" w:ascii="宋体" w:hAnsi="宋体" w:cs="宋体"/>
                <w:color w:val="auto"/>
                <w:szCs w:val="21"/>
                <w:highlight w:val="none"/>
              </w:rPr>
            </w:pPr>
          </w:p>
        </w:tc>
      </w:tr>
      <w:tr w14:paraId="21ED7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132CEB8C">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183238F1">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投标人持有建设行政主管部门颁发的有效期</w:t>
            </w:r>
            <w:r>
              <w:rPr>
                <w:rFonts w:ascii="宋体" w:hAnsi="宋体" w:cs="宋体"/>
                <w:color w:val="auto"/>
                <w:szCs w:val="21"/>
                <w:highlight w:val="none"/>
              </w:rPr>
              <w:t>内</w:t>
            </w:r>
            <w:r>
              <w:rPr>
                <w:rFonts w:hint="eastAsia" w:ascii="宋体" w:hAnsi="宋体" w:cs="宋体"/>
                <w:color w:val="auto"/>
                <w:szCs w:val="21"/>
                <w:highlight w:val="none"/>
              </w:rPr>
              <w:t>的企业资质证书及安全生产许可证；投标人资质符合公告要求</w:t>
            </w:r>
          </w:p>
        </w:tc>
        <w:tc>
          <w:tcPr>
            <w:tcW w:w="4227" w:type="dxa"/>
            <w:tcBorders>
              <w:top w:val="single" w:color="auto" w:sz="4" w:space="0"/>
              <w:left w:val="single" w:color="auto" w:sz="4" w:space="0"/>
              <w:bottom w:val="single" w:color="auto" w:sz="4" w:space="0"/>
              <w:right w:val="single" w:color="auto" w:sz="4" w:space="0"/>
            </w:tcBorders>
            <w:noWrap w:val="0"/>
            <w:vAlign w:val="center"/>
          </w:tcPr>
          <w:p w14:paraId="133974FE">
            <w:pPr>
              <w:spacing w:line="320" w:lineRule="exact"/>
              <w:jc w:val="left"/>
              <w:rPr>
                <w:rFonts w:hint="eastAsia" w:ascii="宋体" w:hAnsi="宋体" w:cs="宋体"/>
                <w:color w:val="auto"/>
                <w:szCs w:val="21"/>
                <w:highlight w:val="none"/>
              </w:rPr>
            </w:pPr>
            <w:r>
              <w:rPr>
                <w:rFonts w:hint="eastAsia" w:ascii="宋体" w:hAnsi="宋体" w:eastAsia="宋体" w:cs="宋体"/>
                <w:color w:val="auto"/>
                <w:szCs w:val="21"/>
                <w:highlight w:val="none"/>
              </w:rPr>
              <w:t>资质证书及安全生产许可证扫描件或电子证照</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36DADC0">
            <w:pPr>
              <w:jc w:val="center"/>
              <w:rPr>
                <w:rFonts w:hint="eastAsia" w:ascii="宋体" w:hAnsi="宋体" w:cs="宋体"/>
                <w:color w:val="auto"/>
                <w:szCs w:val="21"/>
                <w:highlight w:val="none"/>
              </w:rPr>
            </w:pPr>
          </w:p>
        </w:tc>
      </w:tr>
      <w:tr w14:paraId="17D13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31958155">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2208D552">
            <w:pPr>
              <w:jc w:val="left"/>
              <w:rPr>
                <w:rFonts w:hint="eastAsia" w:ascii="宋体" w:hAnsi="宋体" w:cs="宋体"/>
                <w:color w:val="auto"/>
                <w:szCs w:val="21"/>
                <w:highlight w:val="none"/>
              </w:rPr>
            </w:pPr>
            <w:r>
              <w:rPr>
                <w:rFonts w:hint="eastAsia" w:ascii="宋体" w:hAnsi="宋体" w:cs="宋体"/>
                <w:color w:val="auto"/>
                <w:szCs w:val="21"/>
                <w:highlight w:val="none"/>
              </w:rPr>
              <w:t>投标人拟担任本工程项目负责人符合公告要求</w:t>
            </w:r>
          </w:p>
        </w:tc>
        <w:tc>
          <w:tcPr>
            <w:tcW w:w="4227" w:type="dxa"/>
            <w:tcBorders>
              <w:top w:val="single" w:color="auto" w:sz="4" w:space="0"/>
              <w:left w:val="single" w:color="auto" w:sz="4" w:space="0"/>
              <w:bottom w:val="single" w:color="auto" w:sz="4" w:space="0"/>
              <w:right w:val="single" w:color="auto" w:sz="4" w:space="0"/>
            </w:tcBorders>
            <w:noWrap w:val="0"/>
            <w:vAlign w:val="center"/>
          </w:tcPr>
          <w:p w14:paraId="479E76C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有效期内的建造师注册证书扫描件或电子证书</w:t>
            </w:r>
          </w:p>
          <w:p w14:paraId="40A6F94B">
            <w:pPr>
              <w:jc w:val="left"/>
              <w:rPr>
                <w:rFonts w:hint="eastAsia" w:ascii="宋体" w:hAnsi="宋体" w:cs="宋体"/>
                <w:strike/>
                <w:color w:val="auto"/>
                <w:szCs w:val="21"/>
                <w:highlight w:val="none"/>
              </w:rPr>
            </w:pPr>
            <w:r>
              <w:rPr>
                <w:rFonts w:hint="eastAsia" w:ascii="宋体" w:hAnsi="宋体" w:eastAsia="宋体" w:cs="宋体"/>
                <w:color w:val="auto"/>
                <w:szCs w:val="21"/>
                <w:highlight w:val="none"/>
              </w:rPr>
              <w:t>（注：打印建造师电子证书后，在个人签名处手写本人签名再扫描提交。）</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9A0700F">
            <w:pPr>
              <w:jc w:val="center"/>
              <w:rPr>
                <w:rFonts w:hint="eastAsia" w:ascii="宋体" w:hAnsi="宋体" w:cs="宋体"/>
                <w:color w:val="auto"/>
                <w:szCs w:val="21"/>
                <w:highlight w:val="none"/>
              </w:rPr>
            </w:pPr>
          </w:p>
        </w:tc>
      </w:tr>
      <w:tr w14:paraId="701E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19BB531D">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2528138B">
            <w:pPr>
              <w:jc w:val="left"/>
              <w:rPr>
                <w:rFonts w:hint="eastAsia" w:ascii="宋体" w:hAnsi="宋体" w:cs="宋体"/>
                <w:color w:val="auto"/>
                <w:szCs w:val="21"/>
                <w:highlight w:val="none"/>
              </w:rPr>
            </w:pPr>
            <w:r>
              <w:rPr>
                <w:rFonts w:hint="eastAsia" w:ascii="宋体" w:hAnsi="宋体" w:cs="宋体"/>
                <w:color w:val="auto"/>
                <w:szCs w:val="21"/>
                <w:highlight w:val="none"/>
              </w:rPr>
              <w:t>项目负责人持有安全生产考核合格证（B类）或建筑施工企业项目负责人安全生产考核合格证书</w:t>
            </w:r>
          </w:p>
        </w:tc>
        <w:tc>
          <w:tcPr>
            <w:tcW w:w="4227" w:type="dxa"/>
            <w:tcBorders>
              <w:top w:val="single" w:color="auto" w:sz="4" w:space="0"/>
              <w:left w:val="single" w:color="auto" w:sz="4" w:space="0"/>
              <w:bottom w:val="single" w:color="auto" w:sz="4" w:space="0"/>
              <w:right w:val="single" w:color="auto" w:sz="4" w:space="0"/>
            </w:tcBorders>
            <w:noWrap w:val="0"/>
            <w:vAlign w:val="center"/>
          </w:tcPr>
          <w:p w14:paraId="1B11AA41">
            <w:pPr>
              <w:jc w:val="left"/>
              <w:rPr>
                <w:rFonts w:hint="eastAsia" w:ascii="宋体" w:hAnsi="宋体" w:cs="宋体"/>
                <w:color w:val="auto"/>
                <w:szCs w:val="21"/>
                <w:highlight w:val="none"/>
              </w:rPr>
            </w:pPr>
            <w:r>
              <w:rPr>
                <w:rFonts w:hint="eastAsia" w:ascii="宋体" w:hAnsi="宋体" w:cs="宋体"/>
                <w:color w:val="auto"/>
                <w:szCs w:val="21"/>
                <w:highlight w:val="none"/>
                <w:u w:val="single"/>
              </w:rPr>
              <w:t>项目负责人安全生产考核合格证（B类）或建筑施工企业项目负责人安全生产考核合格证证书扫描件或电子证书。</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4A4B4B9">
            <w:pPr>
              <w:jc w:val="center"/>
              <w:rPr>
                <w:rFonts w:hint="eastAsia" w:ascii="宋体" w:hAnsi="宋体" w:cs="宋体"/>
                <w:color w:val="auto"/>
                <w:szCs w:val="21"/>
                <w:highlight w:val="none"/>
              </w:rPr>
            </w:pPr>
          </w:p>
        </w:tc>
      </w:tr>
      <w:tr w14:paraId="5547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6869FB5A">
            <w:pPr>
              <w:jc w:val="center"/>
              <w:rPr>
                <w:rFonts w:hint="eastAsia" w:ascii="宋体" w:hAnsi="宋体" w:cs="宋体"/>
                <w:color w:val="auto"/>
                <w:szCs w:val="21"/>
                <w:highlight w:val="none"/>
              </w:rPr>
            </w:pPr>
            <w:r>
              <w:rPr>
                <w:rFonts w:hint="eastAsia" w:ascii="宋体" w:hAnsi="宋体"/>
                <w:color w:val="auto"/>
                <w:szCs w:val="21"/>
                <w:highlight w:val="none"/>
              </w:rPr>
              <w:t>6</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18BB97D4">
            <w:pPr>
              <w:jc w:val="left"/>
              <w:rPr>
                <w:rFonts w:hint="eastAsia" w:ascii="宋体" w:hAnsi="宋体"/>
                <w:color w:val="auto"/>
                <w:szCs w:val="21"/>
                <w:highlight w:val="none"/>
              </w:rPr>
            </w:pPr>
            <w:r>
              <w:rPr>
                <w:rFonts w:hint="eastAsia" w:ascii="宋体" w:hAnsi="宋体"/>
                <w:color w:val="auto"/>
                <w:szCs w:val="21"/>
                <w:highlight w:val="none"/>
              </w:rPr>
              <w:t>投标人拟担任本工程技术负责人符合公告要求</w:t>
            </w:r>
          </w:p>
        </w:tc>
        <w:tc>
          <w:tcPr>
            <w:tcW w:w="4227" w:type="dxa"/>
            <w:tcBorders>
              <w:top w:val="single" w:color="auto" w:sz="4" w:space="0"/>
              <w:left w:val="single" w:color="auto" w:sz="4" w:space="0"/>
              <w:bottom w:val="single" w:color="auto" w:sz="4" w:space="0"/>
              <w:right w:val="single" w:color="auto" w:sz="4" w:space="0"/>
            </w:tcBorders>
            <w:noWrap w:val="0"/>
            <w:vAlign w:val="center"/>
          </w:tcPr>
          <w:p w14:paraId="65089F4E">
            <w:pPr>
              <w:jc w:val="left"/>
              <w:rPr>
                <w:rFonts w:hint="eastAsia" w:ascii="宋体" w:hAnsi="宋体"/>
                <w:color w:val="auto"/>
                <w:szCs w:val="21"/>
                <w:highlight w:val="none"/>
              </w:rPr>
            </w:pPr>
            <w:r>
              <w:rPr>
                <w:rFonts w:hint="eastAsia" w:ascii="宋体" w:hAnsi="宋体" w:cs="宋体"/>
                <w:bCs/>
                <w:color w:val="auto"/>
                <w:szCs w:val="21"/>
                <w:highlight w:val="none"/>
                <w:u w:val="single"/>
              </w:rPr>
              <w:t>拟委派技术负责人的职称证书清晰扫描件。</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883E01E">
            <w:pPr>
              <w:jc w:val="center"/>
              <w:rPr>
                <w:rFonts w:hint="eastAsia" w:ascii="宋体" w:hAnsi="宋体" w:cs="宋体"/>
                <w:color w:val="auto"/>
                <w:szCs w:val="21"/>
                <w:highlight w:val="none"/>
              </w:rPr>
            </w:pPr>
          </w:p>
        </w:tc>
      </w:tr>
      <w:tr w14:paraId="4BEF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095E6C3E">
            <w:pPr>
              <w:jc w:val="center"/>
              <w:rPr>
                <w:rFonts w:hint="eastAsia" w:ascii="宋体" w:hAnsi="宋体"/>
                <w:color w:val="auto"/>
                <w:szCs w:val="21"/>
                <w:highlight w:val="none"/>
              </w:rPr>
            </w:pPr>
            <w:r>
              <w:rPr>
                <w:rFonts w:hint="eastAsia" w:ascii="宋体" w:hAnsi="宋体" w:cs="宋体"/>
                <w:color w:val="auto"/>
                <w:szCs w:val="21"/>
                <w:highlight w:val="none"/>
              </w:rPr>
              <w:t>7</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3DE23879">
            <w:pPr>
              <w:jc w:val="left"/>
              <w:rPr>
                <w:rFonts w:hint="eastAsia" w:ascii="宋体" w:hAnsi="宋体" w:cs="宋体"/>
                <w:color w:val="auto"/>
                <w:szCs w:val="21"/>
                <w:highlight w:val="none"/>
              </w:rPr>
            </w:pPr>
            <w:r>
              <w:rPr>
                <w:rFonts w:hint="eastAsia" w:ascii="宋体" w:hAnsi="宋体" w:cs="宋体"/>
                <w:color w:val="auto"/>
                <w:szCs w:val="21"/>
                <w:highlight w:val="none"/>
              </w:rPr>
              <w:t>专职安全员须具有在有效期内的安全生产考核合格证书（C类）或建筑施工企业专职安全生产管理人员安全生产考核合格证书（C3）</w:t>
            </w:r>
          </w:p>
        </w:tc>
        <w:tc>
          <w:tcPr>
            <w:tcW w:w="4227" w:type="dxa"/>
            <w:tcBorders>
              <w:top w:val="single" w:color="auto" w:sz="4" w:space="0"/>
              <w:left w:val="single" w:color="auto" w:sz="4" w:space="0"/>
              <w:bottom w:val="single" w:color="auto" w:sz="4" w:space="0"/>
              <w:right w:val="single" w:color="auto" w:sz="4" w:space="0"/>
            </w:tcBorders>
            <w:noWrap w:val="0"/>
            <w:vAlign w:val="center"/>
          </w:tcPr>
          <w:p w14:paraId="4180A4D8">
            <w:pPr>
              <w:jc w:val="left"/>
              <w:rPr>
                <w:rFonts w:hint="eastAsia" w:ascii="宋体" w:hAnsi="宋体" w:cs="宋体"/>
                <w:color w:val="auto"/>
                <w:szCs w:val="21"/>
                <w:highlight w:val="none"/>
              </w:rPr>
            </w:pPr>
            <w:r>
              <w:rPr>
                <w:rFonts w:hint="eastAsia" w:ascii="宋体" w:hAnsi="宋体"/>
                <w:color w:val="auto"/>
                <w:szCs w:val="21"/>
                <w:highlight w:val="none"/>
              </w:rPr>
              <w:t>专职安全员的安全生产考核合格证（C类）或建筑施工企业专职安全生产管理人员安全生产考核合格证（C3）证书扫描件或电子证书。</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E67A60F">
            <w:pPr>
              <w:jc w:val="center"/>
              <w:rPr>
                <w:rFonts w:hint="eastAsia" w:ascii="宋体" w:hAnsi="宋体" w:cs="宋体"/>
                <w:strike/>
                <w:color w:val="auto"/>
                <w:szCs w:val="21"/>
                <w:highlight w:val="none"/>
              </w:rPr>
            </w:pPr>
          </w:p>
        </w:tc>
      </w:tr>
      <w:tr w14:paraId="64629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7AEFB65A">
            <w:pPr>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09B41D9E">
            <w:pPr>
              <w:jc w:val="left"/>
              <w:rPr>
                <w:rFonts w:hint="eastAsia" w:ascii="宋体" w:hAnsi="宋体" w:cs="宋体"/>
                <w:color w:val="auto"/>
                <w:szCs w:val="21"/>
                <w:highlight w:val="none"/>
              </w:rPr>
            </w:pPr>
            <w:r>
              <w:rPr>
                <w:rFonts w:hint="eastAsia" w:ascii="宋体" w:hAnsi="宋体" w:cs="宋体"/>
                <w:color w:val="auto"/>
                <w:szCs w:val="21"/>
                <w:highlight w:val="none"/>
              </w:rPr>
              <w:t>投标人提供的投标人声明符合公告要求</w:t>
            </w:r>
          </w:p>
        </w:tc>
        <w:tc>
          <w:tcPr>
            <w:tcW w:w="4227" w:type="dxa"/>
            <w:tcBorders>
              <w:top w:val="single" w:color="auto" w:sz="4" w:space="0"/>
              <w:left w:val="single" w:color="auto" w:sz="4" w:space="0"/>
              <w:bottom w:val="single" w:color="auto" w:sz="4" w:space="0"/>
              <w:right w:val="single" w:color="auto" w:sz="4" w:space="0"/>
            </w:tcBorders>
            <w:noWrap w:val="0"/>
            <w:vAlign w:val="center"/>
          </w:tcPr>
          <w:p w14:paraId="50FB7550">
            <w:pPr>
              <w:jc w:val="left"/>
              <w:rPr>
                <w:rFonts w:hint="eastAsia" w:ascii="宋体" w:hAnsi="宋体" w:cs="宋体"/>
                <w:color w:val="auto"/>
                <w:szCs w:val="21"/>
                <w:highlight w:val="none"/>
              </w:rPr>
            </w:pPr>
            <w:r>
              <w:rPr>
                <w:rFonts w:hint="eastAsia" w:ascii="宋体" w:hAnsi="宋体" w:cs="宋体"/>
                <w:color w:val="auto"/>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75F15F3">
            <w:pPr>
              <w:jc w:val="center"/>
              <w:rPr>
                <w:rFonts w:hint="eastAsia" w:ascii="宋体" w:hAnsi="宋体" w:cs="宋体"/>
                <w:color w:val="auto"/>
                <w:szCs w:val="21"/>
                <w:highlight w:val="none"/>
              </w:rPr>
            </w:pPr>
          </w:p>
        </w:tc>
      </w:tr>
      <w:tr w14:paraId="1514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86"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5DF60AE9">
            <w:pPr>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161844FA">
            <w:pPr>
              <w:jc w:val="left"/>
              <w:rPr>
                <w:rFonts w:hint="eastAsia" w:ascii="宋体" w:hAnsi="宋体" w:cs="宋体"/>
                <w:color w:val="auto"/>
                <w:spacing w:val="-2"/>
                <w:szCs w:val="21"/>
                <w:highlight w:val="none"/>
              </w:rPr>
            </w:pPr>
            <w:r>
              <w:rPr>
                <w:rFonts w:hint="eastAsia" w:ascii="宋体" w:hAnsi="宋体" w:cs="宋体"/>
                <w:color w:val="auto"/>
                <w:szCs w:val="21"/>
                <w:highlight w:val="none"/>
              </w:rPr>
              <w:t>投标人声明中签字</w:t>
            </w:r>
            <w:r>
              <w:rPr>
                <w:rFonts w:hint="eastAsia" w:ascii="宋体" w:hAnsi="宋体" w:cs="宋体"/>
                <w:color w:val="auto"/>
                <w:szCs w:val="21"/>
                <w:highlight w:val="none"/>
                <w:u w:val="single"/>
              </w:rPr>
              <w:t>或盖章</w:t>
            </w:r>
            <w:r>
              <w:rPr>
                <w:rFonts w:hint="eastAsia" w:ascii="宋体" w:hAnsi="宋体" w:cs="宋体"/>
                <w:color w:val="auto"/>
                <w:szCs w:val="21"/>
                <w:highlight w:val="none"/>
              </w:rPr>
              <w:t>的项目负责人和技术负责人与本项目拟派的项目负责人和技术负责人一致；</w:t>
            </w:r>
          </w:p>
        </w:tc>
        <w:tc>
          <w:tcPr>
            <w:tcW w:w="4227" w:type="dxa"/>
            <w:tcBorders>
              <w:top w:val="single" w:color="auto" w:sz="4" w:space="0"/>
              <w:left w:val="single" w:color="auto" w:sz="4" w:space="0"/>
              <w:bottom w:val="single" w:color="auto" w:sz="4" w:space="0"/>
              <w:right w:val="single" w:color="auto" w:sz="4" w:space="0"/>
            </w:tcBorders>
            <w:noWrap w:val="0"/>
            <w:vAlign w:val="center"/>
          </w:tcPr>
          <w:p w14:paraId="3ACA2B14">
            <w:pPr>
              <w:jc w:val="left"/>
              <w:rPr>
                <w:rFonts w:hint="eastAsia" w:ascii="宋体" w:hAnsi="宋体" w:cs="宋体"/>
                <w:color w:val="auto"/>
                <w:szCs w:val="21"/>
                <w:highlight w:val="none"/>
              </w:rPr>
            </w:pPr>
            <w:r>
              <w:rPr>
                <w:rFonts w:hint="eastAsia" w:ascii="宋体" w:hAnsi="宋体"/>
                <w:color w:val="auto"/>
                <w:szCs w:val="21"/>
                <w:highlight w:val="none"/>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0FD2A25E">
            <w:pPr>
              <w:jc w:val="center"/>
              <w:rPr>
                <w:rFonts w:hint="eastAsia" w:ascii="宋体" w:hAnsi="宋体" w:cs="宋体"/>
                <w:color w:val="auto"/>
                <w:szCs w:val="21"/>
                <w:highlight w:val="none"/>
              </w:rPr>
            </w:pPr>
          </w:p>
        </w:tc>
      </w:tr>
      <w:tr w14:paraId="0B49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5A40B66D">
            <w:pPr>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3596F79E">
            <w:pPr>
              <w:spacing w:before="120" w:after="60"/>
              <w:jc w:val="left"/>
              <w:rPr>
                <w:rFonts w:hint="eastAsia" w:ascii="宋体" w:hAnsi="宋体" w:cs="宋体"/>
                <w:color w:val="auto"/>
                <w:szCs w:val="21"/>
                <w:highlight w:val="none"/>
                <w:u w:val="single"/>
              </w:rPr>
            </w:pPr>
            <w:r>
              <w:rPr>
                <w:rFonts w:hint="eastAsia" w:ascii="宋体" w:hAnsi="宋体" w:cs="宋体"/>
                <w:color w:val="auto"/>
                <w:szCs w:val="21"/>
                <w:highlight w:val="none"/>
              </w:rPr>
              <w:t>关于联合体投标</w:t>
            </w:r>
          </w:p>
        </w:tc>
        <w:tc>
          <w:tcPr>
            <w:tcW w:w="4227" w:type="dxa"/>
            <w:tcBorders>
              <w:top w:val="single" w:color="auto" w:sz="4" w:space="0"/>
              <w:left w:val="single" w:color="auto" w:sz="4" w:space="0"/>
              <w:bottom w:val="single" w:color="auto" w:sz="4" w:space="0"/>
              <w:right w:val="single" w:color="auto" w:sz="4" w:space="0"/>
            </w:tcBorders>
            <w:noWrap w:val="0"/>
            <w:vAlign w:val="center"/>
          </w:tcPr>
          <w:p w14:paraId="1AA311F7">
            <w:pPr>
              <w:spacing w:before="120" w:after="6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本项目</w:t>
            </w:r>
            <w:r>
              <w:rPr>
                <w:rFonts w:hint="eastAsia" w:ascii="宋体" w:hAnsi="宋体" w:cs="宋体"/>
                <w:color w:val="auto"/>
                <w:szCs w:val="21"/>
                <w:highlight w:val="none"/>
                <w:u w:val="single"/>
                <w:lang w:val="en-US" w:eastAsia="zh-CN"/>
              </w:rPr>
              <w:t>不</w:t>
            </w:r>
            <w:r>
              <w:rPr>
                <w:rFonts w:hint="eastAsia" w:ascii="宋体" w:hAnsi="宋体" w:cs="宋体"/>
                <w:color w:val="auto"/>
                <w:szCs w:val="21"/>
                <w:highlight w:val="none"/>
                <w:u w:val="single"/>
              </w:rPr>
              <w:t>接受联合体投标。</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6A94DB2">
            <w:pPr>
              <w:jc w:val="center"/>
              <w:rPr>
                <w:rFonts w:hint="eastAsia" w:ascii="宋体" w:hAnsi="宋体" w:cs="宋体"/>
                <w:color w:val="auto"/>
                <w:szCs w:val="21"/>
                <w:highlight w:val="none"/>
              </w:rPr>
            </w:pPr>
          </w:p>
        </w:tc>
      </w:tr>
      <w:tr w14:paraId="1767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101C5B41">
            <w:pPr>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49AEBC1C">
            <w:pPr>
              <w:spacing w:before="120" w:after="60" w:line="240" w:lineRule="exact"/>
              <w:jc w:val="center"/>
              <w:rPr>
                <w:rFonts w:hint="eastAsia" w:ascii="宋体" w:hAnsi="宋体" w:cs="宋体"/>
                <w:color w:val="auto"/>
                <w:szCs w:val="21"/>
                <w:highlight w:val="none"/>
              </w:rPr>
            </w:pPr>
            <w:r>
              <w:rPr>
                <w:rFonts w:hint="eastAsia" w:ascii="宋体" w:hAnsi="宋体"/>
                <w:color w:val="auto"/>
                <w:szCs w:val="21"/>
                <w:highlight w:val="none"/>
              </w:rPr>
              <w:t>资格审查前，投标人须在广州公共资源交易中心办理企业信息登记手续及拟担任本工程项目负责人、专职安全员须是本企业中的在册人员。</w:t>
            </w:r>
          </w:p>
        </w:tc>
        <w:tc>
          <w:tcPr>
            <w:tcW w:w="4227" w:type="dxa"/>
            <w:tcBorders>
              <w:top w:val="single" w:color="auto" w:sz="4" w:space="0"/>
              <w:left w:val="single" w:color="auto" w:sz="4" w:space="0"/>
              <w:bottom w:val="single" w:color="auto" w:sz="4" w:space="0"/>
              <w:right w:val="single" w:color="auto" w:sz="4" w:space="0"/>
            </w:tcBorders>
            <w:noWrap w:val="0"/>
            <w:vAlign w:val="center"/>
          </w:tcPr>
          <w:p w14:paraId="47F8C70F">
            <w:pPr>
              <w:spacing w:before="120" w:after="60" w:line="240" w:lineRule="exact"/>
              <w:jc w:val="center"/>
              <w:rPr>
                <w:rFonts w:hint="eastAsia" w:ascii="宋体" w:hAnsi="宋体" w:cs="宋体"/>
                <w:color w:val="auto"/>
                <w:szCs w:val="21"/>
                <w:highlight w:val="none"/>
              </w:rPr>
            </w:pPr>
            <w:r>
              <w:rPr>
                <w:rFonts w:hint="eastAsia" w:ascii="宋体" w:hAnsi="宋体"/>
                <w:color w:val="auto"/>
                <w:szCs w:val="21"/>
                <w:highlight w:val="none"/>
              </w:rPr>
              <w:t>投标人在广州公共资源交易中心内的企业和人员信息</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37492FE">
            <w:pPr>
              <w:jc w:val="center"/>
              <w:rPr>
                <w:rFonts w:hint="eastAsia" w:ascii="宋体" w:hAnsi="宋体" w:cs="宋体"/>
                <w:color w:val="auto"/>
                <w:szCs w:val="21"/>
                <w:highlight w:val="none"/>
              </w:rPr>
            </w:pPr>
          </w:p>
        </w:tc>
      </w:tr>
      <w:tr w14:paraId="56C3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48079DA4">
            <w:pPr>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59C4F4D4">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投标人未出现以下情形：与其它投标人的单位负责人为同一人或者存在控股、管理关系的（按投标人提供的《投标人声明》第八条内容进行评审）</w:t>
            </w:r>
          </w:p>
        </w:tc>
        <w:tc>
          <w:tcPr>
            <w:tcW w:w="4227" w:type="dxa"/>
            <w:tcBorders>
              <w:top w:val="single" w:color="auto" w:sz="4" w:space="0"/>
              <w:left w:val="single" w:color="auto" w:sz="4" w:space="0"/>
              <w:bottom w:val="single" w:color="auto" w:sz="4" w:space="0"/>
              <w:right w:val="single" w:color="auto" w:sz="4" w:space="0"/>
            </w:tcBorders>
            <w:noWrap w:val="0"/>
            <w:vAlign w:val="center"/>
          </w:tcPr>
          <w:p w14:paraId="401C8B36">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投标人声明扫描件。</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4DA287D">
            <w:pPr>
              <w:jc w:val="center"/>
              <w:rPr>
                <w:rFonts w:hint="eastAsia" w:ascii="宋体" w:hAnsi="宋体" w:cs="宋体"/>
                <w:color w:val="auto"/>
                <w:szCs w:val="21"/>
                <w:highlight w:val="none"/>
              </w:rPr>
            </w:pPr>
          </w:p>
        </w:tc>
      </w:tr>
      <w:tr w14:paraId="57DBB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2360D6B4">
            <w:pPr>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2B5BC463">
            <w:pPr>
              <w:spacing w:before="120" w:after="60" w:line="240" w:lineRule="exact"/>
              <w:jc w:val="center"/>
              <w:rPr>
                <w:rFonts w:hint="eastAsia" w:ascii="宋体" w:cs="宋体"/>
                <w:color w:val="auto"/>
                <w:szCs w:val="21"/>
                <w:highlight w:val="none"/>
                <w:u w:val="single"/>
              </w:rPr>
            </w:pPr>
            <w:r>
              <w:rPr>
                <w:rFonts w:hint="eastAsia" w:ascii="宋体" w:hAnsi="宋体" w:eastAsia="宋体" w:cs="宋体"/>
                <w:color w:val="auto"/>
                <w:szCs w:val="21"/>
                <w:highlight w:val="none"/>
                <w:u w:val="single"/>
              </w:rPr>
              <w:t>投标人未被列入拖欠农民工工资失信联合惩戒对象名单</w:t>
            </w:r>
          </w:p>
        </w:tc>
        <w:tc>
          <w:tcPr>
            <w:tcW w:w="4227" w:type="dxa"/>
            <w:tcBorders>
              <w:top w:val="single" w:color="auto" w:sz="4" w:space="0"/>
              <w:left w:val="single" w:color="auto" w:sz="4" w:space="0"/>
              <w:bottom w:val="single" w:color="auto" w:sz="4" w:space="0"/>
              <w:right w:val="single" w:color="auto" w:sz="4" w:space="0"/>
            </w:tcBorders>
            <w:noWrap w:val="0"/>
            <w:vAlign w:val="center"/>
          </w:tcPr>
          <w:p w14:paraId="4BDA934D">
            <w:pPr>
              <w:spacing w:before="120" w:after="60" w:line="240" w:lineRule="exact"/>
              <w:jc w:val="center"/>
              <w:rPr>
                <w:rFonts w:hint="eastAsia" w:ascii="宋体" w:cs="宋体"/>
                <w:color w:val="auto"/>
                <w:szCs w:val="21"/>
                <w:highlight w:val="none"/>
                <w:u w:val="single"/>
              </w:rPr>
            </w:pPr>
            <w:r>
              <w:rPr>
                <w:rFonts w:hint="eastAsia" w:ascii="宋体" w:hAnsi="宋体" w:eastAsia="宋体" w:cs="宋体"/>
                <w:color w:val="auto"/>
                <w:szCs w:val="21"/>
                <w:highlight w:val="none"/>
              </w:rPr>
              <w:t>投标人无需提供资料，按交易系统比对的结果进行评审</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5107CAA6">
            <w:pPr>
              <w:jc w:val="center"/>
              <w:rPr>
                <w:rFonts w:hint="eastAsia" w:ascii="宋体" w:hAnsi="宋体" w:cs="宋体"/>
                <w:color w:val="auto"/>
                <w:szCs w:val="21"/>
                <w:highlight w:val="none"/>
              </w:rPr>
            </w:pPr>
          </w:p>
        </w:tc>
      </w:tr>
      <w:tr w14:paraId="0B83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8834" w:type="dxa"/>
            <w:gridSpan w:val="3"/>
            <w:tcBorders>
              <w:top w:val="single" w:color="auto" w:sz="4" w:space="0"/>
              <w:left w:val="single" w:color="auto" w:sz="4" w:space="0"/>
              <w:bottom w:val="single" w:color="auto" w:sz="4" w:space="0"/>
              <w:right w:val="single" w:color="auto" w:sz="4" w:space="0"/>
            </w:tcBorders>
            <w:noWrap w:val="0"/>
            <w:vAlign w:val="center"/>
          </w:tcPr>
          <w:p w14:paraId="01BC2015">
            <w:pPr>
              <w:jc w:val="center"/>
              <w:rPr>
                <w:rFonts w:hint="eastAsia" w:ascii="宋体" w:hAnsi="宋体" w:cs="宋体"/>
                <w:b/>
                <w:color w:val="auto"/>
                <w:szCs w:val="21"/>
                <w:highlight w:val="none"/>
              </w:rPr>
            </w:pPr>
            <w:r>
              <w:rPr>
                <w:rFonts w:hint="eastAsia" w:ascii="宋体" w:hAnsi="宋体" w:cs="宋体"/>
                <w:b/>
                <w:color w:val="auto"/>
                <w:szCs w:val="21"/>
                <w:highlight w:val="none"/>
              </w:rPr>
              <w:t>评审结论</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3016510">
            <w:pPr>
              <w:jc w:val="center"/>
              <w:rPr>
                <w:rFonts w:hint="eastAsia" w:ascii="宋体" w:hAnsi="宋体" w:cs="宋体"/>
                <w:color w:val="auto"/>
                <w:szCs w:val="21"/>
                <w:highlight w:val="none"/>
              </w:rPr>
            </w:pPr>
          </w:p>
        </w:tc>
      </w:tr>
    </w:tbl>
    <w:p w14:paraId="2AE56D2E">
      <w:pPr>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备注：</w:t>
      </w:r>
    </w:p>
    <w:p w14:paraId="4B56926E">
      <w:pPr>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 xml:space="preserve">1．每一项目符合的打“○”，不符合的打“×”； </w:t>
      </w:r>
    </w:p>
    <w:p w14:paraId="3BF4546F">
      <w:pPr>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2．若评委意见不一致时，则按少数服从多数的原则，作出评审结论。汇总后，出现一个“×”的结论为“不通过”。</w:t>
      </w:r>
    </w:p>
    <w:p w14:paraId="14B72B72">
      <w:pPr>
        <w:ind w:firstLine="470" w:firstLineChars="224"/>
        <w:rPr>
          <w:rFonts w:hint="eastAsia" w:ascii="宋体" w:hAnsi="宋体" w:cs="宋体"/>
          <w:color w:val="auto"/>
          <w:szCs w:val="21"/>
          <w:highlight w:val="none"/>
          <w:u w:val="single"/>
        </w:rPr>
      </w:pPr>
      <w:r>
        <w:rPr>
          <w:rFonts w:hint="eastAsia" w:ascii="宋体" w:hAnsi="宋体" w:cs="宋体"/>
          <w:color w:val="auto"/>
          <w:szCs w:val="21"/>
          <w:highlight w:val="none"/>
          <w:u w:val="singl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1EF9AF61">
      <w:pPr>
        <w:pStyle w:val="13"/>
        <w:rPr>
          <w:rFonts w:hint="eastAsia" w:hAnsi="宋体"/>
          <w:color w:val="auto"/>
          <w:highlight w:val="none"/>
        </w:rPr>
      </w:pPr>
    </w:p>
    <w:p w14:paraId="7EEC0D27">
      <w:pPr>
        <w:rPr>
          <w:rFonts w:hint="eastAsia" w:ascii="宋体" w:hAnsi="宋体" w:cs="宋体"/>
          <w:color w:val="auto"/>
          <w:highlight w:val="none"/>
        </w:rPr>
        <w:sectPr>
          <w:footerReference r:id="rId7" w:type="default"/>
          <w:endnotePr>
            <w:numFmt w:val="decimal"/>
          </w:endnotePr>
          <w:pgSz w:w="11906" w:h="16838"/>
          <w:pgMar w:top="1134" w:right="1304" w:bottom="1134" w:left="1304" w:header="851" w:footer="567" w:gutter="0"/>
          <w:pgNumType w:start="1"/>
          <w:cols w:space="720" w:num="1"/>
          <w:docGrid w:type="lines" w:linePitch="312" w:charSpace="0"/>
        </w:sectPr>
      </w:pPr>
    </w:p>
    <w:p w14:paraId="0677248E">
      <w:pPr>
        <w:rPr>
          <w:rFonts w:hint="eastAsia" w:ascii="宋体" w:hAnsi="宋体" w:cs="宋体"/>
          <w:color w:val="auto"/>
          <w:szCs w:val="21"/>
          <w:highlight w:val="none"/>
        </w:rPr>
      </w:pPr>
      <w:r>
        <w:rPr>
          <w:rFonts w:hint="eastAsia" w:ascii="宋体" w:hAnsi="宋体" w:cs="宋体"/>
          <w:color w:val="auto"/>
          <w:szCs w:val="21"/>
          <w:highlight w:val="none"/>
        </w:rPr>
        <w:t>附表二</w:t>
      </w:r>
    </w:p>
    <w:p w14:paraId="2975041D">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技术标有效性审查表</w:t>
      </w:r>
    </w:p>
    <w:p w14:paraId="2EB9DA0F">
      <w:pPr>
        <w:rPr>
          <w:rFonts w:hint="eastAsia" w:ascii="宋体" w:hAnsi="宋体" w:cs="宋体"/>
          <w:color w:val="auto"/>
          <w:szCs w:val="21"/>
          <w:highlight w:val="none"/>
        </w:rPr>
      </w:pPr>
      <w:r>
        <w:rPr>
          <w:rFonts w:hint="eastAsia" w:ascii="宋体" w:hAnsi="宋体" w:cs="宋体"/>
          <w:color w:val="auto"/>
          <w:szCs w:val="21"/>
          <w:highlight w:val="none"/>
        </w:rPr>
        <w:t>工程名称：</w:t>
      </w:r>
    </w:p>
    <w:tbl>
      <w:tblPr>
        <w:tblStyle w:val="21"/>
        <w:tblW w:w="14738"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05"/>
        <w:gridCol w:w="9165"/>
        <w:gridCol w:w="1245"/>
        <w:gridCol w:w="1170"/>
        <w:gridCol w:w="1275"/>
        <w:gridCol w:w="1178"/>
      </w:tblGrid>
      <w:tr w14:paraId="2BBD4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4A02F541">
            <w:pPr>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9165"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49612C99">
            <w:pPr>
              <w:adjustRightInd w:val="0"/>
              <w:jc w:val="right"/>
              <w:rPr>
                <w:rFonts w:hint="eastAsia" w:ascii="宋体" w:hAnsi="宋体" w:cs="宋体"/>
                <w:color w:val="auto"/>
                <w:szCs w:val="21"/>
                <w:highlight w:val="none"/>
              </w:rPr>
            </w:pPr>
            <w:r>
              <w:rPr>
                <w:rFonts w:hint="eastAsia" w:ascii="宋体" w:hAnsi="宋体" w:cs="宋体"/>
                <w:color w:val="auto"/>
                <w:szCs w:val="21"/>
                <w:highlight w:val="none"/>
              </w:rPr>
              <w:t>投标人</w:t>
            </w:r>
          </w:p>
          <w:p w14:paraId="2AD72B33">
            <w:pPr>
              <w:adjustRightInd w:val="0"/>
              <w:rPr>
                <w:rFonts w:hint="eastAsia" w:ascii="宋体" w:hAnsi="宋体" w:cs="宋体"/>
                <w:color w:val="auto"/>
                <w:szCs w:val="21"/>
                <w:highlight w:val="none"/>
              </w:rPr>
            </w:pPr>
            <w:r>
              <w:rPr>
                <w:rFonts w:hint="eastAsia" w:ascii="宋体" w:hAnsi="宋体" w:cs="宋体"/>
                <w:color w:val="auto"/>
                <w:szCs w:val="21"/>
                <w:highlight w:val="none"/>
              </w:rPr>
              <w:t>评审内容</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73AD278">
            <w:pPr>
              <w:adjustRightInd w:val="0"/>
              <w:jc w:val="center"/>
              <w:rPr>
                <w:rFonts w:hint="eastAsia" w:ascii="宋体" w:hAnsi="宋体" w:cs="宋体"/>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46B977C">
            <w:pPr>
              <w:adjustRightInd w:val="0"/>
              <w:jc w:val="center"/>
              <w:rPr>
                <w:rFonts w:hint="eastAsia" w:ascii="宋体" w:hAnsi="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F2DD0D9">
            <w:pPr>
              <w:adjustRightInd w:val="0"/>
              <w:jc w:val="center"/>
              <w:rPr>
                <w:rFonts w:hint="eastAsia" w:ascii="宋体" w:hAnsi="宋体" w:cs="宋体"/>
                <w:color w:val="auto"/>
                <w:szCs w:val="21"/>
                <w:highlight w:val="none"/>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F0CA1C9">
            <w:pPr>
              <w:adjustRightInd w:val="0"/>
              <w:jc w:val="center"/>
              <w:rPr>
                <w:rFonts w:hint="eastAsia" w:ascii="宋体" w:hAnsi="宋体" w:cs="宋体"/>
                <w:color w:val="auto"/>
                <w:szCs w:val="21"/>
                <w:highlight w:val="none"/>
              </w:rPr>
            </w:pPr>
          </w:p>
        </w:tc>
      </w:tr>
      <w:tr w14:paraId="0005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7A0C6E8A">
            <w:pPr>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165" w:type="dxa"/>
            <w:tcBorders>
              <w:top w:val="single" w:color="auto" w:sz="4" w:space="0"/>
              <w:left w:val="single" w:color="auto" w:sz="4" w:space="0"/>
              <w:bottom w:val="single" w:color="auto" w:sz="4" w:space="0"/>
              <w:right w:val="single" w:color="auto" w:sz="4" w:space="0"/>
            </w:tcBorders>
            <w:noWrap w:val="0"/>
            <w:vAlign w:val="center"/>
          </w:tcPr>
          <w:p w14:paraId="7E067137">
            <w:pPr>
              <w:adjustRightInd w:val="0"/>
              <w:rPr>
                <w:rFonts w:hint="eastAsia" w:ascii="宋体" w:hAnsi="宋体" w:cs="宋体"/>
                <w:color w:val="auto"/>
                <w:szCs w:val="21"/>
                <w:highlight w:val="none"/>
              </w:rPr>
            </w:pPr>
            <w:r>
              <w:rPr>
                <w:rFonts w:hint="eastAsia" w:ascii="宋体" w:hAnsi="宋体" w:cs="宋体"/>
                <w:color w:val="auto"/>
                <w:szCs w:val="21"/>
                <w:highlight w:val="none"/>
                <w:u w:val="single"/>
              </w:rPr>
              <w:t>《广州建设工程施工招标投标书》中的投标总工期</w:t>
            </w:r>
            <w:r>
              <w:rPr>
                <w:rFonts w:hint="eastAsia" w:ascii="宋体" w:hAnsi="宋体" w:cs="宋体"/>
                <w:color w:val="auto"/>
                <w:szCs w:val="21"/>
                <w:highlight w:val="none"/>
              </w:rPr>
              <w:t>不能满足完成投标项目工期的；</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51484C9">
            <w:pPr>
              <w:adjustRightInd w:val="0"/>
              <w:jc w:val="center"/>
              <w:rPr>
                <w:rFonts w:hint="eastAsia" w:ascii="宋体" w:hAnsi="宋体" w:cs="宋体"/>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949859D">
            <w:pPr>
              <w:adjustRightInd w:val="0"/>
              <w:jc w:val="center"/>
              <w:rPr>
                <w:rFonts w:hint="eastAsia" w:ascii="宋体" w:hAnsi="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40EB508">
            <w:pPr>
              <w:adjustRightInd w:val="0"/>
              <w:jc w:val="center"/>
              <w:rPr>
                <w:rFonts w:hint="eastAsia" w:ascii="宋体" w:hAnsi="宋体" w:cs="宋体"/>
                <w:color w:val="auto"/>
                <w:szCs w:val="21"/>
                <w:highlight w:val="none"/>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2634BCF">
            <w:pPr>
              <w:adjustRightInd w:val="0"/>
              <w:jc w:val="center"/>
              <w:rPr>
                <w:rFonts w:hint="eastAsia" w:ascii="宋体" w:hAnsi="宋体" w:cs="宋体"/>
                <w:color w:val="auto"/>
                <w:szCs w:val="21"/>
                <w:highlight w:val="none"/>
              </w:rPr>
            </w:pPr>
          </w:p>
        </w:tc>
      </w:tr>
      <w:tr w14:paraId="108BD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7217456F">
            <w:pPr>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9165" w:type="dxa"/>
            <w:tcBorders>
              <w:top w:val="single" w:color="auto" w:sz="4" w:space="0"/>
              <w:left w:val="single" w:color="auto" w:sz="4" w:space="0"/>
              <w:bottom w:val="single" w:color="auto" w:sz="4" w:space="0"/>
              <w:right w:val="single" w:color="auto" w:sz="4" w:space="0"/>
            </w:tcBorders>
            <w:noWrap w:val="0"/>
            <w:vAlign w:val="center"/>
          </w:tcPr>
          <w:p w14:paraId="27AC083C">
            <w:pPr>
              <w:adjustRightInd w:val="0"/>
              <w:rPr>
                <w:rFonts w:hint="eastAsia" w:ascii="宋体" w:hAnsi="宋体" w:cs="宋体"/>
                <w:color w:val="auto"/>
                <w:szCs w:val="21"/>
                <w:highlight w:val="none"/>
              </w:rPr>
            </w:pPr>
            <w:r>
              <w:rPr>
                <w:rFonts w:hint="eastAsia" w:ascii="宋体" w:hAnsi="宋体" w:cs="宋体"/>
                <w:color w:val="auto"/>
                <w:szCs w:val="21"/>
                <w:highlight w:val="none"/>
                <w:u w:val="single"/>
              </w:rPr>
              <w:t>《广州建设工程施工招标投标书》中的工程质量标准不符合招标文件要求的；</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EE4DB08">
            <w:pPr>
              <w:adjustRightInd w:val="0"/>
              <w:jc w:val="center"/>
              <w:rPr>
                <w:rFonts w:hint="eastAsia" w:ascii="宋体" w:hAnsi="宋体" w:cs="宋体"/>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E349F69">
            <w:pPr>
              <w:adjustRightInd w:val="0"/>
              <w:jc w:val="center"/>
              <w:rPr>
                <w:rFonts w:hint="eastAsia" w:ascii="宋体" w:hAnsi="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0C3800D">
            <w:pPr>
              <w:adjustRightInd w:val="0"/>
              <w:jc w:val="center"/>
              <w:rPr>
                <w:rFonts w:hint="eastAsia" w:ascii="宋体" w:hAnsi="宋体" w:cs="宋体"/>
                <w:color w:val="auto"/>
                <w:szCs w:val="21"/>
                <w:highlight w:val="none"/>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18D1E6C">
            <w:pPr>
              <w:adjustRightInd w:val="0"/>
              <w:jc w:val="center"/>
              <w:rPr>
                <w:rFonts w:hint="eastAsia" w:ascii="宋体" w:hAnsi="宋体" w:cs="宋体"/>
                <w:color w:val="auto"/>
                <w:szCs w:val="21"/>
                <w:highlight w:val="none"/>
              </w:rPr>
            </w:pPr>
          </w:p>
        </w:tc>
      </w:tr>
      <w:tr w14:paraId="6864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308A2930">
            <w:pPr>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165" w:type="dxa"/>
            <w:tcBorders>
              <w:top w:val="single" w:color="auto" w:sz="4" w:space="0"/>
              <w:left w:val="single" w:color="auto" w:sz="4" w:space="0"/>
              <w:bottom w:val="single" w:color="auto" w:sz="4" w:space="0"/>
              <w:right w:val="single" w:color="auto" w:sz="4" w:space="0"/>
            </w:tcBorders>
            <w:noWrap w:val="0"/>
            <w:vAlign w:val="center"/>
          </w:tcPr>
          <w:p w14:paraId="60E33F5A">
            <w:pPr>
              <w:adjustRightInd w:val="0"/>
              <w:rPr>
                <w:rFonts w:hint="eastAsia" w:ascii="宋体" w:hAnsi="宋体" w:cs="宋体"/>
                <w:color w:val="auto"/>
                <w:szCs w:val="21"/>
                <w:highlight w:val="none"/>
              </w:rPr>
            </w:pPr>
            <w:r>
              <w:rPr>
                <w:rFonts w:hint="eastAsia" w:ascii="宋体" w:hAnsi="宋体" w:cs="宋体"/>
                <w:color w:val="auto"/>
                <w:szCs w:val="21"/>
                <w:highlight w:val="none"/>
              </w:rPr>
              <w:t>投标文件中没有有效的法定代表人证明书，或由委托代理人签署或盖章的投标文件中没有法定代表人授权书；</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68BF502F">
            <w:pPr>
              <w:adjustRightInd w:val="0"/>
              <w:jc w:val="center"/>
              <w:rPr>
                <w:rFonts w:hint="eastAsia" w:ascii="宋体" w:hAnsi="宋体" w:cs="宋体"/>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C5E17E0">
            <w:pPr>
              <w:adjustRightInd w:val="0"/>
              <w:jc w:val="center"/>
              <w:rPr>
                <w:rFonts w:hint="eastAsia" w:ascii="宋体" w:hAnsi="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BAEFA52">
            <w:pPr>
              <w:adjustRightInd w:val="0"/>
              <w:jc w:val="center"/>
              <w:rPr>
                <w:rFonts w:hint="eastAsia" w:ascii="宋体" w:hAnsi="宋体" w:cs="宋体"/>
                <w:color w:val="auto"/>
                <w:szCs w:val="21"/>
                <w:highlight w:val="none"/>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D750FCF">
            <w:pPr>
              <w:adjustRightInd w:val="0"/>
              <w:jc w:val="center"/>
              <w:rPr>
                <w:rFonts w:hint="eastAsia" w:ascii="宋体" w:hAnsi="宋体" w:cs="宋体"/>
                <w:color w:val="auto"/>
                <w:szCs w:val="21"/>
                <w:highlight w:val="none"/>
              </w:rPr>
            </w:pPr>
          </w:p>
        </w:tc>
      </w:tr>
      <w:tr w14:paraId="1913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3F9B0406">
            <w:pPr>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9165" w:type="dxa"/>
            <w:tcBorders>
              <w:top w:val="single" w:color="auto" w:sz="4" w:space="0"/>
              <w:left w:val="single" w:color="auto" w:sz="4" w:space="0"/>
              <w:bottom w:val="single" w:color="auto" w:sz="4" w:space="0"/>
              <w:right w:val="single" w:color="auto" w:sz="4" w:space="0"/>
            </w:tcBorders>
            <w:noWrap w:val="0"/>
            <w:vAlign w:val="center"/>
          </w:tcPr>
          <w:p w14:paraId="1535FDEB">
            <w:pPr>
              <w:adjustRightInd w:val="0"/>
              <w:rPr>
                <w:rFonts w:hint="eastAsia" w:ascii="宋体" w:hAnsi="宋体" w:cs="宋体"/>
                <w:color w:val="auto"/>
                <w:szCs w:val="21"/>
                <w:highlight w:val="none"/>
              </w:rPr>
            </w:pPr>
            <w:r>
              <w:rPr>
                <w:rFonts w:hint="eastAsia" w:ascii="宋体" w:hAnsi="宋体" w:cs="宋体"/>
                <w:color w:val="auto"/>
                <w:szCs w:val="21"/>
                <w:highlight w:val="none"/>
              </w:rPr>
              <w:t>投标文件未按规定的格式填写</w:t>
            </w:r>
            <w:r>
              <w:rPr>
                <w:rFonts w:hint="eastAsia" w:ascii="宋体" w:hAnsi="宋体" w:cs="宋体"/>
                <w:color w:val="auto"/>
                <w:szCs w:val="21"/>
                <w:highlight w:val="none"/>
                <w:u w:val="single"/>
              </w:rPr>
              <w:t>（除带“★”号的必须按招标文件规定的格式进行编制外，其余格式仅供参考不作为投标文件有效性审查的条件）</w:t>
            </w:r>
            <w:r>
              <w:rPr>
                <w:rFonts w:hint="eastAsia" w:ascii="宋体" w:hAnsi="宋体" w:cs="宋体"/>
                <w:color w:val="auto"/>
                <w:szCs w:val="21"/>
                <w:highlight w:val="none"/>
              </w:rPr>
              <w:t>，或主要内容不全，或关键字迹模糊、无法辨认的；</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48FEBE8">
            <w:pPr>
              <w:adjustRightInd w:val="0"/>
              <w:jc w:val="center"/>
              <w:rPr>
                <w:rFonts w:hint="eastAsia" w:ascii="宋体" w:hAnsi="宋体" w:cs="宋体"/>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2DB9BC7">
            <w:pPr>
              <w:adjustRightInd w:val="0"/>
              <w:jc w:val="center"/>
              <w:rPr>
                <w:rFonts w:hint="eastAsia" w:ascii="宋体" w:hAnsi="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76716B9">
            <w:pPr>
              <w:adjustRightInd w:val="0"/>
              <w:jc w:val="center"/>
              <w:rPr>
                <w:rFonts w:hint="eastAsia" w:ascii="宋体" w:hAnsi="宋体" w:cs="宋体"/>
                <w:color w:val="auto"/>
                <w:szCs w:val="21"/>
                <w:highlight w:val="none"/>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14:paraId="6FBA3E0E">
            <w:pPr>
              <w:adjustRightInd w:val="0"/>
              <w:jc w:val="center"/>
              <w:rPr>
                <w:rFonts w:hint="eastAsia" w:ascii="宋体" w:hAnsi="宋体" w:cs="宋体"/>
                <w:color w:val="auto"/>
                <w:szCs w:val="21"/>
                <w:highlight w:val="none"/>
              </w:rPr>
            </w:pPr>
          </w:p>
        </w:tc>
      </w:tr>
      <w:tr w14:paraId="606F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3CCEDF02">
            <w:pPr>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9165" w:type="dxa"/>
            <w:tcBorders>
              <w:top w:val="single" w:color="auto" w:sz="4" w:space="0"/>
              <w:left w:val="single" w:color="auto" w:sz="4" w:space="0"/>
              <w:bottom w:val="single" w:color="auto" w:sz="4" w:space="0"/>
              <w:right w:val="single" w:color="auto" w:sz="4" w:space="0"/>
            </w:tcBorders>
            <w:noWrap w:val="0"/>
            <w:vAlign w:val="center"/>
          </w:tcPr>
          <w:p w14:paraId="38F64EE1">
            <w:pPr>
              <w:adjustRightInd w:val="0"/>
              <w:rPr>
                <w:rFonts w:hint="eastAsia" w:ascii="宋体" w:hAnsi="宋体" w:cs="宋体"/>
                <w:color w:val="auto"/>
                <w:szCs w:val="21"/>
                <w:highlight w:val="none"/>
              </w:rPr>
            </w:pPr>
            <w:r>
              <w:rPr>
                <w:rFonts w:hint="eastAsia" w:ascii="宋体" w:hAnsi="宋体" w:cs="宋体"/>
                <w:color w:val="auto"/>
                <w:szCs w:val="21"/>
                <w:highlight w:val="none"/>
              </w:rPr>
              <w:t>投标人之间存在《广东省实施&lt;中华人民共和国招标投标法&gt;</w:t>
            </w:r>
            <w:r>
              <w:rPr>
                <w:rFonts w:ascii="宋体" w:hAnsi="宋体" w:cs="宋体"/>
                <w:color w:val="auto"/>
                <w:szCs w:val="21"/>
                <w:highlight w:val="none"/>
              </w:rPr>
              <w:t>办法</w:t>
            </w:r>
            <w:r>
              <w:rPr>
                <w:rFonts w:hint="eastAsia" w:ascii="宋体" w:hAnsi="宋体" w:cs="宋体"/>
                <w:color w:val="auto"/>
                <w:szCs w:val="21"/>
                <w:highlight w:val="none"/>
              </w:rPr>
              <w:t>》第十六条所禁止的情形的；</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DB2410F">
            <w:pPr>
              <w:adjustRightInd w:val="0"/>
              <w:jc w:val="center"/>
              <w:rPr>
                <w:rFonts w:hint="eastAsia" w:ascii="宋体" w:hAnsi="宋体" w:cs="宋体"/>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8E77102">
            <w:pPr>
              <w:adjustRightInd w:val="0"/>
              <w:jc w:val="center"/>
              <w:rPr>
                <w:rFonts w:hint="eastAsia" w:ascii="宋体" w:hAnsi="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FB0493E">
            <w:pPr>
              <w:adjustRightInd w:val="0"/>
              <w:jc w:val="center"/>
              <w:rPr>
                <w:rFonts w:hint="eastAsia" w:ascii="宋体" w:hAnsi="宋体" w:cs="宋体"/>
                <w:color w:val="auto"/>
                <w:szCs w:val="21"/>
                <w:highlight w:val="none"/>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2D3C89B">
            <w:pPr>
              <w:adjustRightInd w:val="0"/>
              <w:jc w:val="center"/>
              <w:rPr>
                <w:rFonts w:hint="eastAsia" w:ascii="宋体" w:hAnsi="宋体" w:cs="宋体"/>
                <w:color w:val="auto"/>
                <w:szCs w:val="21"/>
                <w:highlight w:val="none"/>
              </w:rPr>
            </w:pPr>
          </w:p>
        </w:tc>
      </w:tr>
      <w:tr w14:paraId="020D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4CF2A3CC">
            <w:pPr>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9165" w:type="dxa"/>
            <w:tcBorders>
              <w:top w:val="single" w:color="auto" w:sz="4" w:space="0"/>
              <w:left w:val="single" w:color="auto" w:sz="4" w:space="0"/>
              <w:bottom w:val="single" w:color="auto" w:sz="4" w:space="0"/>
              <w:right w:val="single" w:color="auto" w:sz="4" w:space="0"/>
            </w:tcBorders>
            <w:noWrap w:val="0"/>
            <w:vAlign w:val="center"/>
          </w:tcPr>
          <w:p w14:paraId="2D0046D5">
            <w:pPr>
              <w:adjustRightInd w:val="0"/>
              <w:rPr>
                <w:rFonts w:hint="eastAsia" w:ascii="宋体" w:hAnsi="宋体" w:cs="宋体"/>
                <w:color w:val="auto"/>
                <w:szCs w:val="21"/>
                <w:highlight w:val="none"/>
              </w:rPr>
            </w:pPr>
            <w:r>
              <w:rPr>
                <w:rFonts w:hint="eastAsia" w:ascii="宋体" w:hAnsi="宋体" w:cs="宋体"/>
                <w:color w:val="auto"/>
                <w:szCs w:val="21"/>
                <w:highlight w:val="none"/>
              </w:rPr>
              <w:t>无《参与编制技术标投标文件人员名单》的；</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EFC8A64">
            <w:pPr>
              <w:adjustRightInd w:val="0"/>
              <w:jc w:val="center"/>
              <w:rPr>
                <w:rFonts w:hint="eastAsia" w:ascii="宋体" w:hAnsi="宋体" w:cs="宋体"/>
                <w:color w:val="auto"/>
                <w:szCs w:val="21"/>
                <w:highlight w:val="none"/>
                <w:shd w:val="pct10" w:color="auto" w:fill="FFFFFF"/>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7C4C215">
            <w:pPr>
              <w:adjustRightInd w:val="0"/>
              <w:jc w:val="center"/>
              <w:rPr>
                <w:rFonts w:hint="eastAsia" w:ascii="宋体" w:hAnsi="宋体" w:cs="宋体"/>
                <w:color w:val="auto"/>
                <w:szCs w:val="21"/>
                <w:highlight w:val="none"/>
                <w:shd w:val="pct10" w:color="auto" w:fill="FFFFFF"/>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8F43040">
            <w:pPr>
              <w:adjustRightInd w:val="0"/>
              <w:jc w:val="center"/>
              <w:rPr>
                <w:rFonts w:hint="eastAsia" w:ascii="宋体" w:hAnsi="宋体" w:cs="宋体"/>
                <w:color w:val="auto"/>
                <w:szCs w:val="21"/>
                <w:highlight w:val="none"/>
                <w:shd w:val="pct10" w:color="auto" w:fill="FFFFFF"/>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14:paraId="42FFD5E8">
            <w:pPr>
              <w:adjustRightInd w:val="0"/>
              <w:jc w:val="center"/>
              <w:rPr>
                <w:rFonts w:hint="eastAsia" w:ascii="宋体" w:hAnsi="宋体" w:cs="宋体"/>
                <w:color w:val="auto"/>
                <w:szCs w:val="21"/>
                <w:highlight w:val="none"/>
                <w:shd w:val="pct10" w:color="auto" w:fill="FFFFFF"/>
              </w:rPr>
            </w:pPr>
          </w:p>
        </w:tc>
      </w:tr>
      <w:tr w14:paraId="5799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6A806FCE">
            <w:pPr>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9165" w:type="dxa"/>
            <w:tcBorders>
              <w:top w:val="single" w:color="auto" w:sz="4" w:space="0"/>
              <w:left w:val="single" w:color="auto" w:sz="4" w:space="0"/>
              <w:bottom w:val="single" w:color="auto" w:sz="4" w:space="0"/>
              <w:right w:val="single" w:color="auto" w:sz="4" w:space="0"/>
            </w:tcBorders>
            <w:noWrap w:val="0"/>
            <w:vAlign w:val="center"/>
          </w:tcPr>
          <w:p w14:paraId="55A298D0">
            <w:pPr>
              <w:adjustRightInd w:val="0"/>
              <w:rPr>
                <w:rFonts w:hint="eastAsia" w:ascii="宋体" w:hAnsi="宋体" w:cs="宋体"/>
                <w:color w:val="auto"/>
                <w:szCs w:val="21"/>
                <w:highlight w:val="none"/>
              </w:rPr>
            </w:pPr>
            <w:r>
              <w:rPr>
                <w:rFonts w:hint="eastAsia" w:ascii="宋体" w:hAnsi="宋体" w:cs="宋体"/>
                <w:color w:val="auto"/>
                <w:szCs w:val="21"/>
                <w:highlight w:val="none"/>
              </w:rPr>
              <w:t>投标人与</w:t>
            </w:r>
            <w:r>
              <w:rPr>
                <w:rFonts w:hint="eastAsia" w:ascii="宋体" w:hAnsi="宋体"/>
                <w:color w:val="auto"/>
                <w:highlight w:val="none"/>
                <w:u w:val="single"/>
              </w:rPr>
              <w:t>本项目</w:t>
            </w:r>
            <w:r>
              <w:rPr>
                <w:rFonts w:hint="eastAsia" w:ascii="宋体" w:hAnsi="宋体" w:cs="宋体"/>
                <w:color w:val="auto"/>
                <w:szCs w:val="21"/>
                <w:highlight w:val="none"/>
              </w:rPr>
              <w:t>其他投标人加密打包投标文件电脑机器特征码一致的（以</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交易平台评标系统的检索信息为准）。</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ACA88BB">
            <w:pPr>
              <w:adjustRightInd w:val="0"/>
              <w:jc w:val="center"/>
              <w:rPr>
                <w:rFonts w:hint="eastAsia" w:ascii="宋体" w:hAnsi="宋体" w:cs="宋体"/>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36FA8F1">
            <w:pPr>
              <w:adjustRightInd w:val="0"/>
              <w:jc w:val="center"/>
              <w:rPr>
                <w:rFonts w:hint="eastAsia" w:ascii="宋体" w:hAnsi="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AF2CE0A">
            <w:pPr>
              <w:adjustRightInd w:val="0"/>
              <w:jc w:val="center"/>
              <w:rPr>
                <w:rFonts w:hint="eastAsia" w:ascii="宋体" w:hAnsi="宋体" w:cs="宋体"/>
                <w:color w:val="auto"/>
                <w:szCs w:val="21"/>
                <w:highlight w:val="none"/>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4BAA604">
            <w:pPr>
              <w:adjustRightInd w:val="0"/>
              <w:jc w:val="center"/>
              <w:rPr>
                <w:rFonts w:hint="eastAsia" w:ascii="宋体" w:hAnsi="宋体" w:cs="宋体"/>
                <w:color w:val="auto"/>
                <w:szCs w:val="21"/>
                <w:highlight w:val="none"/>
              </w:rPr>
            </w:pPr>
          </w:p>
        </w:tc>
      </w:tr>
      <w:tr w14:paraId="266D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9870" w:type="dxa"/>
            <w:gridSpan w:val="2"/>
            <w:tcBorders>
              <w:top w:val="single" w:color="auto" w:sz="4" w:space="0"/>
              <w:left w:val="single" w:color="auto" w:sz="4" w:space="0"/>
              <w:bottom w:val="single" w:color="auto" w:sz="4" w:space="0"/>
              <w:right w:val="single" w:color="auto" w:sz="4" w:space="0"/>
            </w:tcBorders>
            <w:noWrap w:val="0"/>
            <w:vAlign w:val="center"/>
          </w:tcPr>
          <w:p w14:paraId="29B1A7D4">
            <w:pPr>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结    论</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68574E8">
            <w:pPr>
              <w:adjustRightInd w:val="0"/>
              <w:jc w:val="center"/>
              <w:rPr>
                <w:rFonts w:hint="eastAsia" w:ascii="宋体" w:hAnsi="宋体" w:cs="宋体"/>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E38834F">
            <w:pPr>
              <w:adjustRightInd w:val="0"/>
              <w:jc w:val="center"/>
              <w:rPr>
                <w:rFonts w:hint="eastAsia" w:ascii="宋体" w:hAnsi="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8379747">
            <w:pPr>
              <w:adjustRightInd w:val="0"/>
              <w:jc w:val="center"/>
              <w:rPr>
                <w:rFonts w:hint="eastAsia" w:ascii="宋体" w:hAnsi="宋体" w:cs="宋体"/>
                <w:color w:val="auto"/>
                <w:szCs w:val="21"/>
                <w:highlight w:val="none"/>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5F45CD8">
            <w:pPr>
              <w:adjustRightInd w:val="0"/>
              <w:jc w:val="center"/>
              <w:rPr>
                <w:rFonts w:hint="eastAsia" w:ascii="宋体" w:hAnsi="宋体" w:cs="宋体"/>
                <w:color w:val="auto"/>
                <w:szCs w:val="21"/>
                <w:highlight w:val="none"/>
              </w:rPr>
            </w:pPr>
          </w:p>
        </w:tc>
      </w:tr>
    </w:tbl>
    <w:p w14:paraId="65C28FEB">
      <w:pPr>
        <w:rPr>
          <w:rFonts w:hint="eastAsia" w:ascii="宋体" w:hAnsi="宋体" w:cs="宋体"/>
          <w:color w:val="auto"/>
          <w:szCs w:val="21"/>
          <w:highlight w:val="none"/>
        </w:rPr>
      </w:pPr>
      <w:r>
        <w:rPr>
          <w:rFonts w:hint="eastAsia" w:ascii="宋体" w:hAnsi="宋体" w:cs="宋体"/>
          <w:color w:val="auto"/>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14:paraId="7CEFFE18">
      <w:pPr>
        <w:rPr>
          <w:rFonts w:hint="eastAsia" w:ascii="宋体" w:hAnsi="宋体" w:cs="宋体"/>
          <w:color w:val="auto"/>
          <w:szCs w:val="21"/>
          <w:highlight w:val="none"/>
          <w:u w:val="single"/>
        </w:rPr>
      </w:pPr>
      <w:r>
        <w:rPr>
          <w:rFonts w:hint="eastAsia" w:ascii="宋体" w:hAnsi="宋体" w:cs="宋体"/>
          <w:color w:val="auto"/>
          <w:szCs w:val="21"/>
          <w:highlight w:val="none"/>
          <w:u w:val="singl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5FDE7410">
      <w:pPr>
        <w:rPr>
          <w:rFonts w:hint="eastAsia" w:ascii="宋体" w:hAnsi="宋体" w:cs="宋体"/>
          <w:color w:val="auto"/>
          <w:szCs w:val="21"/>
          <w:highlight w:val="none"/>
        </w:rPr>
      </w:pPr>
      <w:r>
        <w:rPr>
          <w:rFonts w:hint="eastAsia" w:ascii="宋体" w:hAnsi="宋体" w:cs="宋体"/>
          <w:color w:val="auto"/>
          <w:szCs w:val="21"/>
          <w:highlight w:val="none"/>
        </w:rPr>
        <w:t>3.凡出现以上任何一项情形，结论均为无效，否则就为有效。</w:t>
      </w:r>
    </w:p>
    <w:p w14:paraId="50E47B94">
      <w:pPr>
        <w:rPr>
          <w:rFonts w:hint="eastAsia" w:ascii="宋体" w:hAnsi="宋体" w:cs="宋体"/>
          <w:color w:val="auto"/>
          <w:szCs w:val="21"/>
          <w:highlight w:val="none"/>
        </w:rPr>
      </w:pPr>
      <w:r>
        <w:rPr>
          <w:rFonts w:hint="eastAsia" w:ascii="宋体" w:hAnsi="宋体" w:cs="宋体"/>
          <w:color w:val="auto"/>
          <w:szCs w:val="21"/>
          <w:highlight w:val="none"/>
        </w:rPr>
        <w:t>4.如对本表中某种情形的评审意见不一致时，以评标委员会过半数成员的意见作为评标委员会对该情形的认定结论。</w:t>
      </w:r>
    </w:p>
    <w:p w14:paraId="76EFE4F4">
      <w:pPr>
        <w:rPr>
          <w:rFonts w:hint="eastAsia" w:ascii="宋体" w:hAnsi="宋体" w:cs="宋体"/>
          <w:color w:val="auto"/>
          <w:szCs w:val="21"/>
          <w:highlight w:val="none"/>
        </w:rPr>
      </w:pPr>
      <w:r>
        <w:rPr>
          <w:rFonts w:hint="eastAsia" w:ascii="宋体" w:hAnsi="宋体"/>
          <w:color w:val="auto"/>
          <w:szCs w:val="21"/>
          <w:highlight w:val="none"/>
        </w:rPr>
        <w:t>评委签名：</w:t>
      </w:r>
    </w:p>
    <w:p w14:paraId="7038471C">
      <w:pPr>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附表三</w:t>
      </w:r>
    </w:p>
    <w:p w14:paraId="42C81905">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经济标有效性审查表</w:t>
      </w:r>
    </w:p>
    <w:p w14:paraId="16996507">
      <w:pPr>
        <w:rPr>
          <w:rFonts w:hint="eastAsia" w:ascii="宋体" w:hAnsi="宋体" w:cs="宋体"/>
          <w:color w:val="auto"/>
          <w:szCs w:val="21"/>
          <w:highlight w:val="none"/>
        </w:rPr>
      </w:pPr>
      <w:r>
        <w:rPr>
          <w:rFonts w:hint="eastAsia" w:ascii="宋体" w:hAnsi="宋体" w:cs="宋体"/>
          <w:color w:val="auto"/>
          <w:szCs w:val="21"/>
          <w:highlight w:val="none"/>
        </w:rPr>
        <w:t>工程名称：</w:t>
      </w:r>
    </w:p>
    <w:tbl>
      <w:tblPr>
        <w:tblStyle w:val="21"/>
        <w:tblW w:w="14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85"/>
        <w:gridCol w:w="9275"/>
        <w:gridCol w:w="1110"/>
        <w:gridCol w:w="1110"/>
        <w:gridCol w:w="1095"/>
        <w:gridCol w:w="1155"/>
      </w:tblGrid>
      <w:tr w14:paraId="67435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14:paraId="6CA05225">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9275"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6C361F77">
            <w:pPr>
              <w:jc w:val="right"/>
              <w:rPr>
                <w:rFonts w:hint="eastAsia" w:ascii="宋体" w:hAnsi="宋体" w:cs="宋体"/>
                <w:color w:val="auto"/>
                <w:szCs w:val="21"/>
                <w:highlight w:val="none"/>
              </w:rPr>
            </w:pPr>
            <w:r>
              <w:rPr>
                <w:rFonts w:hint="eastAsia" w:ascii="宋体" w:hAnsi="宋体" w:cs="宋体"/>
                <w:color w:val="auto"/>
                <w:szCs w:val="21"/>
                <w:highlight w:val="none"/>
              </w:rPr>
              <w:t>投标人</w:t>
            </w:r>
          </w:p>
          <w:p w14:paraId="03876A58">
            <w:pPr>
              <w:rPr>
                <w:rFonts w:hint="eastAsia" w:ascii="宋体" w:hAnsi="宋体" w:cs="宋体"/>
                <w:color w:val="auto"/>
                <w:szCs w:val="21"/>
                <w:highlight w:val="none"/>
              </w:rPr>
            </w:pPr>
            <w:r>
              <w:rPr>
                <w:rFonts w:hint="eastAsia" w:ascii="宋体" w:hAnsi="宋体" w:cs="宋体"/>
                <w:color w:val="auto"/>
                <w:szCs w:val="21"/>
                <w:highlight w:val="none"/>
              </w:rPr>
              <w:t>评审内容</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0360E823">
            <w:pPr>
              <w:jc w:val="center"/>
              <w:rPr>
                <w:rFonts w:hint="eastAsia" w:ascii="宋体" w:hAnsi="宋体" w:cs="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0ECAA905">
            <w:pPr>
              <w:jc w:val="center"/>
              <w:rPr>
                <w:rFonts w:hint="eastAsia"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D8FA1C3">
            <w:pPr>
              <w:jc w:val="center"/>
              <w:rPr>
                <w:rFonts w:hint="eastAsia" w:ascii="宋体" w:hAnsi="宋体" w:cs="宋体"/>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9A7B656">
            <w:pPr>
              <w:jc w:val="center"/>
              <w:rPr>
                <w:rFonts w:hint="eastAsia" w:ascii="宋体" w:hAnsi="宋体" w:cs="宋体"/>
                <w:color w:val="auto"/>
                <w:szCs w:val="21"/>
                <w:highlight w:val="none"/>
              </w:rPr>
            </w:pPr>
          </w:p>
        </w:tc>
      </w:tr>
      <w:tr w14:paraId="6F68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14:paraId="45D9CBF8">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275" w:type="dxa"/>
            <w:tcBorders>
              <w:top w:val="single" w:color="auto" w:sz="4" w:space="0"/>
              <w:left w:val="single" w:color="auto" w:sz="4" w:space="0"/>
              <w:bottom w:val="single" w:color="auto" w:sz="4" w:space="0"/>
              <w:right w:val="single" w:color="auto" w:sz="4" w:space="0"/>
            </w:tcBorders>
            <w:noWrap w:val="0"/>
            <w:vAlign w:val="center"/>
          </w:tcPr>
          <w:p w14:paraId="7A2937A6">
            <w:pPr>
              <w:rPr>
                <w:rFonts w:hint="eastAsia" w:ascii="宋体" w:hAnsi="宋体" w:cs="宋体"/>
                <w:color w:val="auto"/>
                <w:szCs w:val="21"/>
                <w:highlight w:val="none"/>
              </w:rPr>
            </w:pPr>
            <w:r>
              <w:rPr>
                <w:rFonts w:hint="eastAsia" w:ascii="宋体" w:hAnsi="宋体"/>
                <w:color w:val="auto"/>
                <w:szCs w:val="21"/>
                <w:highlight w:val="none"/>
              </w:rPr>
              <w:t>对同一招标项目出现两个或以上的投标报价，且没有申明哪个有效</w:t>
            </w:r>
            <w:r>
              <w:rPr>
                <w:rFonts w:hint="eastAsia" w:ascii="宋体" w:hAnsi="宋体" w:cs="宋体"/>
                <w:color w:val="auto"/>
                <w:szCs w:val="21"/>
                <w:highlight w:val="none"/>
              </w:rPr>
              <w:t>；</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499DA8E4">
            <w:pPr>
              <w:jc w:val="center"/>
              <w:rPr>
                <w:rFonts w:hint="eastAsia" w:ascii="宋体" w:hAnsi="宋体" w:cs="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309D3A24">
            <w:pPr>
              <w:jc w:val="center"/>
              <w:rPr>
                <w:rFonts w:hint="eastAsia"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5B310A8">
            <w:pPr>
              <w:jc w:val="center"/>
              <w:rPr>
                <w:rFonts w:hint="eastAsia" w:ascii="宋体" w:hAnsi="宋体" w:cs="宋体"/>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294543D">
            <w:pPr>
              <w:jc w:val="center"/>
              <w:rPr>
                <w:rFonts w:hint="eastAsia" w:ascii="宋体" w:hAnsi="宋体" w:cs="宋体"/>
                <w:color w:val="auto"/>
                <w:szCs w:val="21"/>
                <w:highlight w:val="none"/>
              </w:rPr>
            </w:pPr>
          </w:p>
        </w:tc>
      </w:tr>
      <w:tr w14:paraId="51F5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14:paraId="66C8D5F8">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9275" w:type="dxa"/>
            <w:tcBorders>
              <w:top w:val="single" w:color="auto" w:sz="4" w:space="0"/>
              <w:left w:val="single" w:color="auto" w:sz="4" w:space="0"/>
              <w:bottom w:val="single" w:color="auto" w:sz="4" w:space="0"/>
              <w:right w:val="single" w:color="auto" w:sz="4" w:space="0"/>
            </w:tcBorders>
            <w:noWrap w:val="0"/>
            <w:vAlign w:val="center"/>
          </w:tcPr>
          <w:p w14:paraId="0199F3D1">
            <w:pPr>
              <w:rPr>
                <w:rFonts w:hint="eastAsia" w:ascii="宋体" w:hAnsi="宋体" w:cs="宋体"/>
                <w:color w:val="auto"/>
                <w:szCs w:val="21"/>
                <w:highlight w:val="none"/>
              </w:rPr>
            </w:pPr>
            <w:r>
              <w:rPr>
                <w:rStyle w:val="26"/>
                <w:rFonts w:ascii="宋体" w:hAnsi="宋体"/>
                <w:color w:val="auto"/>
                <w:szCs w:val="21"/>
                <w:highlight w:val="none"/>
              </w:rPr>
              <w:t>投标报价高于最高投标限价的；</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09CE6266">
            <w:pPr>
              <w:jc w:val="center"/>
              <w:rPr>
                <w:rFonts w:hint="eastAsia" w:ascii="宋体" w:hAnsi="宋体" w:cs="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3B5962E2">
            <w:pPr>
              <w:jc w:val="center"/>
              <w:rPr>
                <w:rFonts w:hint="eastAsia"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6D9917D">
            <w:pPr>
              <w:jc w:val="center"/>
              <w:rPr>
                <w:rFonts w:hint="eastAsia" w:ascii="宋体" w:hAnsi="宋体" w:cs="宋体"/>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D6FB3CB">
            <w:pPr>
              <w:jc w:val="center"/>
              <w:rPr>
                <w:rFonts w:hint="eastAsia" w:ascii="宋体" w:hAnsi="宋体" w:cs="宋体"/>
                <w:color w:val="auto"/>
                <w:szCs w:val="21"/>
                <w:highlight w:val="none"/>
              </w:rPr>
            </w:pPr>
          </w:p>
        </w:tc>
      </w:tr>
      <w:tr w14:paraId="4AE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14:paraId="2885610F">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275" w:type="dxa"/>
            <w:tcBorders>
              <w:top w:val="single" w:color="auto" w:sz="4" w:space="0"/>
              <w:left w:val="single" w:color="auto" w:sz="4" w:space="0"/>
              <w:bottom w:val="single" w:color="auto" w:sz="4" w:space="0"/>
              <w:right w:val="single" w:color="auto" w:sz="4" w:space="0"/>
            </w:tcBorders>
            <w:noWrap w:val="0"/>
            <w:vAlign w:val="center"/>
          </w:tcPr>
          <w:p w14:paraId="66EFC01C">
            <w:pPr>
              <w:autoSpaceDE w:val="0"/>
              <w:autoSpaceDN w:val="0"/>
              <w:adjustRightInd w:val="0"/>
              <w:ind w:left="-2" w:leftChars="-1"/>
              <w:jc w:val="left"/>
              <w:rPr>
                <w:rFonts w:hint="eastAsia" w:ascii="宋体" w:hAnsi="宋体" w:cs="宋体"/>
                <w:color w:val="auto"/>
                <w:szCs w:val="21"/>
                <w:highlight w:val="none"/>
              </w:rPr>
            </w:pPr>
            <w:r>
              <w:rPr>
                <w:rFonts w:hint="eastAsia" w:ascii="宋体" w:hAnsi="宋体" w:cs="宋体"/>
                <w:color w:val="auto"/>
                <w:szCs w:val="21"/>
                <w:highlight w:val="none"/>
              </w:rPr>
              <w:t>投标报价低于成本的；</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271D4A97">
            <w:pPr>
              <w:jc w:val="center"/>
              <w:rPr>
                <w:rFonts w:hint="eastAsia" w:ascii="宋体" w:hAnsi="宋体" w:cs="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7541B3C3">
            <w:pPr>
              <w:jc w:val="center"/>
              <w:rPr>
                <w:rFonts w:hint="eastAsia"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75204D4">
            <w:pPr>
              <w:jc w:val="center"/>
              <w:rPr>
                <w:rFonts w:hint="eastAsia" w:ascii="宋体" w:hAnsi="宋体" w:cs="宋体"/>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846220C">
            <w:pPr>
              <w:jc w:val="center"/>
              <w:rPr>
                <w:rFonts w:hint="eastAsia" w:ascii="宋体" w:hAnsi="宋体" w:cs="宋体"/>
                <w:color w:val="auto"/>
                <w:szCs w:val="21"/>
                <w:highlight w:val="none"/>
              </w:rPr>
            </w:pPr>
          </w:p>
        </w:tc>
      </w:tr>
      <w:tr w14:paraId="38B4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14:paraId="12EA6BB0">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9275" w:type="dxa"/>
            <w:tcBorders>
              <w:top w:val="single" w:color="auto" w:sz="4" w:space="0"/>
              <w:left w:val="single" w:color="auto" w:sz="4" w:space="0"/>
              <w:bottom w:val="single" w:color="auto" w:sz="4" w:space="0"/>
              <w:right w:val="single" w:color="auto" w:sz="4" w:space="0"/>
            </w:tcBorders>
            <w:noWrap w:val="0"/>
            <w:vAlign w:val="center"/>
          </w:tcPr>
          <w:p w14:paraId="20ABC325">
            <w:pPr>
              <w:rPr>
                <w:rFonts w:hint="eastAsia" w:ascii="宋体" w:hAnsi="宋体" w:cs="宋体"/>
                <w:color w:val="auto"/>
                <w:szCs w:val="21"/>
                <w:highlight w:val="none"/>
              </w:rPr>
            </w:pPr>
            <w:r>
              <w:rPr>
                <w:rFonts w:hint="eastAsia" w:ascii="宋体" w:hAnsi="宋体" w:cs="宋体"/>
                <w:color w:val="auto"/>
                <w:szCs w:val="21"/>
                <w:highlight w:val="none"/>
              </w:rPr>
              <w:t>算术复核后的投标报价与原投标报价相比存在1%或以上误差的；</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4F594694">
            <w:pPr>
              <w:jc w:val="center"/>
              <w:rPr>
                <w:rFonts w:hint="eastAsia" w:ascii="宋体" w:hAnsi="宋体" w:cs="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74B23B95">
            <w:pPr>
              <w:jc w:val="center"/>
              <w:rPr>
                <w:rFonts w:hint="eastAsia"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20440F1">
            <w:pPr>
              <w:jc w:val="center"/>
              <w:rPr>
                <w:rFonts w:hint="eastAsia" w:ascii="宋体" w:hAnsi="宋体" w:cs="宋体"/>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D0A16FD">
            <w:pPr>
              <w:jc w:val="center"/>
              <w:rPr>
                <w:rFonts w:hint="eastAsia" w:ascii="宋体" w:hAnsi="宋体" w:cs="宋体"/>
                <w:color w:val="auto"/>
                <w:szCs w:val="21"/>
                <w:highlight w:val="none"/>
              </w:rPr>
            </w:pPr>
          </w:p>
        </w:tc>
      </w:tr>
      <w:tr w14:paraId="4D7A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14:paraId="6F2B0878">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9275" w:type="dxa"/>
            <w:tcBorders>
              <w:top w:val="single" w:color="auto" w:sz="4" w:space="0"/>
              <w:left w:val="single" w:color="auto" w:sz="4" w:space="0"/>
              <w:bottom w:val="single" w:color="auto" w:sz="4" w:space="0"/>
              <w:right w:val="single" w:color="auto" w:sz="4" w:space="0"/>
            </w:tcBorders>
            <w:noWrap w:val="0"/>
            <w:vAlign w:val="center"/>
          </w:tcPr>
          <w:p w14:paraId="05CB32B0">
            <w:pPr>
              <w:rPr>
                <w:rFonts w:hint="eastAsia" w:ascii="宋体" w:hAnsi="宋体" w:cs="宋体"/>
                <w:color w:val="auto"/>
                <w:szCs w:val="21"/>
                <w:highlight w:val="none"/>
              </w:rPr>
            </w:pPr>
            <w:r>
              <w:rPr>
                <w:rFonts w:hint="eastAsia" w:ascii="宋体" w:hAnsi="宋体" w:cs="宋体"/>
                <w:color w:val="auto"/>
                <w:szCs w:val="21"/>
                <w:highlight w:val="none"/>
              </w:rPr>
              <w:t>投标文件未按规定的格式填写</w:t>
            </w:r>
            <w:r>
              <w:rPr>
                <w:rFonts w:hint="eastAsia" w:ascii="宋体" w:hAnsi="宋体" w:cs="宋体"/>
                <w:color w:val="auto"/>
                <w:szCs w:val="21"/>
                <w:highlight w:val="none"/>
                <w:u w:val="single"/>
              </w:rPr>
              <w:t>（除带“★”号的必须按招标文件规定的格式进行编制外，其余格式仅供参考不作为投标文件有效性审查的条件）</w:t>
            </w:r>
            <w:r>
              <w:rPr>
                <w:rFonts w:hint="eastAsia" w:ascii="宋体" w:hAnsi="宋体" w:cs="宋体"/>
                <w:color w:val="auto"/>
                <w:szCs w:val="21"/>
                <w:highlight w:val="none"/>
              </w:rPr>
              <w:t>，或主要内容不全，或关键字迹模糊、无法辨认的</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1F5D0D31">
            <w:pPr>
              <w:jc w:val="center"/>
              <w:rPr>
                <w:rFonts w:hint="eastAsia" w:ascii="宋体" w:hAnsi="宋体" w:cs="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6A142E1D">
            <w:pPr>
              <w:jc w:val="center"/>
              <w:rPr>
                <w:rFonts w:hint="eastAsia"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94E79F6">
            <w:pPr>
              <w:jc w:val="center"/>
              <w:rPr>
                <w:rFonts w:hint="eastAsia" w:ascii="宋体" w:hAnsi="宋体" w:cs="宋体"/>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FE2CBCF">
            <w:pPr>
              <w:jc w:val="center"/>
              <w:rPr>
                <w:rFonts w:hint="eastAsia" w:ascii="宋体" w:hAnsi="宋体" w:cs="宋体"/>
                <w:color w:val="auto"/>
                <w:szCs w:val="21"/>
                <w:highlight w:val="none"/>
              </w:rPr>
            </w:pPr>
          </w:p>
        </w:tc>
      </w:tr>
      <w:tr w14:paraId="20C79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14:paraId="3A82EC8A">
            <w:pPr>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9275" w:type="dxa"/>
            <w:tcBorders>
              <w:top w:val="single" w:color="auto" w:sz="4" w:space="0"/>
              <w:left w:val="single" w:color="auto" w:sz="4" w:space="0"/>
              <w:bottom w:val="single" w:color="auto" w:sz="4" w:space="0"/>
              <w:right w:val="single" w:color="auto" w:sz="4" w:space="0"/>
            </w:tcBorders>
            <w:noWrap w:val="0"/>
            <w:vAlign w:val="center"/>
          </w:tcPr>
          <w:p w14:paraId="3FA429FA">
            <w:pPr>
              <w:rPr>
                <w:rFonts w:hint="eastAsia" w:ascii="宋体" w:hAnsi="宋体" w:cs="宋体"/>
                <w:color w:val="auto"/>
                <w:szCs w:val="21"/>
                <w:highlight w:val="none"/>
              </w:rPr>
            </w:pPr>
            <w:r>
              <w:rPr>
                <w:rFonts w:hint="eastAsia" w:ascii="宋体" w:hAnsi="宋体" w:cs="宋体"/>
                <w:color w:val="auto"/>
                <w:szCs w:val="21"/>
                <w:highlight w:val="none"/>
              </w:rPr>
              <w:t>投标人之间存在《广东省实施&lt;中华人民共和国招标投标法&gt;</w:t>
            </w:r>
            <w:r>
              <w:rPr>
                <w:rFonts w:ascii="宋体" w:hAnsi="宋体" w:cs="宋体"/>
                <w:color w:val="auto"/>
                <w:szCs w:val="21"/>
                <w:highlight w:val="none"/>
              </w:rPr>
              <w:t>办法</w:t>
            </w:r>
            <w:r>
              <w:rPr>
                <w:rFonts w:hint="eastAsia" w:ascii="宋体" w:hAnsi="宋体" w:cs="宋体"/>
                <w:color w:val="auto"/>
                <w:szCs w:val="21"/>
                <w:highlight w:val="none"/>
              </w:rPr>
              <w:t>》第十六条所禁止的情形的；</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3100DC7B">
            <w:pPr>
              <w:jc w:val="center"/>
              <w:rPr>
                <w:rFonts w:hint="eastAsia" w:ascii="宋体" w:hAnsi="宋体" w:cs="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5E15FA75">
            <w:pPr>
              <w:jc w:val="center"/>
              <w:rPr>
                <w:rFonts w:hint="eastAsia"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03453B5">
            <w:pPr>
              <w:jc w:val="center"/>
              <w:rPr>
                <w:rFonts w:hint="eastAsia" w:ascii="宋体" w:hAnsi="宋体" w:cs="宋体"/>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A75CBD9">
            <w:pPr>
              <w:jc w:val="center"/>
              <w:rPr>
                <w:rFonts w:hint="eastAsia" w:ascii="宋体" w:hAnsi="宋体" w:cs="宋体"/>
                <w:color w:val="auto"/>
                <w:szCs w:val="21"/>
                <w:highlight w:val="none"/>
              </w:rPr>
            </w:pPr>
          </w:p>
        </w:tc>
      </w:tr>
      <w:tr w14:paraId="625B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14:paraId="63E3B31A">
            <w:pPr>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9275" w:type="dxa"/>
            <w:tcBorders>
              <w:top w:val="single" w:color="auto" w:sz="4" w:space="0"/>
              <w:left w:val="single" w:color="auto" w:sz="4" w:space="0"/>
              <w:bottom w:val="single" w:color="auto" w:sz="4" w:space="0"/>
              <w:right w:val="single" w:color="auto" w:sz="4" w:space="0"/>
            </w:tcBorders>
            <w:noWrap w:val="0"/>
            <w:vAlign w:val="center"/>
          </w:tcPr>
          <w:p w14:paraId="39F61BCE">
            <w:pPr>
              <w:rPr>
                <w:rFonts w:hint="eastAsia" w:ascii="宋体" w:hAnsi="宋体" w:cs="宋体"/>
                <w:color w:val="auto"/>
                <w:szCs w:val="21"/>
                <w:highlight w:val="none"/>
              </w:rPr>
            </w:pPr>
            <w:r>
              <w:rPr>
                <w:rFonts w:hint="eastAsia" w:ascii="宋体" w:hAnsi="宋体" w:cs="宋体"/>
                <w:color w:val="auto"/>
                <w:szCs w:val="21"/>
                <w:highlight w:val="none"/>
              </w:rPr>
              <w:t>无《参与编制经济标投标文件人员名单》的；</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48BCBE59">
            <w:pPr>
              <w:jc w:val="center"/>
              <w:rPr>
                <w:rFonts w:hint="eastAsia" w:ascii="宋体" w:hAnsi="宋体" w:cs="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5354DB12">
            <w:pPr>
              <w:jc w:val="center"/>
              <w:rPr>
                <w:rFonts w:hint="eastAsia"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6EBF1DE">
            <w:pPr>
              <w:jc w:val="center"/>
              <w:rPr>
                <w:rFonts w:hint="eastAsia" w:ascii="宋体" w:hAnsi="宋体" w:cs="宋体"/>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4EC4464">
            <w:pPr>
              <w:jc w:val="center"/>
              <w:rPr>
                <w:rFonts w:hint="eastAsia" w:ascii="宋体" w:hAnsi="宋体" w:cs="宋体"/>
                <w:color w:val="auto"/>
                <w:szCs w:val="21"/>
                <w:highlight w:val="none"/>
              </w:rPr>
            </w:pPr>
          </w:p>
        </w:tc>
      </w:tr>
      <w:tr w14:paraId="7F12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14:paraId="233972A1">
            <w:pPr>
              <w:jc w:val="center"/>
              <w:rPr>
                <w:rFonts w:hint="eastAsia" w:ascii="宋体" w:hAnsi="宋体" w:cs="宋体"/>
                <w:color w:val="auto"/>
                <w:szCs w:val="21"/>
                <w:highlight w:val="none"/>
              </w:rPr>
            </w:pPr>
            <w:bookmarkStart w:id="126" w:name="_GoBack" w:colFirst="1" w:colLast="1"/>
            <w:r>
              <w:rPr>
                <w:rFonts w:hint="eastAsia" w:ascii="宋体" w:hAnsi="宋体" w:cs="宋体"/>
                <w:color w:val="auto"/>
                <w:szCs w:val="21"/>
                <w:highlight w:val="none"/>
              </w:rPr>
              <w:t>8</w:t>
            </w:r>
          </w:p>
        </w:tc>
        <w:tc>
          <w:tcPr>
            <w:tcW w:w="9275" w:type="dxa"/>
            <w:tcBorders>
              <w:top w:val="single" w:color="auto" w:sz="4" w:space="0"/>
              <w:left w:val="single" w:color="auto" w:sz="4" w:space="0"/>
              <w:bottom w:val="single" w:color="auto" w:sz="4" w:space="0"/>
              <w:right w:val="single" w:color="auto" w:sz="4" w:space="0"/>
            </w:tcBorders>
            <w:noWrap w:val="0"/>
            <w:vAlign w:val="center"/>
          </w:tcPr>
          <w:p w14:paraId="66F4DCD3">
            <w:pPr>
              <w:rPr>
                <w:rFonts w:hint="eastAsia" w:ascii="宋体" w:hAnsi="宋体" w:cs="宋体"/>
                <w:color w:val="auto"/>
                <w:szCs w:val="21"/>
                <w:highlight w:val="none"/>
              </w:rPr>
            </w:pPr>
            <w:r>
              <w:rPr>
                <w:rFonts w:hint="eastAsia" w:ascii="宋体" w:hAnsi="宋体" w:cs="宋体"/>
                <w:color w:val="auto"/>
                <w:szCs w:val="21"/>
                <w:highlight w:val="none"/>
              </w:rPr>
              <w:t>无《对投标文件编制的承诺》；</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617C1624">
            <w:pPr>
              <w:jc w:val="center"/>
              <w:rPr>
                <w:rFonts w:hint="eastAsia" w:ascii="宋体" w:hAnsi="宋体" w:cs="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327F9438">
            <w:pPr>
              <w:jc w:val="center"/>
              <w:rPr>
                <w:rFonts w:hint="eastAsia"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39D88A9">
            <w:pPr>
              <w:jc w:val="center"/>
              <w:rPr>
                <w:rFonts w:hint="eastAsia" w:ascii="宋体" w:hAnsi="宋体" w:cs="宋体"/>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831ADFE">
            <w:pPr>
              <w:jc w:val="center"/>
              <w:rPr>
                <w:rFonts w:hint="eastAsia" w:ascii="宋体" w:hAnsi="宋体" w:cs="宋体"/>
                <w:color w:val="auto"/>
                <w:szCs w:val="21"/>
                <w:highlight w:val="none"/>
              </w:rPr>
            </w:pPr>
          </w:p>
        </w:tc>
      </w:tr>
      <w:bookmarkEnd w:id="126"/>
      <w:tr w14:paraId="1DF4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160" w:type="dxa"/>
            <w:gridSpan w:val="2"/>
            <w:tcBorders>
              <w:top w:val="single" w:color="auto" w:sz="4" w:space="0"/>
              <w:left w:val="single" w:color="auto" w:sz="4" w:space="0"/>
              <w:bottom w:val="single" w:color="auto" w:sz="4" w:space="0"/>
              <w:right w:val="single" w:color="auto" w:sz="4" w:space="0"/>
            </w:tcBorders>
            <w:noWrap w:val="0"/>
            <w:vAlign w:val="center"/>
          </w:tcPr>
          <w:p w14:paraId="411DBE08">
            <w:pPr>
              <w:jc w:val="center"/>
              <w:rPr>
                <w:rFonts w:hint="eastAsia" w:ascii="宋体" w:hAnsi="宋体" w:cs="宋体"/>
                <w:color w:val="auto"/>
                <w:szCs w:val="21"/>
                <w:highlight w:val="none"/>
              </w:rPr>
            </w:pPr>
            <w:r>
              <w:rPr>
                <w:rFonts w:hint="eastAsia" w:ascii="宋体" w:hAnsi="宋体" w:cs="宋体"/>
                <w:color w:val="auto"/>
                <w:szCs w:val="21"/>
                <w:highlight w:val="none"/>
              </w:rPr>
              <w:t>结    论</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07C336E8">
            <w:pPr>
              <w:jc w:val="center"/>
              <w:rPr>
                <w:rFonts w:hint="eastAsia" w:ascii="宋体" w:hAnsi="宋体" w:cs="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4902F985">
            <w:pPr>
              <w:jc w:val="center"/>
              <w:rPr>
                <w:rFonts w:hint="eastAsia"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ED63D14">
            <w:pPr>
              <w:jc w:val="center"/>
              <w:rPr>
                <w:rFonts w:hint="eastAsia" w:ascii="宋体" w:hAnsi="宋体" w:cs="宋体"/>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7693ACE">
            <w:pPr>
              <w:jc w:val="center"/>
              <w:rPr>
                <w:rFonts w:hint="eastAsia" w:ascii="宋体" w:hAnsi="宋体" w:cs="宋体"/>
                <w:color w:val="auto"/>
                <w:szCs w:val="21"/>
                <w:highlight w:val="none"/>
              </w:rPr>
            </w:pPr>
          </w:p>
        </w:tc>
      </w:tr>
    </w:tbl>
    <w:p w14:paraId="487E5EFD">
      <w:pPr>
        <w:rPr>
          <w:rFonts w:hint="eastAsia" w:ascii="宋体" w:hAnsi="宋体" w:cs="宋体"/>
          <w:color w:val="auto"/>
          <w:szCs w:val="21"/>
          <w:highlight w:val="none"/>
        </w:rPr>
      </w:pPr>
      <w:r>
        <w:rPr>
          <w:rFonts w:hint="eastAsia" w:ascii="宋体" w:hAnsi="宋体" w:cs="宋体"/>
          <w:color w:val="auto"/>
          <w:szCs w:val="21"/>
          <w:highlight w:val="none"/>
        </w:rPr>
        <w:t>注：1.本表使用GZZB2018-3招标文件范本，与范本内容不同之处均以下划线标明。</w:t>
      </w:r>
    </w:p>
    <w:p w14:paraId="72F52023">
      <w:pPr>
        <w:rPr>
          <w:rFonts w:hint="eastAsia" w:ascii="宋体" w:hAnsi="宋体" w:cs="宋体"/>
          <w:color w:val="auto"/>
          <w:szCs w:val="21"/>
          <w:highlight w:val="none"/>
        </w:rPr>
      </w:pPr>
      <w:r>
        <w:rPr>
          <w:rFonts w:hint="eastAsia" w:ascii="宋体" w:hAnsi="宋体" w:cs="宋体"/>
          <w:color w:val="auto"/>
          <w:szCs w:val="21"/>
          <w:highlight w:val="none"/>
        </w:rPr>
        <w:t>2.凡出现以上任何一项情形，结论均为无效，否则就为有效。</w:t>
      </w:r>
    </w:p>
    <w:p w14:paraId="3B47EEBE">
      <w:pPr>
        <w:rPr>
          <w:rFonts w:hint="eastAsia" w:ascii="宋体" w:hAnsi="宋体" w:cs="宋体"/>
          <w:color w:val="auto"/>
          <w:szCs w:val="21"/>
          <w:highlight w:val="none"/>
        </w:rPr>
      </w:pPr>
      <w:r>
        <w:rPr>
          <w:rFonts w:hint="eastAsia" w:ascii="宋体" w:hAnsi="宋体" w:cs="宋体"/>
          <w:color w:val="auto"/>
          <w:szCs w:val="21"/>
          <w:highlight w:val="none"/>
        </w:rPr>
        <w:t>3.如对本表中某种情形的评审意见不一致时，以评标委员会过半数成员的意见作为评标委员会对该情形的认定结论。</w:t>
      </w:r>
    </w:p>
    <w:p w14:paraId="004A4610">
      <w:pPr>
        <w:rPr>
          <w:rFonts w:hint="eastAsia" w:ascii="宋体" w:hAnsi="宋体" w:cs="宋体"/>
          <w:color w:val="auto"/>
          <w:szCs w:val="21"/>
          <w:highlight w:val="none"/>
          <w:u w:val="single"/>
        </w:rPr>
      </w:pPr>
      <w:r>
        <w:rPr>
          <w:rFonts w:hint="eastAsia" w:ascii="宋体" w:hAnsi="宋体" w:cs="宋体"/>
          <w:color w:val="auto"/>
          <w:szCs w:val="21"/>
          <w:highlight w:val="none"/>
          <w:u w:val="singl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292E0AD8">
      <w:pPr>
        <w:rPr>
          <w:rFonts w:hint="eastAsia" w:ascii="宋体" w:hAnsi="宋体"/>
          <w:color w:val="auto"/>
          <w:szCs w:val="21"/>
          <w:highlight w:val="none"/>
        </w:rPr>
      </w:pPr>
    </w:p>
    <w:p w14:paraId="61300B3D">
      <w:pPr>
        <w:rPr>
          <w:rFonts w:hint="eastAsia" w:ascii="宋体" w:hAnsi="宋体"/>
          <w:color w:val="auto"/>
          <w:szCs w:val="21"/>
          <w:highlight w:val="none"/>
        </w:rPr>
      </w:pPr>
      <w:r>
        <w:rPr>
          <w:rFonts w:hint="eastAsia" w:ascii="宋体" w:hAnsi="宋体"/>
          <w:color w:val="auto"/>
          <w:szCs w:val="21"/>
          <w:highlight w:val="none"/>
        </w:rPr>
        <w:t>评委签名：</w:t>
      </w:r>
    </w:p>
    <w:p w14:paraId="7C372226">
      <w:pPr>
        <w:pStyle w:val="7"/>
        <w:rPr>
          <w:rFonts w:hint="eastAsia"/>
          <w:color w:val="auto"/>
          <w:highlight w:val="none"/>
        </w:rPr>
      </w:pPr>
    </w:p>
    <w:p w14:paraId="55F9E914">
      <w:pPr>
        <w:rPr>
          <w:rFonts w:hint="eastAsia"/>
          <w:color w:val="auto"/>
          <w:highlight w:val="none"/>
        </w:rPr>
      </w:pPr>
    </w:p>
    <w:p w14:paraId="6D35C227">
      <w:pPr>
        <w:pStyle w:val="7"/>
        <w:rPr>
          <w:rFonts w:hint="eastAsia"/>
          <w:color w:val="auto"/>
          <w:highlight w:val="none"/>
        </w:rPr>
      </w:pPr>
    </w:p>
    <w:p w14:paraId="3F1D5EC6">
      <w:pPr>
        <w:rPr>
          <w:rFonts w:hint="eastAsia" w:ascii="宋体" w:hAnsi="宋体" w:cs="宋体"/>
          <w:b/>
          <w:color w:val="auto"/>
          <w:szCs w:val="21"/>
          <w:highlight w:val="none"/>
        </w:rPr>
      </w:pPr>
      <w:r>
        <w:rPr>
          <w:rFonts w:hint="eastAsia" w:ascii="宋体" w:hAnsi="宋体" w:cs="宋体"/>
          <w:color w:val="auto"/>
          <w:kern w:val="0"/>
          <w:szCs w:val="21"/>
          <w:highlight w:val="none"/>
        </w:rPr>
        <w:t>附表四</w:t>
      </w:r>
    </w:p>
    <w:p w14:paraId="52125D3A">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算术复核表</w:t>
      </w:r>
    </w:p>
    <w:p w14:paraId="61FA1130">
      <w:pPr>
        <w:rPr>
          <w:rFonts w:hint="eastAsia" w:ascii="宋体" w:hAnsi="宋体" w:cs="宋体"/>
          <w:color w:val="auto"/>
          <w:kern w:val="0"/>
          <w:szCs w:val="21"/>
          <w:highlight w:val="none"/>
        </w:rPr>
      </w:pPr>
      <w:r>
        <w:rPr>
          <w:rFonts w:hint="eastAsia" w:ascii="宋体" w:hAnsi="宋体" w:cs="宋体"/>
          <w:color w:val="auto"/>
          <w:kern w:val="0"/>
          <w:szCs w:val="21"/>
          <w:highlight w:val="none"/>
        </w:rPr>
        <w:t>工程名称：                                           投标人:                                                  单位：元</w:t>
      </w:r>
    </w:p>
    <w:tbl>
      <w:tblPr>
        <w:tblStyle w:val="21"/>
        <w:tblW w:w="14820" w:type="dxa"/>
        <w:tblInd w:w="0" w:type="dxa"/>
        <w:tblLayout w:type="fixed"/>
        <w:tblCellMar>
          <w:top w:w="0" w:type="dxa"/>
          <w:left w:w="108" w:type="dxa"/>
          <w:bottom w:w="0" w:type="dxa"/>
          <w:right w:w="108" w:type="dxa"/>
        </w:tblCellMar>
      </w:tblPr>
      <w:tblGrid>
        <w:gridCol w:w="645"/>
        <w:gridCol w:w="3999"/>
        <w:gridCol w:w="1736"/>
        <w:gridCol w:w="1737"/>
        <w:gridCol w:w="1736"/>
        <w:gridCol w:w="1737"/>
        <w:gridCol w:w="3230"/>
      </w:tblGrid>
      <w:tr w14:paraId="6B9A6451">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327F85D9">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编号</w:t>
            </w:r>
          </w:p>
        </w:tc>
        <w:tc>
          <w:tcPr>
            <w:tcW w:w="3999" w:type="dxa"/>
            <w:tcBorders>
              <w:top w:val="single" w:color="auto" w:sz="4" w:space="0"/>
              <w:left w:val="nil"/>
              <w:bottom w:val="single" w:color="auto" w:sz="4" w:space="0"/>
              <w:right w:val="single" w:color="auto" w:sz="4" w:space="0"/>
            </w:tcBorders>
            <w:noWrap w:val="0"/>
            <w:vAlign w:val="center"/>
          </w:tcPr>
          <w:p w14:paraId="77C56D40">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算术校核项目</w:t>
            </w:r>
          </w:p>
        </w:tc>
        <w:tc>
          <w:tcPr>
            <w:tcW w:w="1736" w:type="dxa"/>
            <w:tcBorders>
              <w:top w:val="single" w:color="auto" w:sz="4" w:space="0"/>
              <w:left w:val="nil"/>
              <w:bottom w:val="single" w:color="auto" w:sz="4" w:space="0"/>
              <w:right w:val="single" w:color="auto" w:sz="4" w:space="0"/>
            </w:tcBorders>
            <w:noWrap w:val="0"/>
            <w:vAlign w:val="center"/>
          </w:tcPr>
          <w:p w14:paraId="4E25DE83">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修正前投标</w:t>
            </w:r>
          </w:p>
          <w:p w14:paraId="2BADC244">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报价A</w:t>
            </w:r>
          </w:p>
        </w:tc>
        <w:tc>
          <w:tcPr>
            <w:tcW w:w="1737" w:type="dxa"/>
            <w:tcBorders>
              <w:top w:val="single" w:color="auto" w:sz="4" w:space="0"/>
              <w:left w:val="nil"/>
              <w:bottom w:val="single" w:color="auto" w:sz="4" w:space="0"/>
              <w:right w:val="single" w:color="auto" w:sz="4" w:space="0"/>
            </w:tcBorders>
            <w:noWrap w:val="0"/>
            <w:vAlign w:val="center"/>
          </w:tcPr>
          <w:p w14:paraId="4FE13483">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修正后投标</w:t>
            </w:r>
          </w:p>
          <w:p w14:paraId="2F698C9E">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报价B</w:t>
            </w:r>
          </w:p>
        </w:tc>
        <w:tc>
          <w:tcPr>
            <w:tcW w:w="1736" w:type="dxa"/>
            <w:tcBorders>
              <w:top w:val="single" w:color="auto" w:sz="4" w:space="0"/>
              <w:left w:val="nil"/>
              <w:bottom w:val="single" w:color="auto" w:sz="4" w:space="0"/>
              <w:right w:val="single" w:color="auto" w:sz="4" w:space="0"/>
            </w:tcBorders>
            <w:noWrap w:val="0"/>
            <w:vAlign w:val="center"/>
          </w:tcPr>
          <w:p w14:paraId="2D7C1B0E">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修正率</w:t>
            </w:r>
          </w:p>
          <w:p w14:paraId="29B209BB">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r=|A-B|/A*100%</w:t>
            </w:r>
          </w:p>
        </w:tc>
        <w:tc>
          <w:tcPr>
            <w:tcW w:w="1737" w:type="dxa"/>
            <w:tcBorders>
              <w:top w:val="single" w:color="auto" w:sz="4" w:space="0"/>
              <w:left w:val="nil"/>
              <w:bottom w:val="single" w:color="auto" w:sz="4" w:space="0"/>
              <w:right w:val="single" w:color="auto" w:sz="4" w:space="0"/>
            </w:tcBorders>
            <w:noWrap w:val="0"/>
            <w:vAlign w:val="center"/>
          </w:tcPr>
          <w:p w14:paraId="172B4FEC">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经评审的最终投标报价</w:t>
            </w:r>
          </w:p>
        </w:tc>
        <w:tc>
          <w:tcPr>
            <w:tcW w:w="3230" w:type="dxa"/>
            <w:tcBorders>
              <w:top w:val="single" w:color="auto" w:sz="4" w:space="0"/>
              <w:left w:val="nil"/>
              <w:bottom w:val="single" w:color="auto" w:sz="4" w:space="0"/>
              <w:right w:val="single" w:color="auto" w:sz="4" w:space="0"/>
            </w:tcBorders>
            <w:noWrap w:val="0"/>
            <w:vAlign w:val="center"/>
          </w:tcPr>
          <w:p w14:paraId="2105F53C">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当B&gt;A时，修正后报价与原报价的差额；当B≤A时,R=0</w:t>
            </w:r>
          </w:p>
        </w:tc>
      </w:tr>
      <w:tr w14:paraId="08BB6108">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2A807B14">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3999" w:type="dxa"/>
            <w:tcBorders>
              <w:top w:val="nil"/>
              <w:left w:val="nil"/>
              <w:bottom w:val="single" w:color="auto" w:sz="4" w:space="0"/>
              <w:right w:val="single" w:color="auto" w:sz="4" w:space="0"/>
            </w:tcBorders>
            <w:noWrap w:val="0"/>
            <w:vAlign w:val="center"/>
          </w:tcPr>
          <w:p w14:paraId="10CC0FBE">
            <w:pPr>
              <w:rPr>
                <w:rFonts w:hint="eastAsia" w:ascii="宋体" w:hAnsi="宋体" w:cs="宋体"/>
                <w:color w:val="auto"/>
                <w:kern w:val="0"/>
                <w:szCs w:val="21"/>
                <w:highlight w:val="none"/>
              </w:rPr>
            </w:pPr>
            <w:r>
              <w:rPr>
                <w:rFonts w:hint="eastAsia" w:ascii="宋体" w:hAnsi="宋体" w:cs="宋体"/>
                <w:color w:val="auto"/>
                <w:kern w:val="0"/>
                <w:szCs w:val="21"/>
                <w:highlight w:val="none"/>
              </w:rPr>
              <w:t>[单位工程1]</w:t>
            </w:r>
          </w:p>
        </w:tc>
        <w:tc>
          <w:tcPr>
            <w:tcW w:w="1736" w:type="dxa"/>
            <w:tcBorders>
              <w:top w:val="nil"/>
              <w:left w:val="nil"/>
              <w:bottom w:val="single" w:color="auto" w:sz="4" w:space="0"/>
              <w:right w:val="single" w:color="auto" w:sz="4" w:space="0"/>
            </w:tcBorders>
            <w:noWrap w:val="0"/>
            <w:vAlign w:val="center"/>
          </w:tcPr>
          <w:p w14:paraId="7E53749C">
            <w:pPr>
              <w:rPr>
                <w:rFonts w:hint="eastAsia" w:ascii="宋体" w:hAnsi="宋体" w:cs="宋体"/>
                <w:color w:val="auto"/>
                <w:kern w:val="0"/>
                <w:szCs w:val="21"/>
                <w:highlight w:val="none"/>
              </w:rPr>
            </w:pPr>
          </w:p>
        </w:tc>
        <w:tc>
          <w:tcPr>
            <w:tcW w:w="1737" w:type="dxa"/>
            <w:tcBorders>
              <w:top w:val="nil"/>
              <w:left w:val="nil"/>
              <w:bottom w:val="single" w:color="auto" w:sz="4" w:space="0"/>
              <w:right w:val="single" w:color="auto" w:sz="4" w:space="0"/>
            </w:tcBorders>
            <w:noWrap w:val="0"/>
            <w:vAlign w:val="center"/>
          </w:tcPr>
          <w:p w14:paraId="45681370">
            <w:pPr>
              <w:rPr>
                <w:rFonts w:hint="eastAsia" w:ascii="宋体" w:hAnsi="宋体" w:cs="宋体"/>
                <w:color w:val="auto"/>
                <w:kern w:val="0"/>
                <w:szCs w:val="21"/>
                <w:highlight w:val="none"/>
              </w:rPr>
            </w:pPr>
          </w:p>
        </w:tc>
        <w:tc>
          <w:tcPr>
            <w:tcW w:w="1736" w:type="dxa"/>
            <w:tcBorders>
              <w:top w:val="nil"/>
              <w:left w:val="nil"/>
              <w:bottom w:val="single" w:color="auto" w:sz="4" w:space="0"/>
              <w:right w:val="single" w:color="auto" w:sz="4" w:space="0"/>
            </w:tcBorders>
            <w:noWrap w:val="0"/>
            <w:vAlign w:val="center"/>
          </w:tcPr>
          <w:p w14:paraId="4B364A72">
            <w:pPr>
              <w:rPr>
                <w:rFonts w:hint="eastAsia" w:ascii="宋体" w:hAnsi="宋体" w:cs="宋体"/>
                <w:color w:val="auto"/>
                <w:kern w:val="0"/>
                <w:szCs w:val="21"/>
                <w:highlight w:val="none"/>
              </w:rPr>
            </w:pPr>
          </w:p>
        </w:tc>
        <w:tc>
          <w:tcPr>
            <w:tcW w:w="1737" w:type="dxa"/>
            <w:tcBorders>
              <w:top w:val="nil"/>
              <w:left w:val="nil"/>
              <w:bottom w:val="single" w:color="auto" w:sz="4" w:space="0"/>
              <w:right w:val="single" w:color="auto" w:sz="4" w:space="0"/>
            </w:tcBorders>
            <w:noWrap w:val="0"/>
            <w:vAlign w:val="center"/>
          </w:tcPr>
          <w:p w14:paraId="3602D570">
            <w:pPr>
              <w:rPr>
                <w:rFonts w:hint="eastAsia" w:ascii="宋体" w:hAnsi="宋体" w:cs="宋体"/>
                <w:color w:val="auto"/>
                <w:kern w:val="0"/>
                <w:szCs w:val="21"/>
                <w:highlight w:val="none"/>
              </w:rPr>
            </w:pPr>
          </w:p>
        </w:tc>
        <w:tc>
          <w:tcPr>
            <w:tcW w:w="3230" w:type="dxa"/>
            <w:tcBorders>
              <w:top w:val="single" w:color="auto" w:sz="4" w:space="0"/>
              <w:left w:val="nil"/>
              <w:bottom w:val="single" w:color="auto" w:sz="4" w:space="0"/>
              <w:right w:val="single" w:color="auto" w:sz="4" w:space="0"/>
            </w:tcBorders>
            <w:noWrap w:val="0"/>
            <w:vAlign w:val="center"/>
          </w:tcPr>
          <w:p w14:paraId="1A693D3C">
            <w:pPr>
              <w:rPr>
                <w:rFonts w:hint="eastAsia" w:ascii="宋体" w:hAnsi="宋体" w:cs="宋体"/>
                <w:color w:val="auto"/>
                <w:kern w:val="0"/>
                <w:szCs w:val="21"/>
                <w:highlight w:val="none"/>
              </w:rPr>
            </w:pPr>
          </w:p>
        </w:tc>
      </w:tr>
      <w:tr w14:paraId="40F37922">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4A3ABE1D">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3999" w:type="dxa"/>
            <w:tcBorders>
              <w:top w:val="nil"/>
              <w:left w:val="nil"/>
              <w:bottom w:val="single" w:color="auto" w:sz="4" w:space="0"/>
              <w:right w:val="single" w:color="auto" w:sz="4" w:space="0"/>
            </w:tcBorders>
            <w:noWrap w:val="0"/>
            <w:vAlign w:val="center"/>
          </w:tcPr>
          <w:p w14:paraId="55149FCE">
            <w:pPr>
              <w:rPr>
                <w:rFonts w:hint="eastAsia" w:ascii="宋体" w:hAnsi="宋体" w:cs="宋体"/>
                <w:color w:val="auto"/>
                <w:kern w:val="0"/>
                <w:szCs w:val="21"/>
                <w:highlight w:val="none"/>
              </w:rPr>
            </w:pPr>
            <w:r>
              <w:rPr>
                <w:rFonts w:hint="eastAsia" w:ascii="宋体" w:hAnsi="宋体" w:cs="宋体"/>
                <w:color w:val="auto"/>
                <w:kern w:val="0"/>
                <w:szCs w:val="21"/>
                <w:highlight w:val="none"/>
              </w:rPr>
              <w:t>[单位工程2]</w:t>
            </w:r>
          </w:p>
        </w:tc>
        <w:tc>
          <w:tcPr>
            <w:tcW w:w="1736" w:type="dxa"/>
            <w:tcBorders>
              <w:top w:val="nil"/>
              <w:left w:val="nil"/>
              <w:bottom w:val="single" w:color="auto" w:sz="4" w:space="0"/>
              <w:right w:val="single" w:color="auto" w:sz="4" w:space="0"/>
            </w:tcBorders>
            <w:noWrap w:val="0"/>
            <w:vAlign w:val="center"/>
          </w:tcPr>
          <w:p w14:paraId="5ABA109E">
            <w:pPr>
              <w:rPr>
                <w:rFonts w:hint="eastAsia" w:ascii="宋体" w:hAnsi="宋体" w:cs="宋体"/>
                <w:color w:val="auto"/>
                <w:kern w:val="0"/>
                <w:szCs w:val="21"/>
                <w:highlight w:val="none"/>
              </w:rPr>
            </w:pPr>
          </w:p>
        </w:tc>
        <w:tc>
          <w:tcPr>
            <w:tcW w:w="1737" w:type="dxa"/>
            <w:tcBorders>
              <w:top w:val="nil"/>
              <w:left w:val="nil"/>
              <w:bottom w:val="single" w:color="auto" w:sz="4" w:space="0"/>
              <w:right w:val="single" w:color="auto" w:sz="4" w:space="0"/>
            </w:tcBorders>
            <w:noWrap w:val="0"/>
            <w:vAlign w:val="center"/>
          </w:tcPr>
          <w:p w14:paraId="01903FFE">
            <w:pPr>
              <w:rPr>
                <w:rFonts w:hint="eastAsia" w:ascii="宋体" w:hAnsi="宋体" w:cs="宋体"/>
                <w:color w:val="auto"/>
                <w:kern w:val="0"/>
                <w:szCs w:val="21"/>
                <w:highlight w:val="none"/>
              </w:rPr>
            </w:pPr>
          </w:p>
        </w:tc>
        <w:tc>
          <w:tcPr>
            <w:tcW w:w="1736" w:type="dxa"/>
            <w:tcBorders>
              <w:top w:val="nil"/>
              <w:left w:val="nil"/>
              <w:bottom w:val="single" w:color="auto" w:sz="4" w:space="0"/>
              <w:right w:val="single" w:color="auto" w:sz="4" w:space="0"/>
            </w:tcBorders>
            <w:noWrap w:val="0"/>
            <w:vAlign w:val="center"/>
          </w:tcPr>
          <w:p w14:paraId="08322F88">
            <w:pPr>
              <w:rPr>
                <w:rFonts w:hint="eastAsia" w:ascii="宋体" w:hAnsi="宋体" w:cs="宋体"/>
                <w:color w:val="auto"/>
                <w:kern w:val="0"/>
                <w:szCs w:val="21"/>
                <w:highlight w:val="none"/>
              </w:rPr>
            </w:pPr>
          </w:p>
        </w:tc>
        <w:tc>
          <w:tcPr>
            <w:tcW w:w="1737" w:type="dxa"/>
            <w:tcBorders>
              <w:top w:val="nil"/>
              <w:left w:val="nil"/>
              <w:bottom w:val="single" w:color="auto" w:sz="4" w:space="0"/>
              <w:right w:val="single" w:color="auto" w:sz="4" w:space="0"/>
            </w:tcBorders>
            <w:noWrap w:val="0"/>
            <w:vAlign w:val="center"/>
          </w:tcPr>
          <w:p w14:paraId="455B2E62">
            <w:pPr>
              <w:rPr>
                <w:rFonts w:hint="eastAsia" w:ascii="宋体" w:hAnsi="宋体" w:cs="宋体"/>
                <w:color w:val="auto"/>
                <w:kern w:val="0"/>
                <w:szCs w:val="21"/>
                <w:highlight w:val="none"/>
              </w:rPr>
            </w:pPr>
          </w:p>
        </w:tc>
        <w:tc>
          <w:tcPr>
            <w:tcW w:w="3230" w:type="dxa"/>
            <w:tcBorders>
              <w:top w:val="single" w:color="auto" w:sz="4" w:space="0"/>
              <w:left w:val="nil"/>
              <w:bottom w:val="single" w:color="auto" w:sz="4" w:space="0"/>
              <w:right w:val="single" w:color="auto" w:sz="4" w:space="0"/>
            </w:tcBorders>
            <w:noWrap w:val="0"/>
            <w:vAlign w:val="center"/>
          </w:tcPr>
          <w:p w14:paraId="5161BDA8">
            <w:pPr>
              <w:rPr>
                <w:rFonts w:hint="eastAsia" w:ascii="宋体" w:hAnsi="宋体" w:cs="宋体"/>
                <w:color w:val="auto"/>
                <w:kern w:val="0"/>
                <w:szCs w:val="21"/>
                <w:highlight w:val="none"/>
              </w:rPr>
            </w:pPr>
          </w:p>
        </w:tc>
      </w:tr>
      <w:tr w14:paraId="5AB9DBDA">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629CD291">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3999" w:type="dxa"/>
            <w:tcBorders>
              <w:top w:val="nil"/>
              <w:left w:val="nil"/>
              <w:bottom w:val="single" w:color="auto" w:sz="4" w:space="0"/>
              <w:right w:val="single" w:color="auto" w:sz="4" w:space="0"/>
            </w:tcBorders>
            <w:noWrap w:val="0"/>
            <w:vAlign w:val="center"/>
          </w:tcPr>
          <w:p w14:paraId="7FF915E1">
            <w:pP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736" w:type="dxa"/>
            <w:tcBorders>
              <w:top w:val="nil"/>
              <w:left w:val="nil"/>
              <w:bottom w:val="single" w:color="auto" w:sz="4" w:space="0"/>
              <w:right w:val="single" w:color="auto" w:sz="4" w:space="0"/>
            </w:tcBorders>
            <w:noWrap w:val="0"/>
            <w:vAlign w:val="center"/>
          </w:tcPr>
          <w:p w14:paraId="78473564">
            <w:pPr>
              <w:rPr>
                <w:rFonts w:hint="eastAsia" w:ascii="宋体" w:hAnsi="宋体" w:cs="宋体"/>
                <w:color w:val="auto"/>
                <w:kern w:val="0"/>
                <w:szCs w:val="21"/>
                <w:highlight w:val="none"/>
              </w:rPr>
            </w:pPr>
          </w:p>
        </w:tc>
        <w:tc>
          <w:tcPr>
            <w:tcW w:w="1737" w:type="dxa"/>
            <w:tcBorders>
              <w:top w:val="nil"/>
              <w:left w:val="nil"/>
              <w:bottom w:val="single" w:color="auto" w:sz="4" w:space="0"/>
              <w:right w:val="single" w:color="auto" w:sz="4" w:space="0"/>
            </w:tcBorders>
            <w:noWrap w:val="0"/>
            <w:vAlign w:val="center"/>
          </w:tcPr>
          <w:p w14:paraId="6512D4FB">
            <w:pPr>
              <w:rPr>
                <w:rFonts w:hint="eastAsia" w:ascii="宋体" w:hAnsi="宋体" w:cs="宋体"/>
                <w:color w:val="auto"/>
                <w:kern w:val="0"/>
                <w:szCs w:val="21"/>
                <w:highlight w:val="none"/>
              </w:rPr>
            </w:pPr>
          </w:p>
        </w:tc>
        <w:tc>
          <w:tcPr>
            <w:tcW w:w="1736" w:type="dxa"/>
            <w:tcBorders>
              <w:top w:val="nil"/>
              <w:left w:val="nil"/>
              <w:bottom w:val="single" w:color="auto" w:sz="4" w:space="0"/>
              <w:right w:val="single" w:color="auto" w:sz="4" w:space="0"/>
            </w:tcBorders>
            <w:noWrap w:val="0"/>
            <w:vAlign w:val="center"/>
          </w:tcPr>
          <w:p w14:paraId="6043C987">
            <w:pPr>
              <w:rPr>
                <w:rFonts w:hint="eastAsia" w:ascii="宋体" w:hAnsi="宋体" w:cs="宋体"/>
                <w:color w:val="auto"/>
                <w:kern w:val="0"/>
                <w:szCs w:val="21"/>
                <w:highlight w:val="none"/>
              </w:rPr>
            </w:pPr>
          </w:p>
        </w:tc>
        <w:tc>
          <w:tcPr>
            <w:tcW w:w="1737" w:type="dxa"/>
            <w:tcBorders>
              <w:top w:val="nil"/>
              <w:left w:val="nil"/>
              <w:bottom w:val="single" w:color="auto" w:sz="4" w:space="0"/>
              <w:right w:val="single" w:color="auto" w:sz="4" w:space="0"/>
            </w:tcBorders>
            <w:noWrap w:val="0"/>
            <w:vAlign w:val="center"/>
          </w:tcPr>
          <w:p w14:paraId="56C32088">
            <w:pPr>
              <w:rPr>
                <w:rFonts w:hint="eastAsia" w:ascii="宋体" w:hAnsi="宋体" w:cs="宋体"/>
                <w:color w:val="auto"/>
                <w:kern w:val="0"/>
                <w:szCs w:val="21"/>
                <w:highlight w:val="none"/>
              </w:rPr>
            </w:pPr>
          </w:p>
        </w:tc>
        <w:tc>
          <w:tcPr>
            <w:tcW w:w="3230" w:type="dxa"/>
            <w:tcBorders>
              <w:top w:val="single" w:color="auto" w:sz="4" w:space="0"/>
              <w:left w:val="nil"/>
              <w:bottom w:val="single" w:color="auto" w:sz="4" w:space="0"/>
              <w:right w:val="single" w:color="auto" w:sz="4" w:space="0"/>
            </w:tcBorders>
            <w:noWrap w:val="0"/>
            <w:vAlign w:val="center"/>
          </w:tcPr>
          <w:p w14:paraId="00FFCDB6">
            <w:pPr>
              <w:rPr>
                <w:rFonts w:hint="eastAsia" w:ascii="宋体" w:hAnsi="宋体" w:cs="宋体"/>
                <w:color w:val="auto"/>
                <w:kern w:val="0"/>
                <w:szCs w:val="21"/>
                <w:highlight w:val="none"/>
              </w:rPr>
            </w:pPr>
          </w:p>
        </w:tc>
      </w:tr>
      <w:tr w14:paraId="6F4627AB">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5F96ECCA">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3999" w:type="dxa"/>
            <w:tcBorders>
              <w:top w:val="nil"/>
              <w:left w:val="nil"/>
              <w:bottom w:val="single" w:color="auto" w:sz="4" w:space="0"/>
              <w:right w:val="single" w:color="auto" w:sz="4" w:space="0"/>
            </w:tcBorders>
            <w:noWrap w:val="0"/>
            <w:vAlign w:val="center"/>
          </w:tcPr>
          <w:p w14:paraId="178BAA62">
            <w:pP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736" w:type="dxa"/>
            <w:tcBorders>
              <w:top w:val="nil"/>
              <w:left w:val="nil"/>
              <w:bottom w:val="single" w:color="auto" w:sz="4" w:space="0"/>
              <w:right w:val="single" w:color="auto" w:sz="4" w:space="0"/>
            </w:tcBorders>
            <w:noWrap w:val="0"/>
            <w:vAlign w:val="center"/>
          </w:tcPr>
          <w:p w14:paraId="71A25515">
            <w:pPr>
              <w:rPr>
                <w:rFonts w:hint="eastAsia" w:ascii="宋体" w:hAnsi="宋体" w:cs="宋体"/>
                <w:color w:val="auto"/>
                <w:kern w:val="0"/>
                <w:szCs w:val="21"/>
                <w:highlight w:val="none"/>
              </w:rPr>
            </w:pPr>
          </w:p>
        </w:tc>
        <w:tc>
          <w:tcPr>
            <w:tcW w:w="1737" w:type="dxa"/>
            <w:tcBorders>
              <w:top w:val="nil"/>
              <w:left w:val="nil"/>
              <w:bottom w:val="single" w:color="auto" w:sz="4" w:space="0"/>
              <w:right w:val="single" w:color="auto" w:sz="4" w:space="0"/>
            </w:tcBorders>
            <w:noWrap w:val="0"/>
            <w:vAlign w:val="center"/>
          </w:tcPr>
          <w:p w14:paraId="643E5B47">
            <w:pPr>
              <w:rPr>
                <w:rFonts w:hint="eastAsia" w:ascii="宋体" w:hAnsi="宋体" w:cs="宋体"/>
                <w:color w:val="auto"/>
                <w:kern w:val="0"/>
                <w:szCs w:val="21"/>
                <w:highlight w:val="none"/>
              </w:rPr>
            </w:pPr>
          </w:p>
        </w:tc>
        <w:tc>
          <w:tcPr>
            <w:tcW w:w="1736" w:type="dxa"/>
            <w:tcBorders>
              <w:top w:val="nil"/>
              <w:left w:val="nil"/>
              <w:bottom w:val="single" w:color="auto" w:sz="4" w:space="0"/>
              <w:right w:val="single" w:color="auto" w:sz="4" w:space="0"/>
            </w:tcBorders>
            <w:noWrap w:val="0"/>
            <w:vAlign w:val="center"/>
          </w:tcPr>
          <w:p w14:paraId="559A4113">
            <w:pPr>
              <w:rPr>
                <w:rFonts w:hint="eastAsia" w:ascii="宋体" w:hAnsi="宋体" w:cs="宋体"/>
                <w:color w:val="auto"/>
                <w:kern w:val="0"/>
                <w:szCs w:val="21"/>
                <w:highlight w:val="none"/>
              </w:rPr>
            </w:pPr>
          </w:p>
        </w:tc>
        <w:tc>
          <w:tcPr>
            <w:tcW w:w="1737" w:type="dxa"/>
            <w:tcBorders>
              <w:top w:val="nil"/>
              <w:left w:val="nil"/>
              <w:bottom w:val="single" w:color="auto" w:sz="4" w:space="0"/>
              <w:right w:val="single" w:color="auto" w:sz="4" w:space="0"/>
            </w:tcBorders>
            <w:noWrap w:val="0"/>
            <w:vAlign w:val="center"/>
          </w:tcPr>
          <w:p w14:paraId="00A99D2E">
            <w:pPr>
              <w:rPr>
                <w:rFonts w:hint="eastAsia" w:ascii="宋体" w:hAnsi="宋体" w:cs="宋体"/>
                <w:color w:val="auto"/>
                <w:kern w:val="0"/>
                <w:szCs w:val="21"/>
                <w:highlight w:val="none"/>
              </w:rPr>
            </w:pPr>
          </w:p>
        </w:tc>
        <w:tc>
          <w:tcPr>
            <w:tcW w:w="3230" w:type="dxa"/>
            <w:tcBorders>
              <w:top w:val="single" w:color="auto" w:sz="4" w:space="0"/>
              <w:left w:val="nil"/>
              <w:bottom w:val="single" w:color="auto" w:sz="4" w:space="0"/>
              <w:right w:val="single" w:color="auto" w:sz="4" w:space="0"/>
            </w:tcBorders>
            <w:noWrap w:val="0"/>
            <w:vAlign w:val="center"/>
          </w:tcPr>
          <w:p w14:paraId="51A501BD">
            <w:pPr>
              <w:rPr>
                <w:rFonts w:hint="eastAsia" w:ascii="宋体" w:hAnsi="宋体" w:cs="宋体"/>
                <w:color w:val="auto"/>
                <w:kern w:val="0"/>
                <w:szCs w:val="21"/>
                <w:highlight w:val="none"/>
              </w:rPr>
            </w:pPr>
          </w:p>
        </w:tc>
      </w:tr>
      <w:tr w14:paraId="448EAC14">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6B1D46D1">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3999" w:type="dxa"/>
            <w:tcBorders>
              <w:top w:val="nil"/>
              <w:left w:val="nil"/>
              <w:bottom w:val="single" w:color="auto" w:sz="4" w:space="0"/>
              <w:right w:val="single" w:color="auto" w:sz="4" w:space="0"/>
            </w:tcBorders>
            <w:noWrap w:val="0"/>
            <w:vAlign w:val="center"/>
          </w:tcPr>
          <w:p w14:paraId="63412703">
            <w:pP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736" w:type="dxa"/>
            <w:tcBorders>
              <w:top w:val="nil"/>
              <w:left w:val="nil"/>
              <w:bottom w:val="single" w:color="auto" w:sz="4" w:space="0"/>
              <w:right w:val="single" w:color="auto" w:sz="4" w:space="0"/>
            </w:tcBorders>
            <w:noWrap w:val="0"/>
            <w:vAlign w:val="center"/>
          </w:tcPr>
          <w:p w14:paraId="39F087DE">
            <w:pPr>
              <w:rPr>
                <w:rFonts w:hint="eastAsia" w:ascii="宋体" w:hAnsi="宋体" w:cs="宋体"/>
                <w:color w:val="auto"/>
                <w:kern w:val="0"/>
                <w:szCs w:val="21"/>
                <w:highlight w:val="none"/>
              </w:rPr>
            </w:pPr>
          </w:p>
        </w:tc>
        <w:tc>
          <w:tcPr>
            <w:tcW w:w="1737" w:type="dxa"/>
            <w:tcBorders>
              <w:top w:val="nil"/>
              <w:left w:val="nil"/>
              <w:bottom w:val="single" w:color="auto" w:sz="4" w:space="0"/>
              <w:right w:val="single" w:color="auto" w:sz="4" w:space="0"/>
            </w:tcBorders>
            <w:noWrap w:val="0"/>
            <w:vAlign w:val="center"/>
          </w:tcPr>
          <w:p w14:paraId="458EF809">
            <w:pPr>
              <w:rPr>
                <w:rFonts w:hint="eastAsia" w:ascii="宋体" w:hAnsi="宋体" w:cs="宋体"/>
                <w:color w:val="auto"/>
                <w:kern w:val="0"/>
                <w:szCs w:val="21"/>
                <w:highlight w:val="none"/>
              </w:rPr>
            </w:pPr>
          </w:p>
        </w:tc>
        <w:tc>
          <w:tcPr>
            <w:tcW w:w="1736" w:type="dxa"/>
            <w:tcBorders>
              <w:top w:val="nil"/>
              <w:left w:val="nil"/>
              <w:bottom w:val="single" w:color="auto" w:sz="4" w:space="0"/>
              <w:right w:val="single" w:color="auto" w:sz="4" w:space="0"/>
            </w:tcBorders>
            <w:noWrap w:val="0"/>
            <w:vAlign w:val="center"/>
          </w:tcPr>
          <w:p w14:paraId="7BEC05A3">
            <w:pPr>
              <w:rPr>
                <w:rFonts w:hint="eastAsia" w:ascii="宋体" w:hAnsi="宋体" w:cs="宋体"/>
                <w:color w:val="auto"/>
                <w:kern w:val="0"/>
                <w:szCs w:val="21"/>
                <w:highlight w:val="none"/>
              </w:rPr>
            </w:pPr>
          </w:p>
        </w:tc>
        <w:tc>
          <w:tcPr>
            <w:tcW w:w="1737" w:type="dxa"/>
            <w:tcBorders>
              <w:top w:val="nil"/>
              <w:left w:val="nil"/>
              <w:bottom w:val="single" w:color="auto" w:sz="4" w:space="0"/>
              <w:right w:val="single" w:color="auto" w:sz="4" w:space="0"/>
            </w:tcBorders>
            <w:noWrap w:val="0"/>
            <w:vAlign w:val="center"/>
          </w:tcPr>
          <w:p w14:paraId="105AC932">
            <w:pPr>
              <w:rPr>
                <w:rFonts w:hint="eastAsia" w:ascii="宋体" w:hAnsi="宋体" w:cs="宋体"/>
                <w:color w:val="auto"/>
                <w:kern w:val="0"/>
                <w:szCs w:val="21"/>
                <w:highlight w:val="none"/>
              </w:rPr>
            </w:pPr>
          </w:p>
        </w:tc>
        <w:tc>
          <w:tcPr>
            <w:tcW w:w="3230" w:type="dxa"/>
            <w:tcBorders>
              <w:top w:val="single" w:color="auto" w:sz="4" w:space="0"/>
              <w:left w:val="nil"/>
              <w:bottom w:val="single" w:color="auto" w:sz="4" w:space="0"/>
              <w:right w:val="single" w:color="auto" w:sz="4" w:space="0"/>
            </w:tcBorders>
            <w:noWrap w:val="0"/>
            <w:vAlign w:val="center"/>
          </w:tcPr>
          <w:p w14:paraId="031D5A72">
            <w:pPr>
              <w:rPr>
                <w:rFonts w:hint="eastAsia" w:ascii="宋体" w:hAnsi="宋体" w:cs="宋体"/>
                <w:color w:val="auto"/>
                <w:kern w:val="0"/>
                <w:szCs w:val="21"/>
                <w:highlight w:val="none"/>
              </w:rPr>
            </w:pPr>
          </w:p>
        </w:tc>
      </w:tr>
      <w:tr w14:paraId="2EAC729C">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6CC7155B">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n</w:t>
            </w:r>
          </w:p>
        </w:tc>
        <w:tc>
          <w:tcPr>
            <w:tcW w:w="3999" w:type="dxa"/>
            <w:tcBorders>
              <w:top w:val="nil"/>
              <w:left w:val="nil"/>
              <w:bottom w:val="single" w:color="auto" w:sz="4" w:space="0"/>
              <w:right w:val="single" w:color="auto" w:sz="4" w:space="0"/>
            </w:tcBorders>
            <w:noWrap w:val="0"/>
            <w:vAlign w:val="center"/>
          </w:tcPr>
          <w:p w14:paraId="7443D5BC">
            <w:pPr>
              <w:rPr>
                <w:rFonts w:hint="eastAsia" w:ascii="宋体" w:hAnsi="宋体" w:cs="宋体"/>
                <w:color w:val="auto"/>
                <w:kern w:val="0"/>
                <w:szCs w:val="21"/>
                <w:highlight w:val="none"/>
              </w:rPr>
            </w:pPr>
            <w:r>
              <w:rPr>
                <w:rFonts w:hint="eastAsia" w:ascii="宋体" w:hAnsi="宋体" w:cs="宋体"/>
                <w:color w:val="auto"/>
                <w:kern w:val="0"/>
                <w:szCs w:val="21"/>
                <w:highlight w:val="none"/>
              </w:rPr>
              <w:t>[单位工程n]</w:t>
            </w:r>
          </w:p>
        </w:tc>
        <w:tc>
          <w:tcPr>
            <w:tcW w:w="1736" w:type="dxa"/>
            <w:tcBorders>
              <w:top w:val="nil"/>
              <w:left w:val="nil"/>
              <w:bottom w:val="single" w:color="auto" w:sz="4" w:space="0"/>
              <w:right w:val="single" w:color="auto" w:sz="4" w:space="0"/>
            </w:tcBorders>
            <w:noWrap w:val="0"/>
            <w:vAlign w:val="center"/>
          </w:tcPr>
          <w:p w14:paraId="67B923E6">
            <w:pPr>
              <w:rPr>
                <w:rFonts w:hint="eastAsia" w:ascii="宋体" w:hAnsi="宋体" w:cs="宋体"/>
                <w:color w:val="auto"/>
                <w:kern w:val="0"/>
                <w:szCs w:val="21"/>
                <w:highlight w:val="none"/>
              </w:rPr>
            </w:pPr>
          </w:p>
        </w:tc>
        <w:tc>
          <w:tcPr>
            <w:tcW w:w="1737" w:type="dxa"/>
            <w:tcBorders>
              <w:top w:val="nil"/>
              <w:left w:val="nil"/>
              <w:bottom w:val="single" w:color="auto" w:sz="4" w:space="0"/>
              <w:right w:val="single" w:color="auto" w:sz="4" w:space="0"/>
            </w:tcBorders>
            <w:noWrap w:val="0"/>
            <w:vAlign w:val="center"/>
          </w:tcPr>
          <w:p w14:paraId="495CE990">
            <w:pPr>
              <w:rPr>
                <w:rFonts w:hint="eastAsia" w:ascii="宋体" w:hAnsi="宋体" w:cs="宋体"/>
                <w:color w:val="auto"/>
                <w:kern w:val="0"/>
                <w:szCs w:val="21"/>
                <w:highlight w:val="none"/>
              </w:rPr>
            </w:pPr>
          </w:p>
        </w:tc>
        <w:tc>
          <w:tcPr>
            <w:tcW w:w="1736" w:type="dxa"/>
            <w:tcBorders>
              <w:top w:val="nil"/>
              <w:left w:val="nil"/>
              <w:bottom w:val="single" w:color="auto" w:sz="4" w:space="0"/>
              <w:right w:val="single" w:color="auto" w:sz="4" w:space="0"/>
            </w:tcBorders>
            <w:noWrap w:val="0"/>
            <w:vAlign w:val="center"/>
          </w:tcPr>
          <w:p w14:paraId="399FA9AA">
            <w:pPr>
              <w:rPr>
                <w:rFonts w:hint="eastAsia" w:ascii="宋体" w:hAnsi="宋体" w:cs="宋体"/>
                <w:color w:val="auto"/>
                <w:kern w:val="0"/>
                <w:szCs w:val="21"/>
                <w:highlight w:val="none"/>
              </w:rPr>
            </w:pPr>
          </w:p>
        </w:tc>
        <w:tc>
          <w:tcPr>
            <w:tcW w:w="1737" w:type="dxa"/>
            <w:tcBorders>
              <w:top w:val="nil"/>
              <w:left w:val="nil"/>
              <w:bottom w:val="single" w:color="auto" w:sz="4" w:space="0"/>
              <w:right w:val="single" w:color="auto" w:sz="4" w:space="0"/>
            </w:tcBorders>
            <w:noWrap w:val="0"/>
            <w:vAlign w:val="center"/>
          </w:tcPr>
          <w:p w14:paraId="0898B4D8">
            <w:pPr>
              <w:rPr>
                <w:rFonts w:hint="eastAsia" w:ascii="宋体" w:hAnsi="宋体" w:cs="宋体"/>
                <w:color w:val="auto"/>
                <w:kern w:val="0"/>
                <w:szCs w:val="21"/>
                <w:highlight w:val="none"/>
              </w:rPr>
            </w:pPr>
          </w:p>
        </w:tc>
        <w:tc>
          <w:tcPr>
            <w:tcW w:w="3230" w:type="dxa"/>
            <w:tcBorders>
              <w:top w:val="single" w:color="auto" w:sz="4" w:space="0"/>
              <w:left w:val="nil"/>
              <w:bottom w:val="single" w:color="auto" w:sz="4" w:space="0"/>
              <w:right w:val="single" w:color="auto" w:sz="4" w:space="0"/>
            </w:tcBorders>
            <w:noWrap w:val="0"/>
            <w:vAlign w:val="center"/>
          </w:tcPr>
          <w:p w14:paraId="19654565">
            <w:pPr>
              <w:rPr>
                <w:rFonts w:hint="eastAsia" w:ascii="宋体" w:hAnsi="宋体" w:cs="宋体"/>
                <w:color w:val="auto"/>
                <w:kern w:val="0"/>
                <w:szCs w:val="21"/>
                <w:highlight w:val="none"/>
              </w:rPr>
            </w:pPr>
          </w:p>
        </w:tc>
      </w:tr>
      <w:tr w14:paraId="5A994242">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14:paraId="6A329D58">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3999" w:type="dxa"/>
            <w:tcBorders>
              <w:top w:val="nil"/>
              <w:left w:val="nil"/>
              <w:bottom w:val="single" w:color="auto" w:sz="4" w:space="0"/>
              <w:right w:val="single" w:color="auto" w:sz="4" w:space="0"/>
            </w:tcBorders>
            <w:noWrap w:val="0"/>
            <w:vAlign w:val="center"/>
          </w:tcPr>
          <w:p w14:paraId="1E961461">
            <w:pPr>
              <w:rPr>
                <w:rFonts w:hint="eastAsia" w:ascii="宋体" w:hAnsi="宋体" w:cs="宋体"/>
                <w:color w:val="auto"/>
                <w:kern w:val="0"/>
                <w:szCs w:val="21"/>
                <w:highlight w:val="none"/>
              </w:rPr>
            </w:pPr>
            <w:r>
              <w:rPr>
                <w:rFonts w:hint="eastAsia" w:ascii="宋体" w:hAnsi="宋体" w:cs="宋体"/>
                <w:color w:val="auto"/>
                <w:kern w:val="0"/>
                <w:szCs w:val="21"/>
                <w:highlight w:val="none"/>
              </w:rPr>
              <w:t>投标总报价</w:t>
            </w:r>
          </w:p>
        </w:tc>
        <w:tc>
          <w:tcPr>
            <w:tcW w:w="1736" w:type="dxa"/>
            <w:tcBorders>
              <w:top w:val="nil"/>
              <w:left w:val="nil"/>
              <w:bottom w:val="single" w:color="auto" w:sz="4" w:space="0"/>
              <w:right w:val="single" w:color="auto" w:sz="4" w:space="0"/>
            </w:tcBorders>
            <w:noWrap w:val="0"/>
            <w:vAlign w:val="center"/>
          </w:tcPr>
          <w:p w14:paraId="09B539EE">
            <w:pPr>
              <w:rPr>
                <w:rFonts w:hint="eastAsia" w:ascii="宋体" w:hAnsi="宋体" w:cs="宋体"/>
                <w:color w:val="auto"/>
                <w:kern w:val="0"/>
                <w:szCs w:val="21"/>
                <w:highlight w:val="none"/>
              </w:rPr>
            </w:pPr>
          </w:p>
        </w:tc>
        <w:tc>
          <w:tcPr>
            <w:tcW w:w="1737" w:type="dxa"/>
            <w:tcBorders>
              <w:top w:val="nil"/>
              <w:left w:val="nil"/>
              <w:bottom w:val="single" w:color="auto" w:sz="4" w:space="0"/>
              <w:right w:val="single" w:color="auto" w:sz="4" w:space="0"/>
            </w:tcBorders>
            <w:noWrap w:val="0"/>
            <w:vAlign w:val="center"/>
          </w:tcPr>
          <w:p w14:paraId="1C497778">
            <w:pPr>
              <w:rPr>
                <w:rFonts w:hint="eastAsia" w:ascii="宋体" w:hAnsi="宋体" w:cs="宋体"/>
                <w:color w:val="auto"/>
                <w:kern w:val="0"/>
                <w:szCs w:val="21"/>
                <w:highlight w:val="none"/>
              </w:rPr>
            </w:pPr>
          </w:p>
        </w:tc>
        <w:tc>
          <w:tcPr>
            <w:tcW w:w="1736" w:type="dxa"/>
            <w:tcBorders>
              <w:top w:val="nil"/>
              <w:left w:val="nil"/>
              <w:bottom w:val="single" w:color="auto" w:sz="4" w:space="0"/>
              <w:right w:val="single" w:color="auto" w:sz="4" w:space="0"/>
              <w:tr2bl w:val="single" w:color="auto" w:sz="4" w:space="0"/>
            </w:tcBorders>
            <w:noWrap w:val="0"/>
            <w:vAlign w:val="center"/>
          </w:tcPr>
          <w:p w14:paraId="107AAE1A">
            <w:pPr>
              <w:rPr>
                <w:rFonts w:hint="eastAsia" w:ascii="宋体" w:hAnsi="宋体" w:cs="宋体"/>
                <w:color w:val="auto"/>
                <w:kern w:val="0"/>
                <w:szCs w:val="21"/>
                <w:highlight w:val="none"/>
              </w:rPr>
            </w:pPr>
          </w:p>
        </w:tc>
        <w:tc>
          <w:tcPr>
            <w:tcW w:w="1737" w:type="dxa"/>
            <w:tcBorders>
              <w:top w:val="nil"/>
              <w:left w:val="nil"/>
              <w:bottom w:val="single" w:color="auto" w:sz="4" w:space="0"/>
              <w:right w:val="single" w:color="auto" w:sz="4" w:space="0"/>
            </w:tcBorders>
            <w:noWrap w:val="0"/>
            <w:vAlign w:val="center"/>
          </w:tcPr>
          <w:p w14:paraId="0699658B">
            <w:pPr>
              <w:rPr>
                <w:rFonts w:hint="eastAsia" w:ascii="宋体" w:hAnsi="宋体" w:cs="宋体"/>
                <w:color w:val="auto"/>
                <w:kern w:val="0"/>
                <w:szCs w:val="21"/>
                <w:highlight w:val="none"/>
              </w:rPr>
            </w:pPr>
          </w:p>
        </w:tc>
        <w:tc>
          <w:tcPr>
            <w:tcW w:w="3230" w:type="dxa"/>
            <w:tcBorders>
              <w:top w:val="single" w:color="auto" w:sz="4" w:space="0"/>
              <w:left w:val="nil"/>
              <w:bottom w:val="single" w:color="auto" w:sz="4" w:space="0"/>
              <w:right w:val="single" w:color="auto" w:sz="4" w:space="0"/>
            </w:tcBorders>
            <w:noWrap w:val="0"/>
            <w:vAlign w:val="center"/>
          </w:tcPr>
          <w:p w14:paraId="63CCEF15">
            <w:pPr>
              <w:rPr>
                <w:rFonts w:hint="eastAsia" w:ascii="宋体" w:hAnsi="宋体" w:cs="宋体"/>
                <w:color w:val="auto"/>
                <w:kern w:val="0"/>
                <w:szCs w:val="21"/>
                <w:highlight w:val="none"/>
              </w:rPr>
            </w:pPr>
            <w:r>
              <w:rPr>
                <w:rFonts w:hint="eastAsia" w:ascii="宋体" w:hAnsi="宋体" w:cs="宋体"/>
                <w:color w:val="auto"/>
                <w:kern w:val="0"/>
                <w:szCs w:val="21"/>
                <w:highlight w:val="none"/>
              </w:rPr>
              <w:t>∑A=A</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+A</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+…An；∑B=B</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+B</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+…Bn</w:t>
            </w:r>
          </w:p>
        </w:tc>
      </w:tr>
    </w:tbl>
    <w:p w14:paraId="2AF9B575">
      <w:pPr>
        <w:rPr>
          <w:rFonts w:hint="eastAsia" w:ascii="宋体" w:hAnsi="宋体" w:cs="宋体"/>
          <w:color w:val="auto"/>
          <w:kern w:val="0"/>
          <w:szCs w:val="21"/>
          <w:highlight w:val="none"/>
        </w:rPr>
      </w:pPr>
      <w:r>
        <w:rPr>
          <w:rFonts w:hint="eastAsia" w:ascii="宋体" w:hAnsi="宋体" w:cs="宋体"/>
          <w:color w:val="auto"/>
          <w:kern w:val="0"/>
          <w:szCs w:val="21"/>
          <w:highlight w:val="none"/>
        </w:rPr>
        <w:t>修正原则：</w:t>
      </w:r>
      <w:r>
        <w:rPr>
          <w:rFonts w:hint="eastAsia" w:ascii="宋体" w:hAnsi="宋体" w:cs="宋体"/>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cs="宋体"/>
          <w:color w:val="auto"/>
          <w:kern w:val="0"/>
          <w:szCs w:val="21"/>
          <w:highlight w:val="none"/>
        </w:rPr>
        <w:tab/>
      </w:r>
    </w:p>
    <w:p w14:paraId="163B9B0F">
      <w:pPr>
        <w:rPr>
          <w:rFonts w:hint="eastAsia" w:ascii="宋体" w:hAnsi="宋体" w:cs="宋体"/>
          <w:color w:val="auto"/>
          <w:kern w:val="0"/>
          <w:szCs w:val="21"/>
          <w:highlight w:val="none"/>
        </w:rPr>
      </w:pPr>
    </w:p>
    <w:p w14:paraId="4C0F46C3">
      <w:pPr>
        <w:tabs>
          <w:tab w:val="left" w:pos="11340"/>
        </w:tabs>
        <w:rPr>
          <w:rFonts w:hint="eastAsia" w:ascii="宋体" w:hAnsi="宋体" w:cs="宋体"/>
          <w:color w:val="auto"/>
          <w:kern w:val="0"/>
          <w:szCs w:val="21"/>
          <w:highlight w:val="none"/>
        </w:rPr>
      </w:pPr>
      <w:r>
        <w:rPr>
          <w:rFonts w:hint="eastAsia" w:ascii="宋体" w:hAnsi="宋体" w:cs="宋体"/>
          <w:color w:val="auto"/>
          <w:kern w:val="0"/>
          <w:szCs w:val="21"/>
          <w:highlight w:val="none"/>
        </w:rPr>
        <w:t>评委签名：</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日期：</w:t>
      </w:r>
    </w:p>
    <w:p w14:paraId="786DDBEC">
      <w:pPr>
        <w:rPr>
          <w:rFonts w:hint="eastAsia" w:ascii="宋体" w:hAnsi="宋体" w:cs="宋体"/>
          <w:color w:val="auto"/>
          <w:highlight w:val="none"/>
        </w:rPr>
      </w:pPr>
    </w:p>
    <w:p w14:paraId="72FA3895">
      <w:pPr>
        <w:rPr>
          <w:rFonts w:hint="eastAsia" w:ascii="宋体" w:hAnsi="宋体" w:cs="宋体"/>
          <w:color w:val="auto"/>
          <w:highlight w:val="none"/>
        </w:rPr>
      </w:pPr>
      <w:r>
        <w:rPr>
          <w:rFonts w:hint="eastAsia" w:ascii="宋体" w:hAnsi="宋体" w:cs="宋体"/>
          <w:color w:val="auto"/>
          <w:highlight w:val="none"/>
        </w:rPr>
        <w:br w:type="page"/>
      </w:r>
    </w:p>
    <w:p w14:paraId="55BAB585">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算术复核表</w:t>
      </w:r>
    </w:p>
    <w:p w14:paraId="41CDFFE7">
      <w:pPr>
        <w:rPr>
          <w:rFonts w:hint="eastAsia" w:ascii="宋体" w:hAnsi="宋体" w:cs="宋体"/>
          <w:color w:val="auto"/>
          <w:szCs w:val="21"/>
          <w:highlight w:val="none"/>
        </w:rPr>
      </w:pPr>
      <w:r>
        <w:rPr>
          <w:rFonts w:hint="eastAsia" w:ascii="宋体" w:hAnsi="宋体" w:cs="宋体"/>
          <w:color w:val="auto"/>
          <w:szCs w:val="21"/>
          <w:highlight w:val="none"/>
        </w:rPr>
        <w:t>工程名称：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17"/>
        <w:gridCol w:w="2551"/>
        <w:gridCol w:w="3402"/>
        <w:gridCol w:w="3423"/>
      </w:tblGrid>
      <w:tr w14:paraId="0A493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14:paraId="4D44FEF1">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编号</w:t>
            </w:r>
          </w:p>
        </w:tc>
        <w:tc>
          <w:tcPr>
            <w:tcW w:w="4217" w:type="dxa"/>
            <w:tcBorders>
              <w:top w:val="single" w:color="auto" w:sz="4" w:space="0"/>
              <w:left w:val="single" w:color="auto" w:sz="4" w:space="0"/>
              <w:bottom w:val="single" w:color="auto" w:sz="4" w:space="0"/>
              <w:right w:val="single" w:color="auto" w:sz="4" w:space="0"/>
            </w:tcBorders>
            <w:noWrap w:val="0"/>
            <w:vAlign w:val="center"/>
          </w:tcPr>
          <w:p w14:paraId="0B4F896F">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投标人名称</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75BB0E9">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原投标报价（A）</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4CDF306">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算数复核后投标报价（B）</w:t>
            </w:r>
          </w:p>
        </w:tc>
        <w:tc>
          <w:tcPr>
            <w:tcW w:w="3423" w:type="dxa"/>
            <w:tcBorders>
              <w:top w:val="single" w:color="auto" w:sz="4" w:space="0"/>
              <w:left w:val="single" w:color="auto" w:sz="4" w:space="0"/>
              <w:bottom w:val="single" w:color="auto" w:sz="4" w:space="0"/>
              <w:right w:val="single" w:color="auto" w:sz="4" w:space="0"/>
            </w:tcBorders>
            <w:noWrap w:val="0"/>
            <w:vAlign w:val="center"/>
          </w:tcPr>
          <w:p w14:paraId="2FC9308A">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误差率（r=|A-B|/A*100%）</w:t>
            </w:r>
          </w:p>
        </w:tc>
      </w:tr>
      <w:tr w14:paraId="6A2F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noWrap w:val="0"/>
            <w:vAlign w:val="top"/>
          </w:tcPr>
          <w:p w14:paraId="18F36A0C">
            <w:pPr>
              <w:rPr>
                <w:rFonts w:hint="eastAsia" w:ascii="宋体" w:hAnsi="宋体" w:cs="宋体"/>
                <w:color w:val="auto"/>
                <w:sz w:val="36"/>
                <w:szCs w:val="36"/>
                <w:highlight w:val="none"/>
              </w:rPr>
            </w:pPr>
          </w:p>
        </w:tc>
        <w:tc>
          <w:tcPr>
            <w:tcW w:w="4217" w:type="dxa"/>
            <w:tcBorders>
              <w:top w:val="single" w:color="auto" w:sz="4" w:space="0"/>
              <w:left w:val="single" w:color="auto" w:sz="4" w:space="0"/>
              <w:bottom w:val="single" w:color="auto" w:sz="4" w:space="0"/>
              <w:right w:val="single" w:color="auto" w:sz="4" w:space="0"/>
            </w:tcBorders>
            <w:noWrap w:val="0"/>
            <w:vAlign w:val="top"/>
          </w:tcPr>
          <w:p w14:paraId="57455CC0">
            <w:pPr>
              <w:rPr>
                <w:rFonts w:hint="eastAsia" w:ascii="宋体" w:hAnsi="宋体" w:cs="宋体"/>
                <w:color w:val="auto"/>
                <w:sz w:val="36"/>
                <w:szCs w:val="36"/>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top"/>
          </w:tcPr>
          <w:p w14:paraId="4081E06F">
            <w:pPr>
              <w:rPr>
                <w:rFonts w:hint="eastAsia" w:ascii="宋体" w:hAnsi="宋体" w:cs="宋体"/>
                <w:color w:val="auto"/>
                <w:sz w:val="36"/>
                <w:szCs w:val="36"/>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top"/>
          </w:tcPr>
          <w:p w14:paraId="62D70110">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1F35A27B">
            <w:pPr>
              <w:rPr>
                <w:rFonts w:hint="eastAsia" w:ascii="宋体" w:hAnsi="宋体" w:cs="宋体"/>
                <w:color w:val="auto"/>
                <w:sz w:val="36"/>
                <w:szCs w:val="36"/>
                <w:highlight w:val="none"/>
              </w:rPr>
            </w:pPr>
          </w:p>
        </w:tc>
      </w:tr>
      <w:tr w14:paraId="5A5C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noWrap w:val="0"/>
            <w:vAlign w:val="top"/>
          </w:tcPr>
          <w:p w14:paraId="661BFBE7">
            <w:pPr>
              <w:rPr>
                <w:rFonts w:hint="eastAsia" w:ascii="宋体" w:hAnsi="宋体" w:cs="宋体"/>
                <w:color w:val="auto"/>
                <w:sz w:val="36"/>
                <w:szCs w:val="36"/>
                <w:highlight w:val="none"/>
              </w:rPr>
            </w:pPr>
          </w:p>
        </w:tc>
        <w:tc>
          <w:tcPr>
            <w:tcW w:w="4217" w:type="dxa"/>
            <w:tcBorders>
              <w:top w:val="single" w:color="auto" w:sz="4" w:space="0"/>
              <w:left w:val="single" w:color="auto" w:sz="4" w:space="0"/>
              <w:bottom w:val="single" w:color="auto" w:sz="4" w:space="0"/>
              <w:right w:val="single" w:color="auto" w:sz="4" w:space="0"/>
            </w:tcBorders>
            <w:noWrap w:val="0"/>
            <w:vAlign w:val="top"/>
          </w:tcPr>
          <w:p w14:paraId="1DBBE852">
            <w:pPr>
              <w:rPr>
                <w:rFonts w:hint="eastAsia" w:ascii="宋体" w:hAnsi="宋体" w:cs="宋体"/>
                <w:color w:val="auto"/>
                <w:sz w:val="36"/>
                <w:szCs w:val="36"/>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top"/>
          </w:tcPr>
          <w:p w14:paraId="6FA97E1F">
            <w:pPr>
              <w:rPr>
                <w:rFonts w:hint="eastAsia" w:ascii="宋体" w:hAnsi="宋体" w:cs="宋体"/>
                <w:color w:val="auto"/>
                <w:sz w:val="36"/>
                <w:szCs w:val="36"/>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top"/>
          </w:tcPr>
          <w:p w14:paraId="70E90FB0">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5A6219DA">
            <w:pPr>
              <w:rPr>
                <w:rFonts w:hint="eastAsia" w:ascii="宋体" w:hAnsi="宋体" w:cs="宋体"/>
                <w:color w:val="auto"/>
                <w:sz w:val="36"/>
                <w:szCs w:val="36"/>
                <w:highlight w:val="none"/>
              </w:rPr>
            </w:pPr>
          </w:p>
        </w:tc>
      </w:tr>
      <w:tr w14:paraId="7360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noWrap w:val="0"/>
            <w:vAlign w:val="top"/>
          </w:tcPr>
          <w:p w14:paraId="6B32EF58">
            <w:pPr>
              <w:rPr>
                <w:rFonts w:hint="eastAsia" w:ascii="宋体" w:hAnsi="宋体" w:cs="宋体"/>
                <w:color w:val="auto"/>
                <w:sz w:val="36"/>
                <w:szCs w:val="36"/>
                <w:highlight w:val="none"/>
              </w:rPr>
            </w:pPr>
          </w:p>
        </w:tc>
        <w:tc>
          <w:tcPr>
            <w:tcW w:w="4217" w:type="dxa"/>
            <w:tcBorders>
              <w:top w:val="single" w:color="auto" w:sz="4" w:space="0"/>
              <w:left w:val="single" w:color="auto" w:sz="4" w:space="0"/>
              <w:bottom w:val="single" w:color="auto" w:sz="4" w:space="0"/>
              <w:right w:val="single" w:color="auto" w:sz="4" w:space="0"/>
            </w:tcBorders>
            <w:noWrap w:val="0"/>
            <w:vAlign w:val="top"/>
          </w:tcPr>
          <w:p w14:paraId="04FDA9E1">
            <w:pPr>
              <w:rPr>
                <w:rFonts w:hint="eastAsia" w:ascii="宋体" w:hAnsi="宋体" w:cs="宋体"/>
                <w:color w:val="auto"/>
                <w:sz w:val="36"/>
                <w:szCs w:val="36"/>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top"/>
          </w:tcPr>
          <w:p w14:paraId="05789D96">
            <w:pPr>
              <w:rPr>
                <w:rFonts w:hint="eastAsia" w:ascii="宋体" w:hAnsi="宋体" w:cs="宋体"/>
                <w:color w:val="auto"/>
                <w:sz w:val="36"/>
                <w:szCs w:val="36"/>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top"/>
          </w:tcPr>
          <w:p w14:paraId="230EDE14">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2A1DECC2">
            <w:pPr>
              <w:rPr>
                <w:rFonts w:hint="eastAsia" w:ascii="宋体" w:hAnsi="宋体" w:cs="宋体"/>
                <w:color w:val="auto"/>
                <w:sz w:val="36"/>
                <w:szCs w:val="36"/>
                <w:highlight w:val="none"/>
              </w:rPr>
            </w:pPr>
          </w:p>
        </w:tc>
      </w:tr>
      <w:tr w14:paraId="35EF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noWrap w:val="0"/>
            <w:vAlign w:val="top"/>
          </w:tcPr>
          <w:p w14:paraId="726FB420">
            <w:pPr>
              <w:rPr>
                <w:rFonts w:hint="eastAsia" w:ascii="宋体" w:hAnsi="宋体" w:cs="宋体"/>
                <w:color w:val="auto"/>
                <w:sz w:val="36"/>
                <w:szCs w:val="36"/>
                <w:highlight w:val="none"/>
              </w:rPr>
            </w:pPr>
          </w:p>
        </w:tc>
        <w:tc>
          <w:tcPr>
            <w:tcW w:w="4217" w:type="dxa"/>
            <w:tcBorders>
              <w:top w:val="single" w:color="auto" w:sz="4" w:space="0"/>
              <w:left w:val="single" w:color="auto" w:sz="4" w:space="0"/>
              <w:bottom w:val="single" w:color="auto" w:sz="4" w:space="0"/>
              <w:right w:val="single" w:color="auto" w:sz="4" w:space="0"/>
            </w:tcBorders>
            <w:noWrap w:val="0"/>
            <w:vAlign w:val="top"/>
          </w:tcPr>
          <w:p w14:paraId="67E69682">
            <w:pPr>
              <w:rPr>
                <w:rFonts w:hint="eastAsia" w:ascii="宋体" w:hAnsi="宋体" w:cs="宋体"/>
                <w:color w:val="auto"/>
                <w:sz w:val="36"/>
                <w:szCs w:val="36"/>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top"/>
          </w:tcPr>
          <w:p w14:paraId="7087B110">
            <w:pPr>
              <w:rPr>
                <w:rFonts w:hint="eastAsia" w:ascii="宋体" w:hAnsi="宋体" w:cs="宋体"/>
                <w:color w:val="auto"/>
                <w:sz w:val="36"/>
                <w:szCs w:val="36"/>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top"/>
          </w:tcPr>
          <w:p w14:paraId="6DCCB6E4">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60BABD9C">
            <w:pPr>
              <w:rPr>
                <w:rFonts w:hint="eastAsia" w:ascii="宋体" w:hAnsi="宋体" w:cs="宋体"/>
                <w:color w:val="auto"/>
                <w:sz w:val="36"/>
                <w:szCs w:val="36"/>
                <w:highlight w:val="none"/>
              </w:rPr>
            </w:pPr>
          </w:p>
        </w:tc>
      </w:tr>
      <w:tr w14:paraId="62A86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noWrap w:val="0"/>
            <w:vAlign w:val="top"/>
          </w:tcPr>
          <w:p w14:paraId="253AB071">
            <w:pPr>
              <w:rPr>
                <w:rFonts w:hint="eastAsia" w:ascii="宋体" w:hAnsi="宋体" w:cs="宋体"/>
                <w:color w:val="auto"/>
                <w:sz w:val="36"/>
                <w:szCs w:val="36"/>
                <w:highlight w:val="none"/>
              </w:rPr>
            </w:pPr>
          </w:p>
        </w:tc>
        <w:tc>
          <w:tcPr>
            <w:tcW w:w="4217" w:type="dxa"/>
            <w:tcBorders>
              <w:top w:val="single" w:color="auto" w:sz="4" w:space="0"/>
              <w:left w:val="single" w:color="auto" w:sz="4" w:space="0"/>
              <w:bottom w:val="single" w:color="auto" w:sz="4" w:space="0"/>
              <w:right w:val="single" w:color="auto" w:sz="4" w:space="0"/>
            </w:tcBorders>
            <w:noWrap w:val="0"/>
            <w:vAlign w:val="top"/>
          </w:tcPr>
          <w:p w14:paraId="3203929D">
            <w:pPr>
              <w:rPr>
                <w:rFonts w:hint="eastAsia" w:ascii="宋体" w:hAnsi="宋体" w:cs="宋体"/>
                <w:color w:val="auto"/>
                <w:sz w:val="36"/>
                <w:szCs w:val="36"/>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top"/>
          </w:tcPr>
          <w:p w14:paraId="51EF6EAD">
            <w:pPr>
              <w:rPr>
                <w:rFonts w:hint="eastAsia" w:ascii="宋体" w:hAnsi="宋体" w:cs="宋体"/>
                <w:color w:val="auto"/>
                <w:sz w:val="36"/>
                <w:szCs w:val="36"/>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top"/>
          </w:tcPr>
          <w:p w14:paraId="4AD61D84">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01D4E8D3">
            <w:pPr>
              <w:rPr>
                <w:rFonts w:hint="eastAsia" w:ascii="宋体" w:hAnsi="宋体" w:cs="宋体"/>
                <w:color w:val="auto"/>
                <w:sz w:val="36"/>
                <w:szCs w:val="36"/>
                <w:highlight w:val="none"/>
              </w:rPr>
            </w:pPr>
          </w:p>
        </w:tc>
      </w:tr>
      <w:tr w14:paraId="7216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noWrap w:val="0"/>
            <w:vAlign w:val="top"/>
          </w:tcPr>
          <w:p w14:paraId="4B240847">
            <w:pPr>
              <w:rPr>
                <w:rFonts w:hint="eastAsia" w:ascii="宋体" w:hAnsi="宋体" w:cs="宋体"/>
                <w:color w:val="auto"/>
                <w:sz w:val="36"/>
                <w:szCs w:val="36"/>
                <w:highlight w:val="none"/>
              </w:rPr>
            </w:pPr>
          </w:p>
        </w:tc>
        <w:tc>
          <w:tcPr>
            <w:tcW w:w="4217" w:type="dxa"/>
            <w:tcBorders>
              <w:top w:val="single" w:color="auto" w:sz="4" w:space="0"/>
              <w:left w:val="single" w:color="auto" w:sz="4" w:space="0"/>
              <w:bottom w:val="single" w:color="auto" w:sz="4" w:space="0"/>
              <w:right w:val="single" w:color="auto" w:sz="4" w:space="0"/>
            </w:tcBorders>
            <w:noWrap w:val="0"/>
            <w:vAlign w:val="top"/>
          </w:tcPr>
          <w:p w14:paraId="4DB0E7EB">
            <w:pPr>
              <w:rPr>
                <w:rFonts w:hint="eastAsia" w:ascii="宋体" w:hAnsi="宋体" w:cs="宋体"/>
                <w:color w:val="auto"/>
                <w:sz w:val="36"/>
                <w:szCs w:val="36"/>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top"/>
          </w:tcPr>
          <w:p w14:paraId="2FAD9436">
            <w:pPr>
              <w:rPr>
                <w:rFonts w:hint="eastAsia" w:ascii="宋体" w:hAnsi="宋体" w:cs="宋体"/>
                <w:color w:val="auto"/>
                <w:sz w:val="36"/>
                <w:szCs w:val="36"/>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top"/>
          </w:tcPr>
          <w:p w14:paraId="157D3F66">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3653841C">
            <w:pPr>
              <w:rPr>
                <w:rFonts w:hint="eastAsia" w:ascii="宋体" w:hAnsi="宋体" w:cs="宋体"/>
                <w:color w:val="auto"/>
                <w:sz w:val="36"/>
                <w:szCs w:val="36"/>
                <w:highlight w:val="none"/>
              </w:rPr>
            </w:pPr>
          </w:p>
        </w:tc>
      </w:tr>
      <w:tr w14:paraId="41AEB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noWrap w:val="0"/>
            <w:vAlign w:val="top"/>
          </w:tcPr>
          <w:p w14:paraId="6FB21D36">
            <w:pPr>
              <w:rPr>
                <w:rFonts w:hint="eastAsia" w:ascii="宋体" w:hAnsi="宋体" w:cs="宋体"/>
                <w:color w:val="auto"/>
                <w:sz w:val="36"/>
                <w:szCs w:val="36"/>
                <w:highlight w:val="none"/>
              </w:rPr>
            </w:pPr>
          </w:p>
        </w:tc>
        <w:tc>
          <w:tcPr>
            <w:tcW w:w="4217" w:type="dxa"/>
            <w:tcBorders>
              <w:top w:val="single" w:color="auto" w:sz="4" w:space="0"/>
              <w:left w:val="single" w:color="auto" w:sz="4" w:space="0"/>
              <w:bottom w:val="single" w:color="auto" w:sz="4" w:space="0"/>
              <w:right w:val="single" w:color="auto" w:sz="4" w:space="0"/>
            </w:tcBorders>
            <w:noWrap w:val="0"/>
            <w:vAlign w:val="top"/>
          </w:tcPr>
          <w:p w14:paraId="110C64A0">
            <w:pPr>
              <w:rPr>
                <w:rFonts w:hint="eastAsia" w:ascii="宋体" w:hAnsi="宋体" w:cs="宋体"/>
                <w:color w:val="auto"/>
                <w:sz w:val="36"/>
                <w:szCs w:val="36"/>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top"/>
          </w:tcPr>
          <w:p w14:paraId="41C644A6">
            <w:pPr>
              <w:rPr>
                <w:rFonts w:hint="eastAsia" w:ascii="宋体" w:hAnsi="宋体" w:cs="宋体"/>
                <w:color w:val="auto"/>
                <w:sz w:val="36"/>
                <w:szCs w:val="36"/>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top"/>
          </w:tcPr>
          <w:p w14:paraId="1BDD12E5">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676DFE71">
            <w:pPr>
              <w:rPr>
                <w:rFonts w:hint="eastAsia" w:ascii="宋体" w:hAnsi="宋体" w:cs="宋体"/>
                <w:color w:val="auto"/>
                <w:sz w:val="36"/>
                <w:szCs w:val="36"/>
                <w:highlight w:val="none"/>
              </w:rPr>
            </w:pPr>
          </w:p>
        </w:tc>
      </w:tr>
      <w:tr w14:paraId="336C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noWrap w:val="0"/>
            <w:vAlign w:val="top"/>
          </w:tcPr>
          <w:p w14:paraId="2C7AE9B3">
            <w:pPr>
              <w:rPr>
                <w:rFonts w:hint="eastAsia" w:ascii="宋体" w:hAnsi="宋体" w:cs="宋体"/>
                <w:color w:val="auto"/>
                <w:sz w:val="36"/>
                <w:szCs w:val="36"/>
                <w:highlight w:val="none"/>
              </w:rPr>
            </w:pPr>
          </w:p>
        </w:tc>
        <w:tc>
          <w:tcPr>
            <w:tcW w:w="4217" w:type="dxa"/>
            <w:tcBorders>
              <w:top w:val="single" w:color="auto" w:sz="4" w:space="0"/>
              <w:left w:val="single" w:color="auto" w:sz="4" w:space="0"/>
              <w:bottom w:val="single" w:color="auto" w:sz="4" w:space="0"/>
              <w:right w:val="single" w:color="auto" w:sz="4" w:space="0"/>
            </w:tcBorders>
            <w:noWrap w:val="0"/>
            <w:vAlign w:val="top"/>
          </w:tcPr>
          <w:p w14:paraId="6B48707D">
            <w:pPr>
              <w:rPr>
                <w:rFonts w:hint="eastAsia" w:ascii="宋体" w:hAnsi="宋体" w:cs="宋体"/>
                <w:color w:val="auto"/>
                <w:sz w:val="36"/>
                <w:szCs w:val="36"/>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top"/>
          </w:tcPr>
          <w:p w14:paraId="7AB7130F">
            <w:pPr>
              <w:rPr>
                <w:rFonts w:hint="eastAsia" w:ascii="宋体" w:hAnsi="宋体" w:cs="宋体"/>
                <w:color w:val="auto"/>
                <w:sz w:val="36"/>
                <w:szCs w:val="36"/>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top"/>
          </w:tcPr>
          <w:p w14:paraId="0AEF1DD9">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14:paraId="7C1F6337">
            <w:pPr>
              <w:rPr>
                <w:rFonts w:hint="eastAsia" w:ascii="宋体" w:hAnsi="宋体" w:cs="宋体"/>
                <w:color w:val="auto"/>
                <w:sz w:val="36"/>
                <w:szCs w:val="36"/>
                <w:highlight w:val="none"/>
              </w:rPr>
            </w:pPr>
          </w:p>
        </w:tc>
      </w:tr>
    </w:tbl>
    <w:p w14:paraId="34D9A7E4">
      <w:pPr>
        <w:rPr>
          <w:rFonts w:hint="eastAsia" w:ascii="宋体" w:hAnsi="宋体" w:cs="宋体"/>
          <w:color w:val="auto"/>
          <w:szCs w:val="21"/>
          <w:highlight w:val="none"/>
        </w:rPr>
      </w:pPr>
    </w:p>
    <w:p w14:paraId="663882A0">
      <w:pPr>
        <w:rPr>
          <w:rFonts w:hint="eastAsia" w:ascii="宋体" w:hAnsi="宋体" w:cs="宋体"/>
          <w:color w:val="auto"/>
          <w:szCs w:val="21"/>
          <w:highlight w:val="none"/>
        </w:rPr>
      </w:pPr>
      <w:r>
        <w:rPr>
          <w:rFonts w:hint="eastAsia" w:ascii="宋体" w:hAnsi="宋体" w:cs="宋体"/>
          <w:color w:val="auto"/>
          <w:szCs w:val="21"/>
          <w:highlight w:val="none"/>
        </w:rPr>
        <w:t>评委签名：</w:t>
      </w:r>
    </w:p>
    <w:p w14:paraId="402FCC0A">
      <w:pPr>
        <w:pStyle w:val="9"/>
        <w:ind w:firstLine="0" w:firstLineChars="0"/>
        <w:rPr>
          <w:rFonts w:hint="eastAsia"/>
          <w:color w:val="auto"/>
          <w:highlight w:val="none"/>
        </w:rPr>
        <w:sectPr>
          <w:headerReference r:id="rId10" w:type="first"/>
          <w:footerReference r:id="rId13" w:type="first"/>
          <w:headerReference r:id="rId8" w:type="default"/>
          <w:footerReference r:id="rId11" w:type="default"/>
          <w:headerReference r:id="rId9" w:type="even"/>
          <w:footerReference r:id="rId12" w:type="even"/>
          <w:endnotePr>
            <w:numFmt w:val="decimal"/>
          </w:endnotePr>
          <w:pgSz w:w="16838" w:h="11906" w:orient="landscape"/>
          <w:pgMar w:top="1134" w:right="1304" w:bottom="1134" w:left="1304" w:header="851" w:footer="567" w:gutter="0"/>
          <w:cols w:space="720" w:num="1"/>
          <w:titlePg/>
          <w:docGrid w:type="lines" w:linePitch="312" w:charSpace="0"/>
        </w:sectPr>
      </w:pPr>
    </w:p>
    <w:p w14:paraId="7672652D">
      <w:pPr>
        <w:pStyle w:val="30"/>
        <w:rPr>
          <w:rFonts w:ascii="宋体" w:hAnsi="宋体" w:eastAsia="宋体" w:cs="宋体"/>
          <w:color w:val="auto"/>
          <w:highlight w:val="none"/>
        </w:rPr>
      </w:pPr>
      <w:bookmarkStart w:id="98" w:name="_Toc2272566"/>
      <w:r>
        <w:rPr>
          <w:rFonts w:hint="eastAsia" w:ascii="宋体" w:hAnsi="宋体" w:cs="宋体"/>
          <w:color w:val="auto"/>
          <w:highlight w:val="none"/>
        </w:rPr>
        <w:t>附表五</w:t>
      </w:r>
    </w:p>
    <w:p w14:paraId="61BC2996">
      <w:pPr>
        <w:jc w:val="center"/>
        <w:rPr>
          <w:rFonts w:ascii="宋体" w:hAnsi="宋体" w:cs="宋体"/>
          <w:b/>
          <w:color w:val="auto"/>
          <w:sz w:val="28"/>
          <w:szCs w:val="28"/>
          <w:highlight w:val="none"/>
        </w:rPr>
      </w:pPr>
      <w:r>
        <w:rPr>
          <w:rFonts w:hint="eastAsia" w:ascii="宋体" w:hAnsi="宋体" w:cs="宋体"/>
          <w:b/>
          <w:color w:val="auto"/>
          <w:sz w:val="28"/>
          <w:szCs w:val="28"/>
          <w:highlight w:val="none"/>
        </w:rPr>
        <w:t>定标因素表</w:t>
      </w:r>
    </w:p>
    <w:p w14:paraId="34521CEE">
      <w:pPr>
        <w:rPr>
          <w:rFonts w:ascii="宋体" w:hAnsi="宋体" w:cs="宋体"/>
          <w:color w:val="auto"/>
          <w:sz w:val="24"/>
          <w:szCs w:val="24"/>
          <w:highlight w:val="none"/>
        </w:rPr>
      </w:pPr>
    </w:p>
    <w:p w14:paraId="59677898">
      <w:pP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工程名称： </w:t>
      </w:r>
    </w:p>
    <w:tbl>
      <w:tblPr>
        <w:tblStyle w:val="21"/>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573"/>
        <w:gridCol w:w="8350"/>
      </w:tblGrid>
      <w:tr w14:paraId="1EC2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14:paraId="5760B978">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定标因素</w:t>
            </w:r>
          </w:p>
        </w:tc>
        <w:tc>
          <w:tcPr>
            <w:tcW w:w="573" w:type="dxa"/>
            <w:tcBorders>
              <w:top w:val="single" w:color="auto" w:sz="4" w:space="0"/>
              <w:left w:val="single" w:color="auto" w:sz="4" w:space="0"/>
              <w:bottom w:val="single" w:color="auto" w:sz="4" w:space="0"/>
              <w:right w:val="single" w:color="auto" w:sz="4" w:space="0"/>
            </w:tcBorders>
            <w:noWrap w:val="0"/>
            <w:vAlign w:val="center"/>
          </w:tcPr>
          <w:p w14:paraId="3815DC02">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分值</w:t>
            </w:r>
          </w:p>
        </w:tc>
        <w:tc>
          <w:tcPr>
            <w:tcW w:w="8350" w:type="dxa"/>
            <w:tcBorders>
              <w:top w:val="single" w:color="auto" w:sz="4" w:space="0"/>
              <w:left w:val="single" w:color="auto" w:sz="4" w:space="0"/>
              <w:bottom w:val="single" w:color="auto" w:sz="4" w:space="0"/>
              <w:right w:val="single" w:color="auto" w:sz="4" w:space="0"/>
            </w:tcBorders>
            <w:noWrap w:val="0"/>
            <w:vAlign w:val="center"/>
          </w:tcPr>
          <w:p w14:paraId="77ACEA74">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评价</w:t>
            </w:r>
            <w:r>
              <w:rPr>
                <w:rFonts w:hint="eastAsia" w:ascii="宋体" w:hAnsi="宋体" w:cs="宋体"/>
                <w:color w:val="auto"/>
                <w:sz w:val="24"/>
                <w:szCs w:val="24"/>
                <w:highlight w:val="none"/>
                <w:lang w:val="en-US" w:eastAsia="zh-CN"/>
              </w:rPr>
              <w:t>内容</w:t>
            </w:r>
          </w:p>
        </w:tc>
      </w:tr>
      <w:tr w14:paraId="1DCD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tcBorders>
              <w:top w:val="single" w:color="auto" w:sz="4" w:space="0"/>
              <w:left w:val="single" w:color="auto" w:sz="4" w:space="0"/>
              <w:right w:val="single" w:color="auto" w:sz="4" w:space="0"/>
            </w:tcBorders>
            <w:noWrap w:val="0"/>
            <w:vAlign w:val="center"/>
          </w:tcPr>
          <w:p w14:paraId="06DD1405">
            <w:pPr>
              <w:spacing w:line="27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价格因素</w:t>
            </w:r>
          </w:p>
        </w:tc>
        <w:tc>
          <w:tcPr>
            <w:tcW w:w="573" w:type="dxa"/>
            <w:tcBorders>
              <w:top w:val="single" w:color="auto" w:sz="4" w:space="0"/>
              <w:left w:val="single" w:color="auto" w:sz="4" w:space="0"/>
              <w:bottom w:val="single" w:color="auto" w:sz="4" w:space="0"/>
              <w:right w:val="single" w:color="auto" w:sz="4" w:space="0"/>
            </w:tcBorders>
            <w:noWrap w:val="0"/>
            <w:vAlign w:val="center"/>
          </w:tcPr>
          <w:p w14:paraId="0ABA0D4A">
            <w:pPr>
              <w:spacing w:line="276" w:lineRule="auto"/>
              <w:jc w:val="cente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60</w:t>
            </w:r>
          </w:p>
        </w:tc>
        <w:tc>
          <w:tcPr>
            <w:tcW w:w="8350" w:type="dxa"/>
            <w:tcBorders>
              <w:top w:val="single" w:color="auto" w:sz="4" w:space="0"/>
              <w:left w:val="single" w:color="auto" w:sz="4" w:space="0"/>
              <w:bottom w:val="single" w:color="auto" w:sz="4" w:space="0"/>
              <w:right w:val="single" w:color="auto" w:sz="4" w:space="0"/>
            </w:tcBorders>
            <w:noWrap w:val="0"/>
            <w:vAlign w:val="center"/>
          </w:tcPr>
          <w:p w14:paraId="710AAD1B">
            <w:pPr>
              <w:spacing w:line="276"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当合格的中标候选人大于5名时，去掉一个最高价和一个最低价，取余下有效投标人的投标报价的算术平均值作为评标参考价；当合格的中标候选人小于或等于5名时取所有入围的有效投标人的投标报价的算术平均值作为评标参考价。</w:t>
            </w:r>
            <w:r>
              <w:rPr>
                <w:rFonts w:hint="eastAsia" w:ascii="宋体" w:hAnsi="宋体" w:eastAsia="宋体" w:cs="宋体"/>
                <w:color w:val="auto"/>
                <w:kern w:val="2"/>
                <w:sz w:val="24"/>
                <w:szCs w:val="24"/>
                <w:highlight w:val="none"/>
                <w:lang w:val="en-US" w:eastAsia="zh-CN" w:bidi="ar-SA"/>
              </w:rPr>
              <w:t>以评标参考价作为计算各有效投标报价得分的基础，当有效投标报价等于评标参考价时得60分；投标有效报价与评标参考价之差，每上偏1%扣1.0分，下偏1%扣0.5分；最多减至0分止。</w:t>
            </w:r>
          </w:p>
          <w:p w14:paraId="7C79C2EF">
            <w:pPr>
              <w:spacing w:line="276" w:lineRule="auto"/>
              <w:rPr>
                <w:rFonts w:hint="eastAsia"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本项最高分为60分，最低分为0分。得分精确到小数点后两位。</w:t>
            </w:r>
          </w:p>
        </w:tc>
      </w:tr>
      <w:tr w14:paraId="4F38D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jc w:val="center"/>
        </w:trPr>
        <w:tc>
          <w:tcPr>
            <w:tcW w:w="836" w:type="dxa"/>
            <w:tcBorders>
              <w:top w:val="single" w:color="auto" w:sz="4" w:space="0"/>
              <w:left w:val="single" w:color="auto" w:sz="4" w:space="0"/>
              <w:right w:val="single" w:color="auto" w:sz="4" w:space="0"/>
            </w:tcBorders>
            <w:noWrap w:val="0"/>
            <w:vAlign w:val="center"/>
          </w:tcPr>
          <w:p w14:paraId="7E9625EE">
            <w:pPr>
              <w:spacing w:line="276"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资信</w:t>
            </w:r>
            <w:r>
              <w:rPr>
                <w:rFonts w:hint="eastAsia" w:ascii="宋体" w:hAnsi="宋体" w:eastAsia="宋体" w:cs="宋体"/>
                <w:color w:val="auto"/>
                <w:sz w:val="24"/>
                <w:szCs w:val="24"/>
                <w:highlight w:val="none"/>
                <w:lang w:eastAsia="zh-CN"/>
              </w:rPr>
              <w:t>因素</w:t>
            </w:r>
          </w:p>
        </w:tc>
        <w:tc>
          <w:tcPr>
            <w:tcW w:w="573" w:type="dxa"/>
            <w:tcBorders>
              <w:top w:val="single" w:color="auto" w:sz="4" w:space="0"/>
              <w:left w:val="single" w:color="auto" w:sz="4" w:space="0"/>
              <w:bottom w:val="single" w:color="auto" w:sz="4" w:space="0"/>
              <w:right w:val="single" w:color="auto" w:sz="4" w:space="0"/>
            </w:tcBorders>
            <w:noWrap w:val="0"/>
            <w:vAlign w:val="center"/>
          </w:tcPr>
          <w:p w14:paraId="6200DA60">
            <w:pPr>
              <w:spacing w:line="276" w:lineRule="auto"/>
              <w:jc w:val="cente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w:t>
            </w:r>
          </w:p>
        </w:tc>
        <w:tc>
          <w:tcPr>
            <w:tcW w:w="8350" w:type="dxa"/>
            <w:tcBorders>
              <w:top w:val="single" w:color="auto" w:sz="4" w:space="0"/>
              <w:left w:val="single" w:color="auto" w:sz="4" w:space="0"/>
              <w:bottom w:val="single" w:color="auto" w:sz="4" w:space="0"/>
              <w:right w:val="single" w:color="auto" w:sz="4" w:space="0"/>
            </w:tcBorders>
            <w:noWrap w:val="0"/>
            <w:vAlign w:val="center"/>
          </w:tcPr>
          <w:p w14:paraId="6C46E802">
            <w:pPr>
              <w:keepNext w:val="0"/>
              <w:keepLines w:val="0"/>
              <w:pageBreakBefore w:val="0"/>
              <w:numPr>
                <w:ilvl w:val="0"/>
                <w:numId w:val="1"/>
              </w:numPr>
              <w:kinsoku/>
              <w:wordWrap/>
              <w:overflowPunct/>
              <w:topLinePunct w:val="0"/>
              <w:autoSpaceDE/>
              <w:autoSpaceDN/>
              <w:bidi w:val="0"/>
              <w:adjustRightInd/>
              <w:snapToGrid/>
              <w:ind w:left="0" w:leftChars="0" w:right="0" w:rightChars="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自</w:t>
            </w:r>
            <w:r>
              <w:rPr>
                <w:rFonts w:ascii="宋体" w:hAnsi="宋体"/>
                <w:color w:val="auto"/>
                <w:sz w:val="24"/>
                <w:szCs w:val="24"/>
                <w:highlight w:val="none"/>
              </w:rPr>
              <w:t>20</w:t>
            </w:r>
            <w:r>
              <w:rPr>
                <w:rFonts w:hint="eastAsia" w:ascii="宋体" w:hAnsi="宋体"/>
                <w:color w:val="auto"/>
                <w:sz w:val="24"/>
                <w:szCs w:val="24"/>
                <w:highlight w:val="none"/>
                <w:lang w:val="en-US" w:eastAsia="zh-CN"/>
              </w:rPr>
              <w:t>20</w:t>
            </w:r>
            <w:r>
              <w:rPr>
                <w:rFonts w:ascii="宋体" w:hAnsi="宋体"/>
                <w:color w:val="auto"/>
                <w:sz w:val="24"/>
                <w:szCs w:val="24"/>
                <w:highlight w:val="none"/>
              </w:rPr>
              <w:t>年1月1日至投标截止时间止，</w:t>
            </w:r>
            <w:r>
              <w:rPr>
                <w:rFonts w:hint="eastAsia" w:ascii="宋体" w:hAnsi="宋体"/>
                <w:color w:val="auto"/>
                <w:sz w:val="24"/>
                <w:szCs w:val="24"/>
                <w:highlight w:val="none"/>
              </w:rPr>
              <w:t>投标人完成过质量</w:t>
            </w:r>
            <w:r>
              <w:rPr>
                <w:rFonts w:hint="eastAsia" w:ascii="宋体" w:hAnsi="宋体" w:cs="宋体"/>
                <w:color w:val="auto"/>
                <w:sz w:val="24"/>
                <w:szCs w:val="24"/>
                <w:highlight w:val="none"/>
              </w:rPr>
              <w:t>合格</w:t>
            </w:r>
            <w:r>
              <w:rPr>
                <w:rFonts w:hint="eastAsia" w:ascii="宋体" w:hAnsi="宋体" w:cs="宋体"/>
                <w:color w:val="auto"/>
                <w:sz w:val="24"/>
                <w:szCs w:val="24"/>
                <w:highlight w:val="none"/>
                <w:lang w:val="en-US" w:eastAsia="zh-CN"/>
              </w:rPr>
              <w:t>且</w:t>
            </w:r>
            <w:r>
              <w:rPr>
                <w:rFonts w:hint="eastAsia" w:ascii="宋体" w:hAnsi="宋体" w:cs="宋体"/>
                <w:color w:val="auto"/>
                <w:sz w:val="24"/>
                <w:szCs w:val="24"/>
                <w:highlight w:val="none"/>
              </w:rPr>
              <w:t>单项</w:t>
            </w:r>
            <w:r>
              <w:rPr>
                <w:rFonts w:hint="eastAsia" w:ascii="宋体" w:hAnsi="宋体" w:cs="宋体"/>
                <w:color w:val="auto"/>
                <w:sz w:val="24"/>
                <w:szCs w:val="24"/>
                <w:highlight w:val="none"/>
                <w:lang w:val="en-US" w:eastAsia="zh-CN"/>
              </w:rPr>
              <w:t>合同</w:t>
            </w:r>
            <w:r>
              <w:rPr>
                <w:rFonts w:hint="eastAsia" w:ascii="宋体" w:hAnsi="宋体" w:cs="宋体"/>
                <w:color w:val="auto"/>
                <w:sz w:val="24"/>
                <w:szCs w:val="24"/>
                <w:highlight w:val="none"/>
              </w:rPr>
              <w:t>金额大于或等于</w:t>
            </w:r>
            <w:r>
              <w:rPr>
                <w:rFonts w:hint="eastAsia" w:ascii="宋体" w:hAnsi="宋体" w:cs="宋体"/>
                <w:color w:val="auto"/>
                <w:sz w:val="24"/>
                <w:szCs w:val="24"/>
                <w:highlight w:val="none"/>
                <w:lang w:val="en-US" w:eastAsia="zh-CN"/>
              </w:rPr>
              <w:t>800</w:t>
            </w:r>
            <w:r>
              <w:rPr>
                <w:rFonts w:hint="eastAsia" w:ascii="宋体" w:hAnsi="宋体" w:cs="宋体"/>
                <w:color w:val="auto"/>
                <w:sz w:val="24"/>
                <w:szCs w:val="24"/>
                <w:highlight w:val="none"/>
              </w:rPr>
              <w:t>万元的建筑装修装饰工程施工</w:t>
            </w:r>
            <w:r>
              <w:rPr>
                <w:rFonts w:hint="eastAsia" w:ascii="宋体" w:hAnsi="宋体" w:cs="宋体"/>
                <w:color w:val="auto"/>
                <w:sz w:val="24"/>
                <w:szCs w:val="24"/>
                <w:highlight w:val="none"/>
                <w:lang w:val="en-US" w:eastAsia="zh-CN"/>
              </w:rPr>
              <w:t>业绩</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每项得1分，最多得8分。</w:t>
            </w:r>
          </w:p>
          <w:p w14:paraId="4AB7FB9E">
            <w:pPr>
              <w:pStyle w:val="13"/>
              <w:numPr>
                <w:ilvl w:val="0"/>
                <w:numId w:val="0"/>
              </w:numPr>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注：投标人须提供业绩的施工合同关键页、竣工验收报告或工程竣工备案表或建设工程质量监督部门出具的工程竣工合格验收的证明，时间以竣工验收时间为准。</w:t>
            </w:r>
          </w:p>
          <w:p w14:paraId="480A59FB">
            <w:pPr>
              <w:rPr>
                <w:rFonts w:hint="eastAsia"/>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2.项目负责人工作经验</w:t>
            </w:r>
            <w:r>
              <w:rPr>
                <w:rFonts w:hint="eastAsia" w:ascii="宋体" w:hAnsi="宋体" w:cs="宋体"/>
                <w:color w:val="auto"/>
                <w:kern w:val="0"/>
                <w:sz w:val="24"/>
                <w:szCs w:val="24"/>
                <w:highlight w:val="none"/>
                <w:lang w:val="en-US" w:eastAsia="zh-CN"/>
              </w:rPr>
              <w:t>：10年或以上的得2分，5年或以上的得1分。（工作经验年限从毕业证书的核发时间（大学专科(或以上)学历）起计）</w:t>
            </w:r>
          </w:p>
        </w:tc>
      </w:tr>
      <w:tr w14:paraId="7630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14:paraId="77F8099A">
            <w:pPr>
              <w:spacing w:line="27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方案因素</w:t>
            </w:r>
          </w:p>
        </w:tc>
        <w:tc>
          <w:tcPr>
            <w:tcW w:w="573" w:type="dxa"/>
            <w:tcBorders>
              <w:top w:val="single" w:color="auto" w:sz="4" w:space="0"/>
              <w:left w:val="single" w:color="auto" w:sz="4" w:space="0"/>
              <w:bottom w:val="single" w:color="auto" w:sz="4" w:space="0"/>
              <w:right w:val="single" w:color="auto" w:sz="4" w:space="0"/>
            </w:tcBorders>
            <w:noWrap w:val="0"/>
            <w:vAlign w:val="center"/>
          </w:tcPr>
          <w:p w14:paraId="6820CB33">
            <w:pPr>
              <w:spacing w:line="276"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w:t>
            </w:r>
          </w:p>
        </w:tc>
        <w:tc>
          <w:tcPr>
            <w:tcW w:w="8350" w:type="dxa"/>
            <w:tcBorders>
              <w:top w:val="single" w:color="auto" w:sz="4" w:space="0"/>
              <w:left w:val="single" w:color="auto" w:sz="4" w:space="0"/>
              <w:bottom w:val="single" w:color="auto" w:sz="4" w:space="0"/>
              <w:right w:val="single" w:color="auto" w:sz="4" w:space="0"/>
            </w:tcBorders>
            <w:noWrap w:val="0"/>
            <w:vAlign w:val="center"/>
          </w:tcPr>
          <w:p w14:paraId="2C3DB9B6">
            <w:pPr>
              <w:tabs>
                <w:tab w:val="left" w:pos="720"/>
              </w:tabs>
              <w:snapToGrid w:val="0"/>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定标委员会对合格的中标候选人的工程实施方案进行评审，含如下内容：</w:t>
            </w:r>
          </w:p>
          <w:p w14:paraId="2EA4F144">
            <w:pPr>
              <w:pStyle w:val="15"/>
              <w:rPr>
                <w:rFonts w:hint="eastAsia" w:ascii="宋体" w:hAnsi="宋体" w:cs="宋体"/>
                <w:color w:val="auto"/>
                <w:sz w:val="24"/>
                <w:szCs w:val="24"/>
                <w:highlight w:val="none"/>
                <w:lang w:val="en-US"/>
              </w:rPr>
            </w:pPr>
            <w:r>
              <w:rPr>
                <w:rFonts w:hint="eastAsia" w:ascii="宋体" w:hAnsi="宋体" w:cs="宋体"/>
                <w:color w:val="auto"/>
                <w:sz w:val="24"/>
                <w:szCs w:val="24"/>
                <w:highlight w:val="none"/>
                <w:lang w:val="en-US"/>
              </w:rPr>
              <w:t>1、方案中的施工部署和</w:t>
            </w:r>
            <w:r>
              <w:rPr>
                <w:rFonts w:hint="eastAsia" w:ascii="宋体" w:hAnsi="宋体" w:cs="宋体"/>
                <w:color w:val="auto"/>
                <w:sz w:val="24"/>
                <w:szCs w:val="24"/>
                <w:highlight w:val="none"/>
              </w:rPr>
              <w:t>施工总</w:t>
            </w:r>
            <w:r>
              <w:rPr>
                <w:rFonts w:hint="eastAsia" w:ascii="宋体" w:hAnsi="宋体" w:cs="宋体"/>
                <w:color w:val="auto"/>
                <w:sz w:val="24"/>
                <w:szCs w:val="24"/>
                <w:highlight w:val="none"/>
                <w:lang w:val="en-US"/>
              </w:rPr>
              <w:t>进度计划</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rPr>
              <w:t>优</w:t>
            </w:r>
            <w:r>
              <w:rPr>
                <w:rFonts w:hint="eastAsia" w:ascii="宋体" w:hAnsi="宋体" w:cs="宋体"/>
                <w:color w:val="auto"/>
                <w:sz w:val="24"/>
                <w:szCs w:val="24"/>
                <w:highlight w:val="none"/>
                <w:lang w:val="en-US" w:eastAsia="zh-CN"/>
              </w:rPr>
              <w:t>（6-5</w:t>
            </w:r>
            <w:r>
              <w:rPr>
                <w:rFonts w:hint="eastAsia" w:ascii="宋体" w:hAnsi="宋体" w:cs="宋体"/>
                <w:color w:val="auto"/>
                <w:sz w:val="24"/>
                <w:szCs w:val="24"/>
                <w:highlight w:val="none"/>
                <w:lang w:val="en-US"/>
              </w:rPr>
              <w:t>)分；良</w:t>
            </w:r>
            <w:r>
              <w:rPr>
                <w:rFonts w:hint="eastAsia" w:ascii="宋体" w:hAnsi="宋体" w:cs="宋体"/>
                <w:color w:val="auto"/>
                <w:sz w:val="24"/>
                <w:szCs w:val="24"/>
                <w:highlight w:val="none"/>
                <w:lang w:val="en-US" w:eastAsia="zh-CN"/>
              </w:rPr>
              <w:t>（4-3</w:t>
            </w:r>
            <w:r>
              <w:rPr>
                <w:rFonts w:hint="eastAsia" w:ascii="宋体" w:hAnsi="宋体" w:cs="宋体"/>
                <w:color w:val="auto"/>
                <w:sz w:val="24"/>
                <w:szCs w:val="24"/>
                <w:highlight w:val="none"/>
                <w:lang w:val="en-US"/>
              </w:rPr>
              <w:t>）分；中</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en-US"/>
              </w:rPr>
              <w:t>）分；差</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rPr>
              <w:t>1-0]分；</w:t>
            </w:r>
          </w:p>
          <w:p w14:paraId="0D265369">
            <w:pPr>
              <w:tabs>
                <w:tab w:val="left" w:pos="720"/>
              </w:tabs>
              <w:snapToGrid w:val="0"/>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2、方案中的施工组织方案和措施：</w:t>
            </w:r>
            <w:r>
              <w:rPr>
                <w:rFonts w:hint="eastAsia" w:ascii="宋体" w:hAnsi="宋体" w:cs="宋体"/>
                <w:color w:val="auto"/>
                <w:sz w:val="24"/>
                <w:szCs w:val="24"/>
                <w:highlight w:val="none"/>
                <w:lang w:val="en-US"/>
              </w:rPr>
              <w:t>优</w:t>
            </w:r>
            <w:r>
              <w:rPr>
                <w:rFonts w:hint="eastAsia" w:ascii="宋体" w:hAnsi="宋体" w:cs="宋体"/>
                <w:color w:val="auto"/>
                <w:sz w:val="24"/>
                <w:szCs w:val="24"/>
                <w:highlight w:val="none"/>
                <w:lang w:val="en-US" w:eastAsia="zh-CN"/>
              </w:rPr>
              <w:t>（6-5</w:t>
            </w:r>
            <w:r>
              <w:rPr>
                <w:rFonts w:hint="eastAsia" w:ascii="宋体" w:hAnsi="宋体" w:cs="宋体"/>
                <w:color w:val="auto"/>
                <w:sz w:val="24"/>
                <w:szCs w:val="24"/>
                <w:highlight w:val="none"/>
                <w:lang w:val="en-US"/>
              </w:rPr>
              <w:t>)分；良</w:t>
            </w:r>
            <w:r>
              <w:rPr>
                <w:rFonts w:hint="eastAsia" w:ascii="宋体" w:hAnsi="宋体" w:cs="宋体"/>
                <w:color w:val="auto"/>
                <w:sz w:val="24"/>
                <w:szCs w:val="24"/>
                <w:highlight w:val="none"/>
                <w:lang w:val="en-US" w:eastAsia="zh-CN"/>
              </w:rPr>
              <w:t>（4-3</w:t>
            </w:r>
            <w:r>
              <w:rPr>
                <w:rFonts w:hint="eastAsia" w:ascii="宋体" w:hAnsi="宋体" w:cs="宋体"/>
                <w:color w:val="auto"/>
                <w:sz w:val="24"/>
                <w:szCs w:val="24"/>
                <w:highlight w:val="none"/>
                <w:lang w:val="en-US"/>
              </w:rPr>
              <w:t>）分；中</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en-US"/>
              </w:rPr>
              <w:t>）分；差</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rPr>
              <w:t>1-0]分；</w:t>
            </w:r>
          </w:p>
          <w:p w14:paraId="08CB5851">
            <w:pPr>
              <w:tabs>
                <w:tab w:val="left" w:pos="720"/>
              </w:tabs>
              <w:snapToGrid w:val="0"/>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3、方案中</w:t>
            </w:r>
            <w:r>
              <w:rPr>
                <w:rFonts w:hint="eastAsia" w:ascii="宋体" w:hAnsi="宋体" w:cs="宋体"/>
                <w:color w:val="auto"/>
                <w:sz w:val="24"/>
                <w:szCs w:val="24"/>
                <w:highlight w:val="none"/>
                <w:lang w:val="en-US"/>
              </w:rPr>
              <w:t>平面布局、空间设计及绿色节能</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rPr>
              <w:t>优</w:t>
            </w:r>
            <w:r>
              <w:rPr>
                <w:rFonts w:hint="eastAsia" w:ascii="宋体" w:hAnsi="宋体" w:cs="宋体"/>
                <w:color w:val="auto"/>
                <w:sz w:val="24"/>
                <w:szCs w:val="24"/>
                <w:highlight w:val="none"/>
                <w:lang w:val="en-US" w:eastAsia="zh-CN"/>
              </w:rPr>
              <w:t>（6-5</w:t>
            </w:r>
            <w:r>
              <w:rPr>
                <w:rFonts w:hint="eastAsia" w:ascii="宋体" w:hAnsi="宋体" w:cs="宋体"/>
                <w:color w:val="auto"/>
                <w:sz w:val="24"/>
                <w:szCs w:val="24"/>
                <w:highlight w:val="none"/>
                <w:lang w:val="en-US"/>
              </w:rPr>
              <w:t>)分；良</w:t>
            </w:r>
            <w:r>
              <w:rPr>
                <w:rFonts w:hint="eastAsia" w:ascii="宋体" w:hAnsi="宋体" w:cs="宋体"/>
                <w:color w:val="auto"/>
                <w:sz w:val="24"/>
                <w:szCs w:val="24"/>
                <w:highlight w:val="none"/>
                <w:lang w:val="en-US" w:eastAsia="zh-CN"/>
              </w:rPr>
              <w:t>（4-3</w:t>
            </w:r>
            <w:r>
              <w:rPr>
                <w:rFonts w:hint="eastAsia" w:ascii="宋体" w:hAnsi="宋体" w:cs="宋体"/>
                <w:color w:val="auto"/>
                <w:sz w:val="24"/>
                <w:szCs w:val="24"/>
                <w:highlight w:val="none"/>
                <w:lang w:val="en-US"/>
              </w:rPr>
              <w:t>）分；中</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en-US"/>
              </w:rPr>
              <w:t>）分；差</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rPr>
              <w:t>1-0]分；</w:t>
            </w:r>
          </w:p>
          <w:p w14:paraId="013C7190">
            <w:pPr>
              <w:tabs>
                <w:tab w:val="left" w:pos="720"/>
              </w:tabs>
              <w:snapToGrid w:val="0"/>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4、方案中的重点、难点分析和解决方案：</w:t>
            </w:r>
            <w:r>
              <w:rPr>
                <w:rFonts w:hint="eastAsia" w:ascii="宋体" w:hAnsi="宋体" w:cs="宋体"/>
                <w:color w:val="auto"/>
                <w:sz w:val="24"/>
                <w:szCs w:val="24"/>
                <w:highlight w:val="none"/>
                <w:lang w:val="en-US"/>
              </w:rPr>
              <w:t>优</w:t>
            </w:r>
            <w:r>
              <w:rPr>
                <w:rFonts w:hint="eastAsia" w:ascii="宋体" w:hAnsi="宋体" w:cs="宋体"/>
                <w:color w:val="auto"/>
                <w:sz w:val="24"/>
                <w:szCs w:val="24"/>
                <w:highlight w:val="none"/>
                <w:lang w:val="en-US" w:eastAsia="zh-CN"/>
              </w:rPr>
              <w:t>（6-5</w:t>
            </w:r>
            <w:r>
              <w:rPr>
                <w:rFonts w:hint="eastAsia" w:ascii="宋体" w:hAnsi="宋体" w:cs="宋体"/>
                <w:color w:val="auto"/>
                <w:sz w:val="24"/>
                <w:szCs w:val="24"/>
                <w:highlight w:val="none"/>
                <w:lang w:val="en-US"/>
              </w:rPr>
              <w:t>)分；良</w:t>
            </w:r>
            <w:r>
              <w:rPr>
                <w:rFonts w:hint="eastAsia" w:ascii="宋体" w:hAnsi="宋体" w:cs="宋体"/>
                <w:color w:val="auto"/>
                <w:sz w:val="24"/>
                <w:szCs w:val="24"/>
                <w:highlight w:val="none"/>
                <w:lang w:val="en-US" w:eastAsia="zh-CN"/>
              </w:rPr>
              <w:t>（4-3</w:t>
            </w:r>
            <w:r>
              <w:rPr>
                <w:rFonts w:hint="eastAsia" w:ascii="宋体" w:hAnsi="宋体" w:cs="宋体"/>
                <w:color w:val="auto"/>
                <w:sz w:val="24"/>
                <w:szCs w:val="24"/>
                <w:highlight w:val="none"/>
                <w:lang w:val="en-US"/>
              </w:rPr>
              <w:t>）分；中</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en-US"/>
              </w:rPr>
              <w:t>）分；差</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rPr>
              <w:t>1-0]分；</w:t>
            </w:r>
          </w:p>
          <w:p w14:paraId="4306BD4A">
            <w:pPr>
              <w:tabs>
                <w:tab w:val="left" w:pos="720"/>
              </w:tabs>
              <w:snapToGrid w:val="0"/>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5、方案中的质保服务措施；</w:t>
            </w:r>
            <w:r>
              <w:rPr>
                <w:rFonts w:hint="eastAsia" w:ascii="宋体" w:hAnsi="宋体" w:cs="宋体"/>
                <w:color w:val="auto"/>
                <w:sz w:val="24"/>
                <w:szCs w:val="24"/>
                <w:highlight w:val="none"/>
                <w:lang w:val="en-US"/>
              </w:rPr>
              <w:t>优</w:t>
            </w:r>
            <w:r>
              <w:rPr>
                <w:rFonts w:hint="eastAsia" w:ascii="宋体" w:hAnsi="宋体" w:cs="宋体"/>
                <w:color w:val="auto"/>
                <w:sz w:val="24"/>
                <w:szCs w:val="24"/>
                <w:highlight w:val="none"/>
                <w:lang w:val="en-US" w:eastAsia="zh-CN"/>
              </w:rPr>
              <w:t>（6-5</w:t>
            </w:r>
            <w:r>
              <w:rPr>
                <w:rFonts w:hint="eastAsia" w:ascii="宋体" w:hAnsi="宋体" w:cs="宋体"/>
                <w:color w:val="auto"/>
                <w:sz w:val="24"/>
                <w:szCs w:val="24"/>
                <w:highlight w:val="none"/>
                <w:lang w:val="en-US"/>
              </w:rPr>
              <w:t>)分；良</w:t>
            </w:r>
            <w:r>
              <w:rPr>
                <w:rFonts w:hint="eastAsia" w:ascii="宋体" w:hAnsi="宋体" w:cs="宋体"/>
                <w:color w:val="auto"/>
                <w:sz w:val="24"/>
                <w:szCs w:val="24"/>
                <w:highlight w:val="none"/>
                <w:lang w:val="en-US" w:eastAsia="zh-CN"/>
              </w:rPr>
              <w:t>（4-3</w:t>
            </w:r>
            <w:r>
              <w:rPr>
                <w:rFonts w:hint="eastAsia" w:ascii="宋体" w:hAnsi="宋体" w:cs="宋体"/>
                <w:color w:val="auto"/>
                <w:sz w:val="24"/>
                <w:szCs w:val="24"/>
                <w:highlight w:val="none"/>
                <w:lang w:val="en-US"/>
              </w:rPr>
              <w:t>）分；中</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en-US"/>
              </w:rPr>
              <w:t>）分；差</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rPr>
              <w:t>1-0]分</w:t>
            </w:r>
            <w:r>
              <w:rPr>
                <w:rFonts w:hint="eastAsia" w:ascii="宋体" w:hAnsi="宋体" w:cs="宋体"/>
                <w:color w:val="auto"/>
                <w:sz w:val="24"/>
                <w:szCs w:val="24"/>
                <w:highlight w:val="none"/>
              </w:rPr>
              <w:t>。</w:t>
            </w:r>
          </w:p>
          <w:p w14:paraId="141E034B">
            <w:pPr>
              <w:spacing w:line="276"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该部分因素得分为0-</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分。</w:t>
            </w:r>
          </w:p>
        </w:tc>
      </w:tr>
    </w:tbl>
    <w:p w14:paraId="068917DF">
      <w:pPr>
        <w:spacing w:line="360" w:lineRule="auto"/>
        <w:ind w:right="-325" w:rightChars="-155"/>
        <w:rPr>
          <w:rFonts w:ascii="宋体" w:hAnsi="宋体" w:cs="宋体"/>
          <w:color w:val="auto"/>
          <w:sz w:val="24"/>
          <w:szCs w:val="24"/>
          <w:highlight w:val="none"/>
        </w:rPr>
      </w:pPr>
      <w:r>
        <w:rPr>
          <w:rFonts w:hint="eastAsia" w:ascii="宋体" w:hAnsi="宋体" w:cs="宋体"/>
          <w:color w:val="auto"/>
          <w:sz w:val="24"/>
          <w:szCs w:val="24"/>
          <w:highlight w:val="none"/>
        </w:rPr>
        <w:t>备注：</w:t>
      </w:r>
    </w:p>
    <w:p w14:paraId="4702A816">
      <w:pPr>
        <w:spacing w:line="240" w:lineRule="auto"/>
        <w:ind w:right="-325" w:rightChars="-155"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1、合格的中标候选人价格因素得分为所有定标委员会成员对同一合格的中标候选人的取平均值；</w:t>
      </w:r>
    </w:p>
    <w:p w14:paraId="61C4A510">
      <w:pPr>
        <w:spacing w:line="24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2、合格的中标候选人</w:t>
      </w:r>
      <w:r>
        <w:rPr>
          <w:rFonts w:hint="eastAsia" w:ascii="宋体" w:hAnsi="宋体" w:cs="宋体"/>
          <w:color w:val="auto"/>
          <w:sz w:val="24"/>
          <w:szCs w:val="24"/>
          <w:highlight w:val="none"/>
          <w:lang w:val="en-US" w:eastAsia="zh-CN"/>
        </w:rPr>
        <w:t>资信</w:t>
      </w:r>
      <w:r>
        <w:rPr>
          <w:rFonts w:hint="eastAsia" w:ascii="宋体" w:hAnsi="宋体" w:cs="宋体"/>
          <w:color w:val="auto"/>
          <w:sz w:val="24"/>
          <w:szCs w:val="24"/>
          <w:highlight w:val="none"/>
        </w:rPr>
        <w:t>因素得分为所有定标委员会成员对同一合格的中标候选人的取平均值；</w:t>
      </w:r>
    </w:p>
    <w:p w14:paraId="10867F1B">
      <w:pPr>
        <w:spacing w:line="24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、合格的中标候选人方案因素得分为所有定标委员会成员对同一合格的中标候选人的取平均值。</w:t>
      </w:r>
    </w:p>
    <w:p w14:paraId="65DF3F0B">
      <w:pPr>
        <w:pStyle w:val="3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附表六</w:t>
      </w:r>
    </w:p>
    <w:p w14:paraId="0F3701A2">
      <w:pPr>
        <w:ind w:firstLine="560"/>
        <w:jc w:val="center"/>
        <w:rPr>
          <w:rFonts w:ascii="宋体" w:hAnsi="宋体"/>
          <w:b/>
          <w:bCs/>
          <w:color w:val="auto"/>
          <w:sz w:val="28"/>
          <w:szCs w:val="28"/>
          <w:highlight w:val="none"/>
        </w:rPr>
      </w:pPr>
      <w:r>
        <w:rPr>
          <w:rFonts w:hint="eastAsia" w:ascii="宋体" w:hAnsi="宋体"/>
          <w:b/>
          <w:bCs/>
          <w:color w:val="auto"/>
          <w:sz w:val="28"/>
          <w:szCs w:val="28"/>
          <w:highlight w:val="none"/>
        </w:rPr>
        <w:t>评标委员会成员声明</w:t>
      </w:r>
    </w:p>
    <w:p w14:paraId="4F37B019">
      <w:pPr>
        <w:spacing w:line="440" w:lineRule="exact"/>
        <w:rPr>
          <w:rFonts w:ascii="宋体" w:hAnsi="宋体"/>
          <w:color w:val="auto"/>
          <w:sz w:val="24"/>
          <w:szCs w:val="24"/>
          <w:highlight w:val="none"/>
        </w:rPr>
      </w:pPr>
      <w:r>
        <w:rPr>
          <w:rFonts w:hint="eastAsia" w:ascii="宋体" w:hAnsi="宋体"/>
          <w:color w:val="auto"/>
          <w:sz w:val="24"/>
          <w:szCs w:val="24"/>
          <w:highlight w:val="none"/>
          <w:u w:val="single"/>
        </w:rPr>
        <w:t xml:space="preserve">   本项目招标人  </w:t>
      </w:r>
      <w:r>
        <w:rPr>
          <w:rFonts w:hint="eastAsia" w:ascii="宋体" w:hAnsi="宋体"/>
          <w:color w:val="auto"/>
          <w:sz w:val="24"/>
          <w:szCs w:val="24"/>
          <w:highlight w:val="none"/>
        </w:rPr>
        <w:t>：</w:t>
      </w:r>
    </w:p>
    <w:p w14:paraId="67AACF6F">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本人就参与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项目的评标工作，作出郑重声明：</w:t>
      </w:r>
    </w:p>
    <w:p w14:paraId="7F30F05C">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60A9B1F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2981652F">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66CAFC39">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50CA8213">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08E69FD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如果本人违反上述声明内容，造成的后果由本人自行承担。</w:t>
      </w:r>
    </w:p>
    <w:p w14:paraId="16071AC6">
      <w:pPr>
        <w:spacing w:line="440" w:lineRule="exact"/>
        <w:ind w:firstLine="480" w:firstLineChars="200"/>
        <w:rPr>
          <w:rFonts w:ascii="宋体" w:hAnsi="宋体"/>
          <w:color w:val="auto"/>
          <w:sz w:val="24"/>
          <w:szCs w:val="24"/>
          <w:highlight w:val="none"/>
        </w:rPr>
      </w:pPr>
    </w:p>
    <w:p w14:paraId="2A1C9AFA">
      <w:pPr>
        <w:spacing w:line="440" w:lineRule="exact"/>
        <w:ind w:firstLine="480" w:firstLineChars="200"/>
        <w:rPr>
          <w:rFonts w:ascii="仿宋_GB2312" w:eastAsia="仿宋_GB2312"/>
          <w:color w:val="auto"/>
          <w:sz w:val="24"/>
          <w:szCs w:val="24"/>
          <w:highlight w:val="none"/>
          <w:u w:val="single"/>
        </w:rPr>
      </w:pPr>
      <w:r>
        <w:rPr>
          <w:rFonts w:hint="eastAsia" w:ascii="宋体" w:hAnsi="宋体"/>
          <w:color w:val="auto"/>
          <w:sz w:val="24"/>
          <w:szCs w:val="24"/>
          <w:highlight w:val="none"/>
        </w:rPr>
        <w:t xml:space="preserve">                             声明人：</w:t>
      </w:r>
      <w:r>
        <w:rPr>
          <w:rFonts w:hint="eastAsia" w:ascii="宋体" w:hAnsi="宋体"/>
          <w:color w:val="auto"/>
          <w:sz w:val="24"/>
          <w:szCs w:val="24"/>
          <w:highlight w:val="none"/>
          <w:u w:val="single"/>
        </w:rPr>
        <w:t xml:space="preserve">（签名）  </w:t>
      </w:r>
    </w:p>
    <w:p w14:paraId="69A9E9B1">
      <w:pPr>
        <w:spacing w:line="440" w:lineRule="exact"/>
        <w:rPr>
          <w:rFonts w:ascii="宋体" w:hAnsi="宋体" w:cs="宋体"/>
          <w:color w:val="auto"/>
          <w:sz w:val="24"/>
          <w:szCs w:val="24"/>
          <w:highlight w:val="none"/>
        </w:rPr>
      </w:pPr>
      <w:r>
        <w:rPr>
          <w:rFonts w:hint="eastAsia" w:ascii="Arial" w:hAnsi="Arial"/>
          <w:b/>
          <w:color w:val="auto"/>
          <w:kern w:val="44"/>
          <w:sz w:val="24"/>
          <w:szCs w:val="24"/>
          <w:highlight w:val="none"/>
        </w:rPr>
        <w:br w:type="page"/>
      </w:r>
      <w:r>
        <w:rPr>
          <w:rFonts w:hint="eastAsia" w:ascii="宋体" w:hAnsi="宋体" w:cs="宋体"/>
          <w:color w:val="auto"/>
          <w:sz w:val="24"/>
          <w:szCs w:val="24"/>
          <w:highlight w:val="none"/>
        </w:rPr>
        <w:t>附表七：</w:t>
      </w:r>
    </w:p>
    <w:p w14:paraId="1CEF8C31">
      <w:pPr>
        <w:spacing w:line="44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定标委员会成员声明</w:t>
      </w:r>
    </w:p>
    <w:p w14:paraId="3A5AF127">
      <w:pPr>
        <w:spacing w:line="440" w:lineRule="exact"/>
        <w:rPr>
          <w:rFonts w:ascii="宋体" w:hAnsi="宋体"/>
          <w:color w:val="auto"/>
          <w:sz w:val="24"/>
          <w:szCs w:val="24"/>
          <w:highlight w:val="none"/>
        </w:rPr>
      </w:pPr>
      <w:r>
        <w:rPr>
          <w:rFonts w:hint="eastAsia" w:ascii="宋体" w:hAnsi="宋体"/>
          <w:color w:val="auto"/>
          <w:sz w:val="24"/>
          <w:szCs w:val="24"/>
          <w:highlight w:val="none"/>
          <w:u w:val="single"/>
        </w:rPr>
        <w:t>本项目招标人</w:t>
      </w:r>
      <w:r>
        <w:rPr>
          <w:rFonts w:hint="eastAsia" w:ascii="宋体" w:hAnsi="宋体"/>
          <w:color w:val="auto"/>
          <w:sz w:val="24"/>
          <w:szCs w:val="24"/>
          <w:highlight w:val="none"/>
        </w:rPr>
        <w:t>：</w:t>
      </w:r>
    </w:p>
    <w:p w14:paraId="2F2B7310">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本人就参与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（项目名称） </w:t>
      </w:r>
      <w:r>
        <w:rPr>
          <w:rFonts w:ascii="宋体" w:hAnsi="宋体"/>
          <w:color w:val="auto"/>
          <w:sz w:val="24"/>
          <w:szCs w:val="24"/>
          <w:highlight w:val="none"/>
          <w:u w:val="single"/>
        </w:rPr>
        <w:t xml:space="preserve">   </w:t>
      </w:r>
      <w:r>
        <w:rPr>
          <w:rFonts w:hint="eastAsia" w:ascii="宋体" w:hAnsi="宋体"/>
          <w:color w:val="auto"/>
          <w:sz w:val="24"/>
          <w:szCs w:val="24"/>
          <w:highlight w:val="none"/>
        </w:rPr>
        <w:t>项目的定标工作，作出郑重声明：</w:t>
      </w:r>
    </w:p>
    <w:p w14:paraId="0ECAA0E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本人严格遵守定标场所管理规定，服从定标场所现场管理。本人完全知悉并自愿在评审过程中通过电子手写签名板产生电子形式的签名，并认同由此方式产生的签名与本人手写、电子签名具有同等效力；本人使用该签名所签署的定标（审）材料及内容均为本人充分理解并符合本人真实意思表示。</w:t>
      </w:r>
    </w:p>
    <w:p w14:paraId="28C675E5">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二、在本项目定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025544E5">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三、本人将按照本项目招标文件规定的定标标准和方法，客观、公正地对定标文件提出评审意见，不故意拖延定标时间，或者敷衍塞责随意定标，不透露本项目定标委员会成员身份，不透露对本项目定标文件的评审和比较、中标人的情况、在定标过程中知悉的国家秘密和商业秘密以及与定标有关的其他情况。在本项目定标过程中，本人不对定标委员会其他成员的独立评审施加不当影响；不接受任何单位或者个人明示或者暗示提出的倾向或者排斥本项目特定投标人的要求；不对定标委员会其他成员或者其他人员发表带有倾向性、误导性的言论或者暗示性的意见建议。</w:t>
      </w:r>
    </w:p>
    <w:p w14:paraId="06071353">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四、定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77763A17">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五、招标监督机构依法处理本项目投诉、信访或者举报时，经调查后确认本人存在评审错误的，本人接受招标人不支付本项目评审酬劳、将本人列入招标人评（定）标专家回避名单等相关处理措施，本人也接受本项目招标监督机构依法对本人进行的处理。</w:t>
      </w:r>
    </w:p>
    <w:p w14:paraId="6F57D514">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如果本人违反上述声明内容，造成的后果由本人自行承担。</w:t>
      </w:r>
    </w:p>
    <w:p w14:paraId="722D37D8">
      <w:pPr>
        <w:spacing w:line="440" w:lineRule="exact"/>
        <w:ind w:firstLine="480" w:firstLineChars="200"/>
        <w:rPr>
          <w:rFonts w:ascii="宋体" w:hAnsi="宋体"/>
          <w:color w:val="auto"/>
          <w:sz w:val="24"/>
          <w:szCs w:val="24"/>
          <w:highlight w:val="none"/>
        </w:rPr>
      </w:pPr>
    </w:p>
    <w:p w14:paraId="6CA7770E">
      <w:pPr>
        <w:spacing w:line="400" w:lineRule="exact"/>
        <w:ind w:firstLine="480" w:firstLineChars="200"/>
        <w:rPr>
          <w:rFonts w:ascii="宋体" w:hAnsi="宋体"/>
          <w:color w:val="auto"/>
          <w:sz w:val="24"/>
          <w:szCs w:val="24"/>
          <w:highlight w:val="none"/>
        </w:rPr>
      </w:pPr>
    </w:p>
    <w:p w14:paraId="20B9825F">
      <w:pPr>
        <w:spacing w:line="400" w:lineRule="exact"/>
        <w:ind w:firstLine="480" w:firstLineChars="200"/>
        <w:rPr>
          <w:rFonts w:hint="eastAsia" w:ascii="宋体" w:hAnsi="宋体" w:cs="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声明人：</w:t>
      </w:r>
      <w:r>
        <w:rPr>
          <w:rFonts w:hint="eastAsia" w:ascii="宋体" w:hAnsi="宋体"/>
          <w:color w:val="auto"/>
          <w:sz w:val="24"/>
          <w:szCs w:val="24"/>
          <w:highlight w:val="none"/>
          <w:u w:val="single"/>
        </w:rPr>
        <w:t>（签名）</w:t>
      </w:r>
    </w:p>
    <w:p w14:paraId="7C30C2B6">
      <w:pPr>
        <w:spacing w:line="400" w:lineRule="exact"/>
        <w:ind w:firstLine="480" w:firstLineChars="200"/>
        <w:rPr>
          <w:rFonts w:ascii="仿宋_GB2312" w:eastAsia="仿宋_GB2312"/>
          <w:color w:val="auto"/>
          <w:sz w:val="24"/>
          <w:szCs w:val="24"/>
          <w:highlight w:val="none"/>
          <w:u w:val="single"/>
        </w:rPr>
      </w:pPr>
    </w:p>
    <w:p w14:paraId="54C92229">
      <w:pPr>
        <w:pStyle w:val="30"/>
        <w:rPr>
          <w:rFonts w:hint="eastAsia" w:ascii="宋体" w:hAnsi="宋体" w:eastAsia="宋体" w:cs="宋体"/>
          <w:color w:val="auto"/>
          <w:highlight w:val="none"/>
        </w:rPr>
      </w:pPr>
      <w:r>
        <w:rPr>
          <w:rFonts w:hint="eastAsia" w:ascii="Arial" w:hAnsi="Arial"/>
          <w:b/>
          <w:color w:val="auto"/>
          <w:kern w:val="44"/>
          <w:sz w:val="32"/>
          <w:szCs w:val="32"/>
          <w:highlight w:val="none"/>
        </w:rPr>
        <w:br w:type="page"/>
      </w:r>
    </w:p>
    <w:p w14:paraId="03C7C44B">
      <w:pPr>
        <w:pStyle w:val="2"/>
        <w:rPr>
          <w:rFonts w:hint="eastAsia" w:ascii="宋体" w:hAnsi="宋体" w:cs="宋体"/>
          <w:color w:val="auto"/>
          <w:highlight w:val="none"/>
        </w:rPr>
      </w:pPr>
      <w:bookmarkStart w:id="99" w:name="_Toc10239"/>
      <w:r>
        <w:rPr>
          <w:rFonts w:hint="eastAsia" w:ascii="宋体" w:hAnsi="宋体" w:cs="宋体"/>
          <w:color w:val="auto"/>
          <w:highlight w:val="none"/>
        </w:rPr>
        <w:t>第三章  合同条款</w:t>
      </w:r>
      <w:bookmarkEnd w:id="98"/>
      <w:bookmarkEnd w:id="99"/>
    </w:p>
    <w:p w14:paraId="40893370">
      <w:pPr>
        <w:pStyle w:val="4"/>
        <w:spacing w:line="360" w:lineRule="auto"/>
        <w:jc w:val="center"/>
        <w:rPr>
          <w:rFonts w:hint="eastAsia" w:ascii="宋体" w:hAnsi="宋体" w:cs="宋体"/>
          <w:color w:val="auto"/>
          <w:sz w:val="24"/>
          <w:szCs w:val="24"/>
          <w:highlight w:val="none"/>
        </w:rPr>
      </w:pPr>
    </w:p>
    <w:p w14:paraId="6E6BBDBB">
      <w:pPr>
        <w:jc w:val="center"/>
        <w:rPr>
          <w:rFonts w:hint="eastAsia" w:ascii="宋体" w:hAnsi="宋体" w:cs="宋体"/>
          <w:b/>
          <w:color w:val="auto"/>
          <w:sz w:val="24"/>
          <w:szCs w:val="24"/>
          <w:highlight w:val="none"/>
        </w:rPr>
      </w:pPr>
      <w:r>
        <w:rPr>
          <w:rFonts w:hint="eastAsia" w:ascii="宋体" w:hAnsi="宋体" w:cs="宋体"/>
          <w:color w:val="auto"/>
          <w:sz w:val="24"/>
          <w:szCs w:val="24"/>
          <w:highlight w:val="none"/>
        </w:rPr>
        <w:t>另册</w:t>
      </w:r>
      <w:r>
        <w:rPr>
          <w:rFonts w:hint="eastAsia" w:ascii="宋体" w:hAnsi="宋体" w:cs="宋体"/>
          <w:bCs/>
          <w:color w:val="auto"/>
          <w:sz w:val="24"/>
          <w:highlight w:val="none"/>
        </w:rPr>
        <w:t>。</w:t>
      </w:r>
    </w:p>
    <w:p w14:paraId="1CE7C478">
      <w:pPr>
        <w:pStyle w:val="4"/>
        <w:spacing w:line="360" w:lineRule="auto"/>
        <w:rPr>
          <w:rFonts w:hint="eastAsia" w:ascii="宋体" w:hAnsi="宋体" w:cs="宋体"/>
          <w:color w:val="auto"/>
          <w:sz w:val="24"/>
          <w:szCs w:val="24"/>
          <w:highlight w:val="none"/>
        </w:rPr>
      </w:pPr>
    </w:p>
    <w:p w14:paraId="5D38BDEA">
      <w:pPr>
        <w:pStyle w:val="4"/>
        <w:spacing w:line="360" w:lineRule="auto"/>
        <w:rPr>
          <w:rFonts w:hint="eastAsia" w:ascii="宋体" w:hAnsi="宋体" w:cs="宋体"/>
          <w:color w:val="auto"/>
          <w:sz w:val="24"/>
          <w:szCs w:val="24"/>
          <w:highlight w:val="none"/>
        </w:rPr>
      </w:pPr>
    </w:p>
    <w:p w14:paraId="6A5B3B3B">
      <w:pPr>
        <w:pStyle w:val="4"/>
        <w:spacing w:line="360" w:lineRule="auto"/>
        <w:rPr>
          <w:rFonts w:hint="eastAsia" w:ascii="宋体" w:hAnsi="宋体" w:cs="宋体"/>
          <w:color w:val="auto"/>
          <w:sz w:val="24"/>
          <w:szCs w:val="24"/>
          <w:highlight w:val="none"/>
        </w:rPr>
      </w:pPr>
    </w:p>
    <w:p w14:paraId="4F866DB0">
      <w:pPr>
        <w:pStyle w:val="4"/>
        <w:spacing w:line="360" w:lineRule="auto"/>
        <w:rPr>
          <w:rFonts w:hint="eastAsia" w:ascii="宋体" w:hAnsi="宋体" w:cs="宋体"/>
          <w:color w:val="auto"/>
          <w:sz w:val="24"/>
          <w:szCs w:val="24"/>
          <w:highlight w:val="none"/>
        </w:rPr>
      </w:pPr>
    </w:p>
    <w:p w14:paraId="156EFD4A">
      <w:pPr>
        <w:pStyle w:val="4"/>
        <w:spacing w:line="360" w:lineRule="auto"/>
        <w:rPr>
          <w:rFonts w:hint="eastAsia" w:ascii="宋体" w:hAnsi="宋体" w:cs="宋体"/>
          <w:color w:val="auto"/>
          <w:sz w:val="24"/>
          <w:szCs w:val="24"/>
          <w:highlight w:val="none"/>
        </w:rPr>
      </w:pPr>
    </w:p>
    <w:p w14:paraId="284DF0D1">
      <w:pPr>
        <w:pStyle w:val="4"/>
        <w:spacing w:line="360" w:lineRule="auto"/>
        <w:rPr>
          <w:rFonts w:hint="eastAsia" w:ascii="宋体" w:hAnsi="宋体" w:cs="宋体"/>
          <w:color w:val="auto"/>
          <w:sz w:val="24"/>
          <w:szCs w:val="24"/>
          <w:highlight w:val="none"/>
        </w:rPr>
      </w:pPr>
    </w:p>
    <w:p w14:paraId="6BA84928">
      <w:pPr>
        <w:pStyle w:val="4"/>
        <w:spacing w:line="360" w:lineRule="auto"/>
        <w:rPr>
          <w:rFonts w:hint="eastAsia" w:ascii="宋体" w:hAnsi="宋体" w:cs="宋体"/>
          <w:color w:val="auto"/>
          <w:sz w:val="24"/>
          <w:szCs w:val="24"/>
          <w:highlight w:val="none"/>
        </w:rPr>
      </w:pPr>
    </w:p>
    <w:p w14:paraId="18F49000">
      <w:pPr>
        <w:pStyle w:val="4"/>
        <w:spacing w:line="360" w:lineRule="auto"/>
        <w:rPr>
          <w:rFonts w:hint="eastAsia" w:ascii="宋体" w:hAnsi="宋体" w:cs="宋体"/>
          <w:color w:val="auto"/>
          <w:sz w:val="24"/>
          <w:szCs w:val="24"/>
          <w:highlight w:val="none"/>
        </w:rPr>
      </w:pPr>
    </w:p>
    <w:p w14:paraId="2673C72C">
      <w:pPr>
        <w:pStyle w:val="4"/>
        <w:spacing w:line="360" w:lineRule="auto"/>
        <w:rPr>
          <w:rFonts w:hint="eastAsia" w:ascii="宋体" w:hAnsi="宋体" w:cs="宋体"/>
          <w:color w:val="auto"/>
          <w:sz w:val="24"/>
          <w:szCs w:val="24"/>
          <w:highlight w:val="none"/>
        </w:rPr>
      </w:pPr>
    </w:p>
    <w:p w14:paraId="10B3664A">
      <w:pPr>
        <w:pStyle w:val="13"/>
        <w:spacing w:line="360" w:lineRule="auto"/>
        <w:rPr>
          <w:rFonts w:hint="eastAsia" w:hAnsi="宋体" w:cs="宋体"/>
          <w:color w:val="auto"/>
          <w:sz w:val="24"/>
          <w:szCs w:val="24"/>
          <w:highlight w:val="none"/>
        </w:rPr>
      </w:pPr>
    </w:p>
    <w:p w14:paraId="2FBA01C4">
      <w:pPr>
        <w:pStyle w:val="2"/>
        <w:rPr>
          <w:rFonts w:hint="eastAsia" w:ascii="宋体" w:hAnsi="宋体" w:cs="宋体"/>
          <w:color w:val="auto"/>
          <w:highlight w:val="none"/>
        </w:rPr>
      </w:pPr>
      <w:r>
        <w:rPr>
          <w:rFonts w:hint="eastAsia" w:ascii="宋体" w:hAnsi="宋体" w:cs="宋体"/>
          <w:color w:val="auto"/>
          <w:sz w:val="24"/>
          <w:szCs w:val="24"/>
          <w:highlight w:val="none"/>
        </w:rPr>
        <w:br w:type="page"/>
      </w:r>
      <w:bookmarkStart w:id="100" w:name="_Toc88246547"/>
      <w:bookmarkStart w:id="101" w:name="_Toc9591"/>
      <w:r>
        <w:rPr>
          <w:rFonts w:hint="eastAsia" w:ascii="宋体" w:hAnsi="宋体" w:cs="宋体"/>
          <w:color w:val="auto"/>
          <w:highlight w:val="none"/>
        </w:rPr>
        <w:t>第四章  投标文件格式</w:t>
      </w:r>
      <w:bookmarkEnd w:id="100"/>
      <w:bookmarkEnd w:id="101"/>
    </w:p>
    <w:p w14:paraId="682CA352">
      <w:pPr>
        <w:autoSpaceDE w:val="0"/>
        <w:autoSpaceDN w:val="0"/>
        <w:adjustRightInd w:val="0"/>
        <w:jc w:val="center"/>
        <w:rPr>
          <w:rFonts w:hint="eastAsia" w:ascii="宋体" w:hAnsi="宋体" w:cs="宋体"/>
          <w:b/>
          <w:color w:val="auto"/>
          <w:sz w:val="24"/>
          <w:szCs w:val="24"/>
          <w:highlight w:val="none"/>
        </w:rPr>
      </w:pPr>
    </w:p>
    <w:p w14:paraId="1282DDA6">
      <w:pPr>
        <w:autoSpaceDE w:val="0"/>
        <w:autoSpaceDN w:val="0"/>
        <w:adjustRightInd w:val="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【本章格式除招标文件中带★号的格式必须按招标文件规定的格式进行编制外，其余格式仅供参考。】</w:t>
      </w:r>
    </w:p>
    <w:p w14:paraId="08FCDA1A">
      <w:pPr>
        <w:topLinePunct/>
        <w:snapToGrid w:val="0"/>
        <w:spacing w:before="100" w:beforeAutospacing="1" w:after="156"/>
        <w:jc w:val="center"/>
        <w:rPr>
          <w:rStyle w:val="26"/>
          <w:rFonts w:ascii="宋体" w:hAnsi="宋体"/>
          <w:b/>
          <w:color w:val="auto"/>
          <w:spacing w:val="4"/>
          <w:kern w:val="0"/>
          <w:sz w:val="30"/>
          <w:szCs w:val="30"/>
          <w:highlight w:val="none"/>
        </w:rPr>
      </w:pPr>
    </w:p>
    <w:p w14:paraId="71A21D20">
      <w:pPr>
        <w:topLinePunct/>
        <w:snapToGrid w:val="0"/>
        <w:spacing w:before="100" w:beforeAutospacing="1" w:after="156"/>
        <w:jc w:val="center"/>
        <w:rPr>
          <w:rStyle w:val="26"/>
          <w:rFonts w:ascii="宋体" w:hAnsi="宋体"/>
          <w:b/>
          <w:color w:val="auto"/>
          <w:spacing w:val="4"/>
          <w:kern w:val="0"/>
          <w:sz w:val="30"/>
          <w:szCs w:val="30"/>
          <w:highlight w:val="none"/>
        </w:rPr>
      </w:pPr>
      <w:r>
        <w:rPr>
          <w:rStyle w:val="26"/>
          <w:rFonts w:ascii="宋体" w:hAnsi="宋体"/>
          <w:b/>
          <w:color w:val="auto"/>
          <w:spacing w:val="4"/>
          <w:kern w:val="0"/>
          <w:sz w:val="30"/>
          <w:szCs w:val="30"/>
          <w:highlight w:val="none"/>
        </w:rPr>
        <w:t>一、技术标投标文件格式</w:t>
      </w:r>
    </w:p>
    <w:p w14:paraId="68C2DA3F">
      <w:pPr>
        <w:pStyle w:val="13"/>
        <w:rPr>
          <w:rFonts w:hint="eastAsia" w:hAnsi="宋体"/>
          <w:color w:val="auto"/>
          <w:highlight w:val="none"/>
        </w:rPr>
      </w:pPr>
    </w:p>
    <w:p w14:paraId="4EEBCC9C">
      <w:pPr>
        <w:topLinePunct/>
        <w:snapToGrid w:val="0"/>
        <w:spacing w:before="156" w:after="156"/>
        <w:jc w:val="left"/>
        <w:rPr>
          <w:rStyle w:val="26"/>
          <w:rFonts w:ascii="宋体" w:hAnsi="宋体"/>
          <w:b/>
          <w:color w:val="auto"/>
          <w:spacing w:val="4"/>
          <w:kern w:val="0"/>
          <w:szCs w:val="21"/>
          <w:highlight w:val="none"/>
        </w:rPr>
      </w:pPr>
      <w:r>
        <w:rPr>
          <w:rStyle w:val="26"/>
          <w:rFonts w:ascii="宋体" w:hAnsi="宋体"/>
          <w:b/>
          <w:color w:val="auto"/>
          <w:spacing w:val="4"/>
          <w:kern w:val="0"/>
          <w:szCs w:val="21"/>
          <w:highlight w:val="none"/>
        </w:rPr>
        <w:br w:type="page"/>
      </w:r>
      <w:r>
        <w:rPr>
          <w:rStyle w:val="26"/>
          <w:rFonts w:ascii="宋体" w:hAnsi="宋体"/>
          <w:b/>
          <w:color w:val="auto"/>
          <w:spacing w:val="4"/>
          <w:kern w:val="0"/>
          <w:szCs w:val="21"/>
          <w:highlight w:val="none"/>
        </w:rPr>
        <w:t>格式一：技术标封面</w:t>
      </w:r>
    </w:p>
    <w:p w14:paraId="194F67DD">
      <w:pPr>
        <w:topLinePunct/>
        <w:snapToGrid w:val="0"/>
        <w:spacing w:before="100" w:beforeAutospacing="1" w:line="360" w:lineRule="auto"/>
        <w:jc w:val="center"/>
        <w:rPr>
          <w:rStyle w:val="26"/>
          <w:rFonts w:hint="eastAsia" w:ascii="宋体" w:hAnsi="宋体"/>
          <w:color w:val="auto"/>
          <w:spacing w:val="4"/>
          <w:kern w:val="0"/>
          <w:sz w:val="36"/>
          <w:szCs w:val="36"/>
          <w:highlight w:val="none"/>
        </w:rPr>
      </w:pPr>
    </w:p>
    <w:p w14:paraId="1A91DF20">
      <w:pPr>
        <w:topLinePunct/>
        <w:snapToGrid w:val="0"/>
        <w:spacing w:before="100" w:beforeAutospacing="1" w:line="360" w:lineRule="auto"/>
        <w:jc w:val="center"/>
        <w:rPr>
          <w:rStyle w:val="26"/>
          <w:rFonts w:ascii="宋体" w:hAnsi="宋体"/>
          <w:color w:val="auto"/>
          <w:spacing w:val="4"/>
          <w:kern w:val="0"/>
          <w:sz w:val="36"/>
          <w:szCs w:val="36"/>
          <w:highlight w:val="none"/>
        </w:rPr>
      </w:pPr>
      <w:r>
        <w:rPr>
          <w:rStyle w:val="26"/>
          <w:rFonts w:ascii="宋体" w:hAnsi="宋体"/>
          <w:color w:val="auto"/>
          <w:spacing w:val="4"/>
          <w:kern w:val="0"/>
          <w:sz w:val="36"/>
          <w:szCs w:val="36"/>
          <w:highlight w:val="none"/>
        </w:rPr>
        <w:t xml:space="preserve">[工程名称] </w:t>
      </w:r>
    </w:p>
    <w:p w14:paraId="23674DA1">
      <w:pPr>
        <w:topLinePunct/>
        <w:snapToGrid w:val="0"/>
        <w:spacing w:before="100" w:beforeAutospacing="1" w:line="360" w:lineRule="auto"/>
        <w:jc w:val="center"/>
        <w:rPr>
          <w:rStyle w:val="26"/>
          <w:rFonts w:hint="eastAsia" w:ascii="宋体" w:hAnsi="宋体"/>
          <w:b/>
          <w:color w:val="auto"/>
          <w:spacing w:val="4"/>
          <w:kern w:val="0"/>
          <w:sz w:val="72"/>
          <w:szCs w:val="72"/>
          <w:highlight w:val="none"/>
        </w:rPr>
      </w:pPr>
    </w:p>
    <w:p w14:paraId="2A7BEBBF">
      <w:pPr>
        <w:topLinePunct/>
        <w:snapToGrid w:val="0"/>
        <w:spacing w:before="100" w:beforeAutospacing="1" w:line="360" w:lineRule="auto"/>
        <w:jc w:val="center"/>
        <w:rPr>
          <w:rStyle w:val="26"/>
          <w:rFonts w:ascii="宋体" w:hAnsi="宋体"/>
          <w:b/>
          <w:color w:val="auto"/>
          <w:spacing w:val="4"/>
          <w:kern w:val="0"/>
          <w:sz w:val="72"/>
          <w:szCs w:val="72"/>
          <w:highlight w:val="none"/>
        </w:rPr>
      </w:pPr>
      <w:r>
        <w:rPr>
          <w:rStyle w:val="26"/>
          <w:rFonts w:ascii="宋体" w:hAnsi="宋体"/>
          <w:b/>
          <w:color w:val="auto"/>
          <w:spacing w:val="4"/>
          <w:kern w:val="0"/>
          <w:sz w:val="72"/>
          <w:szCs w:val="72"/>
          <w:highlight w:val="none"/>
        </w:rPr>
        <w:t>投标文件</w:t>
      </w:r>
    </w:p>
    <w:p w14:paraId="1FDAA340">
      <w:pPr>
        <w:topLinePunct/>
        <w:snapToGrid w:val="0"/>
        <w:spacing w:before="100" w:beforeAutospacing="1" w:line="360" w:lineRule="auto"/>
        <w:ind w:firstLine="720" w:firstLineChars="200"/>
        <w:rPr>
          <w:rStyle w:val="26"/>
          <w:rFonts w:ascii="宋体" w:hAnsi="宋体"/>
          <w:color w:val="auto"/>
          <w:spacing w:val="4"/>
          <w:kern w:val="0"/>
          <w:sz w:val="36"/>
          <w:szCs w:val="36"/>
          <w:highlight w:val="none"/>
        </w:rPr>
      </w:pPr>
      <w:r>
        <w:rPr>
          <w:rFonts w:hint="eastAsia" w:ascii="宋体" w:hAnsi="宋体"/>
          <w:color w:val="auto"/>
          <w:sz w:val="36"/>
          <w:szCs w:val="36"/>
          <w:highlight w:val="none"/>
        </w:rPr>
        <w:t>第一册  【技术投标文件（含资格审查文件）】</w:t>
      </w:r>
    </w:p>
    <w:p w14:paraId="320F033B">
      <w:pPr>
        <w:topLinePunct/>
        <w:snapToGrid w:val="0"/>
        <w:spacing w:before="100" w:beforeAutospacing="1" w:line="360" w:lineRule="auto"/>
        <w:ind w:firstLine="496" w:firstLineChars="200"/>
        <w:rPr>
          <w:rStyle w:val="26"/>
          <w:rFonts w:ascii="宋体" w:hAnsi="宋体"/>
          <w:color w:val="auto"/>
          <w:spacing w:val="4"/>
          <w:kern w:val="0"/>
          <w:sz w:val="24"/>
          <w:szCs w:val="24"/>
          <w:highlight w:val="none"/>
        </w:rPr>
      </w:pPr>
    </w:p>
    <w:p w14:paraId="5EB6EB0A">
      <w:pPr>
        <w:topLinePunct/>
        <w:snapToGrid w:val="0"/>
        <w:spacing w:before="100" w:beforeAutospacing="1" w:line="360" w:lineRule="auto"/>
        <w:ind w:firstLine="496" w:firstLineChars="200"/>
        <w:rPr>
          <w:rStyle w:val="26"/>
          <w:rFonts w:hint="eastAsia" w:ascii="宋体" w:hAnsi="宋体"/>
          <w:color w:val="auto"/>
          <w:spacing w:val="4"/>
          <w:kern w:val="0"/>
          <w:sz w:val="24"/>
          <w:szCs w:val="24"/>
          <w:highlight w:val="none"/>
        </w:rPr>
      </w:pPr>
    </w:p>
    <w:p w14:paraId="2120E8BC">
      <w:pPr>
        <w:topLinePunct/>
        <w:snapToGrid w:val="0"/>
        <w:spacing w:before="100" w:beforeAutospacing="1" w:line="360" w:lineRule="auto"/>
        <w:ind w:firstLine="496" w:firstLineChars="200"/>
        <w:rPr>
          <w:rStyle w:val="26"/>
          <w:rFonts w:hint="eastAsia" w:ascii="宋体" w:hAnsi="宋体"/>
          <w:color w:val="auto"/>
          <w:spacing w:val="4"/>
          <w:kern w:val="0"/>
          <w:sz w:val="24"/>
          <w:szCs w:val="24"/>
          <w:highlight w:val="none"/>
        </w:rPr>
      </w:pPr>
    </w:p>
    <w:p w14:paraId="519E7AE7">
      <w:pPr>
        <w:topLinePunct/>
        <w:snapToGrid w:val="0"/>
        <w:spacing w:before="100" w:beforeAutospacing="1" w:line="360" w:lineRule="auto"/>
        <w:ind w:firstLine="496" w:firstLineChars="200"/>
        <w:rPr>
          <w:rStyle w:val="26"/>
          <w:rFonts w:ascii="宋体" w:hAnsi="宋体"/>
          <w:color w:val="auto"/>
          <w:spacing w:val="4"/>
          <w:kern w:val="0"/>
          <w:sz w:val="24"/>
          <w:szCs w:val="24"/>
          <w:highlight w:val="none"/>
        </w:rPr>
      </w:pPr>
    </w:p>
    <w:p w14:paraId="1BF26D5E">
      <w:pPr>
        <w:topLinePunct/>
        <w:snapToGrid w:val="0"/>
        <w:spacing w:before="100" w:beforeAutospacing="1" w:line="360" w:lineRule="auto"/>
        <w:ind w:firstLine="616" w:firstLineChars="200"/>
        <w:jc w:val="left"/>
        <w:rPr>
          <w:rStyle w:val="26"/>
          <w:rFonts w:ascii="宋体" w:hAnsi="宋体"/>
          <w:color w:val="auto"/>
          <w:spacing w:val="4"/>
          <w:kern w:val="0"/>
          <w:sz w:val="30"/>
          <w:szCs w:val="30"/>
          <w:highlight w:val="none"/>
        </w:rPr>
      </w:pPr>
      <w:r>
        <w:rPr>
          <w:rStyle w:val="26"/>
          <w:rFonts w:ascii="宋体" w:hAnsi="宋体"/>
          <w:color w:val="auto"/>
          <w:spacing w:val="4"/>
          <w:kern w:val="0"/>
          <w:sz w:val="30"/>
          <w:szCs w:val="30"/>
          <w:highlight w:val="none"/>
        </w:rPr>
        <w:t>投标人：</w:t>
      </w:r>
      <w:r>
        <w:rPr>
          <w:rStyle w:val="26"/>
          <w:rFonts w:ascii="宋体" w:hAnsi="宋体"/>
          <w:color w:val="auto"/>
          <w:spacing w:val="4"/>
          <w:kern w:val="0"/>
          <w:sz w:val="30"/>
          <w:szCs w:val="30"/>
          <w:highlight w:val="none"/>
          <w:u w:val="single"/>
        </w:rPr>
        <w:t xml:space="preserve">                            （盖章）</w:t>
      </w:r>
    </w:p>
    <w:p w14:paraId="4884CB36">
      <w:pPr>
        <w:topLinePunct/>
        <w:snapToGrid w:val="0"/>
        <w:spacing w:before="100" w:beforeAutospacing="1" w:line="360" w:lineRule="auto"/>
        <w:ind w:firstLine="616" w:firstLineChars="200"/>
        <w:jc w:val="left"/>
        <w:rPr>
          <w:rStyle w:val="26"/>
          <w:rFonts w:ascii="宋体" w:hAnsi="宋体"/>
          <w:color w:val="auto"/>
          <w:spacing w:val="4"/>
          <w:kern w:val="0"/>
          <w:sz w:val="30"/>
          <w:szCs w:val="30"/>
          <w:highlight w:val="none"/>
        </w:rPr>
      </w:pPr>
      <w:r>
        <w:rPr>
          <w:rStyle w:val="26"/>
          <w:rFonts w:ascii="宋体" w:hAnsi="宋体"/>
          <w:color w:val="auto"/>
          <w:spacing w:val="4"/>
          <w:kern w:val="0"/>
          <w:sz w:val="30"/>
          <w:szCs w:val="30"/>
          <w:highlight w:val="none"/>
        </w:rPr>
        <w:t>法定代表人或其委托代理人：</w:t>
      </w:r>
      <w:r>
        <w:rPr>
          <w:rStyle w:val="26"/>
          <w:rFonts w:ascii="宋体" w:hAnsi="宋体"/>
          <w:color w:val="auto"/>
          <w:spacing w:val="4"/>
          <w:kern w:val="0"/>
          <w:sz w:val="30"/>
          <w:szCs w:val="30"/>
          <w:highlight w:val="none"/>
          <w:u w:val="single"/>
        </w:rPr>
        <w:t xml:space="preserve">    （签字或盖章）</w:t>
      </w:r>
    </w:p>
    <w:p w14:paraId="34F32AFF">
      <w:pPr>
        <w:topLinePunct/>
        <w:snapToGrid w:val="0"/>
        <w:spacing w:before="100" w:beforeAutospacing="1" w:line="360" w:lineRule="auto"/>
        <w:ind w:firstLine="616" w:firstLineChars="200"/>
        <w:jc w:val="left"/>
        <w:rPr>
          <w:rStyle w:val="26"/>
          <w:rFonts w:ascii="宋体" w:hAnsi="宋体"/>
          <w:color w:val="auto"/>
          <w:spacing w:val="4"/>
          <w:kern w:val="0"/>
          <w:sz w:val="24"/>
          <w:szCs w:val="24"/>
          <w:highlight w:val="none"/>
        </w:rPr>
      </w:pPr>
      <w:r>
        <w:rPr>
          <w:rStyle w:val="26"/>
          <w:rFonts w:ascii="宋体" w:hAnsi="宋体"/>
          <w:color w:val="auto"/>
          <w:spacing w:val="4"/>
          <w:kern w:val="0"/>
          <w:sz w:val="30"/>
          <w:szCs w:val="30"/>
          <w:highlight w:val="none"/>
        </w:rPr>
        <w:t>日  期：</w:t>
      </w:r>
      <w:r>
        <w:rPr>
          <w:rStyle w:val="26"/>
          <w:rFonts w:ascii="宋体" w:hAnsi="宋体"/>
          <w:color w:val="auto"/>
          <w:spacing w:val="4"/>
          <w:kern w:val="0"/>
          <w:sz w:val="30"/>
          <w:szCs w:val="30"/>
          <w:highlight w:val="none"/>
          <w:u w:val="single"/>
        </w:rPr>
        <w:t xml:space="preserve">                                 </w:t>
      </w:r>
    </w:p>
    <w:p w14:paraId="55887622">
      <w:pPr>
        <w:autoSpaceDE w:val="0"/>
        <w:autoSpaceDN w:val="0"/>
        <w:adjustRightInd w:val="0"/>
        <w:outlineLvl w:val="2"/>
        <w:rPr>
          <w:rFonts w:hint="eastAsia" w:ascii="宋体" w:hAnsi="宋体" w:cs="宋体"/>
          <w:bCs/>
          <w:color w:val="auto"/>
          <w:szCs w:val="21"/>
          <w:highlight w:val="none"/>
        </w:rPr>
      </w:pPr>
      <w:r>
        <w:rPr>
          <w:rFonts w:hint="eastAsia" w:ascii="宋体" w:hAnsi="宋体" w:cs="宋体"/>
          <w:color w:val="auto"/>
          <w:highlight w:val="none"/>
        </w:rPr>
        <w:br w:type="page"/>
      </w:r>
      <w:r>
        <w:rPr>
          <w:rFonts w:hint="eastAsia" w:ascii="宋体" w:hAnsi="宋体" w:cs="宋体"/>
          <w:b/>
          <w:bCs/>
          <w:color w:val="auto"/>
          <w:highlight w:val="none"/>
        </w:rPr>
        <w:t>★ 格式二</w:t>
      </w:r>
    </w:p>
    <w:p w14:paraId="0F29F78C">
      <w:pPr>
        <w:autoSpaceDE w:val="0"/>
        <w:autoSpaceDN w:val="0"/>
        <w:adjustRightInd w:val="0"/>
        <w:ind w:left="-540" w:leftChars="-257" w:firstLine="1135" w:firstLineChars="257"/>
        <w:jc w:val="center"/>
        <w:rPr>
          <w:rFonts w:hint="eastAsia" w:ascii="宋体" w:hAnsi="宋体" w:cs="宋体"/>
          <w:b/>
          <w:bCs/>
          <w:color w:val="auto"/>
          <w:sz w:val="44"/>
          <w:szCs w:val="44"/>
          <w:highlight w:val="none"/>
          <w:lang w:val="zh-CN"/>
        </w:rPr>
      </w:pPr>
    </w:p>
    <w:p w14:paraId="086C1EB3">
      <w:pPr>
        <w:autoSpaceDE w:val="0"/>
        <w:autoSpaceDN w:val="0"/>
        <w:adjustRightInd w:val="0"/>
        <w:snapToGrid w:val="0"/>
        <w:spacing w:line="480" w:lineRule="auto"/>
        <w:jc w:val="center"/>
        <w:rPr>
          <w:rFonts w:hint="eastAsia" w:ascii="宋体" w:hAnsi="宋体" w:cs="宋体"/>
          <w:b/>
          <w:bCs/>
          <w:color w:val="auto"/>
          <w:sz w:val="44"/>
          <w:szCs w:val="44"/>
          <w:highlight w:val="none"/>
          <w:lang w:val="zh-CN"/>
        </w:rPr>
      </w:pPr>
      <w:r>
        <w:rPr>
          <w:rFonts w:hint="eastAsia" w:ascii="宋体" w:hAnsi="宋体" w:cs="宋体"/>
          <w:b/>
          <w:bCs/>
          <w:color w:val="auto"/>
          <w:sz w:val="44"/>
          <w:szCs w:val="44"/>
          <w:highlight w:val="none"/>
          <w:lang w:val="zh-CN"/>
        </w:rPr>
        <w:t>广州建设工程施工招标投标书</w:t>
      </w:r>
    </w:p>
    <w:tbl>
      <w:tblPr>
        <w:tblStyle w:val="21"/>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4286"/>
        <w:gridCol w:w="2835"/>
      </w:tblGrid>
      <w:tr w14:paraId="7B31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670" w:type="dxa"/>
            <w:gridSpan w:val="2"/>
            <w:tcBorders>
              <w:top w:val="single" w:color="auto" w:sz="4" w:space="0"/>
              <w:left w:val="single" w:color="auto" w:sz="4" w:space="0"/>
              <w:bottom w:val="single" w:color="auto" w:sz="4" w:space="0"/>
              <w:right w:val="single" w:color="auto" w:sz="4" w:space="0"/>
            </w:tcBorders>
            <w:noWrap w:val="0"/>
            <w:vAlign w:val="center"/>
          </w:tcPr>
          <w:p w14:paraId="6A3BA39C">
            <w:pPr>
              <w:autoSpaceDE w:val="0"/>
              <w:autoSpaceDN w:val="0"/>
              <w:adjustRightInd w:val="0"/>
              <w:jc w:val="center"/>
              <w:rPr>
                <w:rFonts w:ascii="宋体" w:cs="宋体"/>
                <w:bCs/>
                <w:color w:val="auto"/>
                <w:sz w:val="24"/>
                <w:szCs w:val="24"/>
                <w:highlight w:val="none"/>
                <w:lang w:val="zh-CN"/>
              </w:rPr>
            </w:pPr>
            <w:r>
              <w:rPr>
                <w:rFonts w:hint="eastAsia" w:ascii="宋体" w:hAnsi="宋体" w:cs="宋体"/>
                <w:color w:val="auto"/>
                <w:sz w:val="24"/>
                <w:szCs w:val="24"/>
                <w:highlight w:val="none"/>
                <w:lang w:val="zh-CN"/>
              </w:rPr>
              <w:t>工</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程</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名</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称</w:t>
            </w:r>
          </w:p>
        </w:tc>
        <w:tc>
          <w:tcPr>
            <w:tcW w:w="2835" w:type="dxa"/>
            <w:tcBorders>
              <w:top w:val="single" w:color="auto" w:sz="4" w:space="0"/>
              <w:left w:val="single" w:color="auto" w:sz="4" w:space="0"/>
              <w:bottom w:val="single" w:color="auto" w:sz="4" w:space="0"/>
              <w:right w:val="single" w:color="auto" w:sz="4" w:space="0"/>
            </w:tcBorders>
            <w:noWrap w:val="0"/>
            <w:vAlign w:val="top"/>
          </w:tcPr>
          <w:p w14:paraId="042B5CF8">
            <w:pPr>
              <w:autoSpaceDE w:val="0"/>
              <w:autoSpaceDN w:val="0"/>
              <w:adjustRightInd w:val="0"/>
              <w:rPr>
                <w:rFonts w:ascii="宋体" w:cs="宋体"/>
                <w:bCs/>
                <w:color w:val="auto"/>
                <w:sz w:val="24"/>
                <w:szCs w:val="24"/>
                <w:highlight w:val="none"/>
                <w:lang w:val="zh-CN"/>
              </w:rPr>
            </w:pPr>
          </w:p>
        </w:tc>
      </w:tr>
      <w:tr w14:paraId="2EB1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384" w:type="dxa"/>
            <w:tcBorders>
              <w:top w:val="single" w:color="auto" w:sz="4" w:space="0"/>
              <w:left w:val="single" w:color="auto" w:sz="4" w:space="0"/>
              <w:bottom w:val="single" w:color="auto" w:sz="4" w:space="0"/>
              <w:right w:val="single" w:color="auto" w:sz="4" w:space="0"/>
            </w:tcBorders>
            <w:noWrap w:val="0"/>
            <w:vAlign w:val="center"/>
          </w:tcPr>
          <w:p w14:paraId="73C1E5C9">
            <w:pPr>
              <w:autoSpaceDE w:val="0"/>
              <w:autoSpaceDN w:val="0"/>
              <w:adjustRightInd w:val="0"/>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p>
        </w:tc>
        <w:tc>
          <w:tcPr>
            <w:tcW w:w="4286" w:type="dxa"/>
            <w:tcBorders>
              <w:top w:val="single" w:color="auto" w:sz="4" w:space="0"/>
              <w:left w:val="single" w:color="auto" w:sz="4" w:space="0"/>
              <w:bottom w:val="single" w:color="auto" w:sz="4" w:space="0"/>
              <w:right w:val="single" w:color="auto" w:sz="4" w:space="0"/>
            </w:tcBorders>
            <w:noWrap w:val="0"/>
            <w:vAlign w:val="center"/>
          </w:tcPr>
          <w:p w14:paraId="04C1791F">
            <w:pPr>
              <w:autoSpaceDE w:val="0"/>
              <w:autoSpaceDN w:val="0"/>
              <w:adjustRightInd w:val="0"/>
              <w:jc w:val="left"/>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投标总报价（元）</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343DF71">
            <w:pPr>
              <w:autoSpaceDE w:val="0"/>
              <w:autoSpaceDN w:val="0"/>
              <w:adjustRightInd w:val="0"/>
              <w:rPr>
                <w:rFonts w:ascii="宋体" w:cs="宋体"/>
                <w:b/>
                <w:bCs/>
                <w:color w:val="auto"/>
                <w:sz w:val="24"/>
                <w:szCs w:val="24"/>
                <w:highlight w:val="none"/>
                <w:lang w:val="zh-CN"/>
              </w:rPr>
            </w:pPr>
          </w:p>
        </w:tc>
      </w:tr>
      <w:tr w14:paraId="04DC8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384" w:type="dxa"/>
            <w:tcBorders>
              <w:top w:val="single" w:color="auto" w:sz="4" w:space="0"/>
              <w:left w:val="single" w:color="auto" w:sz="4" w:space="0"/>
              <w:bottom w:val="single" w:color="auto" w:sz="4" w:space="0"/>
              <w:right w:val="single" w:color="auto" w:sz="4" w:space="0"/>
            </w:tcBorders>
            <w:noWrap w:val="0"/>
            <w:vAlign w:val="center"/>
          </w:tcPr>
          <w:p w14:paraId="6B81F72A">
            <w:pPr>
              <w:autoSpaceDE w:val="0"/>
              <w:autoSpaceDN w:val="0"/>
              <w:adjustRightInd w:val="0"/>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1.1</w:t>
            </w:r>
          </w:p>
        </w:tc>
        <w:tc>
          <w:tcPr>
            <w:tcW w:w="4286" w:type="dxa"/>
            <w:tcBorders>
              <w:top w:val="single" w:color="auto" w:sz="4" w:space="0"/>
              <w:left w:val="single" w:color="auto" w:sz="4" w:space="0"/>
              <w:bottom w:val="single" w:color="auto" w:sz="4" w:space="0"/>
              <w:right w:val="single" w:color="auto" w:sz="4" w:space="0"/>
            </w:tcBorders>
            <w:noWrap w:val="0"/>
            <w:vAlign w:val="center"/>
          </w:tcPr>
          <w:p w14:paraId="78CF5E33">
            <w:pPr>
              <w:autoSpaceDE w:val="0"/>
              <w:autoSpaceDN w:val="0"/>
              <w:adjustRightInd w:val="0"/>
              <w:jc w:val="left"/>
              <w:rPr>
                <w:rFonts w:ascii="宋体" w:cs="宋体"/>
                <w:bCs/>
                <w:color w:val="auto"/>
                <w:sz w:val="24"/>
                <w:szCs w:val="24"/>
                <w:highlight w:val="none"/>
                <w:lang w:val="zh-CN"/>
              </w:rPr>
            </w:pPr>
            <w:r>
              <w:rPr>
                <w:rFonts w:hint="eastAsia" w:ascii="宋体" w:hAnsi="宋体" w:cs="宋体"/>
                <w:color w:val="auto"/>
                <w:sz w:val="24"/>
                <w:szCs w:val="24"/>
                <w:highlight w:val="none"/>
                <w:lang w:val="zh-CN"/>
              </w:rPr>
              <w:t>其中：</w:t>
            </w:r>
            <w:r>
              <w:rPr>
                <w:rFonts w:hint="eastAsia" w:ascii="宋体" w:hAnsi="宋体" w:cs="宋体"/>
                <w:bCs/>
                <w:color w:val="auto"/>
                <w:sz w:val="24"/>
                <w:szCs w:val="24"/>
                <w:highlight w:val="none"/>
                <w:lang w:val="zh-CN"/>
              </w:rPr>
              <w:t>人工费</w:t>
            </w:r>
            <w:r>
              <w:rPr>
                <w:rFonts w:hint="eastAsia" w:ascii="宋体" w:hAnsi="宋体" w:cs="宋体"/>
                <w:color w:val="auto"/>
                <w:sz w:val="24"/>
                <w:szCs w:val="24"/>
                <w:highlight w:val="none"/>
                <w:lang w:val="zh-CN"/>
              </w:rPr>
              <w:t>（元）</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D029D71">
            <w:pPr>
              <w:autoSpaceDE w:val="0"/>
              <w:autoSpaceDN w:val="0"/>
              <w:adjustRightInd w:val="0"/>
              <w:rPr>
                <w:rFonts w:ascii="宋体" w:cs="宋体"/>
                <w:bCs/>
                <w:color w:val="auto"/>
                <w:sz w:val="24"/>
                <w:szCs w:val="24"/>
                <w:highlight w:val="none"/>
                <w:lang w:val="zh-CN"/>
              </w:rPr>
            </w:pPr>
          </w:p>
        </w:tc>
      </w:tr>
      <w:tr w14:paraId="0F045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384" w:type="dxa"/>
            <w:tcBorders>
              <w:top w:val="single" w:color="auto" w:sz="4" w:space="0"/>
              <w:left w:val="single" w:color="auto" w:sz="4" w:space="0"/>
              <w:bottom w:val="single" w:color="auto" w:sz="4" w:space="0"/>
              <w:right w:val="single" w:color="auto" w:sz="4" w:space="0"/>
            </w:tcBorders>
            <w:noWrap w:val="0"/>
            <w:vAlign w:val="center"/>
          </w:tcPr>
          <w:p w14:paraId="00E106D4">
            <w:pPr>
              <w:widowControl/>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1.2</w:t>
            </w:r>
          </w:p>
        </w:tc>
        <w:tc>
          <w:tcPr>
            <w:tcW w:w="4286" w:type="dxa"/>
            <w:tcBorders>
              <w:top w:val="single" w:color="auto" w:sz="4" w:space="0"/>
              <w:left w:val="single" w:color="auto" w:sz="4" w:space="0"/>
              <w:bottom w:val="single" w:color="auto" w:sz="4" w:space="0"/>
              <w:right w:val="single" w:color="auto" w:sz="4" w:space="0"/>
            </w:tcBorders>
            <w:noWrap w:val="0"/>
            <w:vAlign w:val="center"/>
          </w:tcPr>
          <w:p w14:paraId="49E0726A">
            <w:pPr>
              <w:widowControl/>
              <w:jc w:val="left"/>
              <w:rPr>
                <w:rFonts w:ascii="宋体" w:cs="宋体"/>
                <w:bCs/>
                <w:color w:val="auto"/>
                <w:sz w:val="24"/>
                <w:szCs w:val="24"/>
                <w:highlight w:val="none"/>
                <w:lang w:val="zh-CN"/>
              </w:rPr>
            </w:pPr>
            <w:r>
              <w:rPr>
                <w:rFonts w:hint="eastAsia" w:ascii="宋体" w:hAnsi="宋体" w:cs="宋体"/>
                <w:bCs/>
                <w:color w:val="auto"/>
                <w:sz w:val="24"/>
                <w:szCs w:val="24"/>
                <w:highlight w:val="none"/>
                <w:lang w:val="zh-CN"/>
              </w:rPr>
              <w:t>其中：</w:t>
            </w:r>
            <w:r>
              <w:rPr>
                <w:rFonts w:hint="eastAsia" w:ascii="宋体" w:hAnsi="宋体" w:cs="宋体"/>
                <w:color w:val="auto"/>
                <w:sz w:val="24"/>
                <w:szCs w:val="24"/>
                <w:highlight w:val="none"/>
                <w:lang w:val="zh-CN"/>
              </w:rPr>
              <w:t>绿色施工安全防护措施费（元）</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5118E55">
            <w:pPr>
              <w:autoSpaceDE w:val="0"/>
              <w:autoSpaceDN w:val="0"/>
              <w:adjustRightInd w:val="0"/>
              <w:rPr>
                <w:rFonts w:ascii="宋体" w:cs="宋体"/>
                <w:bCs/>
                <w:color w:val="auto"/>
                <w:sz w:val="24"/>
                <w:szCs w:val="24"/>
                <w:highlight w:val="none"/>
                <w:lang w:val="zh-CN"/>
              </w:rPr>
            </w:pPr>
          </w:p>
        </w:tc>
      </w:tr>
      <w:tr w14:paraId="5D94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384" w:type="dxa"/>
            <w:tcBorders>
              <w:top w:val="single" w:color="auto" w:sz="4" w:space="0"/>
              <w:left w:val="single" w:color="auto" w:sz="4" w:space="0"/>
              <w:bottom w:val="single" w:color="auto" w:sz="4" w:space="0"/>
              <w:right w:val="single" w:color="auto" w:sz="4" w:space="0"/>
            </w:tcBorders>
            <w:noWrap w:val="0"/>
            <w:vAlign w:val="center"/>
          </w:tcPr>
          <w:p w14:paraId="3B047286">
            <w:pPr>
              <w:widowControl/>
              <w:jc w:val="center"/>
              <w:rPr>
                <w:rFonts w:hint="eastAsia"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1.</w:t>
            </w:r>
            <w:r>
              <w:rPr>
                <w:rFonts w:hint="eastAsia" w:ascii="宋体" w:hAnsi="宋体" w:cs="宋体"/>
                <w:bCs/>
                <w:color w:val="auto"/>
                <w:sz w:val="24"/>
                <w:szCs w:val="24"/>
                <w:highlight w:val="none"/>
                <w:lang w:val="en-US" w:eastAsia="zh-CN"/>
              </w:rPr>
              <w:t>3</w:t>
            </w:r>
          </w:p>
        </w:tc>
        <w:tc>
          <w:tcPr>
            <w:tcW w:w="4286" w:type="dxa"/>
            <w:tcBorders>
              <w:top w:val="single" w:color="auto" w:sz="4" w:space="0"/>
              <w:left w:val="single" w:color="auto" w:sz="4" w:space="0"/>
              <w:bottom w:val="single" w:color="auto" w:sz="4" w:space="0"/>
              <w:right w:val="single" w:color="auto" w:sz="4" w:space="0"/>
            </w:tcBorders>
            <w:noWrap w:val="0"/>
            <w:vAlign w:val="center"/>
          </w:tcPr>
          <w:p w14:paraId="509ACA2B">
            <w:pPr>
              <w:widowControl/>
              <w:jc w:val="left"/>
              <w:rPr>
                <w:rFonts w:hint="eastAsia" w:ascii="宋体" w:hAnsi="Times New Roman"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其中：</w:t>
            </w:r>
            <w:r>
              <w:rPr>
                <w:rFonts w:hint="eastAsia" w:ascii="宋体" w:hAnsi="宋体" w:cs="宋体"/>
                <w:color w:val="auto"/>
                <w:sz w:val="24"/>
                <w:szCs w:val="24"/>
                <w:highlight w:val="none"/>
                <w:lang w:val="en-US" w:eastAsia="zh-CN"/>
              </w:rPr>
              <w:t>暂列金额</w:t>
            </w:r>
            <w:r>
              <w:rPr>
                <w:rFonts w:hint="eastAsia" w:ascii="宋体" w:hAnsi="宋体" w:cs="宋体"/>
                <w:color w:val="auto"/>
                <w:sz w:val="24"/>
                <w:szCs w:val="24"/>
                <w:highlight w:val="none"/>
                <w:lang w:val="zh-CN"/>
              </w:rPr>
              <w:t>（元）</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FE1AFBF">
            <w:pPr>
              <w:autoSpaceDE w:val="0"/>
              <w:autoSpaceDN w:val="0"/>
              <w:adjustRightInd w:val="0"/>
              <w:rPr>
                <w:rFonts w:ascii="宋体" w:cs="宋体"/>
                <w:bCs/>
                <w:color w:val="auto"/>
                <w:sz w:val="24"/>
                <w:szCs w:val="24"/>
                <w:highlight w:val="none"/>
                <w:lang w:val="zh-CN"/>
              </w:rPr>
            </w:pPr>
          </w:p>
        </w:tc>
      </w:tr>
      <w:tr w14:paraId="733B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384" w:type="dxa"/>
            <w:tcBorders>
              <w:top w:val="single" w:color="auto" w:sz="4" w:space="0"/>
              <w:left w:val="single" w:color="auto" w:sz="4" w:space="0"/>
              <w:bottom w:val="single" w:color="auto" w:sz="4" w:space="0"/>
              <w:right w:val="single" w:color="auto" w:sz="4" w:space="0"/>
            </w:tcBorders>
            <w:noWrap w:val="0"/>
            <w:vAlign w:val="center"/>
          </w:tcPr>
          <w:p w14:paraId="64E06652">
            <w:pPr>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2</w:t>
            </w:r>
          </w:p>
        </w:tc>
        <w:tc>
          <w:tcPr>
            <w:tcW w:w="4286" w:type="dxa"/>
            <w:tcBorders>
              <w:top w:val="single" w:color="auto" w:sz="4" w:space="0"/>
              <w:left w:val="single" w:color="auto" w:sz="4" w:space="0"/>
              <w:bottom w:val="single" w:color="auto" w:sz="4" w:space="0"/>
              <w:right w:val="single" w:color="auto" w:sz="4" w:space="0"/>
            </w:tcBorders>
            <w:noWrap w:val="0"/>
            <w:vAlign w:val="center"/>
          </w:tcPr>
          <w:p w14:paraId="57CFCE3A">
            <w:pPr>
              <w:jc w:val="left"/>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委派项目负责人</w:t>
            </w:r>
          </w:p>
        </w:tc>
        <w:tc>
          <w:tcPr>
            <w:tcW w:w="2835" w:type="dxa"/>
            <w:tcBorders>
              <w:top w:val="single" w:color="auto" w:sz="4" w:space="0"/>
              <w:left w:val="single" w:color="auto" w:sz="4" w:space="0"/>
              <w:bottom w:val="single" w:color="auto" w:sz="4" w:space="0"/>
              <w:right w:val="single" w:color="auto" w:sz="4" w:space="0"/>
            </w:tcBorders>
            <w:noWrap w:val="0"/>
            <w:vAlign w:val="top"/>
          </w:tcPr>
          <w:p w14:paraId="49F2DB50">
            <w:pPr>
              <w:autoSpaceDE w:val="0"/>
              <w:autoSpaceDN w:val="0"/>
              <w:adjustRightInd w:val="0"/>
              <w:rPr>
                <w:rFonts w:ascii="宋体" w:cs="宋体"/>
                <w:b/>
                <w:bCs/>
                <w:color w:val="auto"/>
                <w:sz w:val="24"/>
                <w:szCs w:val="24"/>
                <w:highlight w:val="none"/>
                <w:lang w:val="zh-CN"/>
              </w:rPr>
            </w:pPr>
          </w:p>
        </w:tc>
      </w:tr>
      <w:tr w14:paraId="5808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384" w:type="dxa"/>
            <w:tcBorders>
              <w:top w:val="single" w:color="auto" w:sz="4" w:space="0"/>
              <w:left w:val="single" w:color="auto" w:sz="4" w:space="0"/>
              <w:bottom w:val="single" w:color="auto" w:sz="4" w:space="0"/>
              <w:right w:val="single" w:color="auto" w:sz="4" w:space="0"/>
            </w:tcBorders>
            <w:noWrap w:val="0"/>
            <w:vAlign w:val="center"/>
          </w:tcPr>
          <w:p w14:paraId="4ABFB017">
            <w:pPr>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3</w:t>
            </w:r>
          </w:p>
        </w:tc>
        <w:tc>
          <w:tcPr>
            <w:tcW w:w="4286" w:type="dxa"/>
            <w:tcBorders>
              <w:top w:val="single" w:color="auto" w:sz="4" w:space="0"/>
              <w:left w:val="single" w:color="auto" w:sz="4" w:space="0"/>
              <w:bottom w:val="single" w:color="auto" w:sz="4" w:space="0"/>
              <w:right w:val="single" w:color="auto" w:sz="4" w:space="0"/>
            </w:tcBorders>
            <w:noWrap w:val="0"/>
            <w:vAlign w:val="center"/>
          </w:tcPr>
          <w:p w14:paraId="3D461955">
            <w:pPr>
              <w:jc w:val="left"/>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委派技术负责人</w:t>
            </w:r>
          </w:p>
        </w:tc>
        <w:tc>
          <w:tcPr>
            <w:tcW w:w="2835" w:type="dxa"/>
            <w:tcBorders>
              <w:top w:val="single" w:color="auto" w:sz="4" w:space="0"/>
              <w:left w:val="single" w:color="auto" w:sz="4" w:space="0"/>
              <w:bottom w:val="single" w:color="auto" w:sz="4" w:space="0"/>
              <w:right w:val="single" w:color="auto" w:sz="4" w:space="0"/>
            </w:tcBorders>
            <w:noWrap w:val="0"/>
            <w:vAlign w:val="top"/>
          </w:tcPr>
          <w:p w14:paraId="43ED63D9">
            <w:pPr>
              <w:autoSpaceDE w:val="0"/>
              <w:autoSpaceDN w:val="0"/>
              <w:adjustRightInd w:val="0"/>
              <w:rPr>
                <w:rFonts w:ascii="宋体" w:cs="宋体"/>
                <w:b/>
                <w:bCs/>
                <w:color w:val="auto"/>
                <w:sz w:val="24"/>
                <w:szCs w:val="24"/>
                <w:highlight w:val="none"/>
                <w:lang w:val="zh-CN"/>
              </w:rPr>
            </w:pPr>
          </w:p>
        </w:tc>
      </w:tr>
      <w:tr w14:paraId="48F3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384" w:type="dxa"/>
            <w:tcBorders>
              <w:top w:val="single" w:color="auto" w:sz="4" w:space="0"/>
              <w:left w:val="single" w:color="auto" w:sz="4" w:space="0"/>
              <w:bottom w:val="single" w:color="auto" w:sz="4" w:space="0"/>
              <w:right w:val="single" w:color="auto" w:sz="4" w:space="0"/>
            </w:tcBorders>
            <w:noWrap w:val="0"/>
            <w:vAlign w:val="center"/>
          </w:tcPr>
          <w:p w14:paraId="383653A7">
            <w:pPr>
              <w:autoSpaceDE w:val="0"/>
              <w:autoSpaceDN w:val="0"/>
              <w:adjustRightInd w:val="0"/>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4</w:t>
            </w:r>
          </w:p>
        </w:tc>
        <w:tc>
          <w:tcPr>
            <w:tcW w:w="4286" w:type="dxa"/>
            <w:tcBorders>
              <w:top w:val="single" w:color="auto" w:sz="4" w:space="0"/>
              <w:left w:val="single" w:color="auto" w:sz="4" w:space="0"/>
              <w:bottom w:val="single" w:color="auto" w:sz="4" w:space="0"/>
              <w:right w:val="single" w:color="auto" w:sz="4" w:space="0"/>
            </w:tcBorders>
            <w:noWrap w:val="0"/>
            <w:vAlign w:val="center"/>
          </w:tcPr>
          <w:p w14:paraId="7C907976">
            <w:pPr>
              <w:jc w:val="left"/>
              <w:rPr>
                <w:rFonts w:ascii="宋体" w:cs="宋体"/>
                <w:b/>
                <w:color w:val="auto"/>
                <w:sz w:val="24"/>
                <w:szCs w:val="24"/>
                <w:highlight w:val="none"/>
                <w:lang w:val="zh-CN"/>
              </w:rPr>
            </w:pPr>
            <w:r>
              <w:rPr>
                <w:rFonts w:hint="eastAsia" w:ascii="宋体" w:hAnsi="宋体" w:cs="宋体"/>
                <w:b/>
                <w:color w:val="auto"/>
                <w:sz w:val="24"/>
                <w:szCs w:val="24"/>
                <w:highlight w:val="none"/>
                <w:lang w:val="zh-CN"/>
              </w:rPr>
              <w:t>投标总工期</w:t>
            </w:r>
          </w:p>
        </w:tc>
        <w:tc>
          <w:tcPr>
            <w:tcW w:w="2835" w:type="dxa"/>
            <w:tcBorders>
              <w:top w:val="single" w:color="auto" w:sz="4" w:space="0"/>
              <w:left w:val="single" w:color="auto" w:sz="4" w:space="0"/>
              <w:bottom w:val="single" w:color="auto" w:sz="4" w:space="0"/>
              <w:right w:val="single" w:color="auto" w:sz="4" w:space="0"/>
            </w:tcBorders>
            <w:noWrap w:val="0"/>
            <w:vAlign w:val="top"/>
          </w:tcPr>
          <w:p w14:paraId="79BCCB7F">
            <w:pPr>
              <w:autoSpaceDE w:val="0"/>
              <w:autoSpaceDN w:val="0"/>
              <w:adjustRightInd w:val="0"/>
              <w:rPr>
                <w:rFonts w:ascii="宋体" w:cs="宋体"/>
                <w:b/>
                <w:bCs/>
                <w:color w:val="auto"/>
                <w:sz w:val="24"/>
                <w:szCs w:val="24"/>
                <w:highlight w:val="none"/>
                <w:lang w:val="zh-CN"/>
              </w:rPr>
            </w:pPr>
          </w:p>
        </w:tc>
      </w:tr>
      <w:tr w14:paraId="319D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384" w:type="dxa"/>
            <w:tcBorders>
              <w:top w:val="single" w:color="auto" w:sz="4" w:space="0"/>
              <w:left w:val="single" w:color="auto" w:sz="4" w:space="0"/>
              <w:bottom w:val="single" w:color="auto" w:sz="4" w:space="0"/>
              <w:right w:val="single" w:color="auto" w:sz="4" w:space="0"/>
            </w:tcBorders>
            <w:noWrap w:val="0"/>
            <w:vAlign w:val="center"/>
          </w:tcPr>
          <w:p w14:paraId="21D17AEF">
            <w:pPr>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5</w:t>
            </w:r>
          </w:p>
        </w:tc>
        <w:tc>
          <w:tcPr>
            <w:tcW w:w="4286" w:type="dxa"/>
            <w:tcBorders>
              <w:top w:val="single" w:color="auto" w:sz="4" w:space="0"/>
              <w:left w:val="single" w:color="auto" w:sz="4" w:space="0"/>
              <w:bottom w:val="single" w:color="auto" w:sz="4" w:space="0"/>
              <w:right w:val="single" w:color="auto" w:sz="4" w:space="0"/>
            </w:tcBorders>
            <w:noWrap w:val="0"/>
            <w:vAlign w:val="center"/>
          </w:tcPr>
          <w:p w14:paraId="72D351AC">
            <w:pPr>
              <w:jc w:val="left"/>
              <w:rPr>
                <w:rFonts w:ascii="宋体"/>
                <w:b/>
                <w:color w:val="auto"/>
                <w:sz w:val="24"/>
                <w:szCs w:val="24"/>
                <w:highlight w:val="none"/>
              </w:rPr>
            </w:pPr>
            <w:r>
              <w:rPr>
                <w:rFonts w:hint="eastAsia" w:ascii="宋体" w:hAnsi="宋体" w:cs="宋体"/>
                <w:b/>
                <w:color w:val="auto"/>
                <w:sz w:val="24"/>
                <w:szCs w:val="24"/>
                <w:highlight w:val="none"/>
                <w:lang w:val="zh-CN"/>
              </w:rPr>
              <w:t>工程质量标准</w:t>
            </w:r>
          </w:p>
        </w:tc>
        <w:tc>
          <w:tcPr>
            <w:tcW w:w="2835" w:type="dxa"/>
            <w:tcBorders>
              <w:top w:val="single" w:color="auto" w:sz="4" w:space="0"/>
              <w:left w:val="single" w:color="auto" w:sz="4" w:space="0"/>
              <w:bottom w:val="single" w:color="auto" w:sz="4" w:space="0"/>
              <w:right w:val="single" w:color="auto" w:sz="4" w:space="0"/>
            </w:tcBorders>
            <w:noWrap w:val="0"/>
            <w:vAlign w:val="top"/>
          </w:tcPr>
          <w:p w14:paraId="68D756E9">
            <w:pPr>
              <w:autoSpaceDE w:val="0"/>
              <w:autoSpaceDN w:val="0"/>
              <w:adjustRightInd w:val="0"/>
              <w:rPr>
                <w:rFonts w:ascii="宋体" w:cs="宋体"/>
                <w:b/>
                <w:bCs/>
                <w:color w:val="auto"/>
                <w:sz w:val="24"/>
                <w:szCs w:val="24"/>
                <w:highlight w:val="none"/>
                <w:lang w:val="zh-CN"/>
              </w:rPr>
            </w:pPr>
          </w:p>
        </w:tc>
      </w:tr>
      <w:tr w14:paraId="3984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384" w:type="dxa"/>
            <w:tcBorders>
              <w:top w:val="single" w:color="auto" w:sz="4" w:space="0"/>
              <w:left w:val="single" w:color="auto" w:sz="4" w:space="0"/>
              <w:bottom w:val="single" w:color="auto" w:sz="4" w:space="0"/>
              <w:right w:val="single" w:color="auto" w:sz="4" w:space="0"/>
            </w:tcBorders>
            <w:noWrap w:val="0"/>
            <w:vAlign w:val="center"/>
          </w:tcPr>
          <w:p w14:paraId="42D1BF74">
            <w:pPr>
              <w:autoSpaceDE w:val="0"/>
              <w:autoSpaceDN w:val="0"/>
              <w:adjustRightInd w:val="0"/>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6</w:t>
            </w:r>
          </w:p>
        </w:tc>
        <w:tc>
          <w:tcPr>
            <w:tcW w:w="4286" w:type="dxa"/>
            <w:tcBorders>
              <w:top w:val="single" w:color="auto" w:sz="4" w:space="0"/>
              <w:left w:val="single" w:color="auto" w:sz="4" w:space="0"/>
              <w:bottom w:val="single" w:color="auto" w:sz="4" w:space="0"/>
              <w:right w:val="single" w:color="auto" w:sz="4" w:space="0"/>
            </w:tcBorders>
            <w:noWrap w:val="0"/>
            <w:vAlign w:val="center"/>
          </w:tcPr>
          <w:p w14:paraId="16BD38F3">
            <w:pPr>
              <w:autoSpaceDE w:val="0"/>
              <w:autoSpaceDN w:val="0"/>
              <w:adjustRightInd w:val="0"/>
              <w:jc w:val="left"/>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保修期限</w:t>
            </w:r>
          </w:p>
        </w:tc>
        <w:tc>
          <w:tcPr>
            <w:tcW w:w="2835" w:type="dxa"/>
            <w:tcBorders>
              <w:top w:val="single" w:color="auto" w:sz="4" w:space="0"/>
              <w:left w:val="single" w:color="auto" w:sz="4" w:space="0"/>
              <w:bottom w:val="single" w:color="auto" w:sz="4" w:space="0"/>
              <w:right w:val="single" w:color="auto" w:sz="4" w:space="0"/>
            </w:tcBorders>
            <w:noWrap w:val="0"/>
            <w:vAlign w:val="top"/>
          </w:tcPr>
          <w:p w14:paraId="144B0887">
            <w:pPr>
              <w:autoSpaceDE w:val="0"/>
              <w:autoSpaceDN w:val="0"/>
              <w:adjustRightInd w:val="0"/>
              <w:rPr>
                <w:rFonts w:ascii="宋体" w:cs="宋体"/>
                <w:b/>
                <w:bCs/>
                <w:color w:val="auto"/>
                <w:sz w:val="24"/>
                <w:szCs w:val="24"/>
                <w:highlight w:val="none"/>
                <w:lang w:val="zh-CN"/>
              </w:rPr>
            </w:pPr>
          </w:p>
        </w:tc>
      </w:tr>
    </w:tbl>
    <w:p w14:paraId="7A56F164">
      <w:pPr>
        <w:autoSpaceDE w:val="0"/>
        <w:autoSpaceDN w:val="0"/>
        <w:adjustRightInd w:val="0"/>
        <w:rPr>
          <w:rFonts w:hint="eastAsia" w:ascii="宋体" w:hAnsi="宋体" w:cs="宋体"/>
          <w:color w:val="auto"/>
          <w:sz w:val="24"/>
          <w:szCs w:val="24"/>
          <w:highlight w:val="none"/>
        </w:rPr>
      </w:pPr>
    </w:p>
    <w:p w14:paraId="352AFC3F">
      <w:pPr>
        <w:rPr>
          <w:rFonts w:ascii="宋体" w:hAnsi="宋体"/>
          <w:b/>
          <w:color w:val="auto"/>
          <w:sz w:val="24"/>
          <w:szCs w:val="24"/>
          <w:highlight w:val="none"/>
        </w:rPr>
      </w:pPr>
      <w:r>
        <w:rPr>
          <w:rFonts w:hint="eastAsia" w:ascii="宋体" w:hAnsi="宋体" w:cs="宋体"/>
          <w:color w:val="auto"/>
          <w:sz w:val="24"/>
          <w:szCs w:val="24"/>
          <w:highlight w:val="none"/>
        </w:rPr>
        <w:br w:type="page"/>
      </w:r>
      <w:bookmarkStart w:id="102" w:name="_Toc20655"/>
      <w:bookmarkStart w:id="103" w:name="_Toc29476914"/>
      <w:bookmarkStart w:id="104" w:name="_Toc504722506"/>
      <w:bookmarkStart w:id="105" w:name="_Toc40024388"/>
      <w:bookmarkStart w:id="106" w:name="_Toc4489938"/>
      <w:r>
        <w:rPr>
          <w:rFonts w:hint="eastAsia" w:ascii="宋体" w:hAnsi="宋体" w:cs="宋体"/>
          <w:color w:val="auto"/>
          <w:szCs w:val="21"/>
          <w:highlight w:val="none"/>
        </w:rPr>
        <w:t xml:space="preserve">★ </w:t>
      </w:r>
      <w:r>
        <w:rPr>
          <w:rFonts w:hint="eastAsia" w:ascii="宋体" w:hAnsi="宋体"/>
          <w:b/>
          <w:color w:val="auto"/>
          <w:szCs w:val="21"/>
          <w:highlight w:val="none"/>
        </w:rPr>
        <w:t>格式三</w:t>
      </w:r>
    </w:p>
    <w:p w14:paraId="62E50B35">
      <w:pPr>
        <w:pStyle w:val="31"/>
        <w:ind w:firstLine="496"/>
        <w:rPr>
          <w:rFonts w:hint="eastAsia" w:ascii="宋体" w:hAnsi="宋体" w:eastAsia="宋体"/>
          <w:color w:val="auto"/>
          <w:highlight w:val="none"/>
        </w:rPr>
      </w:pPr>
    </w:p>
    <w:p w14:paraId="2FFEB9D8">
      <w:pPr>
        <w:pStyle w:val="32"/>
        <w:rPr>
          <w:rFonts w:hint="eastAsia" w:ascii="宋体" w:hAnsi="宋体" w:eastAsia="宋体"/>
          <w:color w:val="auto"/>
          <w:sz w:val="32"/>
          <w:szCs w:val="32"/>
          <w:highlight w:val="none"/>
        </w:rPr>
      </w:pPr>
      <w:r>
        <w:rPr>
          <w:rFonts w:hint="eastAsia" w:ascii="宋体" w:hAnsi="宋体" w:eastAsia="宋体"/>
          <w:color w:val="auto"/>
          <w:sz w:val="32"/>
          <w:szCs w:val="32"/>
          <w:highlight w:val="none"/>
        </w:rPr>
        <w:t>投 标 函</w:t>
      </w:r>
    </w:p>
    <w:p w14:paraId="753B546A">
      <w:pPr>
        <w:pStyle w:val="31"/>
        <w:ind w:firstLine="0" w:firstLineChars="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致：</w:t>
      </w:r>
      <w:r>
        <w:rPr>
          <w:rFonts w:hint="eastAsia" w:ascii="宋体" w:hAnsi="宋体" w:eastAsia="宋体"/>
          <w:color w:val="auto"/>
          <w:sz w:val="21"/>
          <w:szCs w:val="21"/>
          <w:highlight w:val="none"/>
          <w:u w:val="single"/>
          <w:lang w:eastAsia="zh-CN"/>
        </w:rPr>
        <w:t>广东粤清农文旅有限公司</w:t>
      </w:r>
    </w:p>
    <w:p w14:paraId="23C5297D">
      <w:pPr>
        <w:pStyle w:val="31"/>
        <w:ind w:firstLine="43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1.根据招标人</w:t>
      </w:r>
      <w:r>
        <w:rPr>
          <w:rFonts w:hint="eastAsia" w:ascii="宋体" w:hAnsi="宋体" w:eastAsia="宋体"/>
          <w:color w:val="auto"/>
          <w:sz w:val="21"/>
          <w:szCs w:val="21"/>
          <w:highlight w:val="none"/>
          <w:u w:val="single"/>
          <w:lang w:eastAsia="zh-CN"/>
        </w:rPr>
        <w:t>清远市和秧合社农文旅项目一号地块三期工程</w:t>
      </w:r>
      <w:r>
        <w:rPr>
          <w:rFonts w:hint="eastAsia" w:ascii="宋体" w:hAnsi="宋体" w:eastAsia="宋体"/>
          <w:color w:val="auto"/>
          <w:sz w:val="21"/>
          <w:szCs w:val="21"/>
          <w:highlight w:val="none"/>
        </w:rPr>
        <w:t>招标文件，遵照《中华人民共和国招标投标法》等有关规定，经踏勘项目现场和研究上述招标文件、相关招标资料及其他有关文件后，我方愿按投标总价并遵照上述文件要求承包上述工程的施工、完工。</w:t>
      </w:r>
    </w:p>
    <w:p w14:paraId="5A684CB3">
      <w:pPr>
        <w:pStyle w:val="31"/>
        <w:ind w:firstLine="43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2.我方已详细审核全部招标文件，包括修改文件（如有时）及有关附件。</w:t>
      </w:r>
    </w:p>
    <w:p w14:paraId="6B302227">
      <w:pPr>
        <w:pStyle w:val="31"/>
        <w:ind w:firstLine="43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3.如果我方中标，我方保证按照合同文件中规定的开工日期开始施工，并按规定的预计竣工日期完成和交付全部工程。</w:t>
      </w:r>
    </w:p>
    <w:p w14:paraId="3D16C7A4">
      <w:pPr>
        <w:pStyle w:val="31"/>
        <w:ind w:firstLine="43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4.如果我方中标，我方承诺在充分考虑场地环境变化及政策性调整等风险因素的前提下，继续补充完善施工组织设计，直至招标人满意为止并加以实施，由此产生的费用已包含在投标报价中。</w:t>
      </w:r>
    </w:p>
    <w:p w14:paraId="69C98599">
      <w:pPr>
        <w:pStyle w:val="31"/>
        <w:ind w:firstLine="43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14:paraId="3033667C">
      <w:pPr>
        <w:pStyle w:val="31"/>
        <w:ind w:firstLine="43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6.如果我方中标，我方将按照招标文件的规定，保障本项目优质、优价、按期、顺利完成。</w:t>
      </w:r>
    </w:p>
    <w:p w14:paraId="37DE106E">
      <w:pPr>
        <w:pStyle w:val="31"/>
        <w:ind w:firstLine="43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7.我方同意所提交的投标文件在招标文件投标须知中第15条规定的投标有效期内有效，在此期限届满之前，本投标书始终将对我方具有约束力，并随时接受中标。</w:t>
      </w:r>
    </w:p>
    <w:p w14:paraId="48D00B5A">
      <w:pPr>
        <w:pStyle w:val="31"/>
        <w:ind w:firstLine="43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8.在合同协议书正式签署生效之前，本投标书连同你单位的中标通知书将构成我们双方之间共同遵守的文件，对双方具有约束力。</w:t>
      </w:r>
    </w:p>
    <w:p w14:paraId="0C5A98FF">
      <w:pPr>
        <w:pStyle w:val="31"/>
        <w:ind w:firstLine="43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9.我方同意按时缴纳交易服务费，交易服务费金额按政府规定。</w:t>
      </w:r>
    </w:p>
    <w:p w14:paraId="585B9DAA">
      <w:pPr>
        <w:pStyle w:val="31"/>
        <w:ind w:firstLine="43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10.我方理解，你单位不一定接受最低标价的投标或你单位接到的其它任何投标。同时也理解，你单位不负担我方的任何投标费用。</w:t>
      </w:r>
    </w:p>
    <w:p w14:paraId="066503ED">
      <w:pPr>
        <w:pStyle w:val="31"/>
        <w:ind w:firstLine="43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11.我单位属于非联合体投标。</w:t>
      </w:r>
    </w:p>
    <w:p w14:paraId="788328C7">
      <w:pPr>
        <w:pStyle w:val="31"/>
        <w:ind w:firstLine="436"/>
        <w:rPr>
          <w:rFonts w:hint="eastAsia" w:ascii="宋体" w:hAnsi="宋体" w:eastAsia="宋体"/>
          <w:color w:val="auto"/>
          <w:sz w:val="21"/>
          <w:szCs w:val="21"/>
          <w:highlight w:val="none"/>
        </w:rPr>
      </w:pPr>
    </w:p>
    <w:p w14:paraId="5D95DFE0">
      <w:pPr>
        <w:pStyle w:val="31"/>
        <w:ind w:firstLine="608" w:firstLineChars="279"/>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投 标 人：（盖章）</w:t>
      </w:r>
    </w:p>
    <w:p w14:paraId="0AFBEEAE">
      <w:pPr>
        <w:pStyle w:val="31"/>
        <w:ind w:firstLine="608" w:firstLineChars="279"/>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法定代表人或授权代理人（签字或盖章）：</w:t>
      </w:r>
    </w:p>
    <w:p w14:paraId="0F189EFF">
      <w:pPr>
        <w:pStyle w:val="31"/>
        <w:ind w:firstLine="608" w:firstLineChars="279"/>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日    期：    年    月    日 </w:t>
      </w:r>
    </w:p>
    <w:p w14:paraId="63D2101C">
      <w:pPr>
        <w:topLinePunct/>
        <w:snapToGrid w:val="0"/>
        <w:spacing w:after="200"/>
        <w:jc w:val="left"/>
        <w:rPr>
          <w:rStyle w:val="26"/>
          <w:rFonts w:ascii="宋体" w:hAnsi="宋体"/>
          <w:color w:val="auto"/>
          <w:spacing w:val="4"/>
          <w:kern w:val="0"/>
          <w:sz w:val="32"/>
          <w:szCs w:val="32"/>
          <w:highlight w:val="none"/>
        </w:rPr>
      </w:pPr>
      <w:r>
        <w:rPr>
          <w:rStyle w:val="26"/>
          <w:rFonts w:ascii="宋体" w:hAnsi="宋体"/>
          <w:color w:val="auto"/>
          <w:sz w:val="24"/>
          <w:szCs w:val="24"/>
          <w:highlight w:val="none"/>
        </w:rPr>
        <w:br w:type="page"/>
      </w:r>
      <w:r>
        <w:rPr>
          <w:rFonts w:hint="eastAsia" w:ascii="宋体" w:hAnsi="宋体" w:cs="宋体"/>
          <w:b/>
          <w:bCs/>
          <w:color w:val="auto"/>
          <w:szCs w:val="21"/>
          <w:highlight w:val="none"/>
        </w:rPr>
        <w:t>格式四</w:t>
      </w:r>
    </w:p>
    <w:p w14:paraId="7F2E830C">
      <w:pPr>
        <w:topLinePunct/>
        <w:snapToGrid w:val="0"/>
        <w:spacing w:after="200"/>
        <w:rPr>
          <w:rStyle w:val="26"/>
          <w:rFonts w:hint="eastAsia" w:ascii="宋体" w:hAnsi="宋体"/>
          <w:b/>
          <w:color w:val="auto"/>
          <w:sz w:val="24"/>
          <w:szCs w:val="24"/>
          <w:highlight w:val="none"/>
        </w:rPr>
      </w:pPr>
    </w:p>
    <w:p w14:paraId="2E867639">
      <w:pPr>
        <w:topLinePunct/>
        <w:snapToGrid w:val="0"/>
        <w:spacing w:after="200"/>
        <w:jc w:val="center"/>
        <w:rPr>
          <w:rStyle w:val="26"/>
          <w:rFonts w:ascii="宋体" w:hAnsi="宋体"/>
          <w:color w:val="auto"/>
          <w:spacing w:val="4"/>
          <w:kern w:val="0"/>
          <w:sz w:val="32"/>
          <w:szCs w:val="32"/>
          <w:highlight w:val="none"/>
        </w:rPr>
      </w:pPr>
      <w:r>
        <w:rPr>
          <w:rStyle w:val="26"/>
          <w:rFonts w:ascii="宋体" w:hAnsi="宋体"/>
          <w:color w:val="auto"/>
          <w:spacing w:val="4"/>
          <w:kern w:val="0"/>
          <w:sz w:val="32"/>
          <w:szCs w:val="32"/>
          <w:highlight w:val="none"/>
        </w:rPr>
        <w:t>法定代表人证明书、授权委托书</w:t>
      </w:r>
    </w:p>
    <w:p w14:paraId="4B806B9C">
      <w:pPr>
        <w:topLinePunct/>
        <w:snapToGrid w:val="0"/>
        <w:spacing w:before="100" w:beforeAutospacing="1"/>
        <w:ind w:firstLine="436" w:firstLineChars="200"/>
        <w:rPr>
          <w:rStyle w:val="26"/>
          <w:rFonts w:hint="eastAsia" w:ascii="宋体" w:hAnsi="宋体" w:cs="宋体"/>
          <w:color w:val="auto"/>
          <w:spacing w:val="4"/>
          <w:kern w:val="0"/>
          <w:szCs w:val="21"/>
          <w:highlight w:val="none"/>
        </w:rPr>
      </w:pPr>
      <w:r>
        <w:rPr>
          <w:rStyle w:val="26"/>
          <w:rFonts w:hint="eastAsia" w:ascii="宋体" w:hAnsi="宋体" w:cs="宋体"/>
          <w:color w:val="auto"/>
          <w:spacing w:val="4"/>
          <w:kern w:val="0"/>
          <w:szCs w:val="21"/>
          <w:highlight w:val="none"/>
        </w:rPr>
        <w:t>（1）法定代表人证明书</w:t>
      </w:r>
    </w:p>
    <w:p w14:paraId="02CFB180">
      <w:pPr>
        <w:topLinePunct/>
        <w:snapToGrid w:val="0"/>
        <w:spacing w:before="100" w:beforeAutospacing="1" w:line="360" w:lineRule="auto"/>
        <w:ind w:firstLine="420" w:firstLineChars="200"/>
        <w:rPr>
          <w:rStyle w:val="26"/>
          <w:rFonts w:hint="eastAsia" w:ascii="宋体" w:hAnsi="宋体" w:cs="宋体"/>
          <w:color w:val="auto"/>
          <w:spacing w:val="4"/>
          <w:kern w:val="0"/>
          <w:szCs w:val="21"/>
          <w:highlight w:val="none"/>
        </w:rPr>
      </w:pPr>
      <w:r>
        <w:rPr>
          <w:rStyle w:val="26"/>
          <w:rFonts w:hint="eastAsia" w:ascii="宋体" w:hAnsi="宋体" w:cs="宋体"/>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41275</wp:posOffset>
                </wp:positionV>
                <wp:extent cx="5716905" cy="2792730"/>
                <wp:effectExtent l="4445" t="5080" r="12700" b="21590"/>
                <wp:wrapNone/>
                <wp:docPr id="8" name="文本框 8"/>
                <wp:cNvGraphicFramePr/>
                <a:graphic xmlns:a="http://schemas.openxmlformats.org/drawingml/2006/main">
                  <a:graphicData uri="http://schemas.microsoft.com/office/word/2010/wordprocessingShape">
                    <wps:wsp>
                      <wps:cNvSpPr txBox="1"/>
                      <wps:spPr>
                        <a:xfrm>
                          <a:off x="0" y="0"/>
                          <a:ext cx="5716905" cy="27927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D9C678">
                            <w:pPr>
                              <w:topLinePunct/>
                              <w:snapToGrid w:val="0"/>
                              <w:spacing w:before="100" w:beforeAutospacing="1" w:line="260" w:lineRule="exact"/>
                              <w:rPr>
                                <w:rStyle w:val="26"/>
                                <w:spacing w:val="4"/>
                                <w:kern w:val="0"/>
                                <w:szCs w:val="21"/>
                              </w:rPr>
                            </w:pPr>
                            <w:r>
                              <w:rPr>
                                <w:rStyle w:val="26"/>
                                <w:rFonts w:hint="eastAsia"/>
                                <w:spacing w:val="4"/>
                                <w:kern w:val="0"/>
                                <w:szCs w:val="21"/>
                              </w:rPr>
                              <w:t xml:space="preserve">   </w:t>
                            </w:r>
                            <w:r>
                              <w:rPr>
                                <w:rStyle w:val="26"/>
                                <w:spacing w:val="4"/>
                                <w:kern w:val="0"/>
                                <w:szCs w:val="21"/>
                                <w:u w:val="single"/>
                              </w:rPr>
                              <w:t xml:space="preserve">         </w:t>
                            </w:r>
                            <w:r>
                              <w:rPr>
                                <w:rStyle w:val="26"/>
                                <w:spacing w:val="4"/>
                                <w:kern w:val="0"/>
                                <w:szCs w:val="21"/>
                              </w:rPr>
                              <w:t>现任我单位</w:t>
                            </w:r>
                            <w:r>
                              <w:rPr>
                                <w:rStyle w:val="26"/>
                                <w:spacing w:val="4"/>
                                <w:kern w:val="0"/>
                                <w:szCs w:val="21"/>
                                <w:u w:val="single"/>
                              </w:rPr>
                              <w:t xml:space="preserve">         </w:t>
                            </w:r>
                            <w:r>
                              <w:rPr>
                                <w:rStyle w:val="26"/>
                                <w:spacing w:val="4"/>
                                <w:kern w:val="0"/>
                                <w:szCs w:val="21"/>
                              </w:rPr>
                              <w:t>职务，为法定代表人（负责人），</w:t>
                            </w:r>
                          </w:p>
                          <w:p w14:paraId="7B087935">
                            <w:pPr>
                              <w:topLinePunct/>
                              <w:snapToGrid w:val="0"/>
                              <w:spacing w:before="100" w:beforeAutospacing="1" w:line="260" w:lineRule="exact"/>
                              <w:rPr>
                                <w:rStyle w:val="26"/>
                                <w:spacing w:val="4"/>
                                <w:kern w:val="0"/>
                                <w:szCs w:val="21"/>
                              </w:rPr>
                            </w:pPr>
                            <w:r>
                              <w:rPr>
                                <w:rStyle w:val="26"/>
                                <w:spacing w:val="4"/>
                                <w:kern w:val="0"/>
                                <w:szCs w:val="21"/>
                              </w:rPr>
                              <w:t>特此证明。</w:t>
                            </w:r>
                          </w:p>
                          <w:p w14:paraId="33976ABE">
                            <w:pPr>
                              <w:topLinePunct/>
                              <w:snapToGrid w:val="0"/>
                              <w:spacing w:before="100" w:beforeAutospacing="1" w:line="260" w:lineRule="exact"/>
                              <w:rPr>
                                <w:rStyle w:val="26"/>
                                <w:spacing w:val="4"/>
                                <w:kern w:val="0"/>
                                <w:szCs w:val="21"/>
                              </w:rPr>
                            </w:pPr>
                            <w:r>
                              <w:rPr>
                                <w:rStyle w:val="26"/>
                                <w:spacing w:val="4"/>
                                <w:kern w:val="0"/>
                                <w:szCs w:val="21"/>
                              </w:rPr>
                              <w:t>有效期限：</w:t>
                            </w:r>
                            <w:r>
                              <w:rPr>
                                <w:rStyle w:val="26"/>
                                <w:spacing w:val="4"/>
                                <w:kern w:val="0"/>
                                <w:szCs w:val="21"/>
                                <w:u w:val="single"/>
                              </w:rPr>
                              <w:t xml:space="preserve">                                  </w:t>
                            </w:r>
                          </w:p>
                          <w:p w14:paraId="516064B0">
                            <w:pPr>
                              <w:topLinePunct/>
                              <w:snapToGrid w:val="0"/>
                              <w:spacing w:before="100" w:beforeAutospacing="1" w:line="260" w:lineRule="exact"/>
                              <w:rPr>
                                <w:rStyle w:val="26"/>
                                <w:spacing w:val="4"/>
                                <w:kern w:val="0"/>
                                <w:szCs w:val="21"/>
                              </w:rPr>
                            </w:pPr>
                            <w:r>
                              <w:rPr>
                                <w:rStyle w:val="26"/>
                                <w:spacing w:val="4"/>
                                <w:kern w:val="0"/>
                                <w:szCs w:val="21"/>
                              </w:rPr>
                              <w:t>附：法定代表人（负责人）性别：</w:t>
                            </w:r>
                            <w:r>
                              <w:rPr>
                                <w:rStyle w:val="26"/>
                                <w:spacing w:val="4"/>
                                <w:kern w:val="0"/>
                                <w:szCs w:val="21"/>
                                <w:u w:val="single"/>
                              </w:rPr>
                              <w:t>　　</w:t>
                            </w:r>
                            <w:r>
                              <w:rPr>
                                <w:rStyle w:val="26"/>
                                <w:spacing w:val="4"/>
                                <w:kern w:val="0"/>
                                <w:szCs w:val="21"/>
                              </w:rPr>
                              <w:t>年龄：</w:t>
                            </w:r>
                            <w:r>
                              <w:rPr>
                                <w:rStyle w:val="26"/>
                                <w:spacing w:val="4"/>
                                <w:kern w:val="0"/>
                                <w:szCs w:val="21"/>
                                <w:u w:val="single"/>
                              </w:rPr>
                              <w:t>　　</w:t>
                            </w:r>
                            <w:r>
                              <w:rPr>
                                <w:rStyle w:val="26"/>
                                <w:spacing w:val="4"/>
                                <w:kern w:val="0"/>
                                <w:szCs w:val="21"/>
                              </w:rPr>
                              <w:t>身份证号码：</w:t>
                            </w:r>
                            <w:r>
                              <w:rPr>
                                <w:rStyle w:val="26"/>
                                <w:spacing w:val="4"/>
                                <w:kern w:val="0"/>
                                <w:szCs w:val="21"/>
                                <w:u w:val="single"/>
                              </w:rPr>
                              <w:t xml:space="preserve">             </w:t>
                            </w:r>
                          </w:p>
                          <w:p w14:paraId="165DB4A2">
                            <w:pPr>
                              <w:topLinePunct/>
                              <w:snapToGrid w:val="0"/>
                              <w:spacing w:before="100" w:beforeAutospacing="1" w:line="260" w:lineRule="exact"/>
                              <w:rPr>
                                <w:rStyle w:val="26"/>
                                <w:spacing w:val="4"/>
                                <w:kern w:val="0"/>
                                <w:szCs w:val="21"/>
                              </w:rPr>
                            </w:pPr>
                            <w:r>
                              <w:rPr>
                                <w:rStyle w:val="26"/>
                                <w:spacing w:val="4"/>
                                <w:kern w:val="0"/>
                                <w:szCs w:val="21"/>
                              </w:rPr>
                              <w:t>注册号码：</w:t>
                            </w:r>
                            <w:r>
                              <w:rPr>
                                <w:rStyle w:val="26"/>
                                <w:spacing w:val="4"/>
                                <w:kern w:val="0"/>
                                <w:szCs w:val="21"/>
                                <w:u w:val="single"/>
                              </w:rPr>
                              <w:t xml:space="preserve">                         </w:t>
                            </w:r>
                            <w:r>
                              <w:rPr>
                                <w:rStyle w:val="26"/>
                                <w:rFonts w:hint="eastAsia"/>
                                <w:spacing w:val="4"/>
                                <w:kern w:val="0"/>
                                <w:szCs w:val="21"/>
                                <w:u w:val="single"/>
                              </w:rPr>
                              <w:t xml:space="preserve"> </w:t>
                            </w:r>
                            <w:r>
                              <w:rPr>
                                <w:rStyle w:val="26"/>
                                <w:spacing w:val="4"/>
                                <w:kern w:val="0"/>
                                <w:szCs w:val="21"/>
                              </w:rPr>
                              <w:t>企业类型：</w:t>
                            </w:r>
                            <w:r>
                              <w:rPr>
                                <w:rStyle w:val="26"/>
                                <w:spacing w:val="4"/>
                                <w:kern w:val="0"/>
                                <w:szCs w:val="21"/>
                                <w:u w:val="single"/>
                              </w:rPr>
                              <w:t xml:space="preserve">                          </w:t>
                            </w:r>
                          </w:p>
                          <w:p w14:paraId="0BF36805">
                            <w:pPr>
                              <w:topLinePunct/>
                              <w:snapToGrid w:val="0"/>
                              <w:spacing w:before="100" w:beforeAutospacing="1" w:line="260" w:lineRule="exact"/>
                              <w:rPr>
                                <w:rStyle w:val="26"/>
                                <w:spacing w:val="4"/>
                                <w:kern w:val="0"/>
                                <w:szCs w:val="21"/>
                              </w:rPr>
                            </w:pPr>
                            <w:r>
                              <w:rPr>
                                <w:rStyle w:val="26"/>
                                <w:spacing w:val="4"/>
                                <w:kern w:val="0"/>
                                <w:szCs w:val="21"/>
                              </w:rPr>
                              <w:t>经营范围：</w:t>
                            </w:r>
                            <w:r>
                              <w:rPr>
                                <w:rStyle w:val="26"/>
                                <w:spacing w:val="4"/>
                                <w:kern w:val="0"/>
                                <w:szCs w:val="21"/>
                                <w:u w:val="single"/>
                              </w:rPr>
                              <w:t xml:space="preserve">                                       </w:t>
                            </w:r>
                          </w:p>
                          <w:p w14:paraId="138C6166">
                            <w:pPr>
                              <w:topLinePunct/>
                              <w:snapToGrid w:val="0"/>
                              <w:spacing w:before="100" w:beforeAutospacing="1" w:line="260" w:lineRule="exact"/>
                              <w:rPr>
                                <w:rStyle w:val="26"/>
                                <w:spacing w:val="4"/>
                                <w:kern w:val="0"/>
                                <w:szCs w:val="21"/>
                              </w:rPr>
                            </w:pPr>
                            <w:r>
                              <w:rPr>
                                <w:rStyle w:val="26"/>
                                <w:spacing w:val="4"/>
                                <w:kern w:val="0"/>
                                <w:szCs w:val="21"/>
                              </w:rPr>
                              <w:t>　　　　　　　　　　单位：　　　　　　　　　　　（盖章）</w:t>
                            </w:r>
                          </w:p>
                          <w:p w14:paraId="1EC68CD7">
                            <w:pPr>
                              <w:topLinePunct/>
                              <w:snapToGrid w:val="0"/>
                              <w:spacing w:before="100" w:beforeAutospacing="1" w:line="260" w:lineRule="exact"/>
                              <w:rPr>
                                <w:rStyle w:val="26"/>
                                <w:szCs w:val="21"/>
                              </w:rPr>
                            </w:pPr>
                            <w:r>
                              <w:rPr>
                                <w:rStyle w:val="26"/>
                                <w:spacing w:val="4"/>
                                <w:kern w:val="0"/>
                                <w:szCs w:val="21"/>
                              </w:rPr>
                              <w:t>　　　　　　　　　　　　　　　　　　　　　    年　月　　日</w:t>
                            </w:r>
                          </w:p>
                        </w:txbxContent>
                      </wps:txbx>
                      <wps:bodyPr upright="1"/>
                    </wps:wsp>
                  </a:graphicData>
                </a:graphic>
              </wp:anchor>
            </w:drawing>
          </mc:Choice>
          <mc:Fallback>
            <w:pict>
              <v:shape id="_x0000_s1026" o:spid="_x0000_s1026" o:spt="202" type="#_x0000_t202" style="position:absolute;left:0pt;margin-left:6pt;margin-top:3.25pt;height:219.9pt;width:450.15pt;z-index:251659264;mso-width-relative:page;mso-height-relative:page;" fillcolor="#FFFFFF" filled="t" stroked="t" coordsize="21600,21600" o:gfxdata="UEsDBAoAAAAAAIdO4kAAAAAAAAAAAAAAAAAEAAAAZHJzL1BLAwQUAAAACACHTuJAs1RIV9cAAAAI&#10;AQAADwAAAGRycy9kb3ducmV2LnhtbE2PzU7DMBCE70i8g7VIXBB1/ghtiNMDEghupSC4uvE2iYjX&#10;wXbT8vYsJziOZjTzTb0+2VHM6MPgSEG6SEAgtc4M1Cl4e324XoIIUZPRoyNU8I0B1s35Wa0r4470&#10;gvM2doJLKFRaQR/jVEkZ2h6tDgs3IbG3d97qyNJ30nh95HI7yixJSmn1QLzQ6wnve2w/twerYFk8&#10;zR/hOd+8t+V+XMWr2/nxyyt1eZEmdyAinuJfGH7xGR0aZtq5A5kgRtYZX4kKyhsQbK/SLAexU1AU&#10;ZQ6yqeX/A80PUEsDBBQAAAAIAIdO4kDzOuVdDgIAADcEAAAOAAAAZHJzL2Uyb0RvYy54bWytU0uO&#10;EzEQ3SNxB8t70p2gTCatdEaCEDYIkAYO4Njubkv+yeWkOxeAG7Biw55z5RyUnUzmwyyymF64y/bz&#10;c71X5cXNYDTZyQDK2ZqORyUl0nInlG1r+v3b+s01JRCZFUw7K2u6l0Bvlq9fLXpfyYnrnBYyECSx&#10;UPW+pl2MvioK4J00DEbOS4ubjQuGRZyGthCB9chudDEpy6uid0H44LgEwNXVcZOeGMMlhK5pFJcr&#10;x7dG2nhkDVKziJKgUx7oMmfbNJLHL00DMhJdU1Qa84iXYLxJY7FcsKoNzHeKn1Jgl6TwRJNhyuKl&#10;Z6oVi4xsg/qPyigeHLgmjrgzxVFIdgRVjMsn3tx2zMusBa0GfzYdXo6Wf959DUSJmmLZLTNY8MOv&#10;n4fffw9/fpDrZE/voULUrUdcHN65AZvmbh1wMakemmDSH/UQ3Edz92dz5RAJx8XpbHw1L6eUcNyb&#10;zOaT2dtsf3F/3AeIH6UzJAU1DVi9bCrbfYKIqSD0DpJuA6eVWCut8yS0m/c6kB3DSq/zl7LEI49g&#10;2pK+pvPpJCXCsH0bbBsMjUcLwLb5vkcn4CFxmb/niFNiKwbdMYHMkGCsMirKkKNOMvHBChL3Hm22&#10;+LpoSsZIQYmW+BhTlJGRKX0JEtVpiyJTjY61SFEcNgPSpHDjxB7rtvVBtR1amiuX4dhP2Z1T76eG&#10;fTjPpPfvffk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1RIV9cAAAAIAQAADwAAAAAAAAABACAA&#10;AAAiAAAAZHJzL2Rvd25yZXYueG1sUEsBAhQAFAAAAAgAh07iQPM65V0OAgAANwQAAA4AAAAAAAAA&#10;AQAgAAAAJgEAAGRycy9lMm9Eb2MueG1sUEsFBgAAAAAGAAYAWQEAAKYFAAAAAA==&#10;">
                <v:fill on="t" focussize="0,0"/>
                <v:stroke color="#000000" joinstyle="miter"/>
                <v:imagedata o:title=""/>
                <o:lock v:ext="edit" aspectratio="f"/>
                <v:textbox>
                  <w:txbxContent>
                    <w:p w14:paraId="41D9C678">
                      <w:pPr>
                        <w:topLinePunct/>
                        <w:snapToGrid w:val="0"/>
                        <w:spacing w:before="100" w:beforeAutospacing="1" w:line="260" w:lineRule="exact"/>
                        <w:rPr>
                          <w:rStyle w:val="26"/>
                          <w:spacing w:val="4"/>
                          <w:kern w:val="0"/>
                          <w:szCs w:val="21"/>
                        </w:rPr>
                      </w:pPr>
                      <w:r>
                        <w:rPr>
                          <w:rStyle w:val="26"/>
                          <w:rFonts w:hint="eastAsia"/>
                          <w:spacing w:val="4"/>
                          <w:kern w:val="0"/>
                          <w:szCs w:val="21"/>
                        </w:rPr>
                        <w:t xml:space="preserve">   </w:t>
                      </w:r>
                      <w:r>
                        <w:rPr>
                          <w:rStyle w:val="26"/>
                          <w:spacing w:val="4"/>
                          <w:kern w:val="0"/>
                          <w:szCs w:val="21"/>
                          <w:u w:val="single"/>
                        </w:rPr>
                        <w:t xml:space="preserve">         </w:t>
                      </w:r>
                      <w:r>
                        <w:rPr>
                          <w:rStyle w:val="26"/>
                          <w:spacing w:val="4"/>
                          <w:kern w:val="0"/>
                          <w:szCs w:val="21"/>
                        </w:rPr>
                        <w:t>现任我单位</w:t>
                      </w:r>
                      <w:r>
                        <w:rPr>
                          <w:rStyle w:val="26"/>
                          <w:spacing w:val="4"/>
                          <w:kern w:val="0"/>
                          <w:szCs w:val="21"/>
                          <w:u w:val="single"/>
                        </w:rPr>
                        <w:t xml:space="preserve">         </w:t>
                      </w:r>
                      <w:r>
                        <w:rPr>
                          <w:rStyle w:val="26"/>
                          <w:spacing w:val="4"/>
                          <w:kern w:val="0"/>
                          <w:szCs w:val="21"/>
                        </w:rPr>
                        <w:t>职务，为法定代表人（负责人），</w:t>
                      </w:r>
                    </w:p>
                    <w:p w14:paraId="7B087935">
                      <w:pPr>
                        <w:topLinePunct/>
                        <w:snapToGrid w:val="0"/>
                        <w:spacing w:before="100" w:beforeAutospacing="1" w:line="260" w:lineRule="exact"/>
                        <w:rPr>
                          <w:rStyle w:val="26"/>
                          <w:spacing w:val="4"/>
                          <w:kern w:val="0"/>
                          <w:szCs w:val="21"/>
                        </w:rPr>
                      </w:pPr>
                      <w:r>
                        <w:rPr>
                          <w:rStyle w:val="26"/>
                          <w:spacing w:val="4"/>
                          <w:kern w:val="0"/>
                          <w:szCs w:val="21"/>
                        </w:rPr>
                        <w:t>特此证明。</w:t>
                      </w:r>
                    </w:p>
                    <w:p w14:paraId="33976ABE">
                      <w:pPr>
                        <w:topLinePunct/>
                        <w:snapToGrid w:val="0"/>
                        <w:spacing w:before="100" w:beforeAutospacing="1" w:line="260" w:lineRule="exact"/>
                        <w:rPr>
                          <w:rStyle w:val="26"/>
                          <w:spacing w:val="4"/>
                          <w:kern w:val="0"/>
                          <w:szCs w:val="21"/>
                        </w:rPr>
                      </w:pPr>
                      <w:r>
                        <w:rPr>
                          <w:rStyle w:val="26"/>
                          <w:spacing w:val="4"/>
                          <w:kern w:val="0"/>
                          <w:szCs w:val="21"/>
                        </w:rPr>
                        <w:t>有效期限：</w:t>
                      </w:r>
                      <w:r>
                        <w:rPr>
                          <w:rStyle w:val="26"/>
                          <w:spacing w:val="4"/>
                          <w:kern w:val="0"/>
                          <w:szCs w:val="21"/>
                          <w:u w:val="single"/>
                        </w:rPr>
                        <w:t xml:space="preserve">                                  </w:t>
                      </w:r>
                    </w:p>
                    <w:p w14:paraId="516064B0">
                      <w:pPr>
                        <w:topLinePunct/>
                        <w:snapToGrid w:val="0"/>
                        <w:spacing w:before="100" w:beforeAutospacing="1" w:line="260" w:lineRule="exact"/>
                        <w:rPr>
                          <w:rStyle w:val="26"/>
                          <w:spacing w:val="4"/>
                          <w:kern w:val="0"/>
                          <w:szCs w:val="21"/>
                        </w:rPr>
                      </w:pPr>
                      <w:r>
                        <w:rPr>
                          <w:rStyle w:val="26"/>
                          <w:spacing w:val="4"/>
                          <w:kern w:val="0"/>
                          <w:szCs w:val="21"/>
                        </w:rPr>
                        <w:t>附：法定代表人（负责人）性别：</w:t>
                      </w:r>
                      <w:r>
                        <w:rPr>
                          <w:rStyle w:val="26"/>
                          <w:spacing w:val="4"/>
                          <w:kern w:val="0"/>
                          <w:szCs w:val="21"/>
                          <w:u w:val="single"/>
                        </w:rPr>
                        <w:t>　　</w:t>
                      </w:r>
                      <w:r>
                        <w:rPr>
                          <w:rStyle w:val="26"/>
                          <w:spacing w:val="4"/>
                          <w:kern w:val="0"/>
                          <w:szCs w:val="21"/>
                        </w:rPr>
                        <w:t>年龄：</w:t>
                      </w:r>
                      <w:r>
                        <w:rPr>
                          <w:rStyle w:val="26"/>
                          <w:spacing w:val="4"/>
                          <w:kern w:val="0"/>
                          <w:szCs w:val="21"/>
                          <w:u w:val="single"/>
                        </w:rPr>
                        <w:t>　　</w:t>
                      </w:r>
                      <w:r>
                        <w:rPr>
                          <w:rStyle w:val="26"/>
                          <w:spacing w:val="4"/>
                          <w:kern w:val="0"/>
                          <w:szCs w:val="21"/>
                        </w:rPr>
                        <w:t>身份证号码：</w:t>
                      </w:r>
                      <w:r>
                        <w:rPr>
                          <w:rStyle w:val="26"/>
                          <w:spacing w:val="4"/>
                          <w:kern w:val="0"/>
                          <w:szCs w:val="21"/>
                          <w:u w:val="single"/>
                        </w:rPr>
                        <w:t xml:space="preserve">             </w:t>
                      </w:r>
                    </w:p>
                    <w:p w14:paraId="165DB4A2">
                      <w:pPr>
                        <w:topLinePunct/>
                        <w:snapToGrid w:val="0"/>
                        <w:spacing w:before="100" w:beforeAutospacing="1" w:line="260" w:lineRule="exact"/>
                        <w:rPr>
                          <w:rStyle w:val="26"/>
                          <w:spacing w:val="4"/>
                          <w:kern w:val="0"/>
                          <w:szCs w:val="21"/>
                        </w:rPr>
                      </w:pPr>
                      <w:r>
                        <w:rPr>
                          <w:rStyle w:val="26"/>
                          <w:spacing w:val="4"/>
                          <w:kern w:val="0"/>
                          <w:szCs w:val="21"/>
                        </w:rPr>
                        <w:t>注册号码：</w:t>
                      </w:r>
                      <w:r>
                        <w:rPr>
                          <w:rStyle w:val="26"/>
                          <w:spacing w:val="4"/>
                          <w:kern w:val="0"/>
                          <w:szCs w:val="21"/>
                          <w:u w:val="single"/>
                        </w:rPr>
                        <w:t xml:space="preserve">                         </w:t>
                      </w:r>
                      <w:r>
                        <w:rPr>
                          <w:rStyle w:val="26"/>
                          <w:rFonts w:hint="eastAsia"/>
                          <w:spacing w:val="4"/>
                          <w:kern w:val="0"/>
                          <w:szCs w:val="21"/>
                          <w:u w:val="single"/>
                        </w:rPr>
                        <w:t xml:space="preserve"> </w:t>
                      </w:r>
                      <w:r>
                        <w:rPr>
                          <w:rStyle w:val="26"/>
                          <w:spacing w:val="4"/>
                          <w:kern w:val="0"/>
                          <w:szCs w:val="21"/>
                        </w:rPr>
                        <w:t>企业类型：</w:t>
                      </w:r>
                      <w:r>
                        <w:rPr>
                          <w:rStyle w:val="26"/>
                          <w:spacing w:val="4"/>
                          <w:kern w:val="0"/>
                          <w:szCs w:val="21"/>
                          <w:u w:val="single"/>
                        </w:rPr>
                        <w:t xml:space="preserve">                          </w:t>
                      </w:r>
                    </w:p>
                    <w:p w14:paraId="0BF36805">
                      <w:pPr>
                        <w:topLinePunct/>
                        <w:snapToGrid w:val="0"/>
                        <w:spacing w:before="100" w:beforeAutospacing="1" w:line="260" w:lineRule="exact"/>
                        <w:rPr>
                          <w:rStyle w:val="26"/>
                          <w:spacing w:val="4"/>
                          <w:kern w:val="0"/>
                          <w:szCs w:val="21"/>
                        </w:rPr>
                      </w:pPr>
                      <w:r>
                        <w:rPr>
                          <w:rStyle w:val="26"/>
                          <w:spacing w:val="4"/>
                          <w:kern w:val="0"/>
                          <w:szCs w:val="21"/>
                        </w:rPr>
                        <w:t>经营范围：</w:t>
                      </w:r>
                      <w:r>
                        <w:rPr>
                          <w:rStyle w:val="26"/>
                          <w:spacing w:val="4"/>
                          <w:kern w:val="0"/>
                          <w:szCs w:val="21"/>
                          <w:u w:val="single"/>
                        </w:rPr>
                        <w:t xml:space="preserve">                                       </w:t>
                      </w:r>
                    </w:p>
                    <w:p w14:paraId="138C6166">
                      <w:pPr>
                        <w:topLinePunct/>
                        <w:snapToGrid w:val="0"/>
                        <w:spacing w:before="100" w:beforeAutospacing="1" w:line="260" w:lineRule="exact"/>
                        <w:rPr>
                          <w:rStyle w:val="26"/>
                          <w:spacing w:val="4"/>
                          <w:kern w:val="0"/>
                          <w:szCs w:val="21"/>
                        </w:rPr>
                      </w:pPr>
                      <w:r>
                        <w:rPr>
                          <w:rStyle w:val="26"/>
                          <w:spacing w:val="4"/>
                          <w:kern w:val="0"/>
                          <w:szCs w:val="21"/>
                        </w:rPr>
                        <w:t>　　　　　　　　　　单位：　　　　　　　　　　　（盖章）</w:t>
                      </w:r>
                    </w:p>
                    <w:p w14:paraId="1EC68CD7">
                      <w:pPr>
                        <w:topLinePunct/>
                        <w:snapToGrid w:val="0"/>
                        <w:spacing w:before="100" w:beforeAutospacing="1" w:line="260" w:lineRule="exact"/>
                        <w:rPr>
                          <w:rStyle w:val="26"/>
                          <w:szCs w:val="21"/>
                        </w:rPr>
                      </w:pPr>
                      <w:r>
                        <w:rPr>
                          <w:rStyle w:val="26"/>
                          <w:spacing w:val="4"/>
                          <w:kern w:val="0"/>
                          <w:szCs w:val="21"/>
                        </w:rPr>
                        <w:t>　　　　　　　　　　　　　　　　　　　　　    年　月　　日</w:t>
                      </w:r>
                    </w:p>
                  </w:txbxContent>
                </v:textbox>
              </v:shape>
            </w:pict>
          </mc:Fallback>
        </mc:AlternateContent>
      </w:r>
    </w:p>
    <w:p w14:paraId="59F78817">
      <w:pPr>
        <w:topLinePunct/>
        <w:snapToGrid w:val="0"/>
        <w:spacing w:before="100" w:beforeAutospacing="1" w:line="360" w:lineRule="auto"/>
        <w:ind w:firstLine="436" w:firstLineChars="200"/>
        <w:rPr>
          <w:rStyle w:val="26"/>
          <w:rFonts w:hint="eastAsia" w:ascii="宋体" w:hAnsi="宋体" w:cs="宋体"/>
          <w:color w:val="auto"/>
          <w:spacing w:val="4"/>
          <w:kern w:val="0"/>
          <w:szCs w:val="21"/>
          <w:highlight w:val="none"/>
        </w:rPr>
      </w:pPr>
      <w:r>
        <w:rPr>
          <w:rStyle w:val="26"/>
          <w:rFonts w:hint="eastAsia" w:ascii="宋体" w:hAnsi="宋体" w:cs="宋体"/>
          <w:color w:val="auto"/>
          <w:spacing w:val="4"/>
          <w:kern w:val="0"/>
          <w:szCs w:val="21"/>
          <w:highlight w:val="none"/>
        </w:rPr>
        <w:t>授权委</w:t>
      </w:r>
    </w:p>
    <w:p w14:paraId="3CA0A5F8">
      <w:pPr>
        <w:topLinePunct/>
        <w:snapToGrid w:val="0"/>
        <w:spacing w:before="100" w:beforeAutospacing="1" w:line="360" w:lineRule="auto"/>
        <w:ind w:firstLine="436" w:firstLineChars="200"/>
        <w:rPr>
          <w:rStyle w:val="26"/>
          <w:rFonts w:hint="eastAsia" w:ascii="宋体" w:hAnsi="宋体" w:cs="宋体"/>
          <w:color w:val="auto"/>
          <w:spacing w:val="4"/>
          <w:kern w:val="0"/>
          <w:szCs w:val="21"/>
          <w:highlight w:val="none"/>
        </w:rPr>
      </w:pPr>
    </w:p>
    <w:p w14:paraId="335375AF">
      <w:pPr>
        <w:topLinePunct/>
        <w:snapToGrid w:val="0"/>
        <w:spacing w:before="100" w:beforeAutospacing="1" w:line="360" w:lineRule="auto"/>
        <w:ind w:firstLine="436" w:firstLineChars="200"/>
        <w:rPr>
          <w:rStyle w:val="26"/>
          <w:rFonts w:hint="eastAsia" w:ascii="宋体" w:hAnsi="宋体" w:cs="宋体"/>
          <w:color w:val="auto"/>
          <w:spacing w:val="4"/>
          <w:kern w:val="0"/>
          <w:szCs w:val="21"/>
          <w:highlight w:val="none"/>
        </w:rPr>
      </w:pPr>
      <w:r>
        <w:rPr>
          <w:rStyle w:val="26"/>
          <w:rFonts w:hint="eastAsia" w:ascii="宋体" w:hAnsi="宋体" w:cs="宋体"/>
          <w:color w:val="auto"/>
          <w:spacing w:val="4"/>
          <w:kern w:val="0"/>
          <w:szCs w:val="21"/>
          <w:highlight w:val="none"/>
        </w:rPr>
        <w:t>托证明书</w:t>
      </w:r>
    </w:p>
    <w:p w14:paraId="22849754">
      <w:pPr>
        <w:topLinePunct/>
        <w:snapToGrid w:val="0"/>
        <w:spacing w:before="100" w:beforeAutospacing="1" w:line="360" w:lineRule="auto"/>
        <w:ind w:firstLine="436" w:firstLineChars="200"/>
        <w:rPr>
          <w:rStyle w:val="26"/>
          <w:rFonts w:hint="eastAsia" w:ascii="宋体" w:hAnsi="宋体" w:cs="宋体"/>
          <w:color w:val="auto"/>
          <w:spacing w:val="4"/>
          <w:kern w:val="0"/>
          <w:szCs w:val="21"/>
          <w:highlight w:val="none"/>
        </w:rPr>
      </w:pPr>
      <w:r>
        <w:rPr>
          <w:rStyle w:val="26"/>
          <w:rFonts w:hint="eastAsia" w:ascii="宋体" w:hAnsi="宋体" w:cs="宋体"/>
          <w:color w:val="auto"/>
          <w:spacing w:val="4"/>
          <w:kern w:val="0"/>
          <w:szCs w:val="21"/>
          <w:highlight w:val="none"/>
        </w:rPr>
        <w:t>（　 ）第　号</w:t>
      </w:r>
    </w:p>
    <w:p w14:paraId="21C5816E">
      <w:pPr>
        <w:topLinePunct/>
        <w:snapToGrid w:val="0"/>
        <w:spacing w:before="100" w:beforeAutospacing="1" w:line="360" w:lineRule="auto"/>
        <w:ind w:firstLine="436" w:firstLineChars="200"/>
        <w:rPr>
          <w:rStyle w:val="26"/>
          <w:rFonts w:hint="eastAsia" w:ascii="宋体" w:hAnsi="宋体" w:cs="宋体"/>
          <w:color w:val="auto"/>
          <w:spacing w:val="4"/>
          <w:kern w:val="0"/>
          <w:szCs w:val="21"/>
          <w:highlight w:val="none"/>
        </w:rPr>
      </w:pPr>
      <w:r>
        <w:rPr>
          <w:rStyle w:val="26"/>
          <w:rFonts w:hint="eastAsia" w:ascii="宋体" w:hAnsi="宋体" w:cs="宋体"/>
          <w:color w:val="auto"/>
          <w:spacing w:val="4"/>
          <w:kern w:val="0"/>
          <w:szCs w:val="21"/>
          <w:highlight w:val="none"/>
        </w:rPr>
        <w:t>注：按提供的该表格格式填写，或使用从工商管理部门购买的表格填写。</w:t>
      </w:r>
    </w:p>
    <w:p w14:paraId="66950588">
      <w:pPr>
        <w:topLinePunct/>
        <w:snapToGrid w:val="0"/>
        <w:spacing w:before="100" w:beforeAutospacing="1"/>
        <w:ind w:firstLine="436" w:firstLineChars="200"/>
        <w:rPr>
          <w:rStyle w:val="26"/>
          <w:rFonts w:hint="eastAsia" w:ascii="宋体" w:hAnsi="宋体" w:cs="宋体"/>
          <w:color w:val="auto"/>
          <w:spacing w:val="4"/>
          <w:kern w:val="0"/>
          <w:szCs w:val="21"/>
          <w:highlight w:val="none"/>
        </w:rPr>
      </w:pPr>
    </w:p>
    <w:p w14:paraId="012E20B3">
      <w:pPr>
        <w:topLinePunct/>
        <w:snapToGrid w:val="0"/>
        <w:spacing w:before="100" w:beforeAutospacing="1"/>
        <w:ind w:firstLine="436" w:firstLineChars="200"/>
        <w:rPr>
          <w:rStyle w:val="26"/>
          <w:rFonts w:hint="eastAsia" w:ascii="宋体" w:hAnsi="宋体" w:cs="宋体"/>
          <w:color w:val="auto"/>
          <w:spacing w:val="4"/>
          <w:kern w:val="0"/>
          <w:szCs w:val="21"/>
          <w:highlight w:val="none"/>
        </w:rPr>
      </w:pPr>
      <w:r>
        <w:rPr>
          <w:rStyle w:val="26"/>
          <w:rFonts w:hint="eastAsia" w:ascii="宋体" w:hAnsi="宋体" w:cs="宋体"/>
          <w:color w:val="auto"/>
          <w:spacing w:val="4"/>
          <w:kern w:val="0"/>
          <w:szCs w:val="21"/>
          <w:highlight w:val="none"/>
        </w:rPr>
        <w:t>（2）法定代表人授权委托书</w:t>
      </w:r>
    </w:p>
    <w:p w14:paraId="119A144C">
      <w:pPr>
        <w:topLinePunct/>
        <w:snapToGrid w:val="0"/>
        <w:spacing w:before="100" w:beforeAutospacing="1" w:line="360" w:lineRule="auto"/>
        <w:rPr>
          <w:rStyle w:val="26"/>
          <w:rFonts w:hint="eastAsia" w:ascii="宋体" w:hAnsi="宋体" w:cs="宋体"/>
          <w:color w:val="auto"/>
          <w:spacing w:val="4"/>
          <w:kern w:val="0"/>
          <w:szCs w:val="21"/>
          <w:highlight w:val="none"/>
        </w:rPr>
      </w:pPr>
      <w:r>
        <w:rPr>
          <w:rStyle w:val="26"/>
          <w:rFonts w:hint="eastAsia" w:ascii="宋体" w:hAnsi="宋体" w:cs="宋体"/>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59055</wp:posOffset>
                </wp:positionV>
                <wp:extent cx="5692140" cy="2743200"/>
                <wp:effectExtent l="4445" t="4445" r="18415" b="14605"/>
                <wp:wrapNone/>
                <wp:docPr id="11" name="文本框 11"/>
                <wp:cNvGraphicFramePr/>
                <a:graphic xmlns:a="http://schemas.openxmlformats.org/drawingml/2006/main">
                  <a:graphicData uri="http://schemas.microsoft.com/office/word/2010/wordprocessingShape">
                    <wps:wsp>
                      <wps:cNvSpPr txBox="1"/>
                      <wps:spPr>
                        <a:xfrm>
                          <a:off x="0" y="0"/>
                          <a:ext cx="5692140" cy="2743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93FD49">
                            <w:pPr>
                              <w:topLinePunct/>
                              <w:snapToGrid w:val="0"/>
                              <w:spacing w:before="100" w:beforeAutospacing="1"/>
                              <w:rPr>
                                <w:rStyle w:val="26"/>
                                <w:spacing w:val="4"/>
                                <w:kern w:val="0"/>
                                <w:szCs w:val="21"/>
                              </w:rPr>
                            </w:pPr>
                            <w:r>
                              <w:rPr>
                                <w:rStyle w:val="26"/>
                                <w:spacing w:val="4"/>
                                <w:kern w:val="0"/>
                                <w:szCs w:val="21"/>
                              </w:rPr>
                              <w:t>兹授权</w:t>
                            </w:r>
                            <w:r>
                              <w:rPr>
                                <w:rStyle w:val="26"/>
                                <w:spacing w:val="4"/>
                                <w:kern w:val="0"/>
                                <w:szCs w:val="21"/>
                                <w:u w:val="single"/>
                              </w:rPr>
                              <w:t xml:space="preserve">                </w:t>
                            </w:r>
                            <w:r>
                              <w:rPr>
                                <w:rStyle w:val="26"/>
                                <w:spacing w:val="4"/>
                                <w:kern w:val="0"/>
                                <w:szCs w:val="21"/>
                              </w:rPr>
                              <w:t>为我方委托代理人，其权限是：</w:t>
                            </w:r>
                            <w:r>
                              <w:rPr>
                                <w:rStyle w:val="26"/>
                                <w:spacing w:val="4"/>
                                <w:kern w:val="0"/>
                                <w:szCs w:val="21"/>
                                <w:u w:val="single"/>
                              </w:rPr>
                              <w:t xml:space="preserve">                </w:t>
                            </w:r>
                          </w:p>
                          <w:p w14:paraId="241B95A8">
                            <w:pPr>
                              <w:topLinePunct/>
                              <w:snapToGrid w:val="0"/>
                              <w:spacing w:before="100" w:beforeAutospacing="1"/>
                              <w:rPr>
                                <w:rStyle w:val="26"/>
                                <w:spacing w:val="4"/>
                                <w:kern w:val="0"/>
                                <w:szCs w:val="21"/>
                              </w:rPr>
                            </w:pPr>
                            <w:r>
                              <w:rPr>
                                <w:rStyle w:val="26"/>
                                <w:spacing w:val="4"/>
                                <w:kern w:val="0"/>
                                <w:szCs w:val="21"/>
                              </w:rPr>
                              <w:t xml:space="preserve"> 有效期限：</w:t>
                            </w:r>
                            <w:r>
                              <w:rPr>
                                <w:rStyle w:val="26"/>
                                <w:spacing w:val="4"/>
                                <w:kern w:val="0"/>
                                <w:szCs w:val="21"/>
                                <w:u w:val="single"/>
                              </w:rPr>
                              <w:t xml:space="preserve">                                                        </w:t>
                            </w:r>
                          </w:p>
                          <w:p w14:paraId="0C8C1C3A">
                            <w:pPr>
                              <w:topLinePunct/>
                              <w:snapToGrid w:val="0"/>
                              <w:spacing w:before="100" w:beforeAutospacing="1"/>
                              <w:rPr>
                                <w:rStyle w:val="26"/>
                                <w:spacing w:val="4"/>
                                <w:kern w:val="0"/>
                                <w:szCs w:val="21"/>
                              </w:rPr>
                            </w:pPr>
                            <w:r>
                              <w:rPr>
                                <w:rStyle w:val="26"/>
                                <w:spacing w:val="4"/>
                                <w:kern w:val="0"/>
                                <w:szCs w:val="21"/>
                              </w:rPr>
                              <w:t>附：代理人性别：</w:t>
                            </w:r>
                            <w:r>
                              <w:rPr>
                                <w:rStyle w:val="26"/>
                                <w:spacing w:val="4"/>
                                <w:kern w:val="0"/>
                                <w:szCs w:val="21"/>
                                <w:u w:val="single"/>
                              </w:rPr>
                              <w:t xml:space="preserve">     </w:t>
                            </w:r>
                            <w:r>
                              <w:rPr>
                                <w:rStyle w:val="26"/>
                                <w:spacing w:val="4"/>
                                <w:kern w:val="0"/>
                                <w:szCs w:val="21"/>
                              </w:rPr>
                              <w:t>年龄：</w:t>
                            </w:r>
                            <w:r>
                              <w:rPr>
                                <w:rStyle w:val="26"/>
                                <w:spacing w:val="4"/>
                                <w:kern w:val="0"/>
                                <w:szCs w:val="21"/>
                                <w:u w:val="single"/>
                              </w:rPr>
                              <w:t xml:space="preserve">     </w:t>
                            </w:r>
                            <w:r>
                              <w:rPr>
                                <w:rStyle w:val="26"/>
                                <w:spacing w:val="4"/>
                                <w:kern w:val="0"/>
                                <w:szCs w:val="21"/>
                              </w:rPr>
                              <w:t>身份证号码：</w:t>
                            </w:r>
                            <w:r>
                              <w:rPr>
                                <w:rStyle w:val="26"/>
                                <w:spacing w:val="4"/>
                                <w:kern w:val="0"/>
                                <w:szCs w:val="21"/>
                                <w:u w:val="single"/>
                              </w:rPr>
                              <w:t xml:space="preserve">                       </w:t>
                            </w:r>
                          </w:p>
                          <w:p w14:paraId="22C4A28E">
                            <w:pPr>
                              <w:topLinePunct/>
                              <w:snapToGrid w:val="0"/>
                              <w:spacing w:before="100" w:beforeAutospacing="1"/>
                              <w:rPr>
                                <w:rStyle w:val="26"/>
                                <w:spacing w:val="4"/>
                                <w:kern w:val="0"/>
                                <w:szCs w:val="21"/>
                              </w:rPr>
                            </w:pPr>
                            <w:r>
                              <w:rPr>
                                <w:rStyle w:val="26"/>
                                <w:spacing w:val="4"/>
                                <w:kern w:val="0"/>
                                <w:szCs w:val="21"/>
                              </w:rPr>
                              <w:t>注册号码：</w:t>
                            </w:r>
                            <w:r>
                              <w:rPr>
                                <w:rStyle w:val="26"/>
                                <w:spacing w:val="4"/>
                                <w:kern w:val="0"/>
                                <w:szCs w:val="21"/>
                                <w:u w:val="single"/>
                              </w:rPr>
                              <w:t xml:space="preserve">                  </w:t>
                            </w:r>
                            <w:r>
                              <w:rPr>
                                <w:rStyle w:val="26"/>
                                <w:spacing w:val="4"/>
                                <w:kern w:val="0"/>
                                <w:szCs w:val="21"/>
                              </w:rPr>
                              <w:t>企业类型：</w:t>
                            </w:r>
                            <w:r>
                              <w:rPr>
                                <w:rStyle w:val="26"/>
                                <w:spacing w:val="4"/>
                                <w:kern w:val="0"/>
                                <w:szCs w:val="21"/>
                                <w:u w:val="single"/>
                              </w:rPr>
                              <w:t xml:space="preserve">                            </w:t>
                            </w:r>
                          </w:p>
                          <w:p w14:paraId="133EEDA5">
                            <w:pPr>
                              <w:topLinePunct/>
                              <w:snapToGrid w:val="0"/>
                              <w:spacing w:before="100" w:beforeAutospacing="1"/>
                              <w:rPr>
                                <w:rStyle w:val="26"/>
                                <w:spacing w:val="4"/>
                                <w:kern w:val="0"/>
                                <w:szCs w:val="21"/>
                              </w:rPr>
                            </w:pPr>
                            <w:r>
                              <w:rPr>
                                <w:rStyle w:val="26"/>
                                <w:spacing w:val="4"/>
                                <w:kern w:val="0"/>
                                <w:szCs w:val="21"/>
                              </w:rPr>
                              <w:t>经营范围：</w:t>
                            </w:r>
                            <w:r>
                              <w:rPr>
                                <w:rStyle w:val="26"/>
                                <w:spacing w:val="4"/>
                                <w:kern w:val="0"/>
                                <w:szCs w:val="21"/>
                                <w:u w:val="single"/>
                              </w:rPr>
                              <w:t xml:space="preserve">                                                        </w:t>
                            </w:r>
                          </w:p>
                          <w:p w14:paraId="356398A0">
                            <w:pPr>
                              <w:topLinePunct/>
                              <w:snapToGrid w:val="0"/>
                              <w:spacing w:before="100" w:beforeAutospacing="1"/>
                              <w:rPr>
                                <w:rStyle w:val="26"/>
                                <w:spacing w:val="4"/>
                                <w:kern w:val="0"/>
                                <w:szCs w:val="21"/>
                              </w:rPr>
                            </w:pPr>
                            <w:r>
                              <w:rPr>
                                <w:rStyle w:val="26"/>
                                <w:spacing w:val="4"/>
                                <w:kern w:val="0"/>
                                <w:szCs w:val="21"/>
                              </w:rPr>
                              <w:t>法定代表人（负责人）：</w:t>
                            </w:r>
                            <w:r>
                              <w:rPr>
                                <w:rStyle w:val="26"/>
                                <w:spacing w:val="4"/>
                                <w:kern w:val="0"/>
                                <w:szCs w:val="21"/>
                                <w:u w:val="single"/>
                              </w:rPr>
                              <w:t xml:space="preserve">                 </w:t>
                            </w:r>
                            <w:r>
                              <w:rPr>
                                <w:rStyle w:val="26"/>
                                <w:spacing w:val="4"/>
                                <w:kern w:val="0"/>
                                <w:szCs w:val="21"/>
                              </w:rPr>
                              <w:t>（签字或盖章）</w:t>
                            </w:r>
                          </w:p>
                          <w:p w14:paraId="3FA3F0AA">
                            <w:pPr>
                              <w:topLinePunct/>
                              <w:snapToGrid w:val="0"/>
                              <w:spacing w:before="100" w:beforeAutospacing="1"/>
                              <w:rPr>
                                <w:rStyle w:val="26"/>
                                <w:spacing w:val="4"/>
                                <w:kern w:val="0"/>
                                <w:szCs w:val="21"/>
                              </w:rPr>
                            </w:pPr>
                            <w:r>
                              <w:rPr>
                                <w:rStyle w:val="26"/>
                                <w:spacing w:val="4"/>
                                <w:kern w:val="0"/>
                                <w:szCs w:val="21"/>
                              </w:rPr>
                              <w:t>授权单位：（盖章）</w:t>
                            </w:r>
                            <w:r>
                              <w:rPr>
                                <w:rStyle w:val="26"/>
                                <w:spacing w:val="4"/>
                                <w:kern w:val="0"/>
                                <w:szCs w:val="21"/>
                                <w:u w:val="single"/>
                              </w:rPr>
                              <w:t xml:space="preserve">                      </w:t>
                            </w:r>
                          </w:p>
                          <w:p w14:paraId="2EFC5F48">
                            <w:pPr>
                              <w:topLinePunct/>
                              <w:snapToGrid w:val="0"/>
                              <w:spacing w:before="100" w:beforeAutospacing="1" w:line="360" w:lineRule="auto"/>
                              <w:ind w:firstLine="436" w:firstLineChars="200"/>
                              <w:jc w:val="right"/>
                              <w:rPr>
                                <w:rStyle w:val="26"/>
                              </w:rPr>
                            </w:pPr>
                            <w:r>
                              <w:rPr>
                                <w:rStyle w:val="26"/>
                                <w:spacing w:val="4"/>
                                <w:kern w:val="0"/>
                                <w:szCs w:val="21"/>
                              </w:rPr>
                              <w:t>年  月   日</w:t>
                            </w:r>
                          </w:p>
                        </w:txbxContent>
                      </wps:txbx>
                      <wps:bodyPr upright="1"/>
                    </wps:wsp>
                  </a:graphicData>
                </a:graphic>
              </wp:anchor>
            </w:drawing>
          </mc:Choice>
          <mc:Fallback>
            <w:pict>
              <v:shape id="_x0000_s1026" o:spid="_x0000_s1026" o:spt="202" type="#_x0000_t202" style="position:absolute;left:0pt;margin-left:10.5pt;margin-top:4.65pt;height:216pt;width:448.2pt;z-index:251660288;mso-width-relative:page;mso-height-relative:page;" fillcolor="#FFFFFF" filled="t" stroked="t" coordsize="21600,21600" o:gfxdata="UEsDBAoAAAAAAIdO4kAAAAAAAAAAAAAAAAAEAAAAZHJzL1BLAwQUAAAACACHTuJA3BEGLNgAAAAI&#10;AQAADwAAAGRycy9kb3ducmV2LnhtbE2PMU/DMBSEdyT+g/WQWBB13ERtE+J0QALBRgtqVzd+TSLs&#10;52C7afn3mAnG053uvqvXF2vYhD4MjiSIWQYMqXV6oE7Cx/vT/QpYiIq0Mo5QwjcGWDfXV7WqtDvT&#10;Bqdt7FgqoVApCX2MY8V5aHu0KszciJS8o/NWxSR9x7VX51RuDZ9n2YJbNVBa6NWIjz22n9uTlbAq&#10;XqZ9eM3fdu3iaMp4t5yev7yUtzciewAW8RL/wvCLn9ChSUwHdyIdmJEwF+lKlFDmwJJdimUB7CCh&#10;KEQOvKn5/wPND1BLAwQUAAAACACHTuJAJm5ksAwCAAA5BAAADgAAAGRycy9lMm9Eb2MueG1srVPN&#10;jtMwEL4j8Q6W7zRp2S5s1HQlKOWCAGnhAVzbSSz5Tx63SV8A3oATF+48V5+DsdPt/rCHHjYHZzzz&#10;+fPMN+PF9WA02ckAytmaTiclJdJyJ5Rta/r92/rVW0ogMiuYdlbWdC+BXi9fvlj0vpIz1zktZCBI&#10;YqHqfU27GH1VFMA7aRhMnJcWg40LhkXchrYQgfXIbnQxK8vLondB+OC4BEDvagzSI2M4h9A1jeJy&#10;5fjWSBtH1iA1i1gSdMoDXeZsm0by+KVpQEaia4qVxrziJWhv0losF6xqA/Od4scU2DkpPKrJMGXx&#10;0hPVikVGtkH9R2UUDw5cEyfcmWIsJCuCVUzLR9rcdMzLXAtKDf4kOjwfLf+8+xqIEjgJU0osM9jx&#10;w6+fh99/D39+EPShQL2HCnE3HpFxeOcGBN/6AZ2p7qEJJv2xIoJxlHd/klcOkXB0zi+vZtMLDHGM&#10;zd5cvMZxSDzF3XEfIH6UzpBk1DRg/7KsbPcJ4gi9haTbwGkl1krrvAnt5r0OZMew1+v8HdkfwLQl&#10;fU2v5rM5JsJwgBscHDSNRxHAtvm+ByfgPnGZv6eIU2IrBt2YQGZIMFYZFWXIVieZ+GAFiXuPOlt8&#10;XzQlY6SgREt8jsnKyMiUPgeJ2mmLEqYejb1IVhw2A9Ikc+PEHvu29UG1HUqaO5fhOFFZ++P0p5G9&#10;v8+kdy9++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cEQYs2AAAAAgBAAAPAAAAAAAAAAEAIAAA&#10;ACIAAABkcnMvZG93bnJldi54bWxQSwECFAAUAAAACACHTuJAJm5ksAwCAAA5BAAADgAAAAAAAAAB&#10;ACAAAAAnAQAAZHJzL2Uyb0RvYy54bWxQSwUGAAAAAAYABgBZAQAApQUAAAAA&#10;">
                <v:fill on="t" focussize="0,0"/>
                <v:stroke color="#000000" joinstyle="miter"/>
                <v:imagedata o:title=""/>
                <o:lock v:ext="edit" aspectratio="f"/>
                <v:textbox>
                  <w:txbxContent>
                    <w:p w14:paraId="3A93FD49">
                      <w:pPr>
                        <w:topLinePunct/>
                        <w:snapToGrid w:val="0"/>
                        <w:spacing w:before="100" w:beforeAutospacing="1"/>
                        <w:rPr>
                          <w:rStyle w:val="26"/>
                          <w:spacing w:val="4"/>
                          <w:kern w:val="0"/>
                          <w:szCs w:val="21"/>
                        </w:rPr>
                      </w:pPr>
                      <w:r>
                        <w:rPr>
                          <w:rStyle w:val="26"/>
                          <w:spacing w:val="4"/>
                          <w:kern w:val="0"/>
                          <w:szCs w:val="21"/>
                        </w:rPr>
                        <w:t>兹授权</w:t>
                      </w:r>
                      <w:r>
                        <w:rPr>
                          <w:rStyle w:val="26"/>
                          <w:spacing w:val="4"/>
                          <w:kern w:val="0"/>
                          <w:szCs w:val="21"/>
                          <w:u w:val="single"/>
                        </w:rPr>
                        <w:t xml:space="preserve">                </w:t>
                      </w:r>
                      <w:r>
                        <w:rPr>
                          <w:rStyle w:val="26"/>
                          <w:spacing w:val="4"/>
                          <w:kern w:val="0"/>
                          <w:szCs w:val="21"/>
                        </w:rPr>
                        <w:t>为我方委托代理人，其权限是：</w:t>
                      </w:r>
                      <w:r>
                        <w:rPr>
                          <w:rStyle w:val="26"/>
                          <w:spacing w:val="4"/>
                          <w:kern w:val="0"/>
                          <w:szCs w:val="21"/>
                          <w:u w:val="single"/>
                        </w:rPr>
                        <w:t xml:space="preserve">                </w:t>
                      </w:r>
                    </w:p>
                    <w:p w14:paraId="241B95A8">
                      <w:pPr>
                        <w:topLinePunct/>
                        <w:snapToGrid w:val="0"/>
                        <w:spacing w:before="100" w:beforeAutospacing="1"/>
                        <w:rPr>
                          <w:rStyle w:val="26"/>
                          <w:spacing w:val="4"/>
                          <w:kern w:val="0"/>
                          <w:szCs w:val="21"/>
                        </w:rPr>
                      </w:pPr>
                      <w:r>
                        <w:rPr>
                          <w:rStyle w:val="26"/>
                          <w:spacing w:val="4"/>
                          <w:kern w:val="0"/>
                          <w:szCs w:val="21"/>
                        </w:rPr>
                        <w:t xml:space="preserve"> 有效期限：</w:t>
                      </w:r>
                      <w:r>
                        <w:rPr>
                          <w:rStyle w:val="26"/>
                          <w:spacing w:val="4"/>
                          <w:kern w:val="0"/>
                          <w:szCs w:val="21"/>
                          <w:u w:val="single"/>
                        </w:rPr>
                        <w:t xml:space="preserve">                                                        </w:t>
                      </w:r>
                    </w:p>
                    <w:p w14:paraId="0C8C1C3A">
                      <w:pPr>
                        <w:topLinePunct/>
                        <w:snapToGrid w:val="0"/>
                        <w:spacing w:before="100" w:beforeAutospacing="1"/>
                        <w:rPr>
                          <w:rStyle w:val="26"/>
                          <w:spacing w:val="4"/>
                          <w:kern w:val="0"/>
                          <w:szCs w:val="21"/>
                        </w:rPr>
                      </w:pPr>
                      <w:r>
                        <w:rPr>
                          <w:rStyle w:val="26"/>
                          <w:spacing w:val="4"/>
                          <w:kern w:val="0"/>
                          <w:szCs w:val="21"/>
                        </w:rPr>
                        <w:t>附：代理人性别：</w:t>
                      </w:r>
                      <w:r>
                        <w:rPr>
                          <w:rStyle w:val="26"/>
                          <w:spacing w:val="4"/>
                          <w:kern w:val="0"/>
                          <w:szCs w:val="21"/>
                          <w:u w:val="single"/>
                        </w:rPr>
                        <w:t xml:space="preserve">     </w:t>
                      </w:r>
                      <w:r>
                        <w:rPr>
                          <w:rStyle w:val="26"/>
                          <w:spacing w:val="4"/>
                          <w:kern w:val="0"/>
                          <w:szCs w:val="21"/>
                        </w:rPr>
                        <w:t>年龄：</w:t>
                      </w:r>
                      <w:r>
                        <w:rPr>
                          <w:rStyle w:val="26"/>
                          <w:spacing w:val="4"/>
                          <w:kern w:val="0"/>
                          <w:szCs w:val="21"/>
                          <w:u w:val="single"/>
                        </w:rPr>
                        <w:t xml:space="preserve">     </w:t>
                      </w:r>
                      <w:r>
                        <w:rPr>
                          <w:rStyle w:val="26"/>
                          <w:spacing w:val="4"/>
                          <w:kern w:val="0"/>
                          <w:szCs w:val="21"/>
                        </w:rPr>
                        <w:t>身份证号码：</w:t>
                      </w:r>
                      <w:r>
                        <w:rPr>
                          <w:rStyle w:val="26"/>
                          <w:spacing w:val="4"/>
                          <w:kern w:val="0"/>
                          <w:szCs w:val="21"/>
                          <w:u w:val="single"/>
                        </w:rPr>
                        <w:t xml:space="preserve">                       </w:t>
                      </w:r>
                    </w:p>
                    <w:p w14:paraId="22C4A28E">
                      <w:pPr>
                        <w:topLinePunct/>
                        <w:snapToGrid w:val="0"/>
                        <w:spacing w:before="100" w:beforeAutospacing="1"/>
                        <w:rPr>
                          <w:rStyle w:val="26"/>
                          <w:spacing w:val="4"/>
                          <w:kern w:val="0"/>
                          <w:szCs w:val="21"/>
                        </w:rPr>
                      </w:pPr>
                      <w:r>
                        <w:rPr>
                          <w:rStyle w:val="26"/>
                          <w:spacing w:val="4"/>
                          <w:kern w:val="0"/>
                          <w:szCs w:val="21"/>
                        </w:rPr>
                        <w:t>注册号码：</w:t>
                      </w:r>
                      <w:r>
                        <w:rPr>
                          <w:rStyle w:val="26"/>
                          <w:spacing w:val="4"/>
                          <w:kern w:val="0"/>
                          <w:szCs w:val="21"/>
                          <w:u w:val="single"/>
                        </w:rPr>
                        <w:t xml:space="preserve">                  </w:t>
                      </w:r>
                      <w:r>
                        <w:rPr>
                          <w:rStyle w:val="26"/>
                          <w:spacing w:val="4"/>
                          <w:kern w:val="0"/>
                          <w:szCs w:val="21"/>
                        </w:rPr>
                        <w:t>企业类型：</w:t>
                      </w:r>
                      <w:r>
                        <w:rPr>
                          <w:rStyle w:val="26"/>
                          <w:spacing w:val="4"/>
                          <w:kern w:val="0"/>
                          <w:szCs w:val="21"/>
                          <w:u w:val="single"/>
                        </w:rPr>
                        <w:t xml:space="preserve">                            </w:t>
                      </w:r>
                    </w:p>
                    <w:p w14:paraId="133EEDA5">
                      <w:pPr>
                        <w:topLinePunct/>
                        <w:snapToGrid w:val="0"/>
                        <w:spacing w:before="100" w:beforeAutospacing="1"/>
                        <w:rPr>
                          <w:rStyle w:val="26"/>
                          <w:spacing w:val="4"/>
                          <w:kern w:val="0"/>
                          <w:szCs w:val="21"/>
                        </w:rPr>
                      </w:pPr>
                      <w:r>
                        <w:rPr>
                          <w:rStyle w:val="26"/>
                          <w:spacing w:val="4"/>
                          <w:kern w:val="0"/>
                          <w:szCs w:val="21"/>
                        </w:rPr>
                        <w:t>经营范围：</w:t>
                      </w:r>
                      <w:r>
                        <w:rPr>
                          <w:rStyle w:val="26"/>
                          <w:spacing w:val="4"/>
                          <w:kern w:val="0"/>
                          <w:szCs w:val="21"/>
                          <w:u w:val="single"/>
                        </w:rPr>
                        <w:t xml:space="preserve">                                                        </w:t>
                      </w:r>
                    </w:p>
                    <w:p w14:paraId="356398A0">
                      <w:pPr>
                        <w:topLinePunct/>
                        <w:snapToGrid w:val="0"/>
                        <w:spacing w:before="100" w:beforeAutospacing="1"/>
                        <w:rPr>
                          <w:rStyle w:val="26"/>
                          <w:spacing w:val="4"/>
                          <w:kern w:val="0"/>
                          <w:szCs w:val="21"/>
                        </w:rPr>
                      </w:pPr>
                      <w:r>
                        <w:rPr>
                          <w:rStyle w:val="26"/>
                          <w:spacing w:val="4"/>
                          <w:kern w:val="0"/>
                          <w:szCs w:val="21"/>
                        </w:rPr>
                        <w:t>法定代表人（负责人）：</w:t>
                      </w:r>
                      <w:r>
                        <w:rPr>
                          <w:rStyle w:val="26"/>
                          <w:spacing w:val="4"/>
                          <w:kern w:val="0"/>
                          <w:szCs w:val="21"/>
                          <w:u w:val="single"/>
                        </w:rPr>
                        <w:t xml:space="preserve">                 </w:t>
                      </w:r>
                      <w:r>
                        <w:rPr>
                          <w:rStyle w:val="26"/>
                          <w:spacing w:val="4"/>
                          <w:kern w:val="0"/>
                          <w:szCs w:val="21"/>
                        </w:rPr>
                        <w:t>（签字或盖章）</w:t>
                      </w:r>
                    </w:p>
                    <w:p w14:paraId="3FA3F0AA">
                      <w:pPr>
                        <w:topLinePunct/>
                        <w:snapToGrid w:val="0"/>
                        <w:spacing w:before="100" w:beforeAutospacing="1"/>
                        <w:rPr>
                          <w:rStyle w:val="26"/>
                          <w:spacing w:val="4"/>
                          <w:kern w:val="0"/>
                          <w:szCs w:val="21"/>
                        </w:rPr>
                      </w:pPr>
                      <w:r>
                        <w:rPr>
                          <w:rStyle w:val="26"/>
                          <w:spacing w:val="4"/>
                          <w:kern w:val="0"/>
                          <w:szCs w:val="21"/>
                        </w:rPr>
                        <w:t>授权单位：（盖章）</w:t>
                      </w:r>
                      <w:r>
                        <w:rPr>
                          <w:rStyle w:val="26"/>
                          <w:spacing w:val="4"/>
                          <w:kern w:val="0"/>
                          <w:szCs w:val="21"/>
                          <w:u w:val="single"/>
                        </w:rPr>
                        <w:t xml:space="preserve">                      </w:t>
                      </w:r>
                    </w:p>
                    <w:p w14:paraId="2EFC5F48">
                      <w:pPr>
                        <w:topLinePunct/>
                        <w:snapToGrid w:val="0"/>
                        <w:spacing w:before="100" w:beforeAutospacing="1" w:line="360" w:lineRule="auto"/>
                        <w:ind w:firstLine="436" w:firstLineChars="200"/>
                        <w:jc w:val="right"/>
                        <w:rPr>
                          <w:rStyle w:val="26"/>
                        </w:rPr>
                      </w:pPr>
                      <w:r>
                        <w:rPr>
                          <w:rStyle w:val="26"/>
                          <w:spacing w:val="4"/>
                          <w:kern w:val="0"/>
                          <w:szCs w:val="21"/>
                        </w:rPr>
                        <w:t>年  月   日</w:t>
                      </w:r>
                    </w:p>
                  </w:txbxContent>
                </v:textbox>
              </v:shape>
            </w:pict>
          </mc:Fallback>
        </mc:AlternateContent>
      </w:r>
    </w:p>
    <w:p w14:paraId="71B1DD2D">
      <w:pPr>
        <w:topLinePunct/>
        <w:snapToGrid w:val="0"/>
        <w:spacing w:before="100" w:beforeAutospacing="1" w:line="360" w:lineRule="auto"/>
        <w:ind w:firstLine="436" w:firstLineChars="200"/>
        <w:rPr>
          <w:rStyle w:val="26"/>
          <w:rFonts w:hint="eastAsia" w:ascii="宋体" w:hAnsi="宋体" w:cs="宋体"/>
          <w:color w:val="auto"/>
          <w:spacing w:val="4"/>
          <w:kern w:val="0"/>
          <w:szCs w:val="21"/>
          <w:highlight w:val="none"/>
        </w:rPr>
      </w:pPr>
    </w:p>
    <w:p w14:paraId="3A5BC869">
      <w:pPr>
        <w:topLinePunct/>
        <w:snapToGrid w:val="0"/>
        <w:spacing w:before="100" w:beforeAutospacing="1" w:line="360" w:lineRule="auto"/>
        <w:ind w:firstLine="436" w:firstLineChars="200"/>
        <w:rPr>
          <w:rStyle w:val="26"/>
          <w:rFonts w:hint="eastAsia" w:ascii="宋体" w:hAnsi="宋体" w:cs="宋体"/>
          <w:color w:val="auto"/>
          <w:spacing w:val="4"/>
          <w:kern w:val="0"/>
          <w:szCs w:val="21"/>
          <w:highlight w:val="none"/>
        </w:rPr>
      </w:pPr>
    </w:p>
    <w:p w14:paraId="5DAE53BB">
      <w:pPr>
        <w:topLinePunct/>
        <w:snapToGrid w:val="0"/>
        <w:spacing w:before="100" w:beforeAutospacing="1" w:line="360" w:lineRule="auto"/>
        <w:ind w:firstLine="436" w:firstLineChars="200"/>
        <w:rPr>
          <w:rStyle w:val="26"/>
          <w:rFonts w:hint="eastAsia" w:ascii="宋体" w:hAnsi="宋体" w:cs="宋体"/>
          <w:color w:val="auto"/>
          <w:spacing w:val="4"/>
          <w:kern w:val="0"/>
          <w:szCs w:val="21"/>
          <w:highlight w:val="none"/>
        </w:rPr>
      </w:pPr>
    </w:p>
    <w:p w14:paraId="60355096">
      <w:pPr>
        <w:topLinePunct/>
        <w:snapToGrid w:val="0"/>
        <w:spacing w:before="100" w:beforeAutospacing="1" w:line="360" w:lineRule="auto"/>
        <w:ind w:firstLine="436" w:firstLineChars="200"/>
        <w:rPr>
          <w:rStyle w:val="26"/>
          <w:rFonts w:hint="eastAsia" w:ascii="宋体" w:hAnsi="宋体" w:cs="宋体"/>
          <w:color w:val="auto"/>
          <w:spacing w:val="4"/>
          <w:kern w:val="0"/>
          <w:szCs w:val="21"/>
          <w:highlight w:val="none"/>
        </w:rPr>
      </w:pPr>
    </w:p>
    <w:p w14:paraId="312B6824">
      <w:pPr>
        <w:topLinePunct/>
        <w:snapToGrid w:val="0"/>
        <w:spacing w:before="100" w:beforeAutospacing="1" w:line="360" w:lineRule="auto"/>
        <w:ind w:firstLine="436" w:firstLineChars="200"/>
        <w:rPr>
          <w:rStyle w:val="26"/>
          <w:rFonts w:hint="eastAsia" w:ascii="宋体" w:hAnsi="宋体" w:cs="宋体"/>
          <w:color w:val="auto"/>
          <w:spacing w:val="4"/>
          <w:kern w:val="0"/>
          <w:szCs w:val="21"/>
          <w:highlight w:val="none"/>
        </w:rPr>
      </w:pPr>
    </w:p>
    <w:p w14:paraId="77BE3213">
      <w:pPr>
        <w:topLinePunct/>
        <w:snapToGrid w:val="0"/>
        <w:spacing w:before="100" w:beforeAutospacing="1"/>
        <w:rPr>
          <w:rStyle w:val="26"/>
          <w:rFonts w:hint="eastAsia" w:ascii="宋体" w:hAnsi="宋体" w:cs="宋体"/>
          <w:color w:val="auto"/>
          <w:spacing w:val="4"/>
          <w:kern w:val="0"/>
          <w:szCs w:val="21"/>
          <w:highlight w:val="none"/>
        </w:rPr>
      </w:pPr>
    </w:p>
    <w:p w14:paraId="47B9C6DE">
      <w:pPr>
        <w:topLinePunct/>
        <w:snapToGrid w:val="0"/>
        <w:spacing w:before="100" w:beforeAutospacing="1"/>
        <w:rPr>
          <w:rStyle w:val="26"/>
          <w:rFonts w:hint="eastAsia" w:ascii="宋体" w:hAnsi="宋体" w:cs="宋体"/>
          <w:color w:val="auto"/>
          <w:spacing w:val="4"/>
          <w:kern w:val="0"/>
          <w:szCs w:val="21"/>
          <w:highlight w:val="none"/>
        </w:rPr>
      </w:pPr>
      <w:r>
        <w:rPr>
          <w:rStyle w:val="26"/>
          <w:rFonts w:hint="eastAsia" w:ascii="宋体" w:hAnsi="宋体" w:cs="宋体"/>
          <w:color w:val="auto"/>
          <w:spacing w:val="4"/>
          <w:kern w:val="0"/>
          <w:szCs w:val="21"/>
          <w:highlight w:val="none"/>
        </w:rPr>
        <w:t xml:space="preserve">注：按提供的格式或使用从工商管理部门购买的格式填写。 </w:t>
      </w:r>
    </w:p>
    <w:p w14:paraId="3D257ECD">
      <w:pPr>
        <w:spacing w:line="360" w:lineRule="auto"/>
        <w:rPr>
          <w:rStyle w:val="26"/>
          <w:rFonts w:ascii="宋体" w:hAnsi="宋体"/>
          <w:b/>
          <w:color w:val="auto"/>
          <w:highlight w:val="none"/>
        </w:rPr>
      </w:pPr>
      <w:r>
        <w:rPr>
          <w:rStyle w:val="26"/>
          <w:rFonts w:ascii="宋体" w:hAnsi="宋体"/>
          <w:color w:val="auto"/>
          <w:highlight w:val="none"/>
        </w:rPr>
        <w:br w:type="page"/>
      </w:r>
      <w:r>
        <w:rPr>
          <w:rStyle w:val="26"/>
          <w:rFonts w:ascii="宋体" w:hAnsi="宋体"/>
          <w:b/>
          <w:color w:val="auto"/>
          <w:szCs w:val="21"/>
          <w:highlight w:val="none"/>
        </w:rPr>
        <w:t>格式</w:t>
      </w:r>
      <w:r>
        <w:rPr>
          <w:rStyle w:val="26"/>
          <w:rFonts w:hint="eastAsia" w:ascii="宋体" w:hAnsi="宋体"/>
          <w:b/>
          <w:color w:val="auto"/>
          <w:szCs w:val="21"/>
          <w:highlight w:val="none"/>
        </w:rPr>
        <w:t>五</w:t>
      </w:r>
    </w:p>
    <w:p w14:paraId="12929C55">
      <w:pPr>
        <w:pStyle w:val="33"/>
        <w:ind w:firstLine="496"/>
        <w:rPr>
          <w:rStyle w:val="26"/>
          <w:rFonts w:ascii="宋体" w:hAnsi="宋体"/>
          <w:color w:val="auto"/>
          <w:highlight w:val="none"/>
        </w:rPr>
      </w:pPr>
    </w:p>
    <w:p w14:paraId="74F16988">
      <w:pPr>
        <w:spacing w:after="156" w:afterLines="50" w:line="300" w:lineRule="exact"/>
        <w:jc w:val="center"/>
        <w:rPr>
          <w:rStyle w:val="26"/>
          <w:rFonts w:ascii="宋体" w:hAnsi="宋体" w:cs="宋体"/>
          <w:b/>
          <w:bCs/>
          <w:color w:val="auto"/>
          <w:sz w:val="30"/>
          <w:szCs w:val="30"/>
          <w:highlight w:val="none"/>
          <w:lang w:val="zh-CN"/>
        </w:rPr>
      </w:pPr>
      <w:r>
        <w:rPr>
          <w:rStyle w:val="26"/>
          <w:rFonts w:ascii="宋体" w:hAnsi="宋体"/>
          <w:b/>
          <w:color w:val="auto"/>
          <w:sz w:val="30"/>
          <w:szCs w:val="30"/>
          <w:highlight w:val="none"/>
        </w:rPr>
        <w:t>项目管理机构人员配备表</w:t>
      </w:r>
    </w:p>
    <w:tbl>
      <w:tblPr>
        <w:tblStyle w:val="21"/>
        <w:tblW w:w="98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2"/>
        <w:gridCol w:w="2096"/>
        <w:gridCol w:w="1417"/>
        <w:gridCol w:w="3149"/>
        <w:gridCol w:w="1143"/>
        <w:gridCol w:w="1143"/>
      </w:tblGrid>
      <w:tr w14:paraId="4B924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jc w:val="center"/>
        </w:trPr>
        <w:tc>
          <w:tcPr>
            <w:tcW w:w="892" w:type="dxa"/>
            <w:tcBorders>
              <w:top w:val="single" w:color="000000" w:sz="4" w:space="0"/>
              <w:left w:val="single" w:color="000000" w:sz="4" w:space="0"/>
              <w:bottom w:val="single" w:color="000000" w:sz="4" w:space="0"/>
              <w:right w:val="single" w:color="000000" w:sz="4" w:space="0"/>
            </w:tcBorders>
            <w:noWrap w:val="0"/>
            <w:vAlign w:val="center"/>
          </w:tcPr>
          <w:p w14:paraId="1FA1E929">
            <w:pPr>
              <w:tabs>
                <w:tab w:val="left" w:pos="720"/>
              </w:tabs>
              <w:snapToGrid w:val="0"/>
              <w:spacing w:line="360" w:lineRule="auto"/>
              <w:jc w:val="center"/>
              <w:rPr>
                <w:rStyle w:val="26"/>
                <w:rFonts w:ascii="宋体" w:hAnsi="宋体"/>
                <w:color w:val="auto"/>
                <w:sz w:val="24"/>
                <w:szCs w:val="24"/>
                <w:highlight w:val="none"/>
              </w:rPr>
            </w:pPr>
            <w:r>
              <w:rPr>
                <w:rStyle w:val="26"/>
                <w:rFonts w:ascii="宋体" w:hAnsi="宋体"/>
                <w:color w:val="auto"/>
                <w:sz w:val="24"/>
                <w:szCs w:val="24"/>
                <w:highlight w:val="none"/>
              </w:rPr>
              <w:t>序号</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251E983A">
            <w:pPr>
              <w:tabs>
                <w:tab w:val="left" w:pos="720"/>
              </w:tabs>
              <w:snapToGrid w:val="0"/>
              <w:spacing w:line="360" w:lineRule="auto"/>
              <w:jc w:val="center"/>
              <w:rPr>
                <w:rStyle w:val="26"/>
                <w:rFonts w:ascii="宋体" w:hAnsi="宋体"/>
                <w:color w:val="auto"/>
                <w:sz w:val="24"/>
                <w:szCs w:val="24"/>
                <w:highlight w:val="none"/>
              </w:rPr>
            </w:pPr>
            <w:r>
              <w:rPr>
                <w:rStyle w:val="26"/>
                <w:rFonts w:ascii="宋体" w:hAnsi="宋体"/>
                <w:color w:val="auto"/>
                <w:sz w:val="24"/>
                <w:szCs w:val="24"/>
                <w:highlight w:val="none"/>
              </w:rPr>
              <w:t>拟在本项目任职</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496EC7AE">
            <w:pPr>
              <w:tabs>
                <w:tab w:val="left" w:pos="720"/>
              </w:tabs>
              <w:snapToGrid w:val="0"/>
              <w:spacing w:line="360" w:lineRule="auto"/>
              <w:jc w:val="center"/>
              <w:rPr>
                <w:rStyle w:val="26"/>
                <w:rFonts w:ascii="宋体" w:hAnsi="宋体"/>
                <w:color w:val="auto"/>
                <w:sz w:val="24"/>
                <w:szCs w:val="24"/>
                <w:highlight w:val="none"/>
              </w:rPr>
            </w:pPr>
            <w:r>
              <w:rPr>
                <w:rStyle w:val="26"/>
                <w:rFonts w:ascii="宋体" w:hAnsi="宋体"/>
                <w:color w:val="auto"/>
                <w:sz w:val="24"/>
                <w:szCs w:val="24"/>
                <w:highlight w:val="none"/>
              </w:rPr>
              <w:t>姓名</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14:paraId="41BB89EA">
            <w:pPr>
              <w:tabs>
                <w:tab w:val="left" w:pos="720"/>
              </w:tabs>
              <w:snapToGrid w:val="0"/>
              <w:spacing w:line="360" w:lineRule="auto"/>
              <w:jc w:val="center"/>
              <w:rPr>
                <w:rStyle w:val="26"/>
                <w:rFonts w:ascii="宋体" w:hAnsi="宋体"/>
                <w:color w:val="auto"/>
                <w:sz w:val="24"/>
                <w:szCs w:val="24"/>
                <w:highlight w:val="none"/>
              </w:rPr>
            </w:pPr>
            <w:r>
              <w:rPr>
                <w:rStyle w:val="26"/>
                <w:rFonts w:ascii="宋体" w:hAnsi="宋体"/>
                <w:color w:val="auto"/>
                <w:sz w:val="24"/>
                <w:szCs w:val="24"/>
                <w:highlight w:val="none"/>
              </w:rPr>
              <w:t>注册证或岗位证或培训证或职称证</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2140DFC2">
            <w:pPr>
              <w:tabs>
                <w:tab w:val="left" w:pos="720"/>
              </w:tabs>
              <w:snapToGrid w:val="0"/>
              <w:spacing w:line="360" w:lineRule="auto"/>
              <w:jc w:val="center"/>
              <w:rPr>
                <w:rStyle w:val="26"/>
                <w:rFonts w:ascii="宋体" w:hAnsi="宋体"/>
                <w:color w:val="auto"/>
                <w:sz w:val="24"/>
                <w:szCs w:val="24"/>
                <w:highlight w:val="none"/>
              </w:rPr>
            </w:pPr>
            <w:r>
              <w:rPr>
                <w:rStyle w:val="26"/>
                <w:rFonts w:ascii="宋体" w:hAnsi="宋体"/>
                <w:color w:val="auto"/>
                <w:sz w:val="24"/>
                <w:szCs w:val="24"/>
                <w:highlight w:val="none"/>
              </w:rPr>
              <w:t>专业</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6590AB63">
            <w:pPr>
              <w:tabs>
                <w:tab w:val="left" w:pos="720"/>
              </w:tabs>
              <w:snapToGrid w:val="0"/>
              <w:spacing w:line="360" w:lineRule="auto"/>
              <w:jc w:val="center"/>
              <w:rPr>
                <w:rStyle w:val="26"/>
                <w:rFonts w:ascii="宋体" w:hAnsi="宋体"/>
                <w:color w:val="auto"/>
                <w:sz w:val="24"/>
                <w:szCs w:val="24"/>
                <w:highlight w:val="none"/>
              </w:rPr>
            </w:pPr>
            <w:r>
              <w:rPr>
                <w:rStyle w:val="26"/>
                <w:rFonts w:ascii="宋体" w:hAnsi="宋体"/>
                <w:color w:val="auto"/>
                <w:sz w:val="24"/>
                <w:szCs w:val="24"/>
                <w:highlight w:val="none"/>
              </w:rPr>
              <w:t>工作年限</w:t>
            </w:r>
          </w:p>
        </w:tc>
      </w:tr>
      <w:tr w14:paraId="024F9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92" w:type="dxa"/>
            <w:tcBorders>
              <w:top w:val="single" w:color="000000" w:sz="4" w:space="0"/>
              <w:left w:val="single" w:color="000000" w:sz="4" w:space="0"/>
              <w:bottom w:val="single" w:color="000000" w:sz="4" w:space="0"/>
              <w:right w:val="single" w:color="000000" w:sz="4" w:space="0"/>
            </w:tcBorders>
            <w:noWrap w:val="0"/>
            <w:vAlign w:val="center"/>
          </w:tcPr>
          <w:p w14:paraId="0652E988">
            <w:pPr>
              <w:tabs>
                <w:tab w:val="left" w:pos="720"/>
              </w:tabs>
              <w:snapToGrid w:val="0"/>
              <w:spacing w:line="360" w:lineRule="auto"/>
              <w:jc w:val="center"/>
              <w:rPr>
                <w:rStyle w:val="26"/>
                <w:rFonts w:ascii="宋体" w:hAnsi="宋体"/>
                <w:color w:val="auto"/>
                <w:sz w:val="24"/>
                <w:szCs w:val="24"/>
                <w:highlight w:val="none"/>
              </w:rPr>
            </w:pPr>
            <w:r>
              <w:rPr>
                <w:rStyle w:val="26"/>
                <w:rFonts w:hint="eastAsia" w:ascii="宋体" w:hAnsi="宋体"/>
                <w:color w:val="auto"/>
                <w:sz w:val="24"/>
                <w:szCs w:val="24"/>
                <w:highlight w:val="none"/>
              </w:rPr>
              <w:t>1</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3F7A6767">
            <w:pPr>
              <w:keepNext/>
              <w:keepLines/>
              <w:tabs>
                <w:tab w:val="left" w:pos="720"/>
              </w:tabs>
              <w:snapToGrid w:val="0"/>
              <w:spacing w:before="120" w:after="120" w:line="360" w:lineRule="auto"/>
              <w:ind w:left="-63" w:leftChars="-30" w:right="-63" w:rightChars="-30"/>
              <w:jc w:val="center"/>
              <w:rPr>
                <w:rStyle w:val="26"/>
                <w:rFonts w:hint="eastAsia" w:ascii="宋体" w:hAnsi="宋体"/>
                <w:color w:val="auto"/>
                <w:sz w:val="24"/>
                <w:szCs w:val="24"/>
                <w:highlight w:val="none"/>
              </w:rPr>
            </w:pPr>
            <w:r>
              <w:rPr>
                <w:rStyle w:val="26"/>
                <w:rFonts w:hint="eastAsia" w:ascii="宋体" w:hAnsi="宋体"/>
                <w:color w:val="auto"/>
                <w:sz w:val="24"/>
                <w:szCs w:val="24"/>
                <w:highlight w:val="none"/>
              </w:rPr>
              <w:t>项目负责人</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4EC763F3">
            <w:pPr>
              <w:keepNext/>
              <w:keepLines/>
              <w:tabs>
                <w:tab w:val="left" w:pos="720"/>
              </w:tabs>
              <w:snapToGrid w:val="0"/>
              <w:spacing w:before="120" w:after="120" w:line="360" w:lineRule="auto"/>
              <w:ind w:left="-63" w:leftChars="-30" w:right="-63" w:rightChars="-30"/>
              <w:jc w:val="center"/>
              <w:rPr>
                <w:rStyle w:val="26"/>
                <w:rFonts w:ascii="宋体" w:hAnsi="宋体"/>
                <w:color w:val="auto"/>
                <w:sz w:val="24"/>
                <w:szCs w:val="24"/>
                <w:highlight w:val="none"/>
              </w:rPr>
            </w:pPr>
          </w:p>
        </w:tc>
        <w:tc>
          <w:tcPr>
            <w:tcW w:w="3149" w:type="dxa"/>
            <w:tcBorders>
              <w:top w:val="single" w:color="000000" w:sz="4" w:space="0"/>
              <w:left w:val="single" w:color="000000" w:sz="4" w:space="0"/>
              <w:bottom w:val="single" w:color="000000" w:sz="4" w:space="0"/>
              <w:right w:val="single" w:color="000000" w:sz="4" w:space="0"/>
            </w:tcBorders>
            <w:noWrap w:val="0"/>
            <w:vAlign w:val="center"/>
          </w:tcPr>
          <w:p w14:paraId="0F8900EE">
            <w:pPr>
              <w:keepNext/>
              <w:keepLines/>
              <w:tabs>
                <w:tab w:val="left" w:pos="720"/>
              </w:tabs>
              <w:snapToGrid w:val="0"/>
              <w:spacing w:before="120" w:after="120" w:line="360" w:lineRule="auto"/>
              <w:ind w:left="-63" w:leftChars="-30" w:right="-63" w:rightChars="-30"/>
              <w:jc w:val="center"/>
              <w:rPr>
                <w:rStyle w:val="26"/>
                <w:rFonts w:ascii="宋体" w:hAnsi="宋体"/>
                <w:color w:val="auto"/>
                <w:sz w:val="24"/>
                <w:szCs w:val="24"/>
                <w:highlight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02A78C89">
            <w:pPr>
              <w:keepNext/>
              <w:keepLines/>
              <w:tabs>
                <w:tab w:val="left" w:pos="720"/>
              </w:tabs>
              <w:snapToGrid w:val="0"/>
              <w:spacing w:before="120" w:after="120" w:line="360" w:lineRule="auto"/>
              <w:ind w:left="-63" w:leftChars="-30" w:right="-63" w:rightChars="-30"/>
              <w:jc w:val="center"/>
              <w:rPr>
                <w:rStyle w:val="26"/>
                <w:rFonts w:ascii="宋体" w:hAnsi="宋体"/>
                <w:color w:val="auto"/>
                <w:sz w:val="24"/>
                <w:szCs w:val="24"/>
                <w:highlight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top"/>
          </w:tcPr>
          <w:p w14:paraId="50CC3A8F">
            <w:pPr>
              <w:keepNext/>
              <w:keepLines/>
              <w:tabs>
                <w:tab w:val="left" w:pos="720"/>
              </w:tabs>
              <w:snapToGrid w:val="0"/>
              <w:spacing w:before="120" w:after="120" w:line="360" w:lineRule="auto"/>
              <w:ind w:left="-63" w:leftChars="-30" w:right="-63" w:rightChars="-30"/>
              <w:jc w:val="center"/>
              <w:rPr>
                <w:rStyle w:val="26"/>
                <w:rFonts w:ascii="宋体" w:hAnsi="宋体"/>
                <w:color w:val="auto"/>
                <w:sz w:val="24"/>
                <w:szCs w:val="24"/>
                <w:highlight w:val="none"/>
              </w:rPr>
            </w:pPr>
          </w:p>
        </w:tc>
      </w:tr>
      <w:tr w14:paraId="7FF31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92" w:type="dxa"/>
            <w:tcBorders>
              <w:top w:val="single" w:color="000000" w:sz="4" w:space="0"/>
              <w:left w:val="single" w:color="000000" w:sz="4" w:space="0"/>
              <w:bottom w:val="single" w:color="000000" w:sz="4" w:space="0"/>
              <w:right w:val="single" w:color="000000" w:sz="4" w:space="0"/>
            </w:tcBorders>
            <w:noWrap w:val="0"/>
            <w:vAlign w:val="center"/>
          </w:tcPr>
          <w:p w14:paraId="65784506">
            <w:pPr>
              <w:tabs>
                <w:tab w:val="left" w:pos="720"/>
              </w:tabs>
              <w:snapToGrid w:val="0"/>
              <w:spacing w:line="360" w:lineRule="auto"/>
              <w:jc w:val="center"/>
              <w:rPr>
                <w:rStyle w:val="26"/>
                <w:rFonts w:ascii="宋体" w:hAnsi="宋体"/>
                <w:color w:val="auto"/>
                <w:sz w:val="24"/>
                <w:szCs w:val="24"/>
                <w:highlight w:val="none"/>
              </w:rPr>
            </w:pPr>
            <w:r>
              <w:rPr>
                <w:rStyle w:val="26"/>
                <w:rFonts w:ascii="宋体" w:hAnsi="宋体"/>
                <w:color w:val="auto"/>
                <w:sz w:val="24"/>
                <w:szCs w:val="24"/>
                <w:highlight w:val="none"/>
              </w:rPr>
              <w:t>2</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2C11420B">
            <w:pPr>
              <w:keepNext/>
              <w:keepLines/>
              <w:tabs>
                <w:tab w:val="left" w:pos="720"/>
              </w:tabs>
              <w:snapToGrid w:val="0"/>
              <w:spacing w:before="120" w:after="120" w:line="360" w:lineRule="auto"/>
              <w:ind w:left="-63" w:leftChars="-30" w:right="-63" w:rightChars="-30"/>
              <w:jc w:val="center"/>
              <w:rPr>
                <w:rStyle w:val="26"/>
                <w:rFonts w:hint="default" w:ascii="宋体" w:hAnsi="宋体" w:eastAsia="宋体"/>
                <w:color w:val="auto"/>
                <w:sz w:val="24"/>
                <w:szCs w:val="24"/>
                <w:highlight w:val="none"/>
                <w:lang w:val="en-US" w:eastAsia="zh-CN"/>
              </w:rPr>
            </w:pPr>
            <w:r>
              <w:rPr>
                <w:rStyle w:val="26"/>
                <w:rFonts w:hint="eastAsia" w:ascii="宋体" w:hAnsi="宋体"/>
                <w:color w:val="auto"/>
                <w:sz w:val="24"/>
                <w:szCs w:val="24"/>
                <w:highlight w:val="none"/>
                <w:lang w:val="en-US" w:eastAsia="zh-CN"/>
              </w:rPr>
              <w:t>技术负责人</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78F01797">
            <w:pPr>
              <w:keepNext/>
              <w:keepLines/>
              <w:tabs>
                <w:tab w:val="left" w:pos="720"/>
              </w:tabs>
              <w:snapToGrid w:val="0"/>
              <w:spacing w:before="120" w:after="120" w:line="360" w:lineRule="auto"/>
              <w:ind w:left="-63" w:leftChars="-30" w:right="-63" w:rightChars="-30"/>
              <w:jc w:val="center"/>
              <w:rPr>
                <w:rStyle w:val="26"/>
                <w:rFonts w:ascii="宋体" w:hAnsi="宋体"/>
                <w:color w:val="auto"/>
                <w:sz w:val="24"/>
                <w:szCs w:val="24"/>
                <w:highlight w:val="none"/>
              </w:rPr>
            </w:pPr>
          </w:p>
        </w:tc>
        <w:tc>
          <w:tcPr>
            <w:tcW w:w="3149" w:type="dxa"/>
            <w:tcBorders>
              <w:top w:val="single" w:color="000000" w:sz="4" w:space="0"/>
              <w:left w:val="single" w:color="000000" w:sz="4" w:space="0"/>
              <w:bottom w:val="single" w:color="000000" w:sz="4" w:space="0"/>
              <w:right w:val="single" w:color="000000" w:sz="4" w:space="0"/>
            </w:tcBorders>
            <w:noWrap w:val="0"/>
            <w:vAlign w:val="center"/>
          </w:tcPr>
          <w:p w14:paraId="28568104">
            <w:pPr>
              <w:keepNext/>
              <w:keepLines/>
              <w:tabs>
                <w:tab w:val="left" w:pos="720"/>
              </w:tabs>
              <w:snapToGrid w:val="0"/>
              <w:spacing w:before="120" w:after="120" w:line="360" w:lineRule="auto"/>
              <w:ind w:left="-63" w:leftChars="-30" w:right="-63" w:rightChars="-30"/>
              <w:jc w:val="center"/>
              <w:rPr>
                <w:rStyle w:val="26"/>
                <w:rFonts w:ascii="宋体" w:hAnsi="宋体"/>
                <w:color w:val="auto"/>
                <w:sz w:val="24"/>
                <w:szCs w:val="24"/>
                <w:highlight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78E6B30E">
            <w:pPr>
              <w:keepNext/>
              <w:keepLines/>
              <w:tabs>
                <w:tab w:val="left" w:pos="720"/>
              </w:tabs>
              <w:snapToGrid w:val="0"/>
              <w:spacing w:before="120" w:after="120" w:line="360" w:lineRule="auto"/>
              <w:ind w:left="-63" w:leftChars="-30" w:right="-63" w:rightChars="-30"/>
              <w:jc w:val="center"/>
              <w:rPr>
                <w:rStyle w:val="26"/>
                <w:rFonts w:ascii="宋体" w:hAnsi="宋体"/>
                <w:color w:val="auto"/>
                <w:sz w:val="24"/>
                <w:szCs w:val="24"/>
                <w:highlight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top"/>
          </w:tcPr>
          <w:p w14:paraId="25A85FB7">
            <w:pPr>
              <w:keepNext/>
              <w:keepLines/>
              <w:tabs>
                <w:tab w:val="left" w:pos="720"/>
              </w:tabs>
              <w:snapToGrid w:val="0"/>
              <w:spacing w:before="120" w:after="120" w:line="360" w:lineRule="auto"/>
              <w:ind w:left="-63" w:leftChars="-30" w:right="-63" w:rightChars="-30"/>
              <w:jc w:val="center"/>
              <w:rPr>
                <w:rStyle w:val="26"/>
                <w:rFonts w:ascii="宋体" w:hAnsi="宋体"/>
                <w:color w:val="auto"/>
                <w:sz w:val="24"/>
                <w:szCs w:val="24"/>
                <w:highlight w:val="none"/>
              </w:rPr>
            </w:pPr>
          </w:p>
        </w:tc>
      </w:tr>
      <w:tr w14:paraId="742A6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92" w:type="dxa"/>
            <w:tcBorders>
              <w:top w:val="single" w:color="000000" w:sz="4" w:space="0"/>
              <w:left w:val="single" w:color="000000" w:sz="4" w:space="0"/>
              <w:bottom w:val="single" w:color="000000" w:sz="4" w:space="0"/>
              <w:right w:val="single" w:color="000000" w:sz="4" w:space="0"/>
            </w:tcBorders>
            <w:noWrap w:val="0"/>
            <w:vAlign w:val="center"/>
          </w:tcPr>
          <w:p w14:paraId="634D0CD4">
            <w:pPr>
              <w:tabs>
                <w:tab w:val="left" w:pos="720"/>
              </w:tabs>
              <w:snapToGrid w:val="0"/>
              <w:spacing w:line="360" w:lineRule="auto"/>
              <w:jc w:val="center"/>
              <w:rPr>
                <w:rStyle w:val="26"/>
                <w:rFonts w:ascii="宋体" w:hAnsi="宋体"/>
                <w:color w:val="auto"/>
                <w:sz w:val="24"/>
                <w:szCs w:val="24"/>
                <w:highlight w:val="none"/>
              </w:rPr>
            </w:pPr>
            <w:r>
              <w:rPr>
                <w:rStyle w:val="26"/>
                <w:rFonts w:ascii="宋体" w:hAnsi="宋体"/>
                <w:color w:val="auto"/>
                <w:sz w:val="24"/>
                <w:szCs w:val="24"/>
                <w:highlight w:val="none"/>
              </w:rPr>
              <w:t>3</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6E67352D">
            <w:pPr>
              <w:keepNext/>
              <w:keepLines/>
              <w:tabs>
                <w:tab w:val="left" w:pos="720"/>
              </w:tabs>
              <w:snapToGrid w:val="0"/>
              <w:spacing w:before="120" w:after="120" w:line="360" w:lineRule="auto"/>
              <w:ind w:left="-63" w:leftChars="-30" w:right="-63" w:rightChars="-30"/>
              <w:jc w:val="center"/>
              <w:rPr>
                <w:rStyle w:val="26"/>
                <w:rFonts w:ascii="宋体" w:hAnsi="宋体"/>
                <w:color w:val="auto"/>
                <w:sz w:val="24"/>
                <w:szCs w:val="24"/>
                <w:highlight w:val="none"/>
              </w:rPr>
            </w:pPr>
            <w:r>
              <w:rPr>
                <w:rStyle w:val="26"/>
                <w:rFonts w:ascii="宋体" w:hAnsi="宋体"/>
                <w:color w:val="auto"/>
                <w:sz w:val="24"/>
                <w:szCs w:val="24"/>
                <w:highlight w:val="none"/>
              </w:rPr>
              <w:t>…</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7717852F">
            <w:pPr>
              <w:keepNext/>
              <w:keepLines/>
              <w:tabs>
                <w:tab w:val="left" w:pos="720"/>
              </w:tabs>
              <w:snapToGrid w:val="0"/>
              <w:spacing w:before="120" w:after="120" w:line="360" w:lineRule="auto"/>
              <w:ind w:left="-63" w:leftChars="-30" w:right="-63" w:rightChars="-30"/>
              <w:jc w:val="center"/>
              <w:rPr>
                <w:rStyle w:val="26"/>
                <w:rFonts w:ascii="宋体" w:hAnsi="宋体"/>
                <w:color w:val="auto"/>
                <w:sz w:val="24"/>
                <w:szCs w:val="24"/>
                <w:highlight w:val="none"/>
              </w:rPr>
            </w:pPr>
          </w:p>
        </w:tc>
        <w:tc>
          <w:tcPr>
            <w:tcW w:w="3149" w:type="dxa"/>
            <w:tcBorders>
              <w:top w:val="single" w:color="000000" w:sz="4" w:space="0"/>
              <w:left w:val="single" w:color="000000" w:sz="4" w:space="0"/>
              <w:bottom w:val="single" w:color="000000" w:sz="4" w:space="0"/>
              <w:right w:val="single" w:color="000000" w:sz="4" w:space="0"/>
            </w:tcBorders>
            <w:noWrap w:val="0"/>
            <w:vAlign w:val="center"/>
          </w:tcPr>
          <w:p w14:paraId="1C9EC285">
            <w:pPr>
              <w:keepNext/>
              <w:keepLines/>
              <w:tabs>
                <w:tab w:val="left" w:pos="720"/>
              </w:tabs>
              <w:snapToGrid w:val="0"/>
              <w:spacing w:before="120" w:after="120" w:line="360" w:lineRule="auto"/>
              <w:ind w:left="-63" w:leftChars="-30" w:right="-63" w:rightChars="-30"/>
              <w:jc w:val="center"/>
              <w:rPr>
                <w:rStyle w:val="26"/>
                <w:rFonts w:ascii="宋体" w:hAnsi="宋体"/>
                <w:color w:val="auto"/>
                <w:sz w:val="24"/>
                <w:szCs w:val="24"/>
                <w:highlight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08DF48C2">
            <w:pPr>
              <w:keepNext/>
              <w:keepLines/>
              <w:tabs>
                <w:tab w:val="left" w:pos="720"/>
              </w:tabs>
              <w:snapToGrid w:val="0"/>
              <w:spacing w:before="120" w:after="120" w:line="360" w:lineRule="auto"/>
              <w:ind w:left="-63" w:leftChars="-30" w:right="-63" w:rightChars="-30"/>
              <w:jc w:val="center"/>
              <w:rPr>
                <w:rStyle w:val="26"/>
                <w:rFonts w:ascii="宋体" w:hAnsi="宋体"/>
                <w:color w:val="auto"/>
                <w:sz w:val="24"/>
                <w:szCs w:val="24"/>
                <w:highlight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top"/>
          </w:tcPr>
          <w:p w14:paraId="4F7DE71F">
            <w:pPr>
              <w:keepNext/>
              <w:keepLines/>
              <w:tabs>
                <w:tab w:val="left" w:pos="720"/>
              </w:tabs>
              <w:snapToGrid w:val="0"/>
              <w:spacing w:before="120" w:after="120" w:line="360" w:lineRule="auto"/>
              <w:ind w:left="-63" w:leftChars="-30" w:right="-63" w:rightChars="-30"/>
              <w:jc w:val="center"/>
              <w:rPr>
                <w:rStyle w:val="26"/>
                <w:rFonts w:ascii="宋体" w:hAnsi="宋体"/>
                <w:color w:val="auto"/>
                <w:sz w:val="24"/>
                <w:szCs w:val="24"/>
                <w:highlight w:val="none"/>
              </w:rPr>
            </w:pPr>
          </w:p>
        </w:tc>
      </w:tr>
      <w:tr w14:paraId="0D779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92" w:type="dxa"/>
            <w:tcBorders>
              <w:top w:val="single" w:color="000000" w:sz="4" w:space="0"/>
              <w:left w:val="single" w:color="000000" w:sz="4" w:space="0"/>
              <w:bottom w:val="single" w:color="000000" w:sz="4" w:space="0"/>
              <w:right w:val="single" w:color="000000" w:sz="4" w:space="0"/>
            </w:tcBorders>
            <w:noWrap w:val="0"/>
            <w:vAlign w:val="center"/>
          </w:tcPr>
          <w:p w14:paraId="74A24D8E">
            <w:pPr>
              <w:tabs>
                <w:tab w:val="left" w:pos="720"/>
              </w:tabs>
              <w:snapToGrid w:val="0"/>
              <w:spacing w:line="360" w:lineRule="auto"/>
              <w:jc w:val="center"/>
              <w:rPr>
                <w:rStyle w:val="26"/>
                <w:rFonts w:ascii="宋体" w:hAnsi="宋体"/>
                <w:color w:val="auto"/>
                <w:sz w:val="24"/>
                <w:szCs w:val="24"/>
                <w:highlight w:val="none"/>
              </w:rPr>
            </w:pPr>
            <w:r>
              <w:rPr>
                <w:rStyle w:val="26"/>
                <w:rFonts w:ascii="宋体" w:hAnsi="宋体"/>
                <w:color w:val="auto"/>
                <w:sz w:val="24"/>
                <w:szCs w:val="24"/>
                <w:highlight w:val="none"/>
              </w:rPr>
              <w:t>4</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54E519F1">
            <w:pPr>
              <w:keepNext/>
              <w:keepLines/>
              <w:tabs>
                <w:tab w:val="left" w:pos="720"/>
              </w:tabs>
              <w:snapToGrid w:val="0"/>
              <w:spacing w:before="120" w:after="120" w:line="360" w:lineRule="auto"/>
              <w:ind w:left="-63" w:leftChars="-30" w:right="-63" w:rightChars="-30"/>
              <w:jc w:val="center"/>
              <w:rPr>
                <w:rStyle w:val="26"/>
                <w:rFonts w:ascii="宋体" w:hAnsi="宋体"/>
                <w:color w:val="auto"/>
                <w:sz w:val="24"/>
                <w:szCs w:val="24"/>
                <w:highlight w:val="none"/>
              </w:rPr>
            </w:pPr>
            <w:r>
              <w:rPr>
                <w:rStyle w:val="26"/>
                <w:rFonts w:ascii="宋体" w:hAnsi="宋体"/>
                <w:color w:val="auto"/>
                <w:sz w:val="24"/>
                <w:szCs w:val="24"/>
                <w:highlight w:val="none"/>
              </w:rPr>
              <w:t>…</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1229F183">
            <w:pPr>
              <w:keepNext/>
              <w:keepLines/>
              <w:tabs>
                <w:tab w:val="left" w:pos="720"/>
              </w:tabs>
              <w:snapToGrid w:val="0"/>
              <w:spacing w:before="120" w:after="120" w:line="360" w:lineRule="auto"/>
              <w:ind w:left="-63" w:leftChars="-30" w:right="-63" w:rightChars="-30"/>
              <w:jc w:val="center"/>
              <w:rPr>
                <w:rStyle w:val="26"/>
                <w:rFonts w:ascii="宋体" w:hAnsi="宋体"/>
                <w:color w:val="auto"/>
                <w:sz w:val="24"/>
                <w:szCs w:val="24"/>
                <w:highlight w:val="none"/>
              </w:rPr>
            </w:pPr>
          </w:p>
        </w:tc>
        <w:tc>
          <w:tcPr>
            <w:tcW w:w="3149" w:type="dxa"/>
            <w:tcBorders>
              <w:top w:val="single" w:color="000000" w:sz="4" w:space="0"/>
              <w:left w:val="single" w:color="000000" w:sz="4" w:space="0"/>
              <w:bottom w:val="single" w:color="000000" w:sz="4" w:space="0"/>
              <w:right w:val="single" w:color="000000" w:sz="4" w:space="0"/>
            </w:tcBorders>
            <w:noWrap w:val="0"/>
            <w:vAlign w:val="center"/>
          </w:tcPr>
          <w:p w14:paraId="79E345B7">
            <w:pPr>
              <w:keepNext/>
              <w:keepLines/>
              <w:tabs>
                <w:tab w:val="left" w:pos="720"/>
              </w:tabs>
              <w:snapToGrid w:val="0"/>
              <w:spacing w:before="120" w:after="120" w:line="360" w:lineRule="auto"/>
              <w:ind w:left="-63" w:leftChars="-30" w:right="-63" w:rightChars="-30"/>
              <w:jc w:val="center"/>
              <w:rPr>
                <w:rStyle w:val="26"/>
                <w:rFonts w:ascii="宋体" w:hAnsi="宋体"/>
                <w:color w:val="auto"/>
                <w:sz w:val="24"/>
                <w:szCs w:val="24"/>
                <w:highlight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70535684">
            <w:pPr>
              <w:keepNext/>
              <w:keepLines/>
              <w:tabs>
                <w:tab w:val="left" w:pos="720"/>
              </w:tabs>
              <w:snapToGrid w:val="0"/>
              <w:spacing w:before="120" w:after="120" w:line="360" w:lineRule="auto"/>
              <w:ind w:left="-63" w:leftChars="-30" w:right="-63" w:rightChars="-30"/>
              <w:jc w:val="center"/>
              <w:rPr>
                <w:rStyle w:val="26"/>
                <w:rFonts w:ascii="宋体" w:hAnsi="宋体"/>
                <w:color w:val="auto"/>
                <w:sz w:val="24"/>
                <w:szCs w:val="24"/>
                <w:highlight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top"/>
          </w:tcPr>
          <w:p w14:paraId="48A2C8FD">
            <w:pPr>
              <w:keepNext/>
              <w:keepLines/>
              <w:tabs>
                <w:tab w:val="left" w:pos="720"/>
              </w:tabs>
              <w:snapToGrid w:val="0"/>
              <w:spacing w:before="120" w:after="120" w:line="360" w:lineRule="auto"/>
              <w:ind w:left="-63" w:leftChars="-30" w:right="-63" w:rightChars="-30"/>
              <w:jc w:val="center"/>
              <w:rPr>
                <w:rStyle w:val="26"/>
                <w:rFonts w:ascii="宋体" w:hAnsi="宋体"/>
                <w:color w:val="auto"/>
                <w:sz w:val="24"/>
                <w:szCs w:val="24"/>
                <w:highlight w:val="none"/>
              </w:rPr>
            </w:pPr>
          </w:p>
        </w:tc>
      </w:tr>
      <w:tr w14:paraId="42DBE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92" w:type="dxa"/>
            <w:tcBorders>
              <w:top w:val="single" w:color="000000" w:sz="4" w:space="0"/>
              <w:left w:val="single" w:color="000000" w:sz="4" w:space="0"/>
              <w:bottom w:val="single" w:color="000000" w:sz="4" w:space="0"/>
              <w:right w:val="single" w:color="000000" w:sz="4" w:space="0"/>
            </w:tcBorders>
            <w:noWrap w:val="0"/>
            <w:vAlign w:val="center"/>
          </w:tcPr>
          <w:p w14:paraId="7DF77FA6">
            <w:pPr>
              <w:tabs>
                <w:tab w:val="left" w:pos="720"/>
              </w:tabs>
              <w:snapToGrid w:val="0"/>
              <w:spacing w:line="360" w:lineRule="auto"/>
              <w:jc w:val="center"/>
              <w:rPr>
                <w:rStyle w:val="26"/>
                <w:rFonts w:ascii="宋体" w:hAnsi="宋体"/>
                <w:color w:val="auto"/>
                <w:sz w:val="24"/>
                <w:szCs w:val="24"/>
                <w:highlight w:val="none"/>
              </w:rPr>
            </w:pPr>
            <w:r>
              <w:rPr>
                <w:rStyle w:val="26"/>
                <w:rFonts w:ascii="宋体" w:hAnsi="宋体"/>
                <w:color w:val="auto"/>
                <w:sz w:val="24"/>
                <w:szCs w:val="24"/>
                <w:highlight w:val="none"/>
              </w:rPr>
              <w:t>5</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7B234803">
            <w:pPr>
              <w:keepNext/>
              <w:keepLines/>
              <w:tabs>
                <w:tab w:val="left" w:pos="720"/>
              </w:tabs>
              <w:snapToGrid w:val="0"/>
              <w:spacing w:before="120" w:after="120" w:line="360" w:lineRule="auto"/>
              <w:ind w:left="-63" w:leftChars="-30" w:right="-63" w:rightChars="-30"/>
              <w:jc w:val="center"/>
              <w:rPr>
                <w:rStyle w:val="26"/>
                <w:rFonts w:ascii="宋体" w:hAnsi="宋体"/>
                <w:color w:val="auto"/>
                <w:sz w:val="24"/>
                <w:szCs w:val="24"/>
                <w:highlight w:val="none"/>
              </w:rPr>
            </w:pPr>
            <w:r>
              <w:rPr>
                <w:rStyle w:val="26"/>
                <w:rFonts w:ascii="宋体" w:hAnsi="宋体"/>
                <w:color w:val="auto"/>
                <w:sz w:val="24"/>
                <w:szCs w:val="24"/>
                <w:highlight w:val="none"/>
              </w:rPr>
              <w:t>…</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1B2368A5">
            <w:pPr>
              <w:keepNext/>
              <w:keepLines/>
              <w:tabs>
                <w:tab w:val="left" w:pos="720"/>
              </w:tabs>
              <w:snapToGrid w:val="0"/>
              <w:spacing w:before="120" w:after="120" w:line="360" w:lineRule="auto"/>
              <w:ind w:left="-63" w:leftChars="-30" w:right="-63" w:rightChars="-30"/>
              <w:jc w:val="center"/>
              <w:rPr>
                <w:rStyle w:val="26"/>
                <w:rFonts w:ascii="宋体" w:hAnsi="宋体"/>
                <w:color w:val="auto"/>
                <w:sz w:val="24"/>
                <w:szCs w:val="24"/>
                <w:highlight w:val="none"/>
              </w:rPr>
            </w:pPr>
          </w:p>
        </w:tc>
        <w:tc>
          <w:tcPr>
            <w:tcW w:w="3149" w:type="dxa"/>
            <w:tcBorders>
              <w:top w:val="single" w:color="000000" w:sz="4" w:space="0"/>
              <w:left w:val="single" w:color="000000" w:sz="4" w:space="0"/>
              <w:bottom w:val="single" w:color="000000" w:sz="4" w:space="0"/>
              <w:right w:val="single" w:color="000000" w:sz="4" w:space="0"/>
            </w:tcBorders>
            <w:noWrap w:val="0"/>
            <w:vAlign w:val="center"/>
          </w:tcPr>
          <w:p w14:paraId="02C9B7FF">
            <w:pPr>
              <w:keepNext/>
              <w:keepLines/>
              <w:tabs>
                <w:tab w:val="left" w:pos="720"/>
              </w:tabs>
              <w:snapToGrid w:val="0"/>
              <w:spacing w:before="120" w:after="120" w:line="360" w:lineRule="auto"/>
              <w:ind w:left="-63" w:leftChars="-30" w:right="-63" w:rightChars="-30"/>
              <w:jc w:val="center"/>
              <w:rPr>
                <w:rStyle w:val="26"/>
                <w:rFonts w:ascii="宋体" w:hAnsi="宋体"/>
                <w:color w:val="auto"/>
                <w:sz w:val="24"/>
                <w:szCs w:val="24"/>
                <w:highlight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1D7BE35A">
            <w:pPr>
              <w:keepNext/>
              <w:keepLines/>
              <w:tabs>
                <w:tab w:val="left" w:pos="720"/>
              </w:tabs>
              <w:snapToGrid w:val="0"/>
              <w:spacing w:before="120" w:after="120" w:line="360" w:lineRule="auto"/>
              <w:ind w:left="-63" w:leftChars="-30" w:right="-63" w:rightChars="-30"/>
              <w:jc w:val="center"/>
              <w:rPr>
                <w:rStyle w:val="26"/>
                <w:rFonts w:ascii="宋体" w:hAnsi="宋体"/>
                <w:color w:val="auto"/>
                <w:sz w:val="24"/>
                <w:szCs w:val="24"/>
                <w:highlight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top"/>
          </w:tcPr>
          <w:p w14:paraId="27DD37B0">
            <w:pPr>
              <w:keepNext/>
              <w:keepLines/>
              <w:tabs>
                <w:tab w:val="left" w:pos="720"/>
              </w:tabs>
              <w:snapToGrid w:val="0"/>
              <w:spacing w:before="120" w:after="120" w:line="360" w:lineRule="auto"/>
              <w:ind w:left="-63" w:leftChars="-30" w:right="-63" w:rightChars="-30"/>
              <w:jc w:val="center"/>
              <w:rPr>
                <w:rStyle w:val="26"/>
                <w:rFonts w:ascii="宋体" w:hAnsi="宋体"/>
                <w:color w:val="auto"/>
                <w:sz w:val="24"/>
                <w:szCs w:val="24"/>
                <w:highlight w:val="none"/>
              </w:rPr>
            </w:pPr>
          </w:p>
        </w:tc>
      </w:tr>
      <w:tr w14:paraId="47B39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92" w:type="dxa"/>
            <w:tcBorders>
              <w:top w:val="single" w:color="000000" w:sz="4" w:space="0"/>
              <w:left w:val="single" w:color="000000" w:sz="4" w:space="0"/>
              <w:bottom w:val="single" w:color="000000" w:sz="4" w:space="0"/>
              <w:right w:val="single" w:color="000000" w:sz="4" w:space="0"/>
            </w:tcBorders>
            <w:noWrap w:val="0"/>
            <w:vAlign w:val="center"/>
          </w:tcPr>
          <w:p w14:paraId="7BB067CF">
            <w:pPr>
              <w:tabs>
                <w:tab w:val="left" w:pos="720"/>
              </w:tabs>
              <w:snapToGrid w:val="0"/>
              <w:spacing w:line="360" w:lineRule="auto"/>
              <w:jc w:val="center"/>
              <w:rPr>
                <w:rStyle w:val="26"/>
                <w:rFonts w:ascii="宋体" w:hAnsi="宋体"/>
                <w:color w:val="auto"/>
                <w:sz w:val="24"/>
                <w:szCs w:val="24"/>
                <w:highlight w:val="none"/>
              </w:rPr>
            </w:pPr>
            <w:r>
              <w:rPr>
                <w:rStyle w:val="26"/>
                <w:rFonts w:ascii="宋体" w:hAnsi="宋体"/>
                <w:color w:val="auto"/>
                <w:sz w:val="24"/>
                <w:szCs w:val="24"/>
                <w:highlight w:val="none"/>
              </w:rPr>
              <w:t>6</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14:paraId="17510B4A">
            <w:pPr>
              <w:keepNext/>
              <w:keepLines/>
              <w:tabs>
                <w:tab w:val="left" w:pos="720"/>
              </w:tabs>
              <w:snapToGrid w:val="0"/>
              <w:spacing w:before="120" w:after="120" w:line="360" w:lineRule="auto"/>
              <w:ind w:left="-63" w:leftChars="-30" w:right="-63" w:rightChars="-30"/>
              <w:jc w:val="center"/>
              <w:rPr>
                <w:rStyle w:val="26"/>
                <w:rFonts w:ascii="宋体" w:hAnsi="宋体"/>
                <w:color w:val="auto"/>
                <w:sz w:val="24"/>
                <w:szCs w:val="24"/>
                <w:highlight w:val="none"/>
              </w:rPr>
            </w:pPr>
            <w:r>
              <w:rPr>
                <w:rStyle w:val="26"/>
                <w:rFonts w:ascii="宋体" w:hAnsi="宋体"/>
                <w:color w:val="auto"/>
                <w:sz w:val="24"/>
                <w:szCs w:val="24"/>
                <w:highlight w:val="none"/>
              </w:rPr>
              <w:t>…</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73B40782">
            <w:pPr>
              <w:keepNext/>
              <w:keepLines/>
              <w:tabs>
                <w:tab w:val="left" w:pos="720"/>
              </w:tabs>
              <w:snapToGrid w:val="0"/>
              <w:spacing w:before="120" w:after="120" w:line="360" w:lineRule="auto"/>
              <w:ind w:left="-63" w:leftChars="-30" w:right="-63" w:rightChars="-30"/>
              <w:jc w:val="center"/>
              <w:rPr>
                <w:rStyle w:val="26"/>
                <w:rFonts w:ascii="宋体" w:hAnsi="宋体"/>
                <w:color w:val="auto"/>
                <w:sz w:val="24"/>
                <w:szCs w:val="24"/>
                <w:highlight w:val="none"/>
              </w:rPr>
            </w:pPr>
          </w:p>
        </w:tc>
        <w:tc>
          <w:tcPr>
            <w:tcW w:w="3149" w:type="dxa"/>
            <w:tcBorders>
              <w:top w:val="single" w:color="000000" w:sz="4" w:space="0"/>
              <w:left w:val="single" w:color="000000" w:sz="4" w:space="0"/>
              <w:bottom w:val="single" w:color="000000" w:sz="4" w:space="0"/>
              <w:right w:val="single" w:color="000000" w:sz="4" w:space="0"/>
            </w:tcBorders>
            <w:noWrap w:val="0"/>
            <w:vAlign w:val="center"/>
          </w:tcPr>
          <w:p w14:paraId="5A22C60E">
            <w:pPr>
              <w:keepNext/>
              <w:keepLines/>
              <w:tabs>
                <w:tab w:val="left" w:pos="720"/>
              </w:tabs>
              <w:snapToGrid w:val="0"/>
              <w:spacing w:before="120" w:after="120" w:line="360" w:lineRule="auto"/>
              <w:ind w:left="-63" w:leftChars="-30" w:right="-63" w:rightChars="-30"/>
              <w:jc w:val="center"/>
              <w:rPr>
                <w:rStyle w:val="26"/>
                <w:rFonts w:ascii="宋体" w:hAnsi="宋体"/>
                <w:color w:val="auto"/>
                <w:sz w:val="24"/>
                <w:szCs w:val="24"/>
                <w:highlight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6D286C9E">
            <w:pPr>
              <w:keepNext/>
              <w:keepLines/>
              <w:tabs>
                <w:tab w:val="left" w:pos="720"/>
              </w:tabs>
              <w:snapToGrid w:val="0"/>
              <w:spacing w:before="120" w:after="120" w:line="360" w:lineRule="auto"/>
              <w:ind w:left="-63" w:leftChars="-30" w:right="-63" w:rightChars="-30"/>
              <w:jc w:val="center"/>
              <w:rPr>
                <w:rStyle w:val="26"/>
                <w:rFonts w:ascii="宋体" w:hAnsi="宋体"/>
                <w:color w:val="auto"/>
                <w:sz w:val="24"/>
                <w:szCs w:val="24"/>
                <w:highlight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top"/>
          </w:tcPr>
          <w:p w14:paraId="6624A027">
            <w:pPr>
              <w:keepNext/>
              <w:keepLines/>
              <w:tabs>
                <w:tab w:val="left" w:pos="720"/>
              </w:tabs>
              <w:snapToGrid w:val="0"/>
              <w:spacing w:before="120" w:after="120" w:line="360" w:lineRule="auto"/>
              <w:ind w:left="-63" w:leftChars="-30" w:right="-63" w:rightChars="-30"/>
              <w:jc w:val="center"/>
              <w:rPr>
                <w:rStyle w:val="26"/>
                <w:rFonts w:ascii="宋体" w:hAnsi="宋体"/>
                <w:color w:val="auto"/>
                <w:sz w:val="24"/>
                <w:szCs w:val="24"/>
                <w:highlight w:val="none"/>
              </w:rPr>
            </w:pPr>
          </w:p>
        </w:tc>
      </w:tr>
    </w:tbl>
    <w:p w14:paraId="0A40AEF0">
      <w:pPr>
        <w:pStyle w:val="34"/>
        <w:rPr>
          <w:rStyle w:val="26"/>
          <w:rFonts w:ascii="宋体" w:hAnsi="宋体"/>
          <w:color w:val="auto"/>
          <w:highlight w:val="none"/>
        </w:rPr>
      </w:pPr>
    </w:p>
    <w:p w14:paraId="15908677">
      <w:pPr>
        <w:spacing w:line="360" w:lineRule="auto"/>
        <w:rPr>
          <w:rStyle w:val="26"/>
          <w:rFonts w:ascii="宋体" w:hAnsi="宋体"/>
          <w:color w:val="auto"/>
          <w:highlight w:val="none"/>
        </w:rPr>
      </w:pPr>
      <w:r>
        <w:rPr>
          <w:rStyle w:val="26"/>
          <w:rFonts w:ascii="宋体" w:hAnsi="宋体"/>
          <w:color w:val="auto"/>
          <w:highlight w:val="none"/>
        </w:rPr>
        <w:t>备注：本表投标单位根据实际情况可进行扩展</w:t>
      </w:r>
      <w:r>
        <w:rPr>
          <w:rStyle w:val="26"/>
          <w:rFonts w:hint="eastAsia" w:ascii="宋体" w:hAnsi="宋体"/>
          <w:color w:val="auto"/>
          <w:highlight w:val="none"/>
        </w:rPr>
        <w:t>。</w:t>
      </w:r>
    </w:p>
    <w:p w14:paraId="26F89628">
      <w:pPr>
        <w:pStyle w:val="34"/>
        <w:rPr>
          <w:rStyle w:val="26"/>
          <w:rFonts w:ascii="宋体" w:hAnsi="宋体"/>
          <w:color w:val="auto"/>
          <w:kern w:val="2"/>
          <w:sz w:val="21"/>
          <w:szCs w:val="22"/>
          <w:highlight w:val="none"/>
        </w:rPr>
      </w:pPr>
      <w:r>
        <w:rPr>
          <w:rStyle w:val="26"/>
          <w:rFonts w:ascii="宋体" w:hAnsi="宋体"/>
          <w:color w:val="auto"/>
          <w:kern w:val="2"/>
          <w:sz w:val="21"/>
          <w:szCs w:val="22"/>
          <w:highlight w:val="none"/>
        </w:rPr>
        <w:t xml:space="preserve">      </w:t>
      </w:r>
    </w:p>
    <w:p w14:paraId="216A876F">
      <w:pPr>
        <w:widowControl/>
        <w:topLinePunct/>
        <w:adjustRightInd w:val="0"/>
        <w:snapToGrid w:val="0"/>
        <w:spacing w:after="200"/>
        <w:jc w:val="left"/>
        <w:outlineLvl w:val="2"/>
        <w:rPr>
          <w:rStyle w:val="26"/>
          <w:rFonts w:ascii="宋体" w:hAnsi="宋体"/>
          <w:color w:val="auto"/>
          <w:highlight w:val="none"/>
        </w:rPr>
      </w:pPr>
    </w:p>
    <w:p w14:paraId="06FDE2A1">
      <w:pPr>
        <w:widowControl/>
        <w:topLinePunct/>
        <w:adjustRightInd w:val="0"/>
        <w:snapToGrid w:val="0"/>
        <w:spacing w:after="200"/>
        <w:jc w:val="left"/>
        <w:outlineLvl w:val="2"/>
        <w:rPr>
          <w:rFonts w:hint="eastAsia" w:ascii="宋体" w:cs="宋体"/>
          <w:b/>
          <w:color w:val="auto"/>
          <w:kern w:val="0"/>
          <w:sz w:val="24"/>
          <w:szCs w:val="24"/>
          <w:highlight w:val="none"/>
        </w:rPr>
      </w:pPr>
      <w:r>
        <w:rPr>
          <w:rStyle w:val="26"/>
          <w:rFonts w:ascii="宋体" w:hAnsi="宋体"/>
          <w:color w:val="auto"/>
          <w:highlight w:val="none"/>
        </w:rPr>
        <w:br w:type="page"/>
      </w:r>
      <w:bookmarkEnd w:id="102"/>
      <w:bookmarkEnd w:id="103"/>
      <w:bookmarkEnd w:id="104"/>
      <w:bookmarkEnd w:id="105"/>
      <w:bookmarkEnd w:id="106"/>
      <w:bookmarkStart w:id="107" w:name="_Toc48896916"/>
      <w:r>
        <w:rPr>
          <w:rFonts w:hint="eastAsia" w:ascii="宋体" w:hAnsi="宋体" w:cs="宋体"/>
          <w:b/>
          <w:bCs/>
          <w:color w:val="auto"/>
          <w:highlight w:val="none"/>
        </w:rPr>
        <w:t>★ 格式六</w:t>
      </w:r>
      <w:bookmarkEnd w:id="107"/>
    </w:p>
    <w:p w14:paraId="4E222D4C">
      <w:pPr>
        <w:autoSpaceDE w:val="0"/>
        <w:autoSpaceDN w:val="0"/>
        <w:adjustRightInd w:val="0"/>
        <w:spacing w:line="360" w:lineRule="auto"/>
        <w:ind w:firstLine="562" w:firstLineChars="200"/>
        <w:jc w:val="center"/>
        <w:rPr>
          <w:rFonts w:ascii="宋体" w:hAnsi="宋体" w:cs="宋体"/>
          <w:b/>
          <w:color w:val="auto"/>
          <w:sz w:val="28"/>
          <w:szCs w:val="24"/>
          <w:highlight w:val="none"/>
        </w:rPr>
      </w:pPr>
      <w:r>
        <w:rPr>
          <w:rFonts w:hint="eastAsia" w:ascii="宋体" w:hAnsi="宋体" w:cs="宋体"/>
          <w:b/>
          <w:color w:val="auto"/>
          <w:sz w:val="28"/>
          <w:szCs w:val="24"/>
          <w:highlight w:val="none"/>
        </w:rPr>
        <w:t>危险性较大的分部分项工程清单及超过一定规模的危险性较大的分部分项工程清单</w:t>
      </w:r>
    </w:p>
    <w:p w14:paraId="0878D31A">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1．根据中华人民共和国住房和城乡建设部令第37号《危险性较大的分部分项工程安全管理规定》（以下简称“37号文”），投标人在投标时须补充完善危大工程清单并明确相应的安全管理措施。</w:t>
      </w:r>
    </w:p>
    <w:p w14:paraId="4AC2F9E7">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2．招标人根据设计文件的要求及37号文的规定列出“危险性较大的分部分项工程清单及超过一定规模的危险性较大的分部分项工程清单”中与本招标项目相关的清单项，具体详见第5点“打√”标识。</w:t>
      </w:r>
    </w:p>
    <w:p w14:paraId="79DF01E3">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（1）投标单位同意建设单位在清单中标识的该项请在对应项打“√”标识，并与投标文件中提供相应的安全管理措施。</w:t>
      </w:r>
    </w:p>
    <w:p w14:paraId="61DF2FA9">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（2）投标单位对清单中认为需要补充的该项请在对应项打“√”标识，并与投标文件中提供相应的安全管理措施。</w:t>
      </w:r>
    </w:p>
    <w:p w14:paraId="293F97AD">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（3）投标单位不同意建设单位在清单中标识的该项请在对应项打“×”标识，并在备注栏填上相关说明。</w:t>
      </w:r>
    </w:p>
    <w:p w14:paraId="25C7E4BE">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3．中标后应当根据招标人提供的下述第5点清单，编制专项施工方案。</w:t>
      </w:r>
    </w:p>
    <w:p w14:paraId="4D5C6B9E">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21D18DBA">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5．危险性较大的分部分项工程清单及超过一定规模的危险性较大的分部分项工程清单：</w:t>
      </w:r>
    </w:p>
    <w:tbl>
      <w:tblPr>
        <w:tblStyle w:val="21"/>
        <w:tblW w:w="8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1361"/>
        <w:gridCol w:w="1361"/>
        <w:gridCol w:w="1063"/>
      </w:tblGrid>
      <w:tr w14:paraId="1C9EF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center"/>
          </w:tcPr>
          <w:p w14:paraId="10322CC0">
            <w:pPr>
              <w:autoSpaceDE w:val="0"/>
              <w:autoSpaceDN w:val="0"/>
              <w:adjustRightInd w:val="0"/>
              <w:spacing w:line="0" w:lineRule="atLeast"/>
              <w:rPr>
                <w:rFonts w:ascii="宋体" w:hAnsi="宋体" w:cs="宋体"/>
                <w:b/>
                <w:color w:val="auto"/>
                <w:sz w:val="24"/>
                <w:szCs w:val="24"/>
                <w:highlight w:val="none"/>
              </w:rPr>
            </w:pPr>
            <w:r>
              <w:rPr>
                <w:rFonts w:hint="eastAsia" w:ascii="宋体" w:hAnsi="宋体" w:cs="宋体"/>
                <w:b/>
                <w:color w:val="auto"/>
                <w:sz w:val="24"/>
                <w:szCs w:val="24"/>
                <w:highlight w:val="none"/>
              </w:rPr>
              <w:t>一、危险性较大的分部分项工程清单</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4CED8FA">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建设单位</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5E5CE01">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投标单位</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46BB14E">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14:paraId="2ED48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7D4B522A">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一、基坑支护</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8819184">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98A555A">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2337AE4">
            <w:pPr>
              <w:autoSpaceDE w:val="0"/>
              <w:autoSpaceDN w:val="0"/>
              <w:adjustRightInd w:val="0"/>
              <w:spacing w:line="0" w:lineRule="atLeast"/>
              <w:rPr>
                <w:rFonts w:ascii="宋体" w:hAnsi="宋体" w:cs="宋体"/>
                <w:color w:val="auto"/>
                <w:sz w:val="24"/>
                <w:szCs w:val="24"/>
                <w:highlight w:val="none"/>
              </w:rPr>
            </w:pPr>
          </w:p>
        </w:tc>
      </w:tr>
      <w:tr w14:paraId="271EF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651FE2AB">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（一）开挖深度超过3m（含3m）的基坑（槽）的土方开挖、支护、降水工程。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C3AD94B">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A517C99">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F7F619B">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tc>
      </w:tr>
      <w:tr w14:paraId="7EC3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725C6FFA">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（二）开挖深度虽未超过3m，但地质条件、周围环境和地下管线复杂，或影响毗邻建、构筑物安全的基坑（槽）的土方开挖、支护、降水工程。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AF25971">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7BC362B">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C115B89">
            <w:pPr>
              <w:autoSpaceDE w:val="0"/>
              <w:autoSpaceDN w:val="0"/>
              <w:adjustRightInd w:val="0"/>
              <w:spacing w:line="0" w:lineRule="atLeast"/>
              <w:rPr>
                <w:rFonts w:ascii="宋体" w:hAnsi="宋体" w:cs="宋体"/>
                <w:color w:val="auto"/>
                <w:sz w:val="24"/>
                <w:szCs w:val="24"/>
                <w:highlight w:val="none"/>
              </w:rPr>
            </w:pPr>
          </w:p>
        </w:tc>
      </w:tr>
      <w:tr w14:paraId="717B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76E3AB26">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二、模板工程及支撑体系</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2D5D088">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C803A59">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18A99BF">
            <w:pPr>
              <w:autoSpaceDE w:val="0"/>
              <w:autoSpaceDN w:val="0"/>
              <w:adjustRightInd w:val="0"/>
              <w:spacing w:line="0" w:lineRule="atLeast"/>
              <w:rPr>
                <w:rFonts w:ascii="宋体" w:hAnsi="宋体" w:cs="宋体"/>
                <w:color w:val="auto"/>
                <w:sz w:val="24"/>
                <w:szCs w:val="24"/>
                <w:highlight w:val="none"/>
              </w:rPr>
            </w:pPr>
          </w:p>
        </w:tc>
      </w:tr>
      <w:tr w14:paraId="5AACC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7E83FE0D">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（一）各类工具式模板工程：包括滑模、爬模、飞模、隧道模等工程。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2653294">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41531F0">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A8A09FE">
            <w:pPr>
              <w:autoSpaceDE w:val="0"/>
              <w:autoSpaceDN w:val="0"/>
              <w:adjustRightInd w:val="0"/>
              <w:spacing w:line="0" w:lineRule="atLeast"/>
              <w:rPr>
                <w:rFonts w:ascii="宋体" w:hAnsi="宋体" w:cs="宋体"/>
                <w:color w:val="auto"/>
                <w:sz w:val="24"/>
                <w:szCs w:val="24"/>
                <w:highlight w:val="none"/>
              </w:rPr>
            </w:pPr>
          </w:p>
        </w:tc>
      </w:tr>
      <w:tr w14:paraId="23FF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1DB67D21">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C33FF87">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6ED4D57">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E57728C">
            <w:pPr>
              <w:autoSpaceDE w:val="0"/>
              <w:autoSpaceDN w:val="0"/>
              <w:adjustRightInd w:val="0"/>
              <w:spacing w:line="0" w:lineRule="atLeast"/>
              <w:rPr>
                <w:rFonts w:ascii="宋体" w:hAnsi="宋体" w:cs="宋体"/>
                <w:color w:val="auto"/>
                <w:sz w:val="24"/>
                <w:szCs w:val="24"/>
                <w:highlight w:val="none"/>
              </w:rPr>
            </w:pPr>
          </w:p>
        </w:tc>
      </w:tr>
      <w:tr w14:paraId="35FC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6BB79297">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（三）承重支撑体系：用于钢结构安装等满堂支撑体系。</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7C8CEEC">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C15931A">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A5E5BFC">
            <w:pPr>
              <w:autoSpaceDE w:val="0"/>
              <w:autoSpaceDN w:val="0"/>
              <w:adjustRightInd w:val="0"/>
              <w:spacing w:line="0" w:lineRule="atLeast"/>
              <w:rPr>
                <w:rFonts w:ascii="宋体" w:hAnsi="宋体" w:cs="宋体"/>
                <w:color w:val="auto"/>
                <w:sz w:val="24"/>
                <w:szCs w:val="24"/>
                <w:highlight w:val="none"/>
              </w:rPr>
            </w:pPr>
          </w:p>
        </w:tc>
      </w:tr>
      <w:tr w14:paraId="260AD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4DC13321">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　三、起重吊装及起重机械安装拆卸工程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9710CE2">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1EAF0F3">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8D27785">
            <w:pPr>
              <w:autoSpaceDE w:val="0"/>
              <w:autoSpaceDN w:val="0"/>
              <w:adjustRightInd w:val="0"/>
              <w:spacing w:line="0" w:lineRule="atLeast"/>
              <w:rPr>
                <w:rFonts w:ascii="宋体" w:hAnsi="宋体" w:cs="宋体"/>
                <w:color w:val="auto"/>
                <w:sz w:val="24"/>
                <w:szCs w:val="24"/>
                <w:highlight w:val="none"/>
              </w:rPr>
            </w:pPr>
          </w:p>
        </w:tc>
      </w:tr>
      <w:tr w14:paraId="219E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6E7BC35D">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（一）采用非常规起重设备、方法，且单件起吊重量在10kN及以上的起重吊装工程。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721BF3C">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6ADEAC9">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A053BC7">
            <w:pPr>
              <w:autoSpaceDE w:val="0"/>
              <w:autoSpaceDN w:val="0"/>
              <w:adjustRightInd w:val="0"/>
              <w:spacing w:line="0" w:lineRule="atLeast"/>
              <w:rPr>
                <w:rFonts w:ascii="宋体" w:hAnsi="宋体" w:cs="宋体"/>
                <w:color w:val="auto"/>
                <w:sz w:val="24"/>
                <w:szCs w:val="24"/>
                <w:highlight w:val="none"/>
              </w:rPr>
            </w:pPr>
          </w:p>
        </w:tc>
      </w:tr>
      <w:tr w14:paraId="0E05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7FFF50CF">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（二）采用起重机械进行安装的工程。</w:t>
            </w:r>
          </w:p>
        </w:tc>
        <w:tc>
          <w:tcPr>
            <w:tcW w:w="1361" w:type="dxa"/>
            <w:tcBorders>
              <w:top w:val="single" w:color="auto" w:sz="4" w:space="0"/>
              <w:left w:val="single" w:color="auto" w:sz="4" w:space="0"/>
              <w:bottom w:val="single" w:color="auto" w:sz="4" w:space="0"/>
              <w:right w:val="single" w:color="auto" w:sz="4" w:space="0"/>
            </w:tcBorders>
            <w:noWrap w:val="0"/>
            <w:vAlign w:val="top"/>
          </w:tcPr>
          <w:p w14:paraId="55DAF4D3">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51C833D">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E8453A0">
            <w:pPr>
              <w:autoSpaceDE w:val="0"/>
              <w:autoSpaceDN w:val="0"/>
              <w:adjustRightInd w:val="0"/>
              <w:spacing w:line="0" w:lineRule="atLeast"/>
              <w:rPr>
                <w:rFonts w:ascii="宋体" w:hAnsi="宋体" w:cs="宋体"/>
                <w:color w:val="auto"/>
                <w:sz w:val="24"/>
                <w:szCs w:val="24"/>
                <w:highlight w:val="none"/>
              </w:rPr>
            </w:pPr>
          </w:p>
        </w:tc>
      </w:tr>
      <w:tr w14:paraId="5924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72F0A75D">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（三）起重机械安装和拆卸工程。</w:t>
            </w:r>
          </w:p>
        </w:tc>
        <w:tc>
          <w:tcPr>
            <w:tcW w:w="1361" w:type="dxa"/>
            <w:tcBorders>
              <w:top w:val="single" w:color="auto" w:sz="4" w:space="0"/>
              <w:left w:val="single" w:color="auto" w:sz="4" w:space="0"/>
              <w:bottom w:val="single" w:color="auto" w:sz="4" w:space="0"/>
              <w:right w:val="single" w:color="auto" w:sz="4" w:space="0"/>
            </w:tcBorders>
            <w:noWrap w:val="0"/>
            <w:vAlign w:val="top"/>
          </w:tcPr>
          <w:p w14:paraId="07815710">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F64A977">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C64230B">
            <w:pPr>
              <w:autoSpaceDE w:val="0"/>
              <w:autoSpaceDN w:val="0"/>
              <w:adjustRightInd w:val="0"/>
              <w:spacing w:line="0" w:lineRule="atLeast"/>
              <w:rPr>
                <w:rFonts w:ascii="宋体" w:hAnsi="宋体" w:cs="宋体"/>
                <w:color w:val="auto"/>
                <w:sz w:val="24"/>
                <w:szCs w:val="24"/>
                <w:highlight w:val="none"/>
              </w:rPr>
            </w:pPr>
          </w:p>
        </w:tc>
      </w:tr>
      <w:tr w14:paraId="57A73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540F31D5">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四、脚手架工程</w:t>
            </w:r>
          </w:p>
        </w:tc>
        <w:tc>
          <w:tcPr>
            <w:tcW w:w="1361" w:type="dxa"/>
            <w:tcBorders>
              <w:top w:val="single" w:color="auto" w:sz="4" w:space="0"/>
              <w:left w:val="single" w:color="auto" w:sz="4" w:space="0"/>
              <w:bottom w:val="single" w:color="auto" w:sz="4" w:space="0"/>
              <w:right w:val="single" w:color="auto" w:sz="4" w:space="0"/>
            </w:tcBorders>
            <w:noWrap w:val="0"/>
            <w:vAlign w:val="top"/>
          </w:tcPr>
          <w:p w14:paraId="40867D29">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23CA629">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677B588">
            <w:pPr>
              <w:autoSpaceDE w:val="0"/>
              <w:autoSpaceDN w:val="0"/>
              <w:adjustRightInd w:val="0"/>
              <w:spacing w:line="0" w:lineRule="atLeast"/>
              <w:rPr>
                <w:rFonts w:ascii="宋体" w:hAnsi="宋体" w:cs="宋体"/>
                <w:color w:val="auto"/>
                <w:sz w:val="24"/>
                <w:szCs w:val="24"/>
                <w:highlight w:val="none"/>
              </w:rPr>
            </w:pPr>
          </w:p>
        </w:tc>
      </w:tr>
      <w:tr w14:paraId="6C30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3EFF12B3">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（一）搭设高度24m及以上的落地式钢管脚手架工程（包括采光井、电梯井脚手架）。</w:t>
            </w:r>
          </w:p>
        </w:tc>
        <w:tc>
          <w:tcPr>
            <w:tcW w:w="1361" w:type="dxa"/>
            <w:tcBorders>
              <w:top w:val="single" w:color="auto" w:sz="4" w:space="0"/>
              <w:left w:val="single" w:color="auto" w:sz="4" w:space="0"/>
              <w:bottom w:val="single" w:color="auto" w:sz="4" w:space="0"/>
              <w:right w:val="single" w:color="auto" w:sz="4" w:space="0"/>
            </w:tcBorders>
            <w:noWrap w:val="0"/>
            <w:vAlign w:val="top"/>
          </w:tcPr>
          <w:p w14:paraId="5F2F3D0E">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86D7D11">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E9B235E">
            <w:pPr>
              <w:autoSpaceDE w:val="0"/>
              <w:autoSpaceDN w:val="0"/>
              <w:adjustRightInd w:val="0"/>
              <w:spacing w:line="0" w:lineRule="atLeast"/>
              <w:rPr>
                <w:rFonts w:ascii="宋体" w:hAnsi="宋体" w:cs="宋体"/>
                <w:color w:val="auto"/>
                <w:sz w:val="24"/>
                <w:szCs w:val="24"/>
                <w:highlight w:val="none"/>
              </w:rPr>
            </w:pPr>
          </w:p>
        </w:tc>
      </w:tr>
      <w:tr w14:paraId="4711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22B3DBEA">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（二）附着式升降脚手架工程。</w:t>
            </w:r>
          </w:p>
        </w:tc>
        <w:tc>
          <w:tcPr>
            <w:tcW w:w="1361" w:type="dxa"/>
            <w:tcBorders>
              <w:top w:val="single" w:color="auto" w:sz="4" w:space="0"/>
              <w:left w:val="single" w:color="auto" w:sz="4" w:space="0"/>
              <w:bottom w:val="single" w:color="auto" w:sz="4" w:space="0"/>
              <w:right w:val="single" w:color="auto" w:sz="4" w:space="0"/>
            </w:tcBorders>
            <w:noWrap w:val="0"/>
            <w:vAlign w:val="top"/>
          </w:tcPr>
          <w:p w14:paraId="7395E738">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642D6F2">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A39F19C">
            <w:pPr>
              <w:autoSpaceDE w:val="0"/>
              <w:autoSpaceDN w:val="0"/>
              <w:adjustRightInd w:val="0"/>
              <w:spacing w:line="0" w:lineRule="atLeast"/>
              <w:rPr>
                <w:rFonts w:ascii="宋体" w:hAnsi="宋体" w:cs="宋体"/>
                <w:color w:val="auto"/>
                <w:sz w:val="24"/>
                <w:szCs w:val="24"/>
                <w:highlight w:val="none"/>
              </w:rPr>
            </w:pPr>
          </w:p>
        </w:tc>
      </w:tr>
      <w:tr w14:paraId="5403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001723D0">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（三）悬挑式脚手架工程。</w:t>
            </w:r>
          </w:p>
        </w:tc>
        <w:tc>
          <w:tcPr>
            <w:tcW w:w="1361" w:type="dxa"/>
            <w:tcBorders>
              <w:top w:val="single" w:color="auto" w:sz="4" w:space="0"/>
              <w:left w:val="single" w:color="auto" w:sz="4" w:space="0"/>
              <w:bottom w:val="single" w:color="auto" w:sz="4" w:space="0"/>
              <w:right w:val="single" w:color="auto" w:sz="4" w:space="0"/>
            </w:tcBorders>
            <w:noWrap w:val="0"/>
            <w:vAlign w:val="top"/>
          </w:tcPr>
          <w:p w14:paraId="52FADCD8">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50B02BA">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01A7DA8">
            <w:pPr>
              <w:autoSpaceDE w:val="0"/>
              <w:autoSpaceDN w:val="0"/>
              <w:adjustRightInd w:val="0"/>
              <w:spacing w:line="0" w:lineRule="atLeast"/>
              <w:rPr>
                <w:rFonts w:ascii="宋体" w:hAnsi="宋体" w:cs="宋体"/>
                <w:color w:val="auto"/>
                <w:sz w:val="24"/>
                <w:szCs w:val="24"/>
                <w:highlight w:val="none"/>
              </w:rPr>
            </w:pPr>
          </w:p>
        </w:tc>
      </w:tr>
      <w:tr w14:paraId="07CC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0AB1DA39">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（四）高处作业吊篮。</w:t>
            </w:r>
          </w:p>
        </w:tc>
        <w:tc>
          <w:tcPr>
            <w:tcW w:w="1361" w:type="dxa"/>
            <w:tcBorders>
              <w:top w:val="single" w:color="auto" w:sz="4" w:space="0"/>
              <w:left w:val="single" w:color="auto" w:sz="4" w:space="0"/>
              <w:bottom w:val="single" w:color="auto" w:sz="4" w:space="0"/>
              <w:right w:val="single" w:color="auto" w:sz="4" w:space="0"/>
            </w:tcBorders>
            <w:noWrap w:val="0"/>
            <w:vAlign w:val="top"/>
          </w:tcPr>
          <w:p w14:paraId="116F638E">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95A357F">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9A9378C">
            <w:pPr>
              <w:autoSpaceDE w:val="0"/>
              <w:autoSpaceDN w:val="0"/>
              <w:adjustRightInd w:val="0"/>
              <w:spacing w:line="0" w:lineRule="atLeast"/>
              <w:rPr>
                <w:rFonts w:ascii="宋体" w:hAnsi="宋体" w:cs="宋体"/>
                <w:color w:val="auto"/>
                <w:sz w:val="24"/>
                <w:szCs w:val="24"/>
                <w:highlight w:val="none"/>
              </w:rPr>
            </w:pPr>
          </w:p>
        </w:tc>
      </w:tr>
      <w:tr w14:paraId="535A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1C49EE5B">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（五）卸料平台、操作平台工程。</w:t>
            </w:r>
          </w:p>
        </w:tc>
        <w:tc>
          <w:tcPr>
            <w:tcW w:w="1361" w:type="dxa"/>
            <w:tcBorders>
              <w:top w:val="single" w:color="auto" w:sz="4" w:space="0"/>
              <w:left w:val="single" w:color="auto" w:sz="4" w:space="0"/>
              <w:bottom w:val="single" w:color="auto" w:sz="4" w:space="0"/>
              <w:right w:val="single" w:color="auto" w:sz="4" w:space="0"/>
            </w:tcBorders>
            <w:noWrap w:val="0"/>
            <w:vAlign w:val="top"/>
          </w:tcPr>
          <w:p w14:paraId="1F1D2A37">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76D188C">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CE1673F">
            <w:pPr>
              <w:autoSpaceDE w:val="0"/>
              <w:autoSpaceDN w:val="0"/>
              <w:adjustRightInd w:val="0"/>
              <w:spacing w:line="0" w:lineRule="atLeast"/>
              <w:rPr>
                <w:rFonts w:ascii="宋体" w:hAnsi="宋体" w:cs="宋体"/>
                <w:color w:val="auto"/>
                <w:sz w:val="24"/>
                <w:szCs w:val="24"/>
                <w:highlight w:val="none"/>
              </w:rPr>
            </w:pPr>
          </w:p>
        </w:tc>
      </w:tr>
      <w:tr w14:paraId="09C46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2E07771B">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（六）异型脚手架工程。</w:t>
            </w:r>
          </w:p>
        </w:tc>
        <w:tc>
          <w:tcPr>
            <w:tcW w:w="1361" w:type="dxa"/>
            <w:tcBorders>
              <w:top w:val="single" w:color="auto" w:sz="4" w:space="0"/>
              <w:left w:val="single" w:color="auto" w:sz="4" w:space="0"/>
              <w:bottom w:val="single" w:color="auto" w:sz="4" w:space="0"/>
              <w:right w:val="single" w:color="auto" w:sz="4" w:space="0"/>
            </w:tcBorders>
            <w:noWrap w:val="0"/>
            <w:vAlign w:val="top"/>
          </w:tcPr>
          <w:p w14:paraId="369C011A">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621E027">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802BE29">
            <w:pPr>
              <w:autoSpaceDE w:val="0"/>
              <w:autoSpaceDN w:val="0"/>
              <w:adjustRightInd w:val="0"/>
              <w:spacing w:line="0" w:lineRule="atLeast"/>
              <w:rPr>
                <w:rFonts w:ascii="宋体" w:hAnsi="宋体" w:cs="宋体"/>
                <w:color w:val="auto"/>
                <w:sz w:val="24"/>
                <w:szCs w:val="24"/>
                <w:highlight w:val="none"/>
              </w:rPr>
            </w:pPr>
          </w:p>
        </w:tc>
      </w:tr>
      <w:tr w14:paraId="06DF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0BA2AC0B">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五、拆除工程</w:t>
            </w:r>
          </w:p>
        </w:tc>
        <w:tc>
          <w:tcPr>
            <w:tcW w:w="1361" w:type="dxa"/>
            <w:tcBorders>
              <w:top w:val="single" w:color="auto" w:sz="4" w:space="0"/>
              <w:left w:val="single" w:color="auto" w:sz="4" w:space="0"/>
              <w:bottom w:val="single" w:color="auto" w:sz="4" w:space="0"/>
              <w:right w:val="single" w:color="auto" w:sz="4" w:space="0"/>
            </w:tcBorders>
            <w:noWrap w:val="0"/>
            <w:vAlign w:val="top"/>
          </w:tcPr>
          <w:p w14:paraId="646F957A">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A959B6A">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B1340F3">
            <w:pPr>
              <w:autoSpaceDE w:val="0"/>
              <w:autoSpaceDN w:val="0"/>
              <w:adjustRightInd w:val="0"/>
              <w:spacing w:line="0" w:lineRule="atLeast"/>
              <w:rPr>
                <w:rFonts w:ascii="宋体" w:hAnsi="宋体" w:cs="宋体"/>
                <w:color w:val="auto"/>
                <w:sz w:val="24"/>
                <w:szCs w:val="24"/>
                <w:highlight w:val="none"/>
              </w:rPr>
            </w:pPr>
          </w:p>
        </w:tc>
      </w:tr>
      <w:tr w14:paraId="1B6E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7900EC05">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可能影响行人、交通、电力设施、通讯设施或其它建、构筑物安全的拆除工程。</w:t>
            </w:r>
          </w:p>
        </w:tc>
        <w:tc>
          <w:tcPr>
            <w:tcW w:w="1361" w:type="dxa"/>
            <w:tcBorders>
              <w:top w:val="single" w:color="auto" w:sz="4" w:space="0"/>
              <w:left w:val="single" w:color="auto" w:sz="4" w:space="0"/>
              <w:bottom w:val="single" w:color="auto" w:sz="4" w:space="0"/>
              <w:right w:val="single" w:color="auto" w:sz="4" w:space="0"/>
            </w:tcBorders>
            <w:noWrap w:val="0"/>
            <w:vAlign w:val="top"/>
          </w:tcPr>
          <w:p w14:paraId="1B73B8AE">
            <w:pPr>
              <w:jc w:val="center"/>
              <w:rPr>
                <w:color w:val="auto"/>
                <w:highlight w:val="none"/>
              </w:rPr>
            </w:pP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 xml:space="preserve">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8277BB7">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0221517">
            <w:pPr>
              <w:autoSpaceDE w:val="0"/>
              <w:autoSpaceDN w:val="0"/>
              <w:adjustRightInd w:val="0"/>
              <w:spacing w:line="0" w:lineRule="atLeast"/>
              <w:rPr>
                <w:rFonts w:ascii="宋体" w:hAnsi="宋体" w:cs="宋体"/>
                <w:color w:val="auto"/>
                <w:sz w:val="24"/>
                <w:szCs w:val="24"/>
                <w:highlight w:val="none"/>
              </w:rPr>
            </w:pPr>
          </w:p>
        </w:tc>
      </w:tr>
      <w:tr w14:paraId="52E7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416F6A3A">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　六、暗挖工程</w:t>
            </w:r>
          </w:p>
        </w:tc>
        <w:tc>
          <w:tcPr>
            <w:tcW w:w="1361" w:type="dxa"/>
            <w:tcBorders>
              <w:top w:val="single" w:color="auto" w:sz="4" w:space="0"/>
              <w:left w:val="single" w:color="auto" w:sz="4" w:space="0"/>
              <w:bottom w:val="single" w:color="auto" w:sz="4" w:space="0"/>
              <w:right w:val="single" w:color="auto" w:sz="4" w:space="0"/>
            </w:tcBorders>
            <w:noWrap w:val="0"/>
            <w:vAlign w:val="top"/>
          </w:tcPr>
          <w:p w14:paraId="6E10D4CC">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A0BDEA3">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A767974">
            <w:pPr>
              <w:autoSpaceDE w:val="0"/>
              <w:autoSpaceDN w:val="0"/>
              <w:adjustRightInd w:val="0"/>
              <w:spacing w:line="0" w:lineRule="atLeast"/>
              <w:rPr>
                <w:rFonts w:ascii="宋体" w:hAnsi="宋体" w:cs="宋体"/>
                <w:color w:val="auto"/>
                <w:sz w:val="24"/>
                <w:szCs w:val="24"/>
                <w:highlight w:val="none"/>
              </w:rPr>
            </w:pPr>
          </w:p>
        </w:tc>
      </w:tr>
      <w:tr w14:paraId="5E378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1D6EB5BF">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采用矿山法、盾构法、顶管法施工的隧道、洞室工程。</w:t>
            </w:r>
          </w:p>
        </w:tc>
        <w:tc>
          <w:tcPr>
            <w:tcW w:w="1361" w:type="dxa"/>
            <w:tcBorders>
              <w:top w:val="single" w:color="auto" w:sz="4" w:space="0"/>
              <w:left w:val="single" w:color="auto" w:sz="4" w:space="0"/>
              <w:bottom w:val="single" w:color="auto" w:sz="4" w:space="0"/>
              <w:right w:val="single" w:color="auto" w:sz="4" w:space="0"/>
            </w:tcBorders>
            <w:noWrap w:val="0"/>
            <w:vAlign w:val="top"/>
          </w:tcPr>
          <w:p w14:paraId="4EBF92F6">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5D56D53">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AF0C318">
            <w:pPr>
              <w:autoSpaceDE w:val="0"/>
              <w:autoSpaceDN w:val="0"/>
              <w:adjustRightInd w:val="0"/>
              <w:spacing w:line="0" w:lineRule="atLeast"/>
              <w:rPr>
                <w:rFonts w:ascii="宋体" w:hAnsi="宋体" w:cs="宋体"/>
                <w:color w:val="auto"/>
                <w:sz w:val="24"/>
                <w:szCs w:val="24"/>
                <w:highlight w:val="none"/>
              </w:rPr>
            </w:pPr>
          </w:p>
        </w:tc>
      </w:tr>
      <w:tr w14:paraId="328F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50ADED35">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七、其它</w:t>
            </w:r>
          </w:p>
        </w:tc>
        <w:tc>
          <w:tcPr>
            <w:tcW w:w="1361" w:type="dxa"/>
            <w:tcBorders>
              <w:top w:val="single" w:color="auto" w:sz="4" w:space="0"/>
              <w:left w:val="single" w:color="auto" w:sz="4" w:space="0"/>
              <w:bottom w:val="single" w:color="auto" w:sz="4" w:space="0"/>
              <w:right w:val="single" w:color="auto" w:sz="4" w:space="0"/>
            </w:tcBorders>
            <w:noWrap w:val="0"/>
            <w:vAlign w:val="top"/>
          </w:tcPr>
          <w:p w14:paraId="0A619EE0">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637B83A">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02F4CB6">
            <w:pPr>
              <w:autoSpaceDE w:val="0"/>
              <w:autoSpaceDN w:val="0"/>
              <w:adjustRightInd w:val="0"/>
              <w:spacing w:line="0" w:lineRule="atLeast"/>
              <w:rPr>
                <w:rFonts w:ascii="宋体" w:hAnsi="宋体" w:cs="宋体"/>
                <w:color w:val="auto"/>
                <w:sz w:val="24"/>
                <w:szCs w:val="24"/>
                <w:highlight w:val="none"/>
              </w:rPr>
            </w:pPr>
          </w:p>
        </w:tc>
      </w:tr>
      <w:tr w14:paraId="7603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0FF687FB">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（一）建筑幕墙安装工程。</w:t>
            </w:r>
          </w:p>
        </w:tc>
        <w:tc>
          <w:tcPr>
            <w:tcW w:w="1361" w:type="dxa"/>
            <w:tcBorders>
              <w:top w:val="single" w:color="auto" w:sz="4" w:space="0"/>
              <w:left w:val="single" w:color="auto" w:sz="4" w:space="0"/>
              <w:bottom w:val="single" w:color="auto" w:sz="4" w:space="0"/>
              <w:right w:val="single" w:color="auto" w:sz="4" w:space="0"/>
            </w:tcBorders>
            <w:noWrap w:val="0"/>
            <w:vAlign w:val="top"/>
          </w:tcPr>
          <w:p w14:paraId="66CBC011">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7A2C68C">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C343FB6">
            <w:pPr>
              <w:autoSpaceDE w:val="0"/>
              <w:autoSpaceDN w:val="0"/>
              <w:adjustRightInd w:val="0"/>
              <w:spacing w:line="0" w:lineRule="atLeast"/>
              <w:rPr>
                <w:rFonts w:ascii="宋体" w:hAnsi="宋体" w:cs="宋体"/>
                <w:color w:val="auto"/>
                <w:sz w:val="24"/>
                <w:szCs w:val="24"/>
                <w:highlight w:val="none"/>
              </w:rPr>
            </w:pPr>
          </w:p>
        </w:tc>
      </w:tr>
      <w:tr w14:paraId="1C559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2D42F12E">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（二）钢结构、网架和索膜结构安装工程。</w:t>
            </w:r>
          </w:p>
        </w:tc>
        <w:tc>
          <w:tcPr>
            <w:tcW w:w="1361" w:type="dxa"/>
            <w:tcBorders>
              <w:top w:val="single" w:color="auto" w:sz="4" w:space="0"/>
              <w:left w:val="single" w:color="auto" w:sz="4" w:space="0"/>
              <w:bottom w:val="single" w:color="auto" w:sz="4" w:space="0"/>
              <w:right w:val="single" w:color="auto" w:sz="4" w:space="0"/>
            </w:tcBorders>
            <w:noWrap w:val="0"/>
            <w:vAlign w:val="top"/>
          </w:tcPr>
          <w:p w14:paraId="0249AD58">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CA37978">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43F6CCC">
            <w:pPr>
              <w:autoSpaceDE w:val="0"/>
              <w:autoSpaceDN w:val="0"/>
              <w:adjustRightInd w:val="0"/>
              <w:spacing w:line="0" w:lineRule="atLeast"/>
              <w:rPr>
                <w:rFonts w:ascii="宋体" w:hAnsi="宋体" w:cs="宋体"/>
                <w:color w:val="auto"/>
                <w:sz w:val="24"/>
                <w:szCs w:val="24"/>
                <w:highlight w:val="none"/>
              </w:rPr>
            </w:pPr>
          </w:p>
        </w:tc>
      </w:tr>
      <w:tr w14:paraId="0D3E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0DB17054">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（三）人工挖孔桩工程。</w:t>
            </w:r>
          </w:p>
        </w:tc>
        <w:tc>
          <w:tcPr>
            <w:tcW w:w="1361" w:type="dxa"/>
            <w:tcBorders>
              <w:top w:val="single" w:color="auto" w:sz="4" w:space="0"/>
              <w:left w:val="single" w:color="auto" w:sz="4" w:space="0"/>
              <w:bottom w:val="single" w:color="auto" w:sz="4" w:space="0"/>
              <w:right w:val="single" w:color="auto" w:sz="4" w:space="0"/>
            </w:tcBorders>
            <w:noWrap w:val="0"/>
            <w:vAlign w:val="top"/>
          </w:tcPr>
          <w:p w14:paraId="2BBBFA0C">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A87558B">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A731728">
            <w:pPr>
              <w:autoSpaceDE w:val="0"/>
              <w:autoSpaceDN w:val="0"/>
              <w:adjustRightInd w:val="0"/>
              <w:spacing w:line="0" w:lineRule="atLeast"/>
              <w:rPr>
                <w:rFonts w:ascii="宋体" w:hAnsi="宋体" w:cs="宋体"/>
                <w:color w:val="auto"/>
                <w:sz w:val="24"/>
                <w:szCs w:val="24"/>
                <w:highlight w:val="none"/>
              </w:rPr>
            </w:pPr>
          </w:p>
        </w:tc>
      </w:tr>
      <w:tr w14:paraId="481C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2253CE01">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（四）水下作业工程。</w:t>
            </w:r>
          </w:p>
        </w:tc>
        <w:tc>
          <w:tcPr>
            <w:tcW w:w="1361" w:type="dxa"/>
            <w:tcBorders>
              <w:top w:val="single" w:color="auto" w:sz="4" w:space="0"/>
              <w:left w:val="single" w:color="auto" w:sz="4" w:space="0"/>
              <w:bottom w:val="single" w:color="auto" w:sz="4" w:space="0"/>
              <w:right w:val="single" w:color="auto" w:sz="4" w:space="0"/>
            </w:tcBorders>
            <w:noWrap w:val="0"/>
            <w:vAlign w:val="top"/>
          </w:tcPr>
          <w:p w14:paraId="608DE00C">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9CCA755">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699CB71">
            <w:pPr>
              <w:autoSpaceDE w:val="0"/>
              <w:autoSpaceDN w:val="0"/>
              <w:adjustRightInd w:val="0"/>
              <w:spacing w:line="0" w:lineRule="atLeast"/>
              <w:rPr>
                <w:rFonts w:ascii="宋体" w:hAnsi="宋体" w:cs="宋体"/>
                <w:color w:val="auto"/>
                <w:sz w:val="24"/>
                <w:szCs w:val="24"/>
                <w:highlight w:val="none"/>
              </w:rPr>
            </w:pPr>
          </w:p>
        </w:tc>
      </w:tr>
      <w:tr w14:paraId="1871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5DFFE07A">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（五）装配式建筑混凝土预制构件安装工程。</w:t>
            </w:r>
          </w:p>
        </w:tc>
        <w:tc>
          <w:tcPr>
            <w:tcW w:w="1361" w:type="dxa"/>
            <w:tcBorders>
              <w:top w:val="single" w:color="auto" w:sz="4" w:space="0"/>
              <w:left w:val="single" w:color="auto" w:sz="4" w:space="0"/>
              <w:bottom w:val="single" w:color="auto" w:sz="4" w:space="0"/>
              <w:right w:val="single" w:color="auto" w:sz="4" w:space="0"/>
            </w:tcBorders>
            <w:noWrap w:val="0"/>
            <w:vAlign w:val="top"/>
          </w:tcPr>
          <w:p w14:paraId="6B9E51BD">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EB3913B">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7289410">
            <w:pPr>
              <w:autoSpaceDE w:val="0"/>
              <w:autoSpaceDN w:val="0"/>
              <w:adjustRightInd w:val="0"/>
              <w:spacing w:line="0" w:lineRule="atLeast"/>
              <w:rPr>
                <w:rFonts w:ascii="宋体" w:hAnsi="宋体" w:cs="宋体"/>
                <w:color w:val="auto"/>
                <w:sz w:val="24"/>
                <w:szCs w:val="24"/>
                <w:highlight w:val="none"/>
              </w:rPr>
            </w:pPr>
          </w:p>
        </w:tc>
      </w:tr>
      <w:tr w14:paraId="00A5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67EF386C">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（六）采用新技术、新工艺、新材料、新设备可能影响工程施工安全，尚无国家、行业及地方技术标准的分部分项工程。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8DECD0C">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6926512">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E002A73">
            <w:pPr>
              <w:autoSpaceDE w:val="0"/>
              <w:autoSpaceDN w:val="0"/>
              <w:adjustRightInd w:val="0"/>
              <w:spacing w:line="0" w:lineRule="atLeast"/>
              <w:rPr>
                <w:rFonts w:ascii="宋体" w:hAnsi="宋体" w:cs="宋体"/>
                <w:color w:val="auto"/>
                <w:sz w:val="24"/>
                <w:szCs w:val="24"/>
                <w:highlight w:val="none"/>
              </w:rPr>
            </w:pPr>
          </w:p>
        </w:tc>
      </w:tr>
      <w:tr w14:paraId="66EC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center"/>
          </w:tcPr>
          <w:p w14:paraId="456B2664">
            <w:pPr>
              <w:autoSpaceDE w:val="0"/>
              <w:autoSpaceDN w:val="0"/>
              <w:adjustRightInd w:val="0"/>
              <w:spacing w:line="0" w:lineRule="atLeast"/>
              <w:rPr>
                <w:rFonts w:ascii="宋体" w:hAnsi="宋体" w:cs="宋体"/>
                <w:b/>
                <w:color w:val="auto"/>
                <w:sz w:val="24"/>
                <w:szCs w:val="24"/>
                <w:highlight w:val="none"/>
              </w:rPr>
            </w:pPr>
            <w:r>
              <w:rPr>
                <w:rFonts w:hint="eastAsia" w:ascii="宋体" w:hAnsi="宋体" w:cs="宋体"/>
                <w:b/>
                <w:color w:val="auto"/>
                <w:sz w:val="24"/>
                <w:szCs w:val="24"/>
                <w:highlight w:val="none"/>
              </w:rPr>
              <w:t>二、超过一定规模的危险性较大的分部分项工程清单</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3BB299A">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28518BB">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99B6421">
            <w:pPr>
              <w:autoSpaceDE w:val="0"/>
              <w:autoSpaceDN w:val="0"/>
              <w:adjustRightInd w:val="0"/>
              <w:spacing w:line="0" w:lineRule="atLeast"/>
              <w:rPr>
                <w:rFonts w:ascii="宋体" w:hAnsi="宋体" w:cs="宋体"/>
                <w:color w:val="auto"/>
                <w:sz w:val="24"/>
                <w:szCs w:val="24"/>
                <w:highlight w:val="none"/>
              </w:rPr>
            </w:pPr>
          </w:p>
        </w:tc>
      </w:tr>
      <w:tr w14:paraId="458E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53E1231C">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一、深基坑工程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774F9AC">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23506E3">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9D1BB84">
            <w:pPr>
              <w:autoSpaceDE w:val="0"/>
              <w:autoSpaceDN w:val="0"/>
              <w:adjustRightInd w:val="0"/>
              <w:spacing w:line="0" w:lineRule="atLeast"/>
              <w:rPr>
                <w:rFonts w:ascii="宋体" w:hAnsi="宋体" w:cs="宋体"/>
                <w:color w:val="auto"/>
                <w:sz w:val="24"/>
                <w:szCs w:val="24"/>
                <w:highlight w:val="none"/>
              </w:rPr>
            </w:pPr>
          </w:p>
        </w:tc>
      </w:tr>
      <w:tr w14:paraId="2A8F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34562EE6">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开挖深度超过5m（含5m）的基坑（槽）的土方开挖、支护、降水工程。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D211155">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CFA0C65">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DA4C6B2">
            <w:pPr>
              <w:autoSpaceDE w:val="0"/>
              <w:autoSpaceDN w:val="0"/>
              <w:adjustRightInd w:val="0"/>
              <w:spacing w:line="0" w:lineRule="atLeast"/>
              <w:rPr>
                <w:rFonts w:ascii="宋体" w:hAnsi="宋体" w:cs="宋体"/>
                <w:color w:val="auto"/>
                <w:sz w:val="24"/>
                <w:szCs w:val="24"/>
                <w:highlight w:val="none"/>
              </w:rPr>
            </w:pPr>
          </w:p>
        </w:tc>
      </w:tr>
      <w:tr w14:paraId="5205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6BD7E64E">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二、模板工程及支撑体系</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14B5226">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6BBF931">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02D0DE2">
            <w:pPr>
              <w:autoSpaceDE w:val="0"/>
              <w:autoSpaceDN w:val="0"/>
              <w:adjustRightInd w:val="0"/>
              <w:spacing w:line="0" w:lineRule="atLeast"/>
              <w:rPr>
                <w:rFonts w:ascii="宋体" w:hAnsi="宋体" w:cs="宋体"/>
                <w:color w:val="auto"/>
                <w:sz w:val="24"/>
                <w:szCs w:val="24"/>
                <w:highlight w:val="none"/>
              </w:rPr>
            </w:pPr>
          </w:p>
        </w:tc>
      </w:tr>
      <w:tr w14:paraId="1BF6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637EB921">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（一）各类工具式模板工程：包括滑模、爬模、飞模、隧道模等工程。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B65EEA3">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B4CE53F">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9195FED">
            <w:pPr>
              <w:autoSpaceDE w:val="0"/>
              <w:autoSpaceDN w:val="0"/>
              <w:adjustRightInd w:val="0"/>
              <w:spacing w:line="0" w:lineRule="atLeast"/>
              <w:rPr>
                <w:rFonts w:ascii="宋体" w:hAnsi="宋体" w:cs="宋体"/>
                <w:color w:val="auto"/>
                <w:sz w:val="24"/>
                <w:szCs w:val="24"/>
                <w:highlight w:val="none"/>
              </w:rPr>
            </w:pPr>
          </w:p>
        </w:tc>
      </w:tr>
      <w:tr w14:paraId="4728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76BD4DCE">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（二）混凝土模板支撑工程：搭设高度8m及以上，或搭设跨度18m及以上，或施工总荷载（设计值）15kN/m2及以上，或集中线荷载（设计值）20kN/m及以上。</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1789638">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9952912">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96B2251">
            <w:pPr>
              <w:autoSpaceDE w:val="0"/>
              <w:autoSpaceDN w:val="0"/>
              <w:adjustRightInd w:val="0"/>
              <w:spacing w:line="0" w:lineRule="atLeast"/>
              <w:rPr>
                <w:rFonts w:ascii="宋体" w:hAnsi="宋体" w:cs="宋体"/>
                <w:color w:val="auto"/>
                <w:sz w:val="24"/>
                <w:szCs w:val="24"/>
                <w:highlight w:val="none"/>
              </w:rPr>
            </w:pPr>
          </w:p>
        </w:tc>
      </w:tr>
      <w:tr w14:paraId="0522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673974F7">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（三）承重支撑体系：用于钢结构安装等满堂支撑体系，承受单点集中荷载7kN及以上。</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2C9059F">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7D2DF0B">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7940480">
            <w:pPr>
              <w:autoSpaceDE w:val="0"/>
              <w:autoSpaceDN w:val="0"/>
              <w:adjustRightInd w:val="0"/>
              <w:spacing w:line="0" w:lineRule="atLeast"/>
              <w:rPr>
                <w:rFonts w:ascii="宋体" w:hAnsi="宋体" w:cs="宋体"/>
                <w:color w:val="auto"/>
                <w:sz w:val="24"/>
                <w:szCs w:val="24"/>
                <w:highlight w:val="none"/>
              </w:rPr>
            </w:pPr>
          </w:p>
        </w:tc>
      </w:tr>
      <w:tr w14:paraId="77D5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7253CA72">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　三、起重吊装及起重机械安装拆卸工程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DF5E4D4">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0453E6B">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B965C3E">
            <w:pPr>
              <w:autoSpaceDE w:val="0"/>
              <w:autoSpaceDN w:val="0"/>
              <w:adjustRightInd w:val="0"/>
              <w:spacing w:line="0" w:lineRule="atLeast"/>
              <w:rPr>
                <w:rFonts w:ascii="宋体" w:hAnsi="宋体" w:cs="宋体"/>
                <w:color w:val="auto"/>
                <w:sz w:val="24"/>
                <w:szCs w:val="24"/>
                <w:highlight w:val="none"/>
              </w:rPr>
            </w:pPr>
          </w:p>
        </w:tc>
      </w:tr>
      <w:tr w14:paraId="36E1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1647C098">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（一）采用非常规起重设备、方法，且单件起吊重量在100kN及以上的起重吊装工程。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5704AFD">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F6D1CD5">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671D079">
            <w:pPr>
              <w:autoSpaceDE w:val="0"/>
              <w:autoSpaceDN w:val="0"/>
              <w:adjustRightInd w:val="0"/>
              <w:spacing w:line="0" w:lineRule="atLeast"/>
              <w:rPr>
                <w:rFonts w:ascii="宋体" w:hAnsi="宋体" w:cs="宋体"/>
                <w:color w:val="auto"/>
                <w:sz w:val="24"/>
                <w:szCs w:val="24"/>
                <w:highlight w:val="none"/>
              </w:rPr>
            </w:pPr>
          </w:p>
        </w:tc>
      </w:tr>
      <w:tr w14:paraId="50A1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25262865">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（二）起重量300kN及以上，或搭设总高度200m及以上，或搭设基础标高在200m及以上的起重机械安装和拆卸工程。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EDFAA4D">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73F83D9">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25CD76C">
            <w:pPr>
              <w:autoSpaceDE w:val="0"/>
              <w:autoSpaceDN w:val="0"/>
              <w:adjustRightInd w:val="0"/>
              <w:spacing w:line="0" w:lineRule="atLeast"/>
              <w:rPr>
                <w:rFonts w:ascii="宋体" w:hAnsi="宋体" w:cs="宋体"/>
                <w:color w:val="auto"/>
                <w:sz w:val="24"/>
                <w:szCs w:val="24"/>
                <w:highlight w:val="none"/>
              </w:rPr>
            </w:pPr>
          </w:p>
        </w:tc>
      </w:tr>
      <w:tr w14:paraId="24E5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759A3808">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四、脚手架工程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780FF88">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D6CE911">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5EE90FA">
            <w:pPr>
              <w:autoSpaceDE w:val="0"/>
              <w:autoSpaceDN w:val="0"/>
              <w:adjustRightInd w:val="0"/>
              <w:spacing w:line="0" w:lineRule="atLeast"/>
              <w:rPr>
                <w:rFonts w:ascii="宋体" w:hAnsi="宋体" w:cs="宋体"/>
                <w:color w:val="auto"/>
                <w:sz w:val="24"/>
                <w:szCs w:val="24"/>
                <w:highlight w:val="none"/>
              </w:rPr>
            </w:pPr>
          </w:p>
        </w:tc>
      </w:tr>
      <w:tr w14:paraId="424C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6278CE9B">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（一）搭设高度50m及以上的落地式钢管脚手架工程。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82D07EE">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072C158">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A6DC8CE">
            <w:pPr>
              <w:autoSpaceDE w:val="0"/>
              <w:autoSpaceDN w:val="0"/>
              <w:adjustRightInd w:val="0"/>
              <w:spacing w:line="0" w:lineRule="atLeast"/>
              <w:rPr>
                <w:rFonts w:ascii="宋体" w:hAnsi="宋体" w:cs="宋体"/>
                <w:color w:val="auto"/>
                <w:sz w:val="24"/>
                <w:szCs w:val="24"/>
                <w:highlight w:val="none"/>
              </w:rPr>
            </w:pPr>
          </w:p>
        </w:tc>
      </w:tr>
      <w:tr w14:paraId="6571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552DE94C">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（二）提升高度在150m及以上的附着式升降脚手架工程或附着式升降操作平台工程。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5683048">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E35BFF3">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85D15D6">
            <w:pPr>
              <w:autoSpaceDE w:val="0"/>
              <w:autoSpaceDN w:val="0"/>
              <w:adjustRightInd w:val="0"/>
              <w:spacing w:line="0" w:lineRule="atLeast"/>
              <w:rPr>
                <w:rFonts w:ascii="宋体" w:hAnsi="宋体" w:cs="宋体"/>
                <w:color w:val="auto"/>
                <w:sz w:val="24"/>
                <w:szCs w:val="24"/>
                <w:highlight w:val="none"/>
              </w:rPr>
            </w:pPr>
          </w:p>
        </w:tc>
      </w:tr>
      <w:tr w14:paraId="0896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746F9C46">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（三）分段架体搭设高度20m及以上的悬挑式脚手架工程。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921B9A2">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9534F79">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3BD1995">
            <w:pPr>
              <w:autoSpaceDE w:val="0"/>
              <w:autoSpaceDN w:val="0"/>
              <w:adjustRightInd w:val="0"/>
              <w:spacing w:line="0" w:lineRule="atLeast"/>
              <w:rPr>
                <w:rFonts w:ascii="宋体" w:hAnsi="宋体" w:cs="宋体"/>
                <w:color w:val="auto"/>
                <w:sz w:val="24"/>
                <w:szCs w:val="24"/>
                <w:highlight w:val="none"/>
              </w:rPr>
            </w:pPr>
          </w:p>
        </w:tc>
      </w:tr>
      <w:tr w14:paraId="2DC7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3A20FA48">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五、拆除工程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A414915">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B94FF69">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8C9D501">
            <w:pPr>
              <w:autoSpaceDE w:val="0"/>
              <w:autoSpaceDN w:val="0"/>
              <w:adjustRightInd w:val="0"/>
              <w:spacing w:line="0" w:lineRule="atLeast"/>
              <w:rPr>
                <w:rFonts w:ascii="宋体" w:hAnsi="宋体" w:cs="宋体"/>
                <w:color w:val="auto"/>
                <w:sz w:val="24"/>
                <w:szCs w:val="24"/>
                <w:highlight w:val="none"/>
              </w:rPr>
            </w:pPr>
          </w:p>
        </w:tc>
      </w:tr>
      <w:tr w14:paraId="7F8D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60230268">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（一）码头、桥梁、高架、烟囱、水塔或拆除中容易引起有毒有害气（液）体或粉尘扩散、易燃易爆事故发生的特殊建、构筑物的拆除工程。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4BC03AF">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09B85F2">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11EF81F">
            <w:pPr>
              <w:autoSpaceDE w:val="0"/>
              <w:autoSpaceDN w:val="0"/>
              <w:adjustRightInd w:val="0"/>
              <w:spacing w:line="0" w:lineRule="atLeast"/>
              <w:rPr>
                <w:rFonts w:ascii="宋体" w:hAnsi="宋体" w:cs="宋体"/>
                <w:color w:val="auto"/>
                <w:sz w:val="24"/>
                <w:szCs w:val="24"/>
                <w:highlight w:val="none"/>
              </w:rPr>
            </w:pPr>
          </w:p>
        </w:tc>
      </w:tr>
      <w:tr w14:paraId="7166E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4FFC7064">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（二）文物保护建筑、优秀历史建筑或历史文化风貌区影响范围内的拆除工程。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02BB97A">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B77D01D">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65C8096">
            <w:pPr>
              <w:autoSpaceDE w:val="0"/>
              <w:autoSpaceDN w:val="0"/>
              <w:adjustRightInd w:val="0"/>
              <w:spacing w:line="0" w:lineRule="atLeast"/>
              <w:rPr>
                <w:rFonts w:ascii="宋体" w:hAnsi="宋体" w:cs="宋体"/>
                <w:color w:val="auto"/>
                <w:sz w:val="24"/>
                <w:szCs w:val="24"/>
                <w:highlight w:val="none"/>
              </w:rPr>
            </w:pPr>
          </w:p>
        </w:tc>
      </w:tr>
      <w:tr w14:paraId="00EB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5D175D2E">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六、暗挖工程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71F1DEE">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4CA471A">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8192E2E">
            <w:pPr>
              <w:autoSpaceDE w:val="0"/>
              <w:autoSpaceDN w:val="0"/>
              <w:adjustRightInd w:val="0"/>
              <w:spacing w:line="0" w:lineRule="atLeast"/>
              <w:rPr>
                <w:rFonts w:ascii="宋体" w:hAnsi="宋体" w:cs="宋体"/>
                <w:color w:val="auto"/>
                <w:sz w:val="24"/>
                <w:szCs w:val="24"/>
                <w:highlight w:val="none"/>
              </w:rPr>
            </w:pPr>
          </w:p>
        </w:tc>
      </w:tr>
      <w:tr w14:paraId="775F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4F82E171">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采用矿山法、盾构法、顶管法施工的隧道、洞室工程。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8919CC4">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4ABCD64">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0456777">
            <w:pPr>
              <w:autoSpaceDE w:val="0"/>
              <w:autoSpaceDN w:val="0"/>
              <w:adjustRightInd w:val="0"/>
              <w:spacing w:line="0" w:lineRule="atLeast"/>
              <w:rPr>
                <w:rFonts w:ascii="宋体" w:hAnsi="宋体" w:cs="宋体"/>
                <w:color w:val="auto"/>
                <w:sz w:val="24"/>
                <w:szCs w:val="24"/>
                <w:highlight w:val="none"/>
              </w:rPr>
            </w:pPr>
          </w:p>
        </w:tc>
      </w:tr>
      <w:tr w14:paraId="1728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176D5871">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七、其它</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F389A86">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72549EA">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0CA7703">
            <w:pPr>
              <w:autoSpaceDE w:val="0"/>
              <w:autoSpaceDN w:val="0"/>
              <w:adjustRightInd w:val="0"/>
              <w:spacing w:line="0" w:lineRule="atLeast"/>
              <w:rPr>
                <w:rFonts w:ascii="宋体" w:hAnsi="宋体" w:cs="宋体"/>
                <w:color w:val="auto"/>
                <w:sz w:val="24"/>
                <w:szCs w:val="24"/>
                <w:highlight w:val="none"/>
              </w:rPr>
            </w:pPr>
          </w:p>
        </w:tc>
      </w:tr>
      <w:tr w14:paraId="0EDD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177A569E">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（一）施工高度50m及以上的建筑幕墙安装工程。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AB593F9">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9CC9A56">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1CB01FB">
            <w:pPr>
              <w:autoSpaceDE w:val="0"/>
              <w:autoSpaceDN w:val="0"/>
              <w:adjustRightInd w:val="0"/>
              <w:spacing w:line="0" w:lineRule="atLeast"/>
              <w:rPr>
                <w:rFonts w:ascii="宋体" w:hAnsi="宋体" w:cs="宋体"/>
                <w:color w:val="auto"/>
                <w:sz w:val="24"/>
                <w:szCs w:val="24"/>
                <w:highlight w:val="none"/>
              </w:rPr>
            </w:pPr>
          </w:p>
        </w:tc>
      </w:tr>
      <w:tr w14:paraId="528E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672D5B38">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（二）跨度36m及以上的钢结构安装工程，或跨度60m及以上的网架和索膜结构安装工程。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0EF2809">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70CD76D">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1A2F833">
            <w:pPr>
              <w:autoSpaceDE w:val="0"/>
              <w:autoSpaceDN w:val="0"/>
              <w:adjustRightInd w:val="0"/>
              <w:spacing w:line="0" w:lineRule="atLeast"/>
              <w:rPr>
                <w:rFonts w:ascii="宋体" w:hAnsi="宋体" w:cs="宋体"/>
                <w:color w:val="auto"/>
                <w:sz w:val="24"/>
                <w:szCs w:val="24"/>
                <w:highlight w:val="none"/>
              </w:rPr>
            </w:pPr>
          </w:p>
        </w:tc>
      </w:tr>
      <w:tr w14:paraId="2E1F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13ED63D7">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（三）开挖深度16m及以上的人工挖孔桩工程。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B1ADE36">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2225F9C">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31E8A9D">
            <w:pPr>
              <w:autoSpaceDE w:val="0"/>
              <w:autoSpaceDN w:val="0"/>
              <w:adjustRightInd w:val="0"/>
              <w:spacing w:line="0" w:lineRule="atLeast"/>
              <w:rPr>
                <w:rFonts w:ascii="宋体" w:hAnsi="宋体" w:cs="宋体"/>
                <w:color w:val="auto"/>
                <w:sz w:val="24"/>
                <w:szCs w:val="24"/>
                <w:highlight w:val="none"/>
              </w:rPr>
            </w:pPr>
          </w:p>
        </w:tc>
      </w:tr>
      <w:tr w14:paraId="6F65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52C7F4C6">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（四）水下作业工程。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5D004A3">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CD520A8">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A0D2DEA">
            <w:pPr>
              <w:autoSpaceDE w:val="0"/>
              <w:autoSpaceDN w:val="0"/>
              <w:adjustRightInd w:val="0"/>
              <w:spacing w:line="0" w:lineRule="atLeast"/>
              <w:rPr>
                <w:rFonts w:ascii="宋体" w:hAnsi="宋体" w:cs="宋体"/>
                <w:color w:val="auto"/>
                <w:sz w:val="24"/>
                <w:szCs w:val="24"/>
                <w:highlight w:val="none"/>
              </w:rPr>
            </w:pPr>
          </w:p>
        </w:tc>
      </w:tr>
      <w:tr w14:paraId="65A6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0CCF492B">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（五）重量1000kN及以上的大型结构整体顶升、平移、转体等施工工艺。</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8B4E06F">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0020ADF">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27F1CD4">
            <w:pPr>
              <w:autoSpaceDE w:val="0"/>
              <w:autoSpaceDN w:val="0"/>
              <w:adjustRightInd w:val="0"/>
              <w:spacing w:line="0" w:lineRule="atLeast"/>
              <w:rPr>
                <w:rFonts w:ascii="宋体" w:hAnsi="宋体" w:cs="宋体"/>
                <w:color w:val="auto"/>
                <w:sz w:val="24"/>
                <w:szCs w:val="24"/>
                <w:highlight w:val="none"/>
              </w:rPr>
            </w:pPr>
          </w:p>
        </w:tc>
      </w:tr>
      <w:tr w14:paraId="7E889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noWrap w:val="0"/>
            <w:vAlign w:val="top"/>
          </w:tcPr>
          <w:p w14:paraId="523502E7">
            <w:pPr>
              <w:autoSpaceDE w:val="0"/>
              <w:autoSpaceDN w:val="0"/>
              <w:adjustRightInd w:val="0"/>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（六）采用新技术、新工艺、新材料、新设备可能影响工程施工安全，尚无国家、行业及地方技术标准的分部分项工程。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E680FFA">
            <w:pPr>
              <w:jc w:val="center"/>
              <w:rPr>
                <w:color w:val="auto"/>
                <w:highlight w:val="none"/>
              </w:rPr>
            </w:pPr>
            <w:r>
              <w:rPr>
                <w:rFonts w:hint="eastAsia" w:ascii="宋体" w:hAnsi="宋体" w:cs="宋体"/>
                <w:color w:val="auto"/>
                <w:sz w:val="24"/>
                <w:szCs w:val="24"/>
                <w:highlight w:val="non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06037C8">
            <w:pPr>
              <w:autoSpaceDE w:val="0"/>
              <w:autoSpaceDN w:val="0"/>
              <w:adjustRightInd w:val="0"/>
              <w:spacing w:line="0" w:lineRule="atLeast"/>
              <w:jc w:val="center"/>
              <w:rPr>
                <w:rFonts w:ascii="宋体" w:hAnsi="宋体" w:cs="宋体"/>
                <w:color w:val="auto"/>
                <w:sz w:val="24"/>
                <w:szCs w:val="24"/>
                <w:highlight w:val="none"/>
              </w:rPr>
            </w:pPr>
            <w:r>
              <w:rPr>
                <w:rFonts w:hint="eastAsia" w:ascii="宋体" w:hAnsi="宋体" w:cs="宋体"/>
                <w:color w:val="auto"/>
                <w:sz w:val="24"/>
                <w:szCs w:val="24"/>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2FD6CD0">
            <w:pPr>
              <w:autoSpaceDE w:val="0"/>
              <w:autoSpaceDN w:val="0"/>
              <w:adjustRightInd w:val="0"/>
              <w:spacing w:line="0" w:lineRule="atLeast"/>
              <w:rPr>
                <w:rFonts w:ascii="宋体" w:hAnsi="宋体" w:cs="宋体"/>
                <w:color w:val="auto"/>
                <w:sz w:val="24"/>
                <w:szCs w:val="24"/>
                <w:highlight w:val="none"/>
              </w:rPr>
            </w:pPr>
          </w:p>
        </w:tc>
      </w:tr>
    </w:tbl>
    <w:p w14:paraId="4A018DEC">
      <w:pPr>
        <w:autoSpaceDE w:val="0"/>
        <w:autoSpaceDN w:val="0"/>
        <w:adjustRightInd w:val="0"/>
        <w:spacing w:line="360" w:lineRule="auto"/>
        <w:ind w:firstLine="480" w:firstLineChars="200"/>
        <w:rPr>
          <w:rFonts w:ascii="宋体" w:hAnsi="宋体" w:cs="宋体"/>
          <w:color w:val="auto"/>
          <w:sz w:val="24"/>
          <w:szCs w:val="24"/>
          <w:highlight w:val="none"/>
        </w:rPr>
      </w:pPr>
    </w:p>
    <w:p w14:paraId="488F39D7">
      <w:pPr>
        <w:autoSpaceDE w:val="0"/>
        <w:autoSpaceDN w:val="0"/>
        <w:adjustRightInd w:val="0"/>
        <w:spacing w:line="360" w:lineRule="auto"/>
        <w:ind w:firstLine="480" w:firstLineChars="200"/>
        <w:rPr>
          <w:rFonts w:ascii="宋体" w:hAnsi="宋体" w:cs="宋体"/>
          <w:color w:val="auto"/>
          <w:sz w:val="24"/>
          <w:szCs w:val="24"/>
          <w:highlight w:val="none"/>
        </w:rPr>
      </w:pPr>
    </w:p>
    <w:p w14:paraId="344F8154">
      <w:pPr>
        <w:autoSpaceDE w:val="0"/>
        <w:autoSpaceDN w:val="0"/>
        <w:adjustRightInd w:val="0"/>
        <w:spacing w:line="360" w:lineRule="auto"/>
        <w:ind w:firstLine="480" w:firstLineChars="200"/>
        <w:jc w:val="right"/>
        <w:rPr>
          <w:rFonts w:ascii="宋体" w:hAnsi="宋体" w:cs="宋体"/>
          <w:color w:val="auto"/>
          <w:sz w:val="24"/>
          <w:szCs w:val="24"/>
          <w:highlight w:val="none"/>
        </w:rPr>
      </w:pPr>
      <w:r>
        <w:rPr>
          <w:rFonts w:hint="eastAsia" w:ascii="宋体" w:hAnsi="宋体" w:cs="宋体"/>
          <w:color w:val="auto"/>
          <w:sz w:val="24"/>
          <w:szCs w:val="24"/>
          <w:highlight w:val="none"/>
        </w:rPr>
        <w:t>投标人名称（盖法人公章）：</w:t>
      </w:r>
    </w:p>
    <w:p w14:paraId="07028964">
      <w:pPr>
        <w:autoSpaceDE w:val="0"/>
        <w:autoSpaceDN w:val="0"/>
        <w:adjustRightInd w:val="0"/>
        <w:spacing w:line="360" w:lineRule="auto"/>
        <w:ind w:firstLine="480" w:firstLineChars="200"/>
        <w:jc w:val="right"/>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法定代表人或被授权人（签字或盖章）：</w:t>
      </w:r>
    </w:p>
    <w:p w14:paraId="407CE6D7">
      <w:pPr>
        <w:autoSpaceDE w:val="0"/>
        <w:autoSpaceDN w:val="0"/>
        <w:adjustRightInd w:val="0"/>
        <w:spacing w:line="360" w:lineRule="auto"/>
        <w:ind w:firstLine="480" w:firstLineChars="20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日期：   年  月  日</w:t>
      </w:r>
    </w:p>
    <w:p w14:paraId="7B311C88">
      <w:pPr>
        <w:widowControl/>
        <w:topLinePunct/>
        <w:adjustRightInd w:val="0"/>
        <w:snapToGrid w:val="0"/>
        <w:spacing w:after="200"/>
        <w:jc w:val="left"/>
        <w:outlineLvl w:val="2"/>
        <w:rPr>
          <w:rStyle w:val="26"/>
          <w:rFonts w:hint="eastAsia" w:ascii="宋体" w:hAnsi="宋体"/>
          <w:color w:val="auto"/>
          <w:highlight w:val="none"/>
        </w:rPr>
      </w:pPr>
      <w:r>
        <w:rPr>
          <w:rFonts w:hint="eastAsia" w:ascii="宋体" w:hAnsi="宋体" w:cs="宋体"/>
          <w:color w:val="auto"/>
          <w:sz w:val="24"/>
          <w:szCs w:val="24"/>
          <w:highlight w:val="none"/>
        </w:rPr>
        <w:br w:type="page"/>
      </w:r>
    </w:p>
    <w:p w14:paraId="7003D447">
      <w:pPr>
        <w:widowControl/>
        <w:topLinePunct/>
        <w:adjustRightInd w:val="0"/>
        <w:snapToGrid w:val="0"/>
        <w:spacing w:after="200"/>
        <w:jc w:val="left"/>
        <w:outlineLvl w:val="2"/>
        <w:rPr>
          <w:rFonts w:hint="eastAsia" w:ascii="宋体" w:hAnsi="宋体" w:cs="宋体"/>
          <w:color w:val="auto"/>
          <w:szCs w:val="21"/>
          <w:highlight w:val="none"/>
        </w:rPr>
      </w:pPr>
      <w:r>
        <w:rPr>
          <w:rFonts w:hint="eastAsia" w:ascii="宋体" w:hAnsi="宋体" w:cs="宋体"/>
          <w:b/>
          <w:bCs/>
          <w:color w:val="auto"/>
          <w:highlight w:val="none"/>
        </w:rPr>
        <w:t>★ 格式七</w:t>
      </w:r>
    </w:p>
    <w:p w14:paraId="2211BF27">
      <w:pPr>
        <w:tabs>
          <w:tab w:val="left" w:pos="720"/>
        </w:tabs>
        <w:snapToGri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参与编制技术标投标文件人员名单</w:t>
      </w:r>
    </w:p>
    <w:p w14:paraId="5FBFFF69">
      <w:pPr>
        <w:tabs>
          <w:tab w:val="left" w:pos="720"/>
        </w:tabs>
        <w:snapToGrid w:val="0"/>
        <w:spacing w:line="360" w:lineRule="auto"/>
        <w:rPr>
          <w:rFonts w:hint="eastAsia" w:ascii="宋体" w:hAnsi="宋体" w:cs="宋体"/>
          <w:color w:val="auto"/>
          <w:sz w:val="24"/>
          <w:szCs w:val="24"/>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2"/>
        <w:gridCol w:w="2511"/>
        <w:gridCol w:w="1361"/>
      </w:tblGrid>
      <w:tr w14:paraId="7219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787" w:type="dxa"/>
            <w:gridSpan w:val="5"/>
            <w:tcBorders>
              <w:top w:val="single" w:color="auto" w:sz="4" w:space="0"/>
              <w:left w:val="single" w:color="auto" w:sz="4" w:space="0"/>
              <w:bottom w:val="single" w:color="auto" w:sz="4" w:space="0"/>
              <w:right w:val="single" w:color="auto" w:sz="4" w:space="0"/>
            </w:tcBorders>
            <w:noWrap w:val="0"/>
            <w:vAlign w:val="center"/>
          </w:tcPr>
          <w:p w14:paraId="3AA5D322">
            <w:pPr>
              <w:tabs>
                <w:tab w:val="left" w:pos="720"/>
              </w:tabs>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r>
      <w:tr w14:paraId="4631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14:paraId="51D2C527">
            <w:pPr>
              <w:tabs>
                <w:tab w:val="left" w:pos="720"/>
              </w:tabs>
              <w:snapToGrid w:val="0"/>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49EA1FE1">
            <w:pPr>
              <w:tabs>
                <w:tab w:val="left" w:pos="720"/>
              </w:tabs>
              <w:snapToGrid w:val="0"/>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2342" w:type="dxa"/>
            <w:tcBorders>
              <w:top w:val="single" w:color="auto" w:sz="4" w:space="0"/>
              <w:left w:val="single" w:color="auto" w:sz="4" w:space="0"/>
              <w:bottom w:val="single" w:color="auto" w:sz="4" w:space="0"/>
              <w:right w:val="single" w:color="auto" w:sz="4" w:space="0"/>
            </w:tcBorders>
            <w:noWrap w:val="0"/>
            <w:vAlign w:val="center"/>
          </w:tcPr>
          <w:p w14:paraId="6432514F">
            <w:pPr>
              <w:tabs>
                <w:tab w:val="left" w:pos="720"/>
              </w:tabs>
              <w:snapToGrid w:val="0"/>
              <w:jc w:val="center"/>
              <w:rPr>
                <w:rFonts w:hint="eastAsia" w:ascii="宋体" w:hAnsi="宋体" w:cs="宋体"/>
                <w:color w:val="auto"/>
                <w:szCs w:val="21"/>
                <w:highlight w:val="none"/>
              </w:rPr>
            </w:pPr>
            <w:r>
              <w:rPr>
                <w:rFonts w:hint="eastAsia" w:ascii="宋体" w:hAnsi="宋体" w:cs="宋体"/>
                <w:color w:val="auto"/>
                <w:szCs w:val="21"/>
                <w:highlight w:val="none"/>
              </w:rPr>
              <w:t>所承担工作</w:t>
            </w:r>
          </w:p>
        </w:tc>
        <w:tc>
          <w:tcPr>
            <w:tcW w:w="2511" w:type="dxa"/>
            <w:tcBorders>
              <w:top w:val="single" w:color="auto" w:sz="4" w:space="0"/>
              <w:left w:val="single" w:color="auto" w:sz="4" w:space="0"/>
              <w:bottom w:val="single" w:color="auto" w:sz="4" w:space="0"/>
              <w:right w:val="single" w:color="auto" w:sz="4" w:space="0"/>
            </w:tcBorders>
            <w:noWrap w:val="0"/>
            <w:vAlign w:val="center"/>
          </w:tcPr>
          <w:p w14:paraId="25D775EC">
            <w:pPr>
              <w:tabs>
                <w:tab w:val="left" w:pos="720"/>
              </w:tabs>
              <w:snapToGrid w:val="0"/>
              <w:jc w:val="center"/>
              <w:rPr>
                <w:rFonts w:hint="eastAsia" w:ascii="宋体" w:hAnsi="宋体" w:cs="宋体"/>
                <w:color w:val="auto"/>
                <w:szCs w:val="21"/>
                <w:highlight w:val="none"/>
              </w:rPr>
            </w:pPr>
            <w:r>
              <w:rPr>
                <w:rFonts w:hint="eastAsia" w:ascii="宋体" w:hAnsi="宋体" w:cs="宋体"/>
                <w:color w:val="auto"/>
                <w:szCs w:val="21"/>
                <w:highlight w:val="none"/>
              </w:rPr>
              <w:t>身份证号码</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0A98920">
            <w:pPr>
              <w:tabs>
                <w:tab w:val="left" w:pos="720"/>
              </w:tabs>
              <w:snapToGrid w:val="0"/>
              <w:jc w:val="center"/>
              <w:rPr>
                <w:rFonts w:hint="eastAsia" w:ascii="宋体" w:hAnsi="宋体" w:cs="宋体"/>
                <w:color w:val="auto"/>
                <w:szCs w:val="21"/>
                <w:highlight w:val="none"/>
              </w:rPr>
            </w:pPr>
            <w:r>
              <w:rPr>
                <w:rFonts w:hint="eastAsia" w:ascii="宋体" w:hAnsi="宋体" w:cs="宋体"/>
                <w:color w:val="auto"/>
                <w:szCs w:val="21"/>
                <w:highlight w:val="none"/>
              </w:rPr>
              <w:t>本人签名栏</w:t>
            </w:r>
          </w:p>
        </w:tc>
      </w:tr>
      <w:tr w14:paraId="5B924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14:paraId="53361FE7">
            <w:pPr>
              <w:tabs>
                <w:tab w:val="left" w:pos="720"/>
              </w:tabs>
              <w:snapToGrid w:val="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14:paraId="0953BD8D">
            <w:pPr>
              <w:tabs>
                <w:tab w:val="left" w:pos="720"/>
              </w:tabs>
              <w:snapToGrid w:val="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14:paraId="5BF26435">
            <w:pPr>
              <w:tabs>
                <w:tab w:val="left" w:pos="720"/>
              </w:tabs>
              <w:snapToGrid w:val="0"/>
              <w:jc w:val="center"/>
              <w:rPr>
                <w:rFonts w:hint="eastAsia" w:ascii="宋体" w:hAnsi="宋体" w:cs="宋体"/>
                <w:color w:val="auto"/>
                <w:szCs w:val="21"/>
                <w:highlight w:val="none"/>
              </w:rPr>
            </w:pPr>
          </w:p>
        </w:tc>
        <w:tc>
          <w:tcPr>
            <w:tcW w:w="2511" w:type="dxa"/>
            <w:tcBorders>
              <w:top w:val="single" w:color="auto" w:sz="4" w:space="0"/>
              <w:left w:val="single" w:color="auto" w:sz="4" w:space="0"/>
              <w:bottom w:val="single" w:color="auto" w:sz="4" w:space="0"/>
              <w:right w:val="single" w:color="auto" w:sz="4" w:space="0"/>
            </w:tcBorders>
            <w:noWrap w:val="0"/>
            <w:vAlign w:val="center"/>
          </w:tcPr>
          <w:p w14:paraId="7F680484">
            <w:pPr>
              <w:tabs>
                <w:tab w:val="left" w:pos="720"/>
              </w:tabs>
              <w:snapToGrid w:val="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2968FEA">
            <w:pPr>
              <w:tabs>
                <w:tab w:val="left" w:pos="720"/>
              </w:tabs>
              <w:snapToGrid w:val="0"/>
              <w:jc w:val="center"/>
              <w:rPr>
                <w:rFonts w:hint="eastAsia" w:ascii="宋体" w:hAnsi="宋体" w:cs="宋体"/>
                <w:color w:val="auto"/>
                <w:szCs w:val="21"/>
                <w:highlight w:val="none"/>
              </w:rPr>
            </w:pPr>
          </w:p>
        </w:tc>
      </w:tr>
      <w:tr w14:paraId="1FF9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14:paraId="15195F81">
            <w:pPr>
              <w:tabs>
                <w:tab w:val="left" w:pos="720"/>
              </w:tabs>
              <w:snapToGrid w:val="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14:paraId="7432856A">
            <w:pPr>
              <w:tabs>
                <w:tab w:val="left" w:pos="720"/>
              </w:tabs>
              <w:snapToGrid w:val="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14:paraId="1B822228">
            <w:pPr>
              <w:tabs>
                <w:tab w:val="left" w:pos="720"/>
              </w:tabs>
              <w:snapToGrid w:val="0"/>
              <w:jc w:val="center"/>
              <w:rPr>
                <w:rFonts w:hint="eastAsia" w:ascii="宋体" w:hAnsi="宋体" w:cs="宋体"/>
                <w:color w:val="auto"/>
                <w:szCs w:val="21"/>
                <w:highlight w:val="none"/>
              </w:rPr>
            </w:pPr>
          </w:p>
        </w:tc>
        <w:tc>
          <w:tcPr>
            <w:tcW w:w="2511" w:type="dxa"/>
            <w:tcBorders>
              <w:top w:val="single" w:color="auto" w:sz="4" w:space="0"/>
              <w:left w:val="single" w:color="auto" w:sz="4" w:space="0"/>
              <w:bottom w:val="single" w:color="auto" w:sz="4" w:space="0"/>
              <w:right w:val="single" w:color="auto" w:sz="4" w:space="0"/>
            </w:tcBorders>
            <w:noWrap w:val="0"/>
            <w:vAlign w:val="center"/>
          </w:tcPr>
          <w:p w14:paraId="1698C74D">
            <w:pPr>
              <w:tabs>
                <w:tab w:val="left" w:pos="720"/>
              </w:tabs>
              <w:snapToGrid w:val="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9596C1D">
            <w:pPr>
              <w:tabs>
                <w:tab w:val="left" w:pos="720"/>
              </w:tabs>
              <w:snapToGrid w:val="0"/>
              <w:jc w:val="center"/>
              <w:rPr>
                <w:rFonts w:hint="eastAsia" w:ascii="宋体" w:hAnsi="宋体" w:cs="宋体"/>
                <w:color w:val="auto"/>
                <w:szCs w:val="21"/>
                <w:highlight w:val="none"/>
              </w:rPr>
            </w:pPr>
          </w:p>
        </w:tc>
      </w:tr>
      <w:tr w14:paraId="0FB17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14:paraId="10565AD3">
            <w:pPr>
              <w:tabs>
                <w:tab w:val="left" w:pos="720"/>
              </w:tabs>
              <w:snapToGrid w:val="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14:paraId="39B7D36B">
            <w:pPr>
              <w:tabs>
                <w:tab w:val="left" w:pos="720"/>
              </w:tabs>
              <w:snapToGrid w:val="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14:paraId="6E8D0F14">
            <w:pPr>
              <w:tabs>
                <w:tab w:val="left" w:pos="720"/>
              </w:tabs>
              <w:snapToGrid w:val="0"/>
              <w:jc w:val="center"/>
              <w:rPr>
                <w:rFonts w:hint="eastAsia" w:ascii="宋体" w:hAnsi="宋体" w:cs="宋体"/>
                <w:color w:val="auto"/>
                <w:szCs w:val="21"/>
                <w:highlight w:val="none"/>
              </w:rPr>
            </w:pPr>
          </w:p>
        </w:tc>
        <w:tc>
          <w:tcPr>
            <w:tcW w:w="2511" w:type="dxa"/>
            <w:tcBorders>
              <w:top w:val="single" w:color="auto" w:sz="4" w:space="0"/>
              <w:left w:val="single" w:color="auto" w:sz="4" w:space="0"/>
              <w:bottom w:val="single" w:color="auto" w:sz="4" w:space="0"/>
              <w:right w:val="single" w:color="auto" w:sz="4" w:space="0"/>
            </w:tcBorders>
            <w:noWrap w:val="0"/>
            <w:vAlign w:val="center"/>
          </w:tcPr>
          <w:p w14:paraId="74BFEDE9">
            <w:pPr>
              <w:tabs>
                <w:tab w:val="left" w:pos="720"/>
              </w:tabs>
              <w:snapToGrid w:val="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DF2FD62">
            <w:pPr>
              <w:tabs>
                <w:tab w:val="left" w:pos="720"/>
              </w:tabs>
              <w:snapToGrid w:val="0"/>
              <w:jc w:val="center"/>
              <w:rPr>
                <w:rFonts w:hint="eastAsia" w:ascii="宋体" w:hAnsi="宋体" w:cs="宋体"/>
                <w:color w:val="auto"/>
                <w:szCs w:val="21"/>
                <w:highlight w:val="none"/>
              </w:rPr>
            </w:pPr>
          </w:p>
        </w:tc>
      </w:tr>
      <w:tr w14:paraId="3C18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14:paraId="5A3BD603">
            <w:pPr>
              <w:tabs>
                <w:tab w:val="left" w:pos="720"/>
              </w:tabs>
              <w:snapToGrid w:val="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14:paraId="68D5099B">
            <w:pPr>
              <w:tabs>
                <w:tab w:val="left" w:pos="720"/>
              </w:tabs>
              <w:snapToGrid w:val="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14:paraId="194B1C13">
            <w:pPr>
              <w:tabs>
                <w:tab w:val="left" w:pos="720"/>
              </w:tabs>
              <w:snapToGrid w:val="0"/>
              <w:jc w:val="center"/>
              <w:rPr>
                <w:rFonts w:hint="eastAsia" w:ascii="宋体" w:hAnsi="宋体" w:cs="宋体"/>
                <w:color w:val="auto"/>
                <w:szCs w:val="21"/>
                <w:highlight w:val="none"/>
              </w:rPr>
            </w:pPr>
          </w:p>
        </w:tc>
        <w:tc>
          <w:tcPr>
            <w:tcW w:w="2511" w:type="dxa"/>
            <w:tcBorders>
              <w:top w:val="single" w:color="auto" w:sz="4" w:space="0"/>
              <w:left w:val="single" w:color="auto" w:sz="4" w:space="0"/>
              <w:bottom w:val="single" w:color="auto" w:sz="4" w:space="0"/>
              <w:right w:val="single" w:color="auto" w:sz="4" w:space="0"/>
            </w:tcBorders>
            <w:noWrap w:val="0"/>
            <w:vAlign w:val="center"/>
          </w:tcPr>
          <w:p w14:paraId="3070C822">
            <w:pPr>
              <w:tabs>
                <w:tab w:val="left" w:pos="720"/>
              </w:tabs>
              <w:snapToGrid w:val="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A8B7F98">
            <w:pPr>
              <w:tabs>
                <w:tab w:val="left" w:pos="720"/>
              </w:tabs>
              <w:snapToGrid w:val="0"/>
              <w:jc w:val="center"/>
              <w:rPr>
                <w:rFonts w:hint="eastAsia" w:ascii="宋体" w:hAnsi="宋体" w:cs="宋体"/>
                <w:color w:val="auto"/>
                <w:szCs w:val="21"/>
                <w:highlight w:val="none"/>
              </w:rPr>
            </w:pPr>
          </w:p>
        </w:tc>
      </w:tr>
      <w:tr w14:paraId="4919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14:paraId="10F56C7C">
            <w:pPr>
              <w:tabs>
                <w:tab w:val="left" w:pos="720"/>
              </w:tabs>
              <w:snapToGrid w:val="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14:paraId="6E1F658C">
            <w:pPr>
              <w:tabs>
                <w:tab w:val="left" w:pos="720"/>
              </w:tabs>
              <w:snapToGrid w:val="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14:paraId="74256B0D">
            <w:pPr>
              <w:tabs>
                <w:tab w:val="left" w:pos="720"/>
              </w:tabs>
              <w:snapToGrid w:val="0"/>
              <w:jc w:val="center"/>
              <w:rPr>
                <w:rFonts w:hint="eastAsia" w:ascii="宋体" w:hAnsi="宋体" w:cs="宋体"/>
                <w:color w:val="auto"/>
                <w:szCs w:val="21"/>
                <w:highlight w:val="none"/>
              </w:rPr>
            </w:pPr>
          </w:p>
        </w:tc>
        <w:tc>
          <w:tcPr>
            <w:tcW w:w="2511" w:type="dxa"/>
            <w:tcBorders>
              <w:top w:val="single" w:color="auto" w:sz="4" w:space="0"/>
              <w:left w:val="single" w:color="auto" w:sz="4" w:space="0"/>
              <w:bottom w:val="single" w:color="auto" w:sz="4" w:space="0"/>
              <w:right w:val="single" w:color="auto" w:sz="4" w:space="0"/>
            </w:tcBorders>
            <w:noWrap w:val="0"/>
            <w:vAlign w:val="center"/>
          </w:tcPr>
          <w:p w14:paraId="5B5C95B5">
            <w:pPr>
              <w:tabs>
                <w:tab w:val="left" w:pos="720"/>
              </w:tabs>
              <w:snapToGrid w:val="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5D84637">
            <w:pPr>
              <w:tabs>
                <w:tab w:val="left" w:pos="720"/>
              </w:tabs>
              <w:snapToGrid w:val="0"/>
              <w:jc w:val="center"/>
              <w:rPr>
                <w:rFonts w:hint="eastAsia" w:ascii="宋体" w:hAnsi="宋体" w:cs="宋体"/>
                <w:color w:val="auto"/>
                <w:szCs w:val="21"/>
                <w:highlight w:val="none"/>
              </w:rPr>
            </w:pPr>
          </w:p>
        </w:tc>
      </w:tr>
      <w:tr w14:paraId="1B361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14:paraId="16E70AD1">
            <w:pPr>
              <w:tabs>
                <w:tab w:val="left" w:pos="720"/>
              </w:tabs>
              <w:snapToGrid w:val="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14:paraId="593A5D4C">
            <w:pPr>
              <w:tabs>
                <w:tab w:val="left" w:pos="720"/>
              </w:tabs>
              <w:snapToGrid w:val="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14:paraId="277D8835">
            <w:pPr>
              <w:tabs>
                <w:tab w:val="left" w:pos="720"/>
              </w:tabs>
              <w:snapToGrid w:val="0"/>
              <w:jc w:val="center"/>
              <w:rPr>
                <w:rFonts w:hint="eastAsia" w:ascii="宋体" w:hAnsi="宋体" w:cs="宋体"/>
                <w:color w:val="auto"/>
                <w:szCs w:val="21"/>
                <w:highlight w:val="none"/>
              </w:rPr>
            </w:pPr>
          </w:p>
        </w:tc>
        <w:tc>
          <w:tcPr>
            <w:tcW w:w="2511" w:type="dxa"/>
            <w:tcBorders>
              <w:top w:val="single" w:color="auto" w:sz="4" w:space="0"/>
              <w:left w:val="single" w:color="auto" w:sz="4" w:space="0"/>
              <w:bottom w:val="single" w:color="auto" w:sz="4" w:space="0"/>
              <w:right w:val="single" w:color="auto" w:sz="4" w:space="0"/>
            </w:tcBorders>
            <w:noWrap w:val="0"/>
            <w:vAlign w:val="center"/>
          </w:tcPr>
          <w:p w14:paraId="2FA28C56">
            <w:pPr>
              <w:tabs>
                <w:tab w:val="left" w:pos="720"/>
              </w:tabs>
              <w:snapToGrid w:val="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A48DB1E">
            <w:pPr>
              <w:tabs>
                <w:tab w:val="left" w:pos="720"/>
              </w:tabs>
              <w:snapToGrid w:val="0"/>
              <w:jc w:val="center"/>
              <w:rPr>
                <w:rFonts w:hint="eastAsia" w:ascii="宋体" w:hAnsi="宋体" w:cs="宋体"/>
                <w:color w:val="auto"/>
                <w:szCs w:val="21"/>
                <w:highlight w:val="none"/>
              </w:rPr>
            </w:pPr>
          </w:p>
        </w:tc>
      </w:tr>
      <w:tr w14:paraId="6B13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14:paraId="115639E8">
            <w:pPr>
              <w:tabs>
                <w:tab w:val="left" w:pos="720"/>
              </w:tabs>
              <w:snapToGrid w:val="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14:paraId="415876AF">
            <w:pPr>
              <w:tabs>
                <w:tab w:val="left" w:pos="720"/>
              </w:tabs>
              <w:snapToGrid w:val="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14:paraId="1B14BF25">
            <w:pPr>
              <w:tabs>
                <w:tab w:val="left" w:pos="720"/>
              </w:tabs>
              <w:snapToGrid w:val="0"/>
              <w:jc w:val="center"/>
              <w:rPr>
                <w:rFonts w:hint="eastAsia" w:ascii="宋体" w:hAnsi="宋体" w:cs="宋体"/>
                <w:color w:val="auto"/>
                <w:szCs w:val="21"/>
                <w:highlight w:val="none"/>
              </w:rPr>
            </w:pPr>
          </w:p>
        </w:tc>
        <w:tc>
          <w:tcPr>
            <w:tcW w:w="2511" w:type="dxa"/>
            <w:tcBorders>
              <w:top w:val="single" w:color="auto" w:sz="4" w:space="0"/>
              <w:left w:val="single" w:color="auto" w:sz="4" w:space="0"/>
              <w:bottom w:val="single" w:color="auto" w:sz="4" w:space="0"/>
              <w:right w:val="single" w:color="auto" w:sz="4" w:space="0"/>
            </w:tcBorders>
            <w:noWrap w:val="0"/>
            <w:vAlign w:val="center"/>
          </w:tcPr>
          <w:p w14:paraId="0A7CE1DA">
            <w:pPr>
              <w:tabs>
                <w:tab w:val="left" w:pos="720"/>
              </w:tabs>
              <w:snapToGrid w:val="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ACB8640">
            <w:pPr>
              <w:tabs>
                <w:tab w:val="left" w:pos="720"/>
              </w:tabs>
              <w:snapToGrid w:val="0"/>
              <w:jc w:val="center"/>
              <w:rPr>
                <w:rFonts w:hint="eastAsia" w:ascii="宋体" w:hAnsi="宋体" w:cs="宋体"/>
                <w:color w:val="auto"/>
                <w:szCs w:val="21"/>
                <w:highlight w:val="none"/>
              </w:rPr>
            </w:pPr>
          </w:p>
        </w:tc>
      </w:tr>
      <w:tr w14:paraId="5D10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14:paraId="3B83E518">
            <w:pPr>
              <w:tabs>
                <w:tab w:val="left" w:pos="720"/>
              </w:tabs>
              <w:snapToGrid w:val="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14:paraId="41479E83">
            <w:pPr>
              <w:tabs>
                <w:tab w:val="left" w:pos="720"/>
              </w:tabs>
              <w:snapToGrid w:val="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14:paraId="4D7C97DD">
            <w:pPr>
              <w:tabs>
                <w:tab w:val="left" w:pos="720"/>
              </w:tabs>
              <w:snapToGrid w:val="0"/>
              <w:jc w:val="center"/>
              <w:rPr>
                <w:rFonts w:hint="eastAsia" w:ascii="宋体" w:hAnsi="宋体" w:cs="宋体"/>
                <w:color w:val="auto"/>
                <w:szCs w:val="21"/>
                <w:highlight w:val="none"/>
              </w:rPr>
            </w:pPr>
          </w:p>
        </w:tc>
        <w:tc>
          <w:tcPr>
            <w:tcW w:w="2511" w:type="dxa"/>
            <w:tcBorders>
              <w:top w:val="single" w:color="auto" w:sz="4" w:space="0"/>
              <w:left w:val="single" w:color="auto" w:sz="4" w:space="0"/>
              <w:bottom w:val="single" w:color="auto" w:sz="4" w:space="0"/>
              <w:right w:val="single" w:color="auto" w:sz="4" w:space="0"/>
            </w:tcBorders>
            <w:noWrap w:val="0"/>
            <w:vAlign w:val="center"/>
          </w:tcPr>
          <w:p w14:paraId="07BAC1D7">
            <w:pPr>
              <w:tabs>
                <w:tab w:val="left" w:pos="720"/>
              </w:tabs>
              <w:snapToGrid w:val="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89A0032">
            <w:pPr>
              <w:tabs>
                <w:tab w:val="left" w:pos="720"/>
              </w:tabs>
              <w:snapToGrid w:val="0"/>
              <w:jc w:val="center"/>
              <w:rPr>
                <w:rFonts w:hint="eastAsia" w:ascii="宋体" w:hAnsi="宋体" w:cs="宋体"/>
                <w:color w:val="auto"/>
                <w:szCs w:val="21"/>
                <w:highlight w:val="none"/>
              </w:rPr>
            </w:pPr>
          </w:p>
        </w:tc>
      </w:tr>
    </w:tbl>
    <w:p w14:paraId="23056E9C">
      <w:pPr>
        <w:pStyle w:val="4"/>
        <w:spacing w:before="156" w:beforeLines="50" w:after="0" w:line="360" w:lineRule="auto"/>
        <w:ind w:left="-2" w:leftChars="-1" w:firstLine="367" w:firstLineChars="175"/>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注：参与编制技术标投标文件所有人员名单应包括如编制技术投标方案、负责清样校对、负责打印及复印等所有人员在内的人员名单。</w:t>
      </w:r>
    </w:p>
    <w:p w14:paraId="7C600C57">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b/>
          <w:bCs/>
          <w:color w:val="auto"/>
          <w:highlight w:val="none"/>
        </w:rPr>
        <w:t>格式八</w:t>
      </w:r>
    </w:p>
    <w:p w14:paraId="49F28CED">
      <w:pPr>
        <w:pStyle w:val="31"/>
        <w:ind w:firstLine="0" w:firstLineChars="0"/>
        <w:jc w:val="center"/>
        <w:rPr>
          <w:rFonts w:hint="eastAsia" w:ascii="宋体" w:hAnsi="宋体" w:eastAsia="宋体"/>
          <w:b/>
          <w:bCs/>
          <w:color w:val="auto"/>
          <w:sz w:val="32"/>
          <w:szCs w:val="32"/>
          <w:highlight w:val="none"/>
        </w:rPr>
      </w:pPr>
    </w:p>
    <w:p w14:paraId="43E26FEE">
      <w:pPr>
        <w:pStyle w:val="35"/>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其他投标人认为须提供的资料</w:t>
      </w:r>
    </w:p>
    <w:p w14:paraId="01CE9CDA">
      <w:pPr>
        <w:tabs>
          <w:tab w:val="left" w:pos="720"/>
        </w:tabs>
        <w:snapToGrid w:val="0"/>
        <w:spacing w:line="360" w:lineRule="auto"/>
        <w:rPr>
          <w:rFonts w:hint="eastAsia" w:ascii="宋体" w:hAnsi="宋体" w:cs="宋体"/>
          <w:color w:val="auto"/>
          <w:sz w:val="24"/>
          <w:szCs w:val="24"/>
          <w:highlight w:val="none"/>
        </w:rPr>
      </w:pPr>
    </w:p>
    <w:p w14:paraId="0F1270D8">
      <w:pPr>
        <w:tabs>
          <w:tab w:val="left" w:pos="720"/>
        </w:tabs>
        <w:snapToGrid w:val="0"/>
        <w:spacing w:line="360" w:lineRule="auto"/>
        <w:jc w:val="center"/>
        <w:outlineLvl w:val="2"/>
        <w:rPr>
          <w:rFonts w:hint="eastAsia" w:ascii="宋体" w:hAnsi="宋体" w:cs="宋体"/>
          <w:color w:val="auto"/>
          <w:szCs w:val="21"/>
          <w:highlight w:val="none"/>
        </w:rPr>
      </w:pPr>
      <w:r>
        <w:rPr>
          <w:rFonts w:hint="eastAsia" w:ascii="宋体" w:hAnsi="宋体" w:cs="宋体"/>
          <w:color w:val="auto"/>
          <w:szCs w:val="21"/>
          <w:highlight w:val="none"/>
        </w:rPr>
        <w:br w:type="page"/>
      </w:r>
    </w:p>
    <w:p w14:paraId="3005A54C">
      <w:pPr>
        <w:pStyle w:val="13"/>
        <w:jc w:val="center"/>
        <w:rPr>
          <w:rFonts w:hint="eastAsia" w:hAnsi="宋体"/>
          <w:color w:val="auto"/>
          <w:highlight w:val="none"/>
        </w:rPr>
      </w:pPr>
      <w:r>
        <w:rPr>
          <w:rStyle w:val="26"/>
          <w:rFonts w:hAnsi="宋体"/>
          <w:b/>
          <w:color w:val="auto"/>
          <w:spacing w:val="4"/>
          <w:sz w:val="30"/>
          <w:szCs w:val="30"/>
          <w:highlight w:val="none"/>
        </w:rPr>
        <w:t>二、经济标投标文件格式</w:t>
      </w:r>
    </w:p>
    <w:p w14:paraId="3A01DC28">
      <w:pPr>
        <w:topLinePunct/>
        <w:snapToGrid w:val="0"/>
        <w:spacing w:before="156" w:after="156"/>
        <w:jc w:val="left"/>
        <w:rPr>
          <w:rStyle w:val="26"/>
          <w:rFonts w:ascii="宋体" w:hAnsi="宋体"/>
          <w:b/>
          <w:color w:val="auto"/>
          <w:spacing w:val="4"/>
          <w:kern w:val="0"/>
          <w:sz w:val="24"/>
          <w:szCs w:val="24"/>
          <w:highlight w:val="none"/>
        </w:rPr>
      </w:pPr>
      <w:r>
        <w:rPr>
          <w:rFonts w:hint="eastAsia" w:ascii="宋体" w:hAnsi="宋体" w:cs="宋体"/>
          <w:color w:val="auto"/>
          <w:szCs w:val="21"/>
          <w:highlight w:val="none"/>
        </w:rPr>
        <w:br w:type="page"/>
      </w:r>
      <w:r>
        <w:rPr>
          <w:rStyle w:val="26"/>
          <w:rFonts w:ascii="宋体" w:hAnsi="宋体"/>
          <w:b/>
          <w:color w:val="auto"/>
          <w:spacing w:val="4"/>
          <w:kern w:val="0"/>
          <w:sz w:val="24"/>
          <w:szCs w:val="24"/>
          <w:highlight w:val="none"/>
        </w:rPr>
        <w:t>格式一：经济标封面</w:t>
      </w:r>
    </w:p>
    <w:p w14:paraId="3678285D">
      <w:pPr>
        <w:topLinePunct/>
        <w:snapToGrid w:val="0"/>
        <w:spacing w:before="100" w:beforeAutospacing="1" w:line="360" w:lineRule="auto"/>
        <w:ind w:firstLine="618"/>
        <w:jc w:val="center"/>
        <w:rPr>
          <w:rStyle w:val="26"/>
          <w:rFonts w:hint="eastAsia" w:ascii="宋体" w:hAnsi="宋体"/>
          <w:color w:val="auto"/>
          <w:spacing w:val="4"/>
          <w:kern w:val="0"/>
          <w:sz w:val="36"/>
          <w:szCs w:val="36"/>
          <w:highlight w:val="none"/>
        </w:rPr>
      </w:pPr>
    </w:p>
    <w:p w14:paraId="713C724D">
      <w:pPr>
        <w:topLinePunct/>
        <w:snapToGrid w:val="0"/>
        <w:spacing w:before="100" w:beforeAutospacing="1" w:line="360" w:lineRule="auto"/>
        <w:ind w:firstLine="618"/>
        <w:jc w:val="center"/>
        <w:rPr>
          <w:rStyle w:val="26"/>
          <w:rFonts w:ascii="宋体" w:hAnsi="宋体"/>
          <w:color w:val="auto"/>
          <w:spacing w:val="4"/>
          <w:kern w:val="0"/>
          <w:sz w:val="36"/>
          <w:szCs w:val="36"/>
          <w:highlight w:val="none"/>
        </w:rPr>
      </w:pPr>
    </w:p>
    <w:p w14:paraId="44F9079F">
      <w:pPr>
        <w:pStyle w:val="36"/>
        <w:rPr>
          <w:rFonts w:hint="eastAsia" w:ascii="宋体" w:hAnsi="宋体" w:eastAsia="宋体"/>
          <w:b w:val="0"/>
          <w:color w:val="auto"/>
          <w:highlight w:val="none"/>
          <w:u w:val="single"/>
        </w:rPr>
      </w:pPr>
      <w:r>
        <w:rPr>
          <w:rFonts w:hint="eastAsia" w:ascii="宋体" w:hAnsi="宋体" w:eastAsia="宋体"/>
          <w:b w:val="0"/>
          <w:color w:val="auto"/>
          <w:highlight w:val="none"/>
          <w:u w:val="single"/>
        </w:rPr>
        <w:t xml:space="preserve">[工程名称] </w:t>
      </w:r>
    </w:p>
    <w:p w14:paraId="194FC95C">
      <w:pPr>
        <w:pStyle w:val="31"/>
        <w:ind w:firstLine="496"/>
        <w:rPr>
          <w:rFonts w:hint="eastAsia" w:ascii="宋体" w:hAnsi="宋体" w:eastAsia="宋体"/>
          <w:color w:val="auto"/>
          <w:highlight w:val="none"/>
        </w:rPr>
      </w:pPr>
    </w:p>
    <w:p w14:paraId="01C048A5">
      <w:pPr>
        <w:pStyle w:val="31"/>
        <w:ind w:firstLine="496"/>
        <w:rPr>
          <w:rFonts w:hint="eastAsia" w:ascii="宋体" w:hAnsi="宋体" w:eastAsia="宋体"/>
          <w:color w:val="auto"/>
          <w:highlight w:val="none"/>
        </w:rPr>
      </w:pPr>
    </w:p>
    <w:p w14:paraId="6659B41E">
      <w:pPr>
        <w:pStyle w:val="31"/>
        <w:ind w:firstLine="496"/>
        <w:rPr>
          <w:rFonts w:hint="eastAsia" w:ascii="宋体" w:hAnsi="宋体" w:eastAsia="宋体"/>
          <w:color w:val="auto"/>
          <w:highlight w:val="none"/>
        </w:rPr>
      </w:pPr>
    </w:p>
    <w:p w14:paraId="6EE4BA66">
      <w:pPr>
        <w:pStyle w:val="31"/>
        <w:ind w:firstLine="496"/>
        <w:rPr>
          <w:rFonts w:hint="eastAsia" w:ascii="宋体" w:hAnsi="宋体" w:eastAsia="宋体"/>
          <w:color w:val="auto"/>
          <w:highlight w:val="none"/>
        </w:rPr>
      </w:pPr>
    </w:p>
    <w:p w14:paraId="6AA25C9C">
      <w:pPr>
        <w:topLinePunct/>
        <w:snapToGrid w:val="0"/>
        <w:spacing w:before="100" w:beforeAutospacing="1" w:line="360" w:lineRule="auto"/>
        <w:jc w:val="center"/>
        <w:rPr>
          <w:rStyle w:val="26"/>
          <w:rFonts w:hint="eastAsia" w:ascii="宋体" w:hAnsi="宋体"/>
          <w:b/>
          <w:color w:val="auto"/>
          <w:spacing w:val="4"/>
          <w:kern w:val="0"/>
          <w:sz w:val="72"/>
          <w:szCs w:val="72"/>
          <w:highlight w:val="none"/>
        </w:rPr>
      </w:pPr>
      <w:r>
        <w:rPr>
          <w:rStyle w:val="26"/>
          <w:rFonts w:hint="eastAsia" w:ascii="宋体" w:hAnsi="宋体"/>
          <w:b/>
          <w:color w:val="auto"/>
          <w:spacing w:val="4"/>
          <w:kern w:val="0"/>
          <w:sz w:val="72"/>
          <w:szCs w:val="72"/>
          <w:highlight w:val="none"/>
        </w:rPr>
        <w:t>投标文件</w:t>
      </w:r>
    </w:p>
    <w:p w14:paraId="0B4A8CF2">
      <w:pPr>
        <w:pStyle w:val="36"/>
        <w:rPr>
          <w:rFonts w:hint="eastAsia" w:ascii="宋体" w:hAnsi="宋体" w:eastAsia="宋体"/>
          <w:b w:val="0"/>
          <w:color w:val="auto"/>
          <w:highlight w:val="none"/>
        </w:rPr>
      </w:pPr>
      <w:r>
        <w:rPr>
          <w:rFonts w:hint="eastAsia" w:ascii="宋体" w:hAnsi="宋体" w:eastAsia="宋体"/>
          <w:b w:val="0"/>
          <w:color w:val="auto"/>
          <w:highlight w:val="none"/>
        </w:rPr>
        <w:t>第二册  （经济标书）</w:t>
      </w:r>
    </w:p>
    <w:p w14:paraId="4650A386">
      <w:pPr>
        <w:pStyle w:val="31"/>
        <w:ind w:firstLine="496"/>
        <w:rPr>
          <w:rFonts w:hint="eastAsia" w:ascii="宋体" w:hAnsi="宋体" w:eastAsia="宋体"/>
          <w:color w:val="auto"/>
          <w:highlight w:val="none"/>
        </w:rPr>
      </w:pPr>
    </w:p>
    <w:p w14:paraId="780DF8CC">
      <w:pPr>
        <w:pStyle w:val="31"/>
        <w:ind w:firstLine="496"/>
        <w:rPr>
          <w:rFonts w:hint="eastAsia" w:ascii="宋体" w:hAnsi="宋体" w:eastAsia="宋体"/>
          <w:color w:val="auto"/>
          <w:highlight w:val="none"/>
        </w:rPr>
      </w:pPr>
    </w:p>
    <w:p w14:paraId="7685D407">
      <w:pPr>
        <w:pStyle w:val="31"/>
        <w:ind w:firstLine="496"/>
        <w:rPr>
          <w:rFonts w:hint="eastAsia" w:ascii="宋体" w:hAnsi="宋体" w:eastAsia="宋体"/>
          <w:color w:val="auto"/>
          <w:highlight w:val="none"/>
        </w:rPr>
      </w:pPr>
    </w:p>
    <w:p w14:paraId="7986F8DC">
      <w:pPr>
        <w:pStyle w:val="31"/>
        <w:ind w:firstLine="496"/>
        <w:rPr>
          <w:rFonts w:hint="eastAsia" w:ascii="宋体" w:hAnsi="宋体" w:eastAsia="宋体"/>
          <w:color w:val="auto"/>
          <w:highlight w:val="none"/>
        </w:rPr>
      </w:pPr>
    </w:p>
    <w:p w14:paraId="698ED28C">
      <w:pPr>
        <w:pStyle w:val="31"/>
        <w:ind w:firstLine="496"/>
        <w:rPr>
          <w:rFonts w:hint="eastAsia" w:ascii="宋体" w:hAnsi="宋体" w:eastAsia="宋体"/>
          <w:color w:val="auto"/>
          <w:highlight w:val="none"/>
        </w:rPr>
      </w:pPr>
    </w:p>
    <w:p w14:paraId="7EE1BE77">
      <w:pPr>
        <w:topLinePunct/>
        <w:snapToGrid w:val="0"/>
        <w:spacing w:before="100" w:beforeAutospacing="1" w:line="360" w:lineRule="auto"/>
        <w:ind w:firstLine="616" w:firstLineChars="200"/>
        <w:jc w:val="left"/>
        <w:rPr>
          <w:rStyle w:val="26"/>
          <w:rFonts w:ascii="宋体" w:hAnsi="宋体"/>
          <w:color w:val="auto"/>
          <w:spacing w:val="4"/>
          <w:kern w:val="0"/>
          <w:sz w:val="30"/>
          <w:szCs w:val="30"/>
          <w:highlight w:val="none"/>
        </w:rPr>
      </w:pPr>
      <w:r>
        <w:rPr>
          <w:rStyle w:val="26"/>
          <w:rFonts w:ascii="宋体" w:hAnsi="宋体"/>
          <w:color w:val="auto"/>
          <w:spacing w:val="4"/>
          <w:kern w:val="0"/>
          <w:sz w:val="30"/>
          <w:szCs w:val="30"/>
          <w:highlight w:val="none"/>
        </w:rPr>
        <w:t>投标人：</w:t>
      </w:r>
      <w:r>
        <w:rPr>
          <w:rStyle w:val="26"/>
          <w:rFonts w:ascii="宋体" w:hAnsi="宋体"/>
          <w:color w:val="auto"/>
          <w:spacing w:val="4"/>
          <w:kern w:val="0"/>
          <w:sz w:val="30"/>
          <w:szCs w:val="30"/>
          <w:highlight w:val="none"/>
          <w:u w:val="single"/>
        </w:rPr>
        <w:t xml:space="preserve">                            （盖章）</w:t>
      </w:r>
    </w:p>
    <w:p w14:paraId="781B93F1">
      <w:pPr>
        <w:topLinePunct/>
        <w:snapToGrid w:val="0"/>
        <w:spacing w:before="100" w:beforeAutospacing="1" w:line="360" w:lineRule="auto"/>
        <w:ind w:firstLine="616" w:firstLineChars="200"/>
        <w:jc w:val="left"/>
        <w:rPr>
          <w:rStyle w:val="26"/>
          <w:rFonts w:ascii="宋体" w:hAnsi="宋体"/>
          <w:color w:val="auto"/>
          <w:spacing w:val="4"/>
          <w:kern w:val="0"/>
          <w:sz w:val="30"/>
          <w:szCs w:val="30"/>
          <w:highlight w:val="none"/>
        </w:rPr>
      </w:pPr>
      <w:r>
        <w:rPr>
          <w:rStyle w:val="26"/>
          <w:rFonts w:ascii="宋体" w:hAnsi="宋体"/>
          <w:color w:val="auto"/>
          <w:spacing w:val="4"/>
          <w:kern w:val="0"/>
          <w:sz w:val="30"/>
          <w:szCs w:val="30"/>
          <w:highlight w:val="none"/>
        </w:rPr>
        <w:t>法定代表人或其委托代理人：</w:t>
      </w:r>
      <w:r>
        <w:rPr>
          <w:rStyle w:val="26"/>
          <w:rFonts w:ascii="宋体" w:hAnsi="宋体"/>
          <w:color w:val="auto"/>
          <w:spacing w:val="4"/>
          <w:kern w:val="0"/>
          <w:sz w:val="30"/>
          <w:szCs w:val="30"/>
          <w:highlight w:val="none"/>
          <w:u w:val="single"/>
        </w:rPr>
        <w:t xml:space="preserve">    （签字或盖章）</w:t>
      </w:r>
    </w:p>
    <w:p w14:paraId="3322AE4E">
      <w:pPr>
        <w:topLinePunct/>
        <w:snapToGrid w:val="0"/>
        <w:spacing w:before="100" w:beforeAutospacing="1" w:line="360" w:lineRule="auto"/>
        <w:ind w:firstLine="616" w:firstLineChars="200"/>
        <w:jc w:val="left"/>
        <w:rPr>
          <w:rStyle w:val="26"/>
          <w:rFonts w:ascii="宋体" w:hAnsi="宋体"/>
          <w:color w:val="auto"/>
          <w:spacing w:val="4"/>
          <w:kern w:val="0"/>
          <w:sz w:val="24"/>
          <w:szCs w:val="24"/>
          <w:highlight w:val="none"/>
        </w:rPr>
      </w:pPr>
      <w:r>
        <w:rPr>
          <w:rStyle w:val="26"/>
          <w:rFonts w:ascii="宋体" w:hAnsi="宋体"/>
          <w:color w:val="auto"/>
          <w:spacing w:val="4"/>
          <w:kern w:val="0"/>
          <w:sz w:val="30"/>
          <w:szCs w:val="30"/>
          <w:highlight w:val="none"/>
        </w:rPr>
        <w:t>日  期：</w:t>
      </w:r>
      <w:r>
        <w:rPr>
          <w:rStyle w:val="26"/>
          <w:rFonts w:ascii="宋体" w:hAnsi="宋体"/>
          <w:color w:val="auto"/>
          <w:spacing w:val="4"/>
          <w:kern w:val="0"/>
          <w:sz w:val="30"/>
          <w:szCs w:val="30"/>
          <w:highlight w:val="none"/>
          <w:u w:val="single"/>
        </w:rPr>
        <w:t xml:space="preserve">                                 </w:t>
      </w:r>
      <w:r>
        <w:rPr>
          <w:rStyle w:val="26"/>
          <w:rFonts w:ascii="宋体" w:hAnsi="宋体"/>
          <w:color w:val="auto"/>
          <w:spacing w:val="4"/>
          <w:kern w:val="0"/>
          <w:sz w:val="24"/>
          <w:szCs w:val="24"/>
          <w:highlight w:val="none"/>
        </w:rPr>
        <w:t xml:space="preserve"> </w:t>
      </w:r>
    </w:p>
    <w:p w14:paraId="323FEC86">
      <w:pPr>
        <w:pStyle w:val="37"/>
        <w:spacing w:line="360" w:lineRule="auto"/>
        <w:rPr>
          <w:rStyle w:val="26"/>
          <w:rFonts w:hint="eastAsia" w:ascii="宋体" w:eastAsia="宋体" w:cs="宋体"/>
          <w:b/>
          <w:color w:val="auto"/>
          <w:sz w:val="21"/>
          <w:szCs w:val="21"/>
          <w:highlight w:val="none"/>
        </w:rPr>
      </w:pPr>
      <w:r>
        <w:rPr>
          <w:rStyle w:val="26"/>
          <w:rFonts w:ascii="宋体" w:eastAsia="宋体"/>
          <w:b/>
          <w:color w:val="auto"/>
          <w:highlight w:val="none"/>
        </w:rPr>
        <w:br w:type="page"/>
      </w:r>
    </w:p>
    <w:p w14:paraId="7A7A3090">
      <w:pPr>
        <w:tabs>
          <w:tab w:val="left" w:pos="720"/>
        </w:tabs>
        <w:snapToGrid w:val="0"/>
        <w:spacing w:line="360" w:lineRule="auto"/>
        <w:outlineLvl w:val="2"/>
        <w:rPr>
          <w:rFonts w:hint="eastAsia" w:ascii="宋体" w:hAnsi="宋体" w:cs="宋体"/>
          <w:color w:val="auto"/>
          <w:sz w:val="24"/>
          <w:szCs w:val="24"/>
          <w:highlight w:val="none"/>
        </w:rPr>
      </w:pPr>
      <w:r>
        <w:rPr>
          <w:rFonts w:hint="eastAsia" w:ascii="宋体" w:hAnsi="宋体" w:cs="宋体"/>
          <w:b/>
          <w:bCs/>
          <w:color w:val="auto"/>
          <w:highlight w:val="none"/>
        </w:rPr>
        <w:t xml:space="preserve">★ </w:t>
      </w:r>
      <w:r>
        <w:rPr>
          <w:rFonts w:hint="eastAsia" w:ascii="宋体" w:hAnsi="宋体" w:cs="宋体"/>
          <w:b/>
          <w:bCs/>
          <w:color w:val="auto"/>
          <w:szCs w:val="21"/>
          <w:highlight w:val="none"/>
        </w:rPr>
        <w:t>格式二</w:t>
      </w:r>
    </w:p>
    <w:p w14:paraId="7BEB632E">
      <w:pPr>
        <w:tabs>
          <w:tab w:val="left" w:pos="720"/>
        </w:tabs>
        <w:snapToGrid w:val="0"/>
        <w:spacing w:line="360" w:lineRule="auto"/>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参与编制经济标投标文件人员名单</w:t>
      </w:r>
    </w:p>
    <w:p w14:paraId="749500EC">
      <w:pPr>
        <w:tabs>
          <w:tab w:val="left" w:pos="720"/>
        </w:tabs>
        <w:snapToGrid w:val="0"/>
        <w:spacing w:line="360" w:lineRule="auto"/>
        <w:jc w:val="center"/>
        <w:rPr>
          <w:rFonts w:hint="eastAsia" w:ascii="宋体" w:hAnsi="宋体" w:cs="宋体"/>
          <w:color w:val="auto"/>
          <w:szCs w:val="21"/>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2"/>
        <w:gridCol w:w="2423"/>
        <w:gridCol w:w="1361"/>
      </w:tblGrid>
      <w:tr w14:paraId="1026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9" w:type="dxa"/>
            <w:gridSpan w:val="5"/>
            <w:tcBorders>
              <w:top w:val="single" w:color="auto" w:sz="4" w:space="0"/>
              <w:left w:val="single" w:color="auto" w:sz="4" w:space="0"/>
              <w:bottom w:val="single" w:color="auto" w:sz="4" w:space="0"/>
              <w:right w:val="single" w:color="auto" w:sz="4" w:space="0"/>
            </w:tcBorders>
            <w:noWrap w:val="0"/>
            <w:vAlign w:val="center"/>
          </w:tcPr>
          <w:p w14:paraId="4789A619">
            <w:pPr>
              <w:tabs>
                <w:tab w:val="left" w:pos="720"/>
              </w:tabs>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r>
      <w:tr w14:paraId="7C7C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14:paraId="2729C2EA">
            <w:pPr>
              <w:tabs>
                <w:tab w:val="left" w:pos="720"/>
              </w:tabs>
              <w:snapToGrid w:val="0"/>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65894798">
            <w:pPr>
              <w:tabs>
                <w:tab w:val="left" w:pos="720"/>
              </w:tabs>
              <w:snapToGrid w:val="0"/>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2342" w:type="dxa"/>
            <w:tcBorders>
              <w:top w:val="single" w:color="auto" w:sz="4" w:space="0"/>
              <w:left w:val="single" w:color="auto" w:sz="4" w:space="0"/>
              <w:bottom w:val="single" w:color="auto" w:sz="4" w:space="0"/>
              <w:right w:val="single" w:color="auto" w:sz="4" w:space="0"/>
            </w:tcBorders>
            <w:noWrap w:val="0"/>
            <w:vAlign w:val="center"/>
          </w:tcPr>
          <w:p w14:paraId="71EF066A">
            <w:pPr>
              <w:tabs>
                <w:tab w:val="left" w:pos="720"/>
              </w:tabs>
              <w:snapToGrid w:val="0"/>
              <w:jc w:val="center"/>
              <w:rPr>
                <w:rFonts w:hint="eastAsia" w:ascii="宋体" w:hAnsi="宋体" w:cs="宋体"/>
                <w:color w:val="auto"/>
                <w:szCs w:val="21"/>
                <w:highlight w:val="none"/>
              </w:rPr>
            </w:pPr>
            <w:r>
              <w:rPr>
                <w:rFonts w:hint="eastAsia" w:ascii="宋体" w:hAnsi="宋体" w:cs="宋体"/>
                <w:color w:val="auto"/>
                <w:szCs w:val="21"/>
                <w:highlight w:val="none"/>
              </w:rPr>
              <w:t>所承担工作</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3FF0737D">
            <w:pPr>
              <w:tabs>
                <w:tab w:val="left" w:pos="720"/>
              </w:tabs>
              <w:snapToGrid w:val="0"/>
              <w:jc w:val="center"/>
              <w:rPr>
                <w:rFonts w:hint="eastAsia" w:ascii="宋体" w:hAnsi="宋体" w:cs="宋体"/>
                <w:color w:val="auto"/>
                <w:szCs w:val="21"/>
                <w:highlight w:val="none"/>
              </w:rPr>
            </w:pPr>
            <w:r>
              <w:rPr>
                <w:rFonts w:hint="eastAsia" w:ascii="宋体" w:hAnsi="宋体" w:cs="宋体"/>
                <w:color w:val="auto"/>
                <w:szCs w:val="21"/>
                <w:highlight w:val="none"/>
              </w:rPr>
              <w:t>身份证号码</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00B2E01">
            <w:pPr>
              <w:tabs>
                <w:tab w:val="left" w:pos="720"/>
              </w:tabs>
              <w:snapToGrid w:val="0"/>
              <w:jc w:val="center"/>
              <w:rPr>
                <w:rFonts w:hint="eastAsia" w:ascii="宋体" w:hAnsi="宋体" w:cs="宋体"/>
                <w:color w:val="auto"/>
                <w:szCs w:val="21"/>
                <w:highlight w:val="none"/>
              </w:rPr>
            </w:pPr>
            <w:r>
              <w:rPr>
                <w:rFonts w:hint="eastAsia" w:ascii="宋体" w:hAnsi="宋体" w:cs="宋体"/>
                <w:color w:val="auto"/>
                <w:szCs w:val="21"/>
                <w:highlight w:val="none"/>
              </w:rPr>
              <w:t>本人签名栏</w:t>
            </w:r>
          </w:p>
        </w:tc>
      </w:tr>
      <w:tr w14:paraId="3450E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14:paraId="28F72D44">
            <w:pPr>
              <w:tabs>
                <w:tab w:val="left" w:pos="720"/>
              </w:tabs>
              <w:snapToGrid w:val="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14:paraId="7C8356C2">
            <w:pPr>
              <w:tabs>
                <w:tab w:val="left" w:pos="720"/>
              </w:tabs>
              <w:snapToGrid w:val="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14:paraId="546E2063">
            <w:pPr>
              <w:tabs>
                <w:tab w:val="left" w:pos="720"/>
              </w:tabs>
              <w:snapToGrid w:val="0"/>
              <w:jc w:val="center"/>
              <w:rPr>
                <w:rFonts w:hint="eastAsia" w:ascii="宋体" w:hAnsi="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14:paraId="33FAB4C7">
            <w:pPr>
              <w:tabs>
                <w:tab w:val="left" w:pos="720"/>
              </w:tabs>
              <w:snapToGrid w:val="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DAA976F">
            <w:pPr>
              <w:tabs>
                <w:tab w:val="left" w:pos="720"/>
              </w:tabs>
              <w:snapToGrid w:val="0"/>
              <w:jc w:val="center"/>
              <w:rPr>
                <w:rFonts w:hint="eastAsia" w:ascii="宋体" w:hAnsi="宋体" w:cs="宋体"/>
                <w:color w:val="auto"/>
                <w:szCs w:val="21"/>
                <w:highlight w:val="none"/>
              </w:rPr>
            </w:pPr>
          </w:p>
        </w:tc>
      </w:tr>
      <w:tr w14:paraId="55F4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14:paraId="584B6CC0">
            <w:pPr>
              <w:tabs>
                <w:tab w:val="left" w:pos="720"/>
              </w:tabs>
              <w:snapToGrid w:val="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14:paraId="181ED963">
            <w:pPr>
              <w:tabs>
                <w:tab w:val="left" w:pos="720"/>
              </w:tabs>
              <w:snapToGrid w:val="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14:paraId="758A8933">
            <w:pPr>
              <w:tabs>
                <w:tab w:val="left" w:pos="720"/>
              </w:tabs>
              <w:snapToGrid w:val="0"/>
              <w:jc w:val="center"/>
              <w:rPr>
                <w:rFonts w:hint="eastAsia" w:ascii="宋体" w:hAnsi="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14:paraId="0A657132">
            <w:pPr>
              <w:tabs>
                <w:tab w:val="left" w:pos="720"/>
              </w:tabs>
              <w:snapToGrid w:val="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43E7143">
            <w:pPr>
              <w:tabs>
                <w:tab w:val="left" w:pos="720"/>
              </w:tabs>
              <w:snapToGrid w:val="0"/>
              <w:jc w:val="center"/>
              <w:rPr>
                <w:rFonts w:hint="eastAsia" w:ascii="宋体" w:hAnsi="宋体" w:cs="宋体"/>
                <w:color w:val="auto"/>
                <w:szCs w:val="21"/>
                <w:highlight w:val="none"/>
              </w:rPr>
            </w:pPr>
          </w:p>
        </w:tc>
      </w:tr>
      <w:tr w14:paraId="05E1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14:paraId="6BA65B3F">
            <w:pPr>
              <w:tabs>
                <w:tab w:val="left" w:pos="720"/>
              </w:tabs>
              <w:snapToGrid w:val="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14:paraId="4901E0B9">
            <w:pPr>
              <w:tabs>
                <w:tab w:val="left" w:pos="720"/>
              </w:tabs>
              <w:snapToGrid w:val="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14:paraId="1D9BFD33">
            <w:pPr>
              <w:tabs>
                <w:tab w:val="left" w:pos="720"/>
              </w:tabs>
              <w:snapToGrid w:val="0"/>
              <w:jc w:val="center"/>
              <w:rPr>
                <w:rFonts w:hint="eastAsia" w:ascii="宋体" w:hAnsi="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14:paraId="5D84E40A">
            <w:pPr>
              <w:tabs>
                <w:tab w:val="left" w:pos="720"/>
              </w:tabs>
              <w:snapToGrid w:val="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D284E8E">
            <w:pPr>
              <w:tabs>
                <w:tab w:val="left" w:pos="720"/>
              </w:tabs>
              <w:snapToGrid w:val="0"/>
              <w:jc w:val="center"/>
              <w:rPr>
                <w:rFonts w:hint="eastAsia" w:ascii="宋体" w:hAnsi="宋体" w:cs="宋体"/>
                <w:color w:val="auto"/>
                <w:szCs w:val="21"/>
                <w:highlight w:val="none"/>
              </w:rPr>
            </w:pPr>
          </w:p>
        </w:tc>
      </w:tr>
      <w:tr w14:paraId="2CA17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14:paraId="5FA2A68A">
            <w:pPr>
              <w:tabs>
                <w:tab w:val="left" w:pos="720"/>
              </w:tabs>
              <w:snapToGrid w:val="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14:paraId="40C948E9">
            <w:pPr>
              <w:tabs>
                <w:tab w:val="left" w:pos="720"/>
              </w:tabs>
              <w:snapToGrid w:val="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14:paraId="2160BC4F">
            <w:pPr>
              <w:tabs>
                <w:tab w:val="left" w:pos="720"/>
              </w:tabs>
              <w:snapToGrid w:val="0"/>
              <w:jc w:val="center"/>
              <w:rPr>
                <w:rFonts w:hint="eastAsia" w:ascii="宋体" w:hAnsi="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14:paraId="3D7386B9">
            <w:pPr>
              <w:tabs>
                <w:tab w:val="left" w:pos="720"/>
              </w:tabs>
              <w:snapToGrid w:val="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CD367D5">
            <w:pPr>
              <w:tabs>
                <w:tab w:val="left" w:pos="720"/>
              </w:tabs>
              <w:snapToGrid w:val="0"/>
              <w:jc w:val="center"/>
              <w:rPr>
                <w:rFonts w:hint="eastAsia" w:ascii="宋体" w:hAnsi="宋体" w:cs="宋体"/>
                <w:color w:val="auto"/>
                <w:szCs w:val="21"/>
                <w:highlight w:val="none"/>
              </w:rPr>
            </w:pPr>
          </w:p>
        </w:tc>
      </w:tr>
      <w:tr w14:paraId="6D10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14:paraId="3E6B6409">
            <w:pPr>
              <w:tabs>
                <w:tab w:val="left" w:pos="720"/>
              </w:tabs>
              <w:snapToGrid w:val="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14:paraId="0927D59A">
            <w:pPr>
              <w:tabs>
                <w:tab w:val="left" w:pos="720"/>
              </w:tabs>
              <w:snapToGrid w:val="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14:paraId="16E166EF">
            <w:pPr>
              <w:tabs>
                <w:tab w:val="left" w:pos="720"/>
              </w:tabs>
              <w:snapToGrid w:val="0"/>
              <w:jc w:val="center"/>
              <w:rPr>
                <w:rFonts w:hint="eastAsia" w:ascii="宋体" w:hAnsi="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14:paraId="5A872CF8">
            <w:pPr>
              <w:tabs>
                <w:tab w:val="left" w:pos="720"/>
              </w:tabs>
              <w:snapToGrid w:val="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EEA9435">
            <w:pPr>
              <w:tabs>
                <w:tab w:val="left" w:pos="720"/>
              </w:tabs>
              <w:snapToGrid w:val="0"/>
              <w:jc w:val="center"/>
              <w:rPr>
                <w:rFonts w:hint="eastAsia" w:ascii="宋体" w:hAnsi="宋体" w:cs="宋体"/>
                <w:color w:val="auto"/>
                <w:szCs w:val="21"/>
                <w:highlight w:val="none"/>
              </w:rPr>
            </w:pPr>
          </w:p>
        </w:tc>
      </w:tr>
      <w:tr w14:paraId="4554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14:paraId="61DA69D2">
            <w:pPr>
              <w:tabs>
                <w:tab w:val="left" w:pos="720"/>
              </w:tabs>
              <w:snapToGrid w:val="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14:paraId="44610DBF">
            <w:pPr>
              <w:tabs>
                <w:tab w:val="left" w:pos="720"/>
              </w:tabs>
              <w:snapToGrid w:val="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14:paraId="79C71A2B">
            <w:pPr>
              <w:tabs>
                <w:tab w:val="left" w:pos="720"/>
              </w:tabs>
              <w:snapToGrid w:val="0"/>
              <w:jc w:val="center"/>
              <w:rPr>
                <w:rFonts w:hint="eastAsia" w:ascii="宋体" w:hAnsi="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14:paraId="7716057E">
            <w:pPr>
              <w:tabs>
                <w:tab w:val="left" w:pos="720"/>
              </w:tabs>
              <w:snapToGrid w:val="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958C1D9">
            <w:pPr>
              <w:tabs>
                <w:tab w:val="left" w:pos="720"/>
              </w:tabs>
              <w:snapToGrid w:val="0"/>
              <w:jc w:val="center"/>
              <w:rPr>
                <w:rFonts w:hint="eastAsia" w:ascii="宋体" w:hAnsi="宋体" w:cs="宋体"/>
                <w:color w:val="auto"/>
                <w:szCs w:val="21"/>
                <w:highlight w:val="none"/>
              </w:rPr>
            </w:pPr>
          </w:p>
        </w:tc>
      </w:tr>
      <w:tr w14:paraId="0183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14:paraId="4F528BF3">
            <w:pPr>
              <w:tabs>
                <w:tab w:val="left" w:pos="720"/>
              </w:tabs>
              <w:snapToGrid w:val="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14:paraId="77E41FD8">
            <w:pPr>
              <w:tabs>
                <w:tab w:val="left" w:pos="720"/>
              </w:tabs>
              <w:snapToGrid w:val="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14:paraId="7FB44D5F">
            <w:pPr>
              <w:tabs>
                <w:tab w:val="left" w:pos="720"/>
              </w:tabs>
              <w:snapToGrid w:val="0"/>
              <w:jc w:val="center"/>
              <w:rPr>
                <w:rFonts w:hint="eastAsia" w:ascii="宋体" w:hAnsi="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14:paraId="20E7E2B1">
            <w:pPr>
              <w:tabs>
                <w:tab w:val="left" w:pos="720"/>
              </w:tabs>
              <w:snapToGrid w:val="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116D352">
            <w:pPr>
              <w:tabs>
                <w:tab w:val="left" w:pos="720"/>
              </w:tabs>
              <w:snapToGrid w:val="0"/>
              <w:jc w:val="center"/>
              <w:rPr>
                <w:rFonts w:hint="eastAsia" w:ascii="宋体" w:hAnsi="宋体" w:cs="宋体"/>
                <w:color w:val="auto"/>
                <w:szCs w:val="21"/>
                <w:highlight w:val="none"/>
              </w:rPr>
            </w:pPr>
          </w:p>
        </w:tc>
      </w:tr>
      <w:tr w14:paraId="46F62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14:paraId="79872AF0">
            <w:pPr>
              <w:tabs>
                <w:tab w:val="left" w:pos="720"/>
              </w:tabs>
              <w:snapToGrid w:val="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14:paraId="13C017B5">
            <w:pPr>
              <w:tabs>
                <w:tab w:val="left" w:pos="720"/>
              </w:tabs>
              <w:snapToGrid w:val="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14:paraId="5C67989A">
            <w:pPr>
              <w:tabs>
                <w:tab w:val="left" w:pos="720"/>
              </w:tabs>
              <w:snapToGrid w:val="0"/>
              <w:jc w:val="center"/>
              <w:rPr>
                <w:rFonts w:hint="eastAsia" w:ascii="宋体" w:hAnsi="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14:paraId="652124A2">
            <w:pPr>
              <w:tabs>
                <w:tab w:val="left" w:pos="720"/>
              </w:tabs>
              <w:snapToGrid w:val="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A26BCC1">
            <w:pPr>
              <w:tabs>
                <w:tab w:val="left" w:pos="720"/>
              </w:tabs>
              <w:snapToGrid w:val="0"/>
              <w:jc w:val="center"/>
              <w:rPr>
                <w:rFonts w:hint="eastAsia" w:ascii="宋体" w:hAnsi="宋体" w:cs="宋体"/>
                <w:color w:val="auto"/>
                <w:szCs w:val="21"/>
                <w:highlight w:val="none"/>
              </w:rPr>
            </w:pPr>
          </w:p>
        </w:tc>
      </w:tr>
    </w:tbl>
    <w:p w14:paraId="0BAEABCE">
      <w:pPr>
        <w:pStyle w:val="4"/>
        <w:spacing w:before="156" w:beforeLines="50" w:after="0" w:line="360" w:lineRule="auto"/>
        <w:ind w:left="-2" w:leftChars="-1" w:firstLine="367" w:firstLineChars="175"/>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注：参与编制经济标投标文件所有人员名单应包括如编制各种专业工程量清单投标报价、负责清样校对、负责打印及复印等所有人员在内的人员名单。</w:t>
      </w:r>
    </w:p>
    <w:p w14:paraId="6E8E41FE">
      <w:pPr>
        <w:pStyle w:val="4"/>
        <w:spacing w:after="0" w:line="360" w:lineRule="auto"/>
        <w:ind w:left="-2" w:leftChars="-1" w:firstLineChars="175"/>
        <w:jc w:val="center"/>
        <w:rPr>
          <w:rFonts w:hint="eastAsia" w:ascii="宋体" w:hAnsi="宋体" w:cs="宋体"/>
          <w:color w:val="auto"/>
          <w:sz w:val="24"/>
          <w:szCs w:val="24"/>
          <w:highlight w:val="none"/>
        </w:rPr>
      </w:pPr>
    </w:p>
    <w:p w14:paraId="2B6C38B1">
      <w:pPr>
        <w:autoSpaceDE w:val="0"/>
        <w:autoSpaceDN w:val="0"/>
        <w:adjustRightInd w:val="0"/>
        <w:outlineLvl w:val="2"/>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b/>
          <w:bCs/>
          <w:color w:val="auto"/>
          <w:highlight w:val="none"/>
        </w:rPr>
        <w:t xml:space="preserve">★ </w:t>
      </w:r>
      <w:r>
        <w:rPr>
          <w:rFonts w:hint="eastAsia" w:ascii="宋体" w:hAnsi="宋体" w:cs="宋体"/>
          <w:b/>
          <w:bCs/>
          <w:color w:val="auto"/>
          <w:szCs w:val="21"/>
          <w:highlight w:val="none"/>
        </w:rPr>
        <w:t>格式三</w:t>
      </w:r>
    </w:p>
    <w:p w14:paraId="6329D92C">
      <w:pPr>
        <w:tabs>
          <w:tab w:val="left" w:pos="720"/>
        </w:tabs>
        <w:snapToGrid w:val="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对投标文件编制的承诺</w:t>
      </w:r>
    </w:p>
    <w:p w14:paraId="7D526C01">
      <w:pPr>
        <w:pStyle w:val="13"/>
        <w:rPr>
          <w:rFonts w:hint="eastAsia" w:hAnsi="宋体"/>
          <w:color w:val="auto"/>
          <w:highlight w:val="none"/>
        </w:rPr>
      </w:pPr>
    </w:p>
    <w:p w14:paraId="1D9A59A3">
      <w:pPr>
        <w:pStyle w:val="4"/>
        <w:spacing w:after="0" w:line="360" w:lineRule="auto"/>
        <w:ind w:left="-2" w:leftChars="-1" w:firstLine="472" w:firstLineChars="225"/>
        <w:rPr>
          <w:rFonts w:hint="eastAsia" w:ascii="宋体" w:hAnsi="宋体" w:cs="宋体"/>
          <w:color w:val="auto"/>
          <w:sz w:val="21"/>
          <w:szCs w:val="21"/>
          <w:highlight w:val="none"/>
        </w:rPr>
      </w:pPr>
      <w:r>
        <w:rPr>
          <w:rFonts w:hint="eastAsia" w:ascii="宋体" w:hAnsi="宋体" w:cs="宋体"/>
          <w:color w:val="auto"/>
          <w:sz w:val="21"/>
          <w:szCs w:val="21"/>
          <w:highlight w:val="none"/>
        </w:rPr>
        <w:t>本公司授权</w:t>
      </w:r>
      <w:r>
        <w:rPr>
          <w:rFonts w:hint="eastAsia" w:ascii="宋体" w:hAnsi="宋体" w:cs="宋体"/>
          <w:color w:val="auto"/>
          <w:sz w:val="21"/>
          <w:szCs w:val="21"/>
          <w:highlight w:val="none"/>
          <w:u w:val="single"/>
        </w:rPr>
        <w:t xml:space="preserve">         （身份证号：               ）</w:t>
      </w:r>
      <w:r>
        <w:rPr>
          <w:rFonts w:hint="eastAsia" w:ascii="宋体" w:hAnsi="宋体" w:cs="宋体"/>
          <w:color w:val="auto"/>
          <w:sz w:val="21"/>
          <w:szCs w:val="21"/>
          <w:highlight w:val="none"/>
        </w:rPr>
        <w:t>负责对投标文件的编制及内容进行解释、说明，并承诺以下事项：</w:t>
      </w:r>
    </w:p>
    <w:p w14:paraId="05B4D35B">
      <w:pPr>
        <w:pStyle w:val="4"/>
        <w:spacing w:after="0" w:line="360" w:lineRule="auto"/>
        <w:ind w:left="-2" w:leftChars="-1" w:firstLine="472" w:firstLineChars="225"/>
        <w:rPr>
          <w:rFonts w:hint="eastAsia" w:ascii="宋体" w:hAnsi="宋体" w:cs="宋体"/>
          <w:color w:val="auto"/>
          <w:sz w:val="21"/>
          <w:szCs w:val="21"/>
          <w:highlight w:val="none"/>
        </w:rPr>
      </w:pPr>
      <w:r>
        <w:rPr>
          <w:rFonts w:hint="eastAsia" w:ascii="宋体" w:hAnsi="宋体" w:cs="宋体"/>
          <w:color w:val="auto"/>
          <w:sz w:val="21"/>
          <w:szCs w:val="21"/>
          <w:highlight w:val="none"/>
        </w:rPr>
        <w:t>1.被授权人清楚投标文件编制的具体情况，包括技术方案文件、工程量清单、以及投标文件的加密打包的理解；</w:t>
      </w:r>
    </w:p>
    <w:p w14:paraId="00C014BE">
      <w:pPr>
        <w:pStyle w:val="4"/>
        <w:spacing w:after="0" w:line="360" w:lineRule="auto"/>
        <w:ind w:left="-2" w:leftChars="-1" w:firstLine="472" w:firstLineChars="225"/>
        <w:rPr>
          <w:rFonts w:hint="eastAsia" w:ascii="宋体" w:hAnsi="宋体" w:cs="宋体"/>
          <w:color w:val="auto"/>
          <w:sz w:val="21"/>
          <w:szCs w:val="21"/>
          <w:highlight w:val="none"/>
        </w:rPr>
      </w:pPr>
      <w:r>
        <w:rPr>
          <w:rFonts w:hint="eastAsia" w:ascii="宋体" w:hAnsi="宋体" w:cs="宋体"/>
          <w:color w:val="auto"/>
          <w:sz w:val="21"/>
          <w:szCs w:val="21"/>
          <w:highlight w:val="none"/>
        </w:rPr>
        <w:t>2.在本项目开标至评标结束前，努力确保被授权人在项目评标所在地附近；</w:t>
      </w:r>
    </w:p>
    <w:p w14:paraId="16827C8C">
      <w:pPr>
        <w:pStyle w:val="4"/>
        <w:spacing w:after="0" w:line="360" w:lineRule="auto"/>
        <w:ind w:left="-2" w:leftChars="-1" w:firstLine="472" w:firstLineChars="225"/>
        <w:rPr>
          <w:rFonts w:hint="eastAsia" w:ascii="宋体" w:hAnsi="宋体" w:cs="宋体"/>
          <w:color w:val="auto"/>
          <w:sz w:val="21"/>
          <w:szCs w:val="21"/>
          <w:highlight w:val="none"/>
        </w:rPr>
      </w:pPr>
      <w:r>
        <w:rPr>
          <w:rFonts w:hint="eastAsia" w:ascii="宋体" w:hAnsi="宋体" w:cs="宋体"/>
          <w:color w:val="auto"/>
          <w:sz w:val="21"/>
          <w:szCs w:val="21"/>
          <w:highlight w:val="none"/>
        </w:rPr>
        <w:t>3.从评标委员会要求澄清起二小时内，被授权人应如实地书面澄清。</w:t>
      </w:r>
    </w:p>
    <w:p w14:paraId="15F020EC">
      <w:pPr>
        <w:pStyle w:val="4"/>
        <w:spacing w:after="0" w:line="360" w:lineRule="auto"/>
        <w:ind w:left="-2" w:leftChars="-1" w:firstLine="472" w:firstLineChars="225"/>
        <w:rPr>
          <w:rFonts w:hint="eastAsia" w:ascii="宋体" w:hAnsi="宋体" w:cs="宋体"/>
          <w:color w:val="auto"/>
          <w:sz w:val="21"/>
          <w:szCs w:val="21"/>
          <w:highlight w:val="none"/>
        </w:rPr>
      </w:pPr>
      <w:r>
        <w:rPr>
          <w:rFonts w:hint="eastAsia" w:ascii="宋体" w:hAnsi="宋体" w:cs="宋体"/>
          <w:color w:val="auto"/>
          <w:sz w:val="21"/>
          <w:szCs w:val="21"/>
          <w:highlight w:val="none"/>
        </w:rPr>
        <w:t>如由于未遵守上述承诺内容之一导致无法进行澄清的，我公司认可和接受评标委员会作出的评审结论。</w:t>
      </w:r>
    </w:p>
    <w:p w14:paraId="5E8B7791">
      <w:pPr>
        <w:pStyle w:val="4"/>
        <w:spacing w:after="0" w:line="360" w:lineRule="auto"/>
        <w:ind w:firstLine="315" w:firstLineChars="150"/>
        <w:rPr>
          <w:rFonts w:hint="eastAsia" w:ascii="宋体" w:hAnsi="宋体" w:cs="宋体"/>
          <w:color w:val="auto"/>
          <w:sz w:val="21"/>
          <w:szCs w:val="21"/>
          <w:highlight w:val="none"/>
        </w:rPr>
      </w:pPr>
    </w:p>
    <w:p w14:paraId="40F02E8F">
      <w:pPr>
        <w:pStyle w:val="4"/>
        <w:spacing w:after="0" w:line="360" w:lineRule="auto"/>
        <w:ind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附件：《投标文件编制情况》</w:t>
      </w:r>
    </w:p>
    <w:p w14:paraId="55AA4205">
      <w:pPr>
        <w:spacing w:line="360" w:lineRule="auto"/>
        <w:ind w:right="90" w:firstLine="2835" w:firstLineChars="1350"/>
        <w:rPr>
          <w:rFonts w:hint="eastAsia" w:ascii="宋体" w:hAnsi="宋体" w:cs="宋体"/>
          <w:color w:val="auto"/>
          <w:szCs w:val="21"/>
          <w:highlight w:val="none"/>
        </w:rPr>
      </w:pPr>
    </w:p>
    <w:p w14:paraId="5C78286C">
      <w:pPr>
        <w:spacing w:line="360" w:lineRule="auto"/>
        <w:ind w:right="90" w:firstLine="2835" w:firstLineChars="1350"/>
        <w:rPr>
          <w:rFonts w:hint="eastAsia" w:ascii="宋体" w:hAnsi="宋体" w:cs="宋体"/>
          <w:color w:val="auto"/>
          <w:szCs w:val="21"/>
          <w:highlight w:val="none"/>
          <w:u w:val="single"/>
        </w:rPr>
      </w:pPr>
      <w:r>
        <w:rPr>
          <w:rFonts w:hint="eastAsia" w:ascii="宋体" w:hAnsi="宋体" w:cs="宋体"/>
          <w:color w:val="auto"/>
          <w:szCs w:val="21"/>
          <w:highlight w:val="none"/>
        </w:rPr>
        <w:t>投标人名称（盖法人公章）：</w:t>
      </w:r>
      <w:r>
        <w:rPr>
          <w:rFonts w:hint="eastAsia" w:ascii="宋体" w:hAnsi="宋体" w:cs="宋体"/>
          <w:color w:val="auto"/>
          <w:szCs w:val="21"/>
          <w:highlight w:val="none"/>
          <w:u w:val="single"/>
        </w:rPr>
        <w:t xml:space="preserve">                  </w:t>
      </w:r>
    </w:p>
    <w:p w14:paraId="3CAC0D07">
      <w:pPr>
        <w:spacing w:line="360" w:lineRule="auto"/>
        <w:ind w:firstLine="1890" w:firstLineChars="900"/>
        <w:rPr>
          <w:rFonts w:hint="eastAsia" w:ascii="宋体" w:hAnsi="宋体" w:cs="宋体"/>
          <w:color w:val="auto"/>
          <w:szCs w:val="21"/>
          <w:highlight w:val="none"/>
          <w:u w:val="single"/>
        </w:rPr>
      </w:pPr>
      <w:r>
        <w:rPr>
          <w:rFonts w:hint="eastAsia" w:ascii="宋体" w:hAnsi="宋体" w:cs="宋体"/>
          <w:color w:val="auto"/>
          <w:szCs w:val="21"/>
          <w:highlight w:val="none"/>
        </w:rPr>
        <w:t>法定代表人或被授权人（签字或盖章）：</w:t>
      </w:r>
      <w:r>
        <w:rPr>
          <w:rFonts w:hint="eastAsia" w:ascii="宋体" w:hAnsi="宋体" w:cs="宋体"/>
          <w:color w:val="auto"/>
          <w:szCs w:val="21"/>
          <w:highlight w:val="none"/>
          <w:u w:val="single"/>
        </w:rPr>
        <w:t xml:space="preserve">                  </w:t>
      </w:r>
    </w:p>
    <w:p w14:paraId="028BD6AE">
      <w:pPr>
        <w:spacing w:line="360" w:lineRule="auto"/>
        <w:ind w:firstLine="3885" w:firstLineChars="1850"/>
        <w:jc w:val="center"/>
        <w:rPr>
          <w:rFonts w:hint="eastAsia" w:ascii="宋体" w:hAnsi="宋体" w:cs="宋体"/>
          <w:color w:val="auto"/>
          <w:szCs w:val="21"/>
          <w:highlight w:val="none"/>
        </w:rPr>
      </w:pPr>
      <w:r>
        <w:rPr>
          <w:rFonts w:hint="eastAsia" w:ascii="宋体" w:hAnsi="宋体" w:cs="宋体"/>
          <w:color w:val="auto"/>
          <w:szCs w:val="21"/>
          <w:highlight w:val="none"/>
        </w:rPr>
        <w:t xml:space="preserve">日期：      年   月   日      </w:t>
      </w:r>
    </w:p>
    <w:p w14:paraId="086D6C50">
      <w:pPr>
        <w:pStyle w:val="4"/>
        <w:spacing w:after="0" w:line="360" w:lineRule="auto"/>
        <w:ind w:firstLine="0"/>
        <w:rPr>
          <w:rFonts w:hint="eastAsia" w:ascii="宋体" w:hAnsi="宋体" w:cs="宋体"/>
          <w:b/>
          <w:color w:val="auto"/>
          <w:sz w:val="21"/>
          <w:szCs w:val="21"/>
          <w:highlight w:val="none"/>
        </w:rPr>
      </w:pPr>
    </w:p>
    <w:p w14:paraId="40C86AA0">
      <w:pPr>
        <w:pStyle w:val="4"/>
        <w:spacing w:after="0" w:line="360" w:lineRule="auto"/>
        <w:ind w:firstLine="0"/>
        <w:jc w:val="center"/>
        <w:rPr>
          <w:rFonts w:hint="eastAsia" w:ascii="宋体" w:hAnsi="宋体" w:cs="宋体"/>
          <w:b/>
          <w:color w:val="auto"/>
          <w:sz w:val="30"/>
          <w:szCs w:val="30"/>
          <w:highlight w:val="none"/>
        </w:rPr>
      </w:pPr>
      <w:r>
        <w:rPr>
          <w:rFonts w:hint="eastAsia" w:ascii="宋体" w:hAnsi="宋体" w:cs="宋体"/>
          <w:b/>
          <w:color w:val="auto"/>
          <w:szCs w:val="21"/>
          <w:highlight w:val="none"/>
        </w:rPr>
        <w:br w:type="page"/>
      </w:r>
      <w:r>
        <w:rPr>
          <w:rFonts w:hint="eastAsia" w:ascii="宋体" w:hAnsi="宋体" w:cs="宋体"/>
          <w:b/>
          <w:color w:val="auto"/>
          <w:sz w:val="30"/>
          <w:szCs w:val="30"/>
          <w:highlight w:val="none"/>
        </w:rPr>
        <w:t>投标文件编制情况</w:t>
      </w:r>
    </w:p>
    <w:p w14:paraId="6E077715">
      <w:pPr>
        <w:pStyle w:val="4"/>
        <w:spacing w:after="0" w:line="360" w:lineRule="auto"/>
        <w:ind w:firstLine="0"/>
        <w:jc w:val="center"/>
        <w:rPr>
          <w:rFonts w:hint="eastAsia" w:ascii="宋体" w:hAnsi="宋体" w:cs="宋体"/>
          <w:b/>
          <w:color w:val="auto"/>
          <w:sz w:val="30"/>
          <w:szCs w:val="30"/>
          <w:highlight w:val="none"/>
        </w:rPr>
      </w:pPr>
    </w:p>
    <w:p w14:paraId="546110F4">
      <w:pPr>
        <w:pStyle w:val="4"/>
        <w:spacing w:after="0" w:line="360" w:lineRule="auto"/>
        <w:ind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1.投标文件报价编制方式: □自行编制的，编制的负责人：</w:t>
      </w:r>
      <w:r>
        <w:rPr>
          <w:rFonts w:hint="eastAsia" w:ascii="宋体" w:hAnsi="宋体" w:cs="宋体"/>
          <w:color w:val="auto"/>
          <w:sz w:val="21"/>
          <w:szCs w:val="21"/>
          <w:highlight w:val="none"/>
          <w:u w:val="single"/>
        </w:rPr>
        <w:t xml:space="preserve">     （盖造价工程师执业专用章或全国建设工程造价员章，执业单位应与投标人一致）   </w:t>
      </w:r>
      <w:r>
        <w:rPr>
          <w:rFonts w:hint="eastAsia" w:ascii="宋体" w:hAnsi="宋体" w:cs="宋体"/>
          <w:color w:val="auto"/>
          <w:sz w:val="21"/>
          <w:szCs w:val="21"/>
          <w:highlight w:val="none"/>
        </w:rPr>
        <w:t>。□委托编制的，受委托单位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，编制的负责人：</w:t>
      </w:r>
      <w:r>
        <w:rPr>
          <w:rFonts w:hint="eastAsia" w:ascii="宋体" w:hAnsi="宋体" w:cs="宋体"/>
          <w:color w:val="auto"/>
          <w:sz w:val="21"/>
          <w:szCs w:val="21"/>
          <w:highlight w:val="none"/>
          <w:u w:val="single"/>
        </w:rPr>
        <w:t xml:space="preserve">   （盖造价工程师执业专用章或全国建设工程造价员章，执业单位应与受委托单位一致）   </w:t>
      </w:r>
      <w:r>
        <w:rPr>
          <w:rFonts w:hint="eastAsia" w:ascii="宋体" w:hAnsi="宋体" w:cs="宋体"/>
          <w:color w:val="auto"/>
          <w:sz w:val="21"/>
          <w:szCs w:val="21"/>
          <w:highlight w:val="none"/>
        </w:rPr>
        <w:t>。</w:t>
      </w:r>
    </w:p>
    <w:p w14:paraId="0E96E521">
      <w:pPr>
        <w:pStyle w:val="4"/>
        <w:spacing w:after="0" w:line="360" w:lineRule="auto"/>
        <w:ind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2.投标文件加密打包的电脑情况</w:t>
      </w:r>
    </w:p>
    <w:tbl>
      <w:tblPr>
        <w:tblStyle w:val="21"/>
        <w:tblW w:w="0" w:type="auto"/>
        <w:jc w:val="center"/>
        <w:tblLayout w:type="fixed"/>
        <w:tblCellMar>
          <w:top w:w="0" w:type="dxa"/>
          <w:left w:w="108" w:type="dxa"/>
          <w:bottom w:w="0" w:type="dxa"/>
          <w:right w:w="108" w:type="dxa"/>
        </w:tblCellMar>
      </w:tblPr>
      <w:tblGrid>
        <w:gridCol w:w="8188"/>
      </w:tblGrid>
      <w:tr w14:paraId="46255C70">
        <w:trPr>
          <w:trHeight w:val="1866" w:hRule="atLeast"/>
          <w:jc w:val="center"/>
        </w:trPr>
        <w:tc>
          <w:tcPr>
            <w:tcW w:w="8188" w:type="dxa"/>
            <w:noWrap w:val="0"/>
            <w:vAlign w:val="top"/>
          </w:tcPr>
          <w:p w14:paraId="74D25D6E">
            <w:pPr>
              <w:pStyle w:val="4"/>
              <w:spacing w:after="0" w:line="360" w:lineRule="auto"/>
              <w:ind w:firstLine="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投标文件加密打包的电脑     自有  □        外包  □       其他  □</w:t>
            </w:r>
          </w:p>
          <w:p w14:paraId="54B9C1F3">
            <w:pPr>
              <w:pStyle w:val="4"/>
              <w:spacing w:after="0" w:line="360" w:lineRule="auto"/>
              <w:ind w:firstLine="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电脑类型</w:t>
            </w:r>
          </w:p>
          <w:p w14:paraId="5BA0F5EE">
            <w:pPr>
              <w:pStyle w:val="4"/>
              <w:spacing w:after="0" w:line="360" w:lineRule="auto"/>
              <w:ind w:firstLine="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电脑所属单位</w:t>
            </w:r>
          </w:p>
          <w:p w14:paraId="6AA9B89F">
            <w:pPr>
              <w:pStyle w:val="4"/>
              <w:spacing w:after="0" w:line="360" w:lineRule="auto"/>
              <w:ind w:firstLine="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电脑所在地址        （如××市××区(县) ××街（路）××号××大厦××房）</w:t>
            </w:r>
          </w:p>
        </w:tc>
      </w:tr>
    </w:tbl>
    <w:p w14:paraId="0DBEC581">
      <w:pPr>
        <w:jc w:val="center"/>
        <w:rPr>
          <w:rFonts w:hint="eastAsia" w:ascii="宋体" w:hAnsi="宋体" w:cs="宋体"/>
          <w:color w:val="auto"/>
          <w:sz w:val="24"/>
          <w:szCs w:val="24"/>
          <w:highlight w:val="none"/>
        </w:rPr>
      </w:pPr>
    </w:p>
    <w:p w14:paraId="5CEBFAD6">
      <w:pPr>
        <w:pStyle w:val="38"/>
        <w:spacing w:before="0" w:beforeLines="0" w:line="360" w:lineRule="auto"/>
        <w:outlineLvl w:val="0"/>
        <w:rPr>
          <w:rFonts w:ascii="宋体" w:hAnsi="宋体" w:eastAsia="宋体"/>
          <w:color w:val="auto"/>
          <w:highlight w:val="none"/>
        </w:rPr>
      </w:pPr>
      <w:r>
        <w:rPr>
          <w:rFonts w:hint="eastAsia" w:ascii="宋体" w:hAnsi="宋体" w:cs="宋体"/>
          <w:color w:val="auto"/>
          <w:sz w:val="24"/>
          <w:szCs w:val="24"/>
          <w:highlight w:val="none"/>
        </w:rPr>
        <w:br w:type="page"/>
      </w:r>
      <w:bookmarkStart w:id="108" w:name="_Toc7892"/>
      <w:bookmarkStart w:id="109" w:name="_Toc98339761"/>
      <w:bookmarkStart w:id="110" w:name="_Toc88246548"/>
      <w:bookmarkStart w:id="111" w:name="_Toc9631"/>
      <w:r>
        <w:rPr>
          <w:rFonts w:hint="eastAsia" w:ascii="宋体" w:hAnsi="宋体" w:eastAsia="宋体"/>
          <w:color w:val="auto"/>
          <w:highlight w:val="none"/>
        </w:rPr>
        <w:t>三、定标文件部分格式</w:t>
      </w:r>
      <w:bookmarkEnd w:id="108"/>
      <w:bookmarkEnd w:id="109"/>
    </w:p>
    <w:p w14:paraId="1139BCA5">
      <w:pPr>
        <w:pStyle w:val="39"/>
        <w:spacing w:beforeLines="0" w:afterLines="0" w:line="360" w:lineRule="auto"/>
        <w:rPr>
          <w:rFonts w:ascii="宋体" w:eastAsia="宋体" w:cs="宋体"/>
          <w:color w:val="auto"/>
          <w:highlight w:val="none"/>
        </w:rPr>
      </w:pPr>
      <w:r>
        <w:rPr>
          <w:rFonts w:ascii="Calibri" w:hAnsi="Calibri" w:eastAsia="等线" w:cs="Calibri"/>
          <w:color w:val="auto"/>
          <w:sz w:val="21"/>
          <w:szCs w:val="22"/>
          <w:highlight w:val="none"/>
        </w:rPr>
        <w:br w:type="page"/>
      </w:r>
      <w:bookmarkStart w:id="112" w:name="_Toc98339762"/>
      <w:bookmarkStart w:id="113" w:name="_Toc18003"/>
      <w:r>
        <w:rPr>
          <w:rFonts w:hint="eastAsia" w:ascii="宋体" w:eastAsia="宋体" w:cs="宋体"/>
          <w:color w:val="auto"/>
          <w:highlight w:val="none"/>
        </w:rPr>
        <w:t>格式一：定标文件封面</w:t>
      </w:r>
      <w:bookmarkEnd w:id="112"/>
      <w:bookmarkEnd w:id="113"/>
    </w:p>
    <w:p w14:paraId="2F24AAF3">
      <w:pPr>
        <w:pStyle w:val="31"/>
        <w:ind w:firstLine="496"/>
        <w:rPr>
          <w:rFonts w:ascii="宋体" w:hAnsi="宋体" w:cs="宋体"/>
          <w:color w:val="auto"/>
          <w:highlight w:val="none"/>
        </w:rPr>
      </w:pPr>
    </w:p>
    <w:p w14:paraId="7B2A73B1">
      <w:pPr>
        <w:pStyle w:val="31"/>
        <w:ind w:firstLine="496"/>
        <w:rPr>
          <w:rFonts w:ascii="宋体" w:hAnsi="宋体" w:cs="宋体"/>
          <w:color w:val="auto"/>
          <w:highlight w:val="none"/>
        </w:rPr>
      </w:pPr>
    </w:p>
    <w:p w14:paraId="58BE80E0">
      <w:pPr>
        <w:pStyle w:val="36"/>
        <w:rPr>
          <w:rFonts w:ascii="宋体" w:hAnsi="宋体" w:eastAsia="宋体" w:cs="宋体"/>
          <w:b w:val="0"/>
          <w:color w:val="auto"/>
          <w:highlight w:val="none"/>
          <w:u w:val="single"/>
        </w:rPr>
      </w:pPr>
      <w:r>
        <w:rPr>
          <w:rFonts w:hint="eastAsia" w:ascii="宋体" w:hAnsi="宋体" w:eastAsia="宋体" w:cs="宋体"/>
          <w:b w:val="0"/>
          <w:color w:val="auto"/>
          <w:highlight w:val="none"/>
          <w:u w:val="single"/>
        </w:rPr>
        <w:t xml:space="preserve">[工程名称] </w:t>
      </w:r>
    </w:p>
    <w:p w14:paraId="38463C3C">
      <w:pPr>
        <w:pStyle w:val="31"/>
        <w:ind w:firstLine="496"/>
        <w:rPr>
          <w:rFonts w:ascii="宋体" w:hAnsi="宋体" w:cs="宋体"/>
          <w:color w:val="auto"/>
          <w:highlight w:val="none"/>
        </w:rPr>
      </w:pPr>
    </w:p>
    <w:p w14:paraId="72E6D6D6">
      <w:pPr>
        <w:pStyle w:val="31"/>
        <w:ind w:firstLine="496"/>
        <w:rPr>
          <w:rFonts w:ascii="宋体" w:hAnsi="宋体" w:cs="宋体"/>
          <w:color w:val="auto"/>
          <w:highlight w:val="none"/>
        </w:rPr>
      </w:pPr>
    </w:p>
    <w:p w14:paraId="22F406E8">
      <w:pPr>
        <w:pStyle w:val="31"/>
        <w:ind w:firstLine="496"/>
        <w:rPr>
          <w:rFonts w:ascii="宋体" w:hAnsi="宋体" w:cs="宋体"/>
          <w:color w:val="auto"/>
          <w:highlight w:val="none"/>
        </w:rPr>
      </w:pPr>
    </w:p>
    <w:p w14:paraId="58AF5A19">
      <w:pPr>
        <w:pStyle w:val="31"/>
        <w:ind w:firstLine="496"/>
        <w:rPr>
          <w:rFonts w:ascii="宋体" w:hAnsi="宋体" w:cs="宋体"/>
          <w:color w:val="auto"/>
          <w:highlight w:val="none"/>
        </w:rPr>
      </w:pPr>
    </w:p>
    <w:p w14:paraId="03D7FA0C">
      <w:pPr>
        <w:pStyle w:val="36"/>
        <w:rPr>
          <w:rFonts w:ascii="宋体" w:hAnsi="宋体" w:eastAsia="宋体" w:cs="宋体"/>
          <w:b w:val="0"/>
          <w:color w:val="auto"/>
          <w:highlight w:val="none"/>
        </w:rPr>
      </w:pPr>
      <w:r>
        <w:rPr>
          <w:rFonts w:hint="eastAsia" w:ascii="宋体" w:hAnsi="宋体" w:eastAsia="宋体" w:cs="宋体"/>
          <w:bCs/>
          <w:color w:val="auto"/>
          <w:sz w:val="72"/>
          <w:szCs w:val="72"/>
          <w:highlight w:val="none"/>
        </w:rPr>
        <w:t>定标文件</w:t>
      </w:r>
    </w:p>
    <w:p w14:paraId="37269B69">
      <w:pPr>
        <w:pStyle w:val="31"/>
        <w:ind w:firstLine="496"/>
        <w:rPr>
          <w:rFonts w:ascii="宋体" w:hAnsi="宋体" w:cs="宋体"/>
          <w:color w:val="auto"/>
          <w:highlight w:val="none"/>
        </w:rPr>
      </w:pPr>
      <w:r>
        <w:rPr>
          <w:rFonts w:hint="eastAsia" w:ascii="宋体" w:hAnsi="宋体" w:cs="宋体"/>
          <w:color w:val="auto"/>
          <w:highlight w:val="none"/>
        </w:rPr>
        <w:t xml:space="preserve">   </w:t>
      </w:r>
    </w:p>
    <w:p w14:paraId="45526A73">
      <w:pPr>
        <w:pStyle w:val="31"/>
        <w:ind w:firstLine="496"/>
        <w:rPr>
          <w:rFonts w:ascii="宋体" w:hAnsi="宋体" w:cs="宋体"/>
          <w:color w:val="auto"/>
          <w:highlight w:val="none"/>
        </w:rPr>
      </w:pPr>
    </w:p>
    <w:p w14:paraId="08752DB0">
      <w:pPr>
        <w:pStyle w:val="31"/>
        <w:ind w:firstLine="496"/>
        <w:rPr>
          <w:rFonts w:ascii="宋体" w:hAnsi="宋体" w:cs="宋体"/>
          <w:color w:val="auto"/>
          <w:highlight w:val="none"/>
        </w:rPr>
      </w:pPr>
    </w:p>
    <w:p w14:paraId="319FA48B">
      <w:pPr>
        <w:pStyle w:val="31"/>
        <w:ind w:firstLine="496"/>
        <w:rPr>
          <w:rFonts w:ascii="宋体" w:hAnsi="宋体" w:cs="宋体"/>
          <w:color w:val="auto"/>
          <w:highlight w:val="none"/>
        </w:rPr>
      </w:pPr>
    </w:p>
    <w:p w14:paraId="7F8F4925">
      <w:pPr>
        <w:pStyle w:val="31"/>
        <w:ind w:firstLine="496"/>
        <w:rPr>
          <w:rFonts w:ascii="宋体" w:hAnsi="宋体" w:cs="宋体"/>
          <w:color w:val="auto"/>
          <w:highlight w:val="none"/>
        </w:rPr>
      </w:pPr>
    </w:p>
    <w:p w14:paraId="175E9616">
      <w:pPr>
        <w:pStyle w:val="31"/>
        <w:ind w:firstLine="496"/>
        <w:rPr>
          <w:rFonts w:ascii="宋体" w:hAnsi="宋体" w:cs="宋体"/>
          <w:color w:val="auto"/>
          <w:highlight w:val="none"/>
        </w:rPr>
      </w:pPr>
    </w:p>
    <w:p w14:paraId="48221173">
      <w:pPr>
        <w:pStyle w:val="40"/>
        <w:ind w:firstLine="616"/>
        <w:rPr>
          <w:rFonts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 xml:space="preserve">      （填写投标人单位名称）       （盖章）</w:t>
      </w:r>
    </w:p>
    <w:p w14:paraId="79A7FBE5">
      <w:pPr>
        <w:pStyle w:val="40"/>
        <w:ind w:firstLine="616"/>
        <w:rPr>
          <w:rFonts w:ascii="宋体" w:hAnsi="宋体" w:eastAsia="宋体" w:cs="宋体"/>
          <w:color w:val="auto"/>
          <w:highlight w:val="none"/>
        </w:rPr>
      </w:pPr>
    </w:p>
    <w:p w14:paraId="51E2E513">
      <w:pPr>
        <w:pStyle w:val="40"/>
        <w:ind w:firstLine="616"/>
        <w:rPr>
          <w:rFonts w:ascii="宋体" w:hAnsi="宋体" w:eastAsia="宋体" w:cs="宋体"/>
          <w:color w:val="auto"/>
          <w:highlight w:val="none"/>
        </w:rPr>
      </w:pPr>
      <w:r>
        <w:rPr>
          <w:rFonts w:hint="eastAsia" w:ascii="宋体" w:hAnsi="宋体" w:eastAsia="宋体" w:cs="宋体"/>
          <w:color w:val="auto"/>
          <w:highlight w:val="none"/>
        </w:rPr>
        <w:t>法定代表人或</w:t>
      </w:r>
    </w:p>
    <w:p w14:paraId="1A2C8BAD">
      <w:pPr>
        <w:pStyle w:val="40"/>
        <w:ind w:firstLine="616"/>
        <w:rPr>
          <w:rFonts w:ascii="宋体" w:hAnsi="宋体" w:eastAsia="宋体" w:cs="宋体"/>
          <w:color w:val="auto"/>
          <w:highlight w:val="none"/>
        </w:rPr>
      </w:pPr>
      <w:r>
        <w:rPr>
          <w:rFonts w:hint="eastAsia" w:ascii="宋体" w:hAnsi="宋体" w:eastAsia="宋体" w:cs="宋体"/>
          <w:color w:val="auto"/>
          <w:highlight w:val="none"/>
        </w:rPr>
        <w:t>其委托代理人：</w:t>
      </w:r>
      <w:r>
        <w:rPr>
          <w:rFonts w:hint="eastAsia" w:ascii="宋体" w:hAnsi="宋体" w:eastAsia="宋体" w:cs="宋体"/>
          <w:color w:val="auto"/>
          <w:highlight w:val="none"/>
          <w:u w:val="single"/>
        </w:rPr>
        <w:t xml:space="preserve">                     （签字或盖章）</w:t>
      </w:r>
    </w:p>
    <w:p w14:paraId="4A45C7E3">
      <w:pPr>
        <w:ind w:firstLine="616" w:firstLineChars="200"/>
        <w:rPr>
          <w:rFonts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rPr>
        <w:t xml:space="preserve">日  期：             </w:t>
      </w:r>
    </w:p>
    <w:p w14:paraId="0F2CB888">
      <w:pPr>
        <w:autoSpaceDE w:val="0"/>
        <w:autoSpaceDN w:val="0"/>
        <w:adjustRightInd w:val="0"/>
        <w:jc w:val="center"/>
        <w:rPr>
          <w:rStyle w:val="41"/>
          <w:rFonts w:hint="eastAsia" w:ascii="宋体" w:hAnsi="宋体" w:cs="宋体"/>
          <w:color w:val="auto"/>
          <w:highlight w:val="none"/>
        </w:rPr>
      </w:pPr>
      <w:r>
        <w:rPr>
          <w:rFonts w:hint="eastAsia" w:ascii="宋体" w:cs="宋体"/>
          <w:color w:val="auto"/>
          <w:sz w:val="30"/>
          <w:szCs w:val="30"/>
          <w:highlight w:val="none"/>
        </w:rPr>
        <w:br w:type="page"/>
      </w:r>
      <w:bookmarkStart w:id="114" w:name="_Toc98339763"/>
      <w:bookmarkStart w:id="115" w:name="_Toc6308"/>
      <w:r>
        <w:rPr>
          <w:rFonts w:hint="eastAsia" w:ascii="宋体" w:cs="宋体"/>
          <w:b/>
          <w:color w:val="auto"/>
          <w:highlight w:val="none"/>
        </w:rPr>
        <w:t>格式二：定标文件内容（格式自拟）</w:t>
      </w:r>
      <w:bookmarkEnd w:id="114"/>
      <w:bookmarkEnd w:id="115"/>
      <w:r>
        <w:rPr>
          <w:rFonts w:hint="eastAsia" w:ascii="宋体" w:hAnsi="宋体" w:cs="宋体"/>
          <w:color w:val="auto"/>
          <w:sz w:val="24"/>
          <w:szCs w:val="24"/>
          <w:highlight w:val="none"/>
        </w:rPr>
        <w:br w:type="page"/>
      </w:r>
      <w:r>
        <w:rPr>
          <w:rStyle w:val="41"/>
          <w:rFonts w:hint="eastAsia" w:ascii="宋体" w:hAnsi="宋体" w:cs="宋体"/>
          <w:color w:val="auto"/>
          <w:sz w:val="30"/>
          <w:szCs w:val="30"/>
          <w:highlight w:val="none"/>
        </w:rPr>
        <w:t>第五章  技术条件</w:t>
      </w:r>
      <w:bookmarkEnd w:id="110"/>
    </w:p>
    <w:bookmarkEnd w:id="111"/>
    <w:p w14:paraId="0759BC95">
      <w:pPr>
        <w:pStyle w:val="42"/>
        <w:snapToGrid/>
        <w:spacing w:line="360" w:lineRule="auto"/>
        <w:ind w:firstLine="438" w:firstLineChars="200"/>
        <w:jc w:val="left"/>
        <w:rPr>
          <w:rStyle w:val="26"/>
          <w:rFonts w:hint="eastAsia" w:ascii="宋体" w:hAnsi="宋体" w:eastAsia="宋体" w:cs="宋体"/>
          <w:b/>
          <w:color w:val="auto"/>
          <w:kern w:val="2"/>
          <w:sz w:val="21"/>
          <w:szCs w:val="21"/>
          <w:highlight w:val="none"/>
        </w:rPr>
      </w:pPr>
      <w:r>
        <w:rPr>
          <w:rStyle w:val="26"/>
          <w:rFonts w:hint="eastAsia" w:ascii="宋体" w:hAnsi="宋体" w:eastAsia="宋体" w:cs="宋体"/>
          <w:b/>
          <w:color w:val="auto"/>
          <w:kern w:val="2"/>
          <w:sz w:val="21"/>
          <w:szCs w:val="21"/>
          <w:highlight w:val="none"/>
        </w:rPr>
        <w:t>一、现场情况由投标人自行踏勘，风险由投标人自行承担。</w:t>
      </w:r>
    </w:p>
    <w:p w14:paraId="3F63F9A9">
      <w:pPr>
        <w:widowControl/>
        <w:spacing w:line="360" w:lineRule="auto"/>
        <w:ind w:firstLine="422" w:firstLineChars="200"/>
        <w:rPr>
          <w:rStyle w:val="26"/>
          <w:rFonts w:hint="eastAsia" w:ascii="宋体" w:hAnsi="宋体" w:cs="宋体"/>
          <w:color w:val="auto"/>
          <w:szCs w:val="21"/>
          <w:highlight w:val="none"/>
        </w:rPr>
      </w:pPr>
      <w:r>
        <w:rPr>
          <w:rStyle w:val="26"/>
          <w:rFonts w:hint="eastAsia" w:ascii="宋体" w:hAnsi="宋体" w:cs="宋体"/>
          <w:b/>
          <w:color w:val="auto"/>
          <w:szCs w:val="21"/>
          <w:highlight w:val="none"/>
        </w:rPr>
        <w:t>二、项目概况</w:t>
      </w:r>
      <w:r>
        <w:rPr>
          <w:rStyle w:val="26"/>
          <w:rFonts w:hint="eastAsia" w:ascii="宋体" w:hAnsi="宋体" w:cs="宋体"/>
          <w:color w:val="auto"/>
          <w:spacing w:val="4"/>
          <w:szCs w:val="21"/>
          <w:highlight w:val="none"/>
        </w:rPr>
        <w:t>：</w:t>
      </w:r>
      <w:r>
        <w:rPr>
          <w:rStyle w:val="26"/>
          <w:rFonts w:hint="eastAsia"/>
          <w:color w:val="auto"/>
          <w:spacing w:val="4"/>
          <w:szCs w:val="21"/>
          <w:highlight w:val="none"/>
          <w:u w:val="single"/>
        </w:rPr>
        <w:t>项目位于广东省清远市，规划总用地7400亩，共3个地块，一号地块首开区总规划用地约1300亩，三期工程为将现状</w:t>
      </w:r>
      <w:r>
        <w:rPr>
          <w:rStyle w:val="26"/>
          <w:rFonts w:hint="eastAsia"/>
          <w:color w:val="auto"/>
          <w:spacing w:val="4"/>
          <w:szCs w:val="21"/>
          <w:highlight w:val="none"/>
          <w:u w:val="single"/>
          <w:lang w:val="en-US" w:eastAsia="zh-CN"/>
        </w:rPr>
        <w:t>19栋</w:t>
      </w:r>
      <w:r>
        <w:rPr>
          <w:rStyle w:val="26"/>
          <w:rFonts w:hint="eastAsia"/>
          <w:color w:val="auto"/>
          <w:spacing w:val="4"/>
          <w:szCs w:val="21"/>
          <w:highlight w:val="none"/>
          <w:u w:val="single"/>
        </w:rPr>
        <w:t>村民物业的改造为</w:t>
      </w:r>
      <w:r>
        <w:rPr>
          <w:rStyle w:val="26"/>
          <w:rFonts w:hint="eastAsia"/>
          <w:color w:val="auto"/>
          <w:spacing w:val="4"/>
          <w:szCs w:val="21"/>
          <w:highlight w:val="none"/>
          <w:u w:val="single"/>
          <w:lang w:val="en-US" w:eastAsia="zh-CN"/>
        </w:rPr>
        <w:t>75间客房的</w:t>
      </w:r>
      <w:r>
        <w:rPr>
          <w:rStyle w:val="26"/>
          <w:rFonts w:hint="eastAsia"/>
          <w:color w:val="auto"/>
          <w:spacing w:val="4"/>
          <w:szCs w:val="21"/>
          <w:highlight w:val="none"/>
          <w:u w:val="single"/>
        </w:rPr>
        <w:t>乡村度假民宿酒店，总建筑面积为7，839.00平方米，客房总建筑面积为6,802.00平方米（其中酒店公区建筑面积为1,671.7</w:t>
      </w:r>
      <w:r>
        <w:rPr>
          <w:rStyle w:val="26"/>
          <w:rFonts w:hint="eastAsia"/>
          <w:color w:val="auto"/>
          <w:spacing w:val="4"/>
          <w:szCs w:val="21"/>
          <w:highlight w:val="none"/>
          <w:u w:val="single"/>
          <w:lang w:val="en-US" w:eastAsia="zh-CN"/>
        </w:rPr>
        <w:t>0</w:t>
      </w:r>
      <w:r>
        <w:rPr>
          <w:rStyle w:val="26"/>
          <w:rFonts w:hint="eastAsia"/>
          <w:color w:val="auto"/>
          <w:spacing w:val="4"/>
          <w:szCs w:val="21"/>
          <w:highlight w:val="none"/>
          <w:u w:val="single"/>
        </w:rPr>
        <w:t>平方米），沿街商业招商面积为781.00平方米，设备房建筑面积为256.00平方米。</w:t>
      </w:r>
    </w:p>
    <w:p w14:paraId="0DDFD7CA">
      <w:pPr>
        <w:pStyle w:val="42"/>
        <w:snapToGrid/>
        <w:spacing w:line="360" w:lineRule="auto"/>
        <w:ind w:firstLine="438" w:firstLineChars="200"/>
        <w:jc w:val="left"/>
        <w:rPr>
          <w:rStyle w:val="26"/>
          <w:rFonts w:hint="eastAsia" w:ascii="宋体" w:hAnsi="宋体" w:eastAsia="宋体" w:cs="宋体"/>
          <w:b/>
          <w:color w:val="auto"/>
          <w:kern w:val="2"/>
          <w:sz w:val="21"/>
          <w:szCs w:val="21"/>
          <w:highlight w:val="none"/>
        </w:rPr>
      </w:pPr>
      <w:r>
        <w:rPr>
          <w:rStyle w:val="26"/>
          <w:rFonts w:hint="eastAsia" w:ascii="宋体" w:hAnsi="宋体" w:eastAsia="宋体" w:cs="宋体"/>
          <w:b/>
          <w:color w:val="auto"/>
          <w:kern w:val="2"/>
          <w:sz w:val="21"/>
          <w:szCs w:val="21"/>
          <w:highlight w:val="none"/>
        </w:rPr>
        <w:t>三、下列文件应被认为是组成本章内容的一部分，并互为补充和解释，如各文件存在冲突之处，以如下排列次序在前者优先适用：</w:t>
      </w:r>
    </w:p>
    <w:p w14:paraId="0BE5DBFA">
      <w:pPr>
        <w:pStyle w:val="42"/>
        <w:snapToGrid/>
        <w:spacing w:line="360" w:lineRule="auto"/>
        <w:ind w:firstLine="514" w:firstLineChars="236"/>
        <w:jc w:val="left"/>
        <w:rPr>
          <w:rStyle w:val="26"/>
          <w:rFonts w:hint="eastAsia" w:ascii="宋体" w:hAnsi="宋体" w:eastAsia="宋体" w:cs="宋体"/>
          <w:color w:val="auto"/>
          <w:kern w:val="2"/>
          <w:sz w:val="21"/>
          <w:szCs w:val="21"/>
          <w:highlight w:val="none"/>
        </w:rPr>
      </w:pPr>
      <w:r>
        <w:rPr>
          <w:rStyle w:val="26"/>
          <w:rFonts w:hint="eastAsia" w:ascii="宋体" w:hAnsi="宋体" w:eastAsia="宋体" w:cs="宋体"/>
          <w:color w:val="auto"/>
          <w:kern w:val="2"/>
          <w:sz w:val="21"/>
          <w:szCs w:val="21"/>
          <w:highlight w:val="none"/>
        </w:rPr>
        <w:t>（一）遵照招标人发布的合同条款及有关本项目现场施工管理的相关规定要求及技术需求书等；</w:t>
      </w:r>
    </w:p>
    <w:p w14:paraId="042ACAF9">
      <w:pPr>
        <w:pStyle w:val="42"/>
        <w:snapToGrid/>
        <w:spacing w:line="360" w:lineRule="auto"/>
        <w:ind w:firstLine="514" w:firstLineChars="236"/>
        <w:jc w:val="left"/>
        <w:rPr>
          <w:rStyle w:val="26"/>
          <w:rFonts w:hint="eastAsia" w:ascii="宋体" w:hAnsi="宋体" w:eastAsia="宋体" w:cs="宋体"/>
          <w:color w:val="auto"/>
          <w:kern w:val="2"/>
          <w:sz w:val="21"/>
          <w:szCs w:val="21"/>
          <w:highlight w:val="none"/>
        </w:rPr>
      </w:pPr>
      <w:r>
        <w:rPr>
          <w:rStyle w:val="26"/>
          <w:rFonts w:hint="eastAsia" w:ascii="宋体" w:hAnsi="宋体" w:eastAsia="宋体" w:cs="宋体"/>
          <w:color w:val="auto"/>
          <w:kern w:val="2"/>
          <w:sz w:val="21"/>
          <w:szCs w:val="21"/>
          <w:highlight w:val="none"/>
        </w:rPr>
        <w:t>（二）按照设计图纸及设计说明的技术条件及要求，采用图纸中规定的技术规格和国家及行业的验收标准；</w:t>
      </w:r>
    </w:p>
    <w:p w14:paraId="4A71D24F">
      <w:pPr>
        <w:spacing w:line="360" w:lineRule="auto"/>
        <w:ind w:firstLine="495" w:firstLineChars="236"/>
        <w:jc w:val="left"/>
        <w:rPr>
          <w:rStyle w:val="26"/>
          <w:rFonts w:hint="eastAsia" w:ascii="宋体" w:hAnsi="宋体" w:cs="宋体"/>
          <w:color w:val="auto"/>
          <w:szCs w:val="21"/>
          <w:highlight w:val="none"/>
        </w:rPr>
      </w:pPr>
      <w:r>
        <w:rPr>
          <w:rStyle w:val="26"/>
          <w:rFonts w:hint="eastAsia" w:ascii="宋体" w:hAnsi="宋体" w:cs="宋体"/>
          <w:color w:val="auto"/>
          <w:szCs w:val="21"/>
          <w:highlight w:val="none"/>
        </w:rPr>
        <w:t>（三）采用国家、广东省、</w:t>
      </w:r>
      <w:r>
        <w:rPr>
          <w:rStyle w:val="26"/>
          <w:rFonts w:hint="eastAsia" w:ascii="宋体" w:hAnsi="宋体" w:cs="宋体"/>
          <w:color w:val="auto"/>
          <w:szCs w:val="21"/>
          <w:highlight w:val="none"/>
          <w:lang w:val="en-US" w:eastAsia="zh-CN"/>
        </w:rPr>
        <w:t>清远</w:t>
      </w:r>
      <w:r>
        <w:rPr>
          <w:rStyle w:val="26"/>
          <w:rFonts w:hint="eastAsia" w:ascii="宋体" w:hAnsi="宋体" w:cs="宋体"/>
          <w:color w:val="auto"/>
          <w:szCs w:val="21"/>
          <w:highlight w:val="none"/>
        </w:rPr>
        <w:t>市、区有关施工验收规范、质量标准和操作规程等要求。</w:t>
      </w:r>
    </w:p>
    <w:p w14:paraId="78AAA86A">
      <w:pPr>
        <w:spacing w:line="360" w:lineRule="auto"/>
        <w:ind w:right="-86" w:rightChars="-41" w:firstLine="422" w:firstLineChars="200"/>
        <w:rPr>
          <w:rStyle w:val="26"/>
          <w:rFonts w:hint="eastAsia" w:ascii="宋体" w:hAnsi="宋体" w:cs="宋体"/>
          <w:b/>
          <w:color w:val="auto"/>
          <w:szCs w:val="21"/>
          <w:highlight w:val="none"/>
        </w:rPr>
      </w:pPr>
      <w:r>
        <w:rPr>
          <w:rStyle w:val="26"/>
          <w:rFonts w:hint="eastAsia" w:ascii="宋体" w:hAnsi="宋体" w:cs="宋体"/>
          <w:b/>
          <w:color w:val="auto"/>
          <w:szCs w:val="21"/>
          <w:highlight w:val="none"/>
        </w:rPr>
        <w:t>四、机械、测量器具、检测工具及加工制作能力的要求（包括但不限于）</w:t>
      </w:r>
    </w:p>
    <w:p w14:paraId="5E9953C4">
      <w:pPr>
        <w:spacing w:line="360" w:lineRule="auto"/>
        <w:ind w:right="-86" w:rightChars="-41" w:firstLine="420" w:firstLineChars="200"/>
        <w:jc w:val="left"/>
        <w:rPr>
          <w:rStyle w:val="26"/>
          <w:rFonts w:hint="eastAsia" w:ascii="宋体" w:hAnsi="宋体" w:cs="宋体"/>
          <w:color w:val="auto"/>
          <w:szCs w:val="21"/>
          <w:highlight w:val="none"/>
        </w:rPr>
      </w:pPr>
      <w:r>
        <w:rPr>
          <w:rStyle w:val="26"/>
          <w:rFonts w:hint="eastAsia" w:ascii="宋体" w:hAnsi="宋体" w:cs="宋体"/>
          <w:color w:val="auto"/>
          <w:szCs w:val="21"/>
          <w:highlight w:val="none"/>
        </w:rPr>
        <w:t>（一）投标人拟投入施工的机械设备须配套齐全，性能优良，技术先进，安全可靠，机械化施工程度高，投入数量能够满足本项目工程进度的要求。该工程必须落实加工机械、安装机械、测量器具、检测工具以保证工程的顺利进行和工程建设高品质的需要。且投标人承诺的上述机械、测量器具、检测工具必须按投标文件中承诺的型号、规格、数量、时间在本工程投入使用。</w:t>
      </w:r>
    </w:p>
    <w:p w14:paraId="0F700BD6">
      <w:pPr>
        <w:spacing w:line="360" w:lineRule="auto"/>
        <w:ind w:right="-86" w:rightChars="-41" w:firstLine="420" w:firstLineChars="200"/>
        <w:jc w:val="left"/>
        <w:rPr>
          <w:rStyle w:val="26"/>
          <w:rFonts w:hint="eastAsia" w:ascii="宋体" w:hAnsi="宋体" w:cs="宋体"/>
          <w:color w:val="auto"/>
          <w:szCs w:val="21"/>
          <w:highlight w:val="none"/>
        </w:rPr>
      </w:pPr>
      <w:r>
        <w:rPr>
          <w:rStyle w:val="26"/>
          <w:rFonts w:hint="eastAsia" w:ascii="宋体" w:hAnsi="宋体" w:cs="宋体"/>
          <w:color w:val="auto"/>
          <w:szCs w:val="21"/>
          <w:highlight w:val="none"/>
        </w:rPr>
        <w:t>（二）招标人可根据工程实际情况要求中标人增加工程施工所需的机械设备、人员、材料等资源的投入，中标人应无条件按照招标人的要求增加工程所需的投入并自行承担因此涉及的费用。</w:t>
      </w:r>
    </w:p>
    <w:p w14:paraId="2CB5BF9F">
      <w:pPr>
        <w:spacing w:line="360" w:lineRule="auto"/>
        <w:ind w:right="-86" w:rightChars="-41" w:firstLine="420" w:firstLineChars="200"/>
        <w:jc w:val="left"/>
        <w:rPr>
          <w:rStyle w:val="26"/>
          <w:rFonts w:hint="eastAsia" w:ascii="宋体" w:hAnsi="宋体" w:cs="宋体"/>
          <w:color w:val="auto"/>
          <w:szCs w:val="21"/>
          <w:highlight w:val="none"/>
        </w:rPr>
      </w:pPr>
      <w:r>
        <w:rPr>
          <w:rStyle w:val="26"/>
          <w:rFonts w:hint="eastAsia" w:ascii="宋体" w:hAnsi="宋体" w:cs="宋体"/>
          <w:color w:val="auto"/>
          <w:szCs w:val="21"/>
          <w:highlight w:val="none"/>
        </w:rPr>
        <w:t>（三）招标人可根据工程实际情况要求中标人对工程图纸进行深化设计，中标人应无条件按照招标人的要求对本工程图纸进行深化设计并承担因此涉及的费用。</w:t>
      </w:r>
    </w:p>
    <w:p w14:paraId="0FF43686">
      <w:pPr>
        <w:spacing w:line="360" w:lineRule="auto"/>
        <w:ind w:right="-510" w:rightChars="-243" w:firstLine="422" w:firstLineChars="200"/>
        <w:jc w:val="left"/>
        <w:rPr>
          <w:rStyle w:val="26"/>
          <w:rFonts w:hint="eastAsia" w:ascii="宋体" w:hAnsi="宋体" w:cs="宋体"/>
          <w:b/>
          <w:color w:val="auto"/>
          <w:szCs w:val="21"/>
          <w:highlight w:val="none"/>
        </w:rPr>
      </w:pPr>
      <w:r>
        <w:rPr>
          <w:rStyle w:val="26"/>
          <w:rFonts w:hint="eastAsia" w:ascii="宋体" w:hAnsi="宋体" w:cs="宋体"/>
          <w:b/>
          <w:color w:val="auto"/>
          <w:szCs w:val="21"/>
          <w:highlight w:val="none"/>
        </w:rPr>
        <w:t>五、经济标编制的相关要求</w:t>
      </w:r>
    </w:p>
    <w:p w14:paraId="47FB7DC1">
      <w:pPr>
        <w:spacing w:line="360" w:lineRule="auto"/>
        <w:ind w:firstLine="495" w:firstLineChars="236"/>
        <w:rPr>
          <w:rStyle w:val="26"/>
          <w:rFonts w:hint="eastAsia" w:ascii="宋体" w:hAnsi="宋体" w:cs="宋体"/>
          <w:color w:val="auto"/>
          <w:szCs w:val="21"/>
          <w:highlight w:val="none"/>
        </w:rPr>
      </w:pPr>
      <w:r>
        <w:rPr>
          <w:rStyle w:val="26"/>
          <w:rFonts w:hint="eastAsia" w:ascii="宋体" w:hAnsi="宋体" w:cs="宋体"/>
          <w:color w:val="auto"/>
          <w:szCs w:val="21"/>
          <w:highlight w:val="none"/>
        </w:rPr>
        <w:t>各投标人应考虑企业自身成本及市场材料价格等因素，投标报价应包括材料供应及安装、成品保护和维护、各项检验试验费（文件规定招标人另行委托第三方检测的项目除外）、各项材料、组件、零配件、风险、保险、责任、措施费、缺陷修复、管理费、利润、关税、税金等、政策性规定的所有费用以及中标人履行合同产生或可能产生的其他费用。其中包括但不限于以下费用：</w:t>
      </w:r>
    </w:p>
    <w:p w14:paraId="2B3B5382">
      <w:pPr>
        <w:spacing w:line="360" w:lineRule="auto"/>
        <w:ind w:firstLine="495" w:firstLineChars="236"/>
        <w:rPr>
          <w:rStyle w:val="26"/>
          <w:rFonts w:hint="eastAsia" w:ascii="宋体" w:hAnsi="宋体" w:cs="宋体"/>
          <w:color w:val="auto"/>
          <w:szCs w:val="21"/>
          <w:highlight w:val="none"/>
        </w:rPr>
      </w:pPr>
      <w:r>
        <w:rPr>
          <w:rStyle w:val="26"/>
          <w:rFonts w:hint="eastAsia" w:ascii="宋体" w:hAnsi="宋体" w:cs="宋体"/>
          <w:color w:val="auto"/>
          <w:szCs w:val="21"/>
          <w:highlight w:val="none"/>
        </w:rPr>
        <w:t>（一）按照招标文件资料，为完成本工程所需的一切材料费、机械费、人工费、管理费、不可预见费、规费、利润、税金等；</w:t>
      </w:r>
    </w:p>
    <w:p w14:paraId="758947EC">
      <w:pPr>
        <w:spacing w:line="360" w:lineRule="auto"/>
        <w:ind w:right="-86" w:rightChars="-41" w:firstLine="420" w:firstLineChars="200"/>
        <w:jc w:val="left"/>
        <w:rPr>
          <w:rStyle w:val="26"/>
          <w:rFonts w:hint="eastAsia" w:ascii="宋体" w:hAnsi="宋体" w:cs="宋体"/>
          <w:color w:val="auto"/>
          <w:szCs w:val="21"/>
          <w:highlight w:val="none"/>
        </w:rPr>
      </w:pPr>
      <w:r>
        <w:rPr>
          <w:rStyle w:val="26"/>
          <w:rFonts w:hint="eastAsia" w:ascii="宋体" w:hAnsi="宋体" w:cs="宋体"/>
          <w:color w:val="auto"/>
          <w:szCs w:val="21"/>
          <w:highlight w:val="none"/>
        </w:rPr>
        <w:t>（二）材料的采购、包装、储运、保险、商检、验收、加工、组装、安装、调试、保修期内的专用工具、备品备件等全部费用；</w:t>
      </w:r>
    </w:p>
    <w:p w14:paraId="7754721F">
      <w:pPr>
        <w:spacing w:line="360" w:lineRule="auto"/>
        <w:ind w:right="-86" w:rightChars="-41" w:firstLine="420" w:firstLineChars="200"/>
        <w:jc w:val="left"/>
        <w:rPr>
          <w:rStyle w:val="26"/>
          <w:rFonts w:hint="eastAsia" w:ascii="宋体" w:hAnsi="宋体" w:cs="宋体"/>
          <w:color w:val="auto"/>
          <w:szCs w:val="21"/>
          <w:highlight w:val="none"/>
        </w:rPr>
      </w:pPr>
      <w:r>
        <w:rPr>
          <w:rStyle w:val="26"/>
          <w:rFonts w:hint="eastAsia" w:ascii="宋体" w:hAnsi="宋体" w:cs="宋体"/>
          <w:color w:val="auto"/>
          <w:szCs w:val="21"/>
          <w:highlight w:val="none"/>
        </w:rPr>
        <w:t>（三）进口材料（如有）需包括的进口关税、增值税、代理费等一切进口费用，中标人需遵循正常合法的入关手续；</w:t>
      </w:r>
    </w:p>
    <w:p w14:paraId="18BE0868">
      <w:pPr>
        <w:spacing w:line="360" w:lineRule="auto"/>
        <w:ind w:right="-86" w:rightChars="-41" w:firstLine="420" w:firstLineChars="200"/>
        <w:jc w:val="left"/>
        <w:rPr>
          <w:rStyle w:val="26"/>
          <w:rFonts w:hint="eastAsia" w:ascii="宋体" w:hAnsi="宋体" w:cs="宋体"/>
          <w:color w:val="auto"/>
          <w:szCs w:val="21"/>
          <w:highlight w:val="none"/>
        </w:rPr>
      </w:pPr>
      <w:r>
        <w:rPr>
          <w:rStyle w:val="26"/>
          <w:rFonts w:hint="eastAsia" w:ascii="宋体" w:hAnsi="宋体" w:cs="宋体"/>
          <w:color w:val="auto"/>
          <w:szCs w:val="21"/>
          <w:highlight w:val="none"/>
        </w:rPr>
        <w:t>（四）为满足招标人关于现场文明施工、安全生产、政府检查等引起的人员、材料、机械等投入的费用；</w:t>
      </w:r>
    </w:p>
    <w:p w14:paraId="6A733FC2">
      <w:pPr>
        <w:spacing w:line="360" w:lineRule="auto"/>
        <w:ind w:right="-86" w:rightChars="-41" w:firstLine="420" w:firstLineChars="200"/>
        <w:jc w:val="left"/>
        <w:rPr>
          <w:rStyle w:val="26"/>
          <w:rFonts w:hint="eastAsia" w:ascii="宋体" w:hAnsi="宋体" w:cs="宋体"/>
          <w:color w:val="auto"/>
          <w:szCs w:val="21"/>
          <w:highlight w:val="none"/>
        </w:rPr>
      </w:pPr>
      <w:r>
        <w:rPr>
          <w:rStyle w:val="26"/>
          <w:rFonts w:hint="eastAsia" w:ascii="宋体" w:hAnsi="宋体" w:cs="宋体"/>
          <w:color w:val="auto"/>
          <w:szCs w:val="21"/>
          <w:highlight w:val="none"/>
        </w:rPr>
        <w:t>（五）本工程施工过程中所需的脚手架、吊架费用，各种材料、产品的水平和垂直运输费用的措施费用应包含在本次投标报价中；</w:t>
      </w:r>
    </w:p>
    <w:p w14:paraId="57AE6175">
      <w:pPr>
        <w:spacing w:line="360" w:lineRule="auto"/>
        <w:ind w:right="-86" w:rightChars="-41" w:firstLine="420" w:firstLineChars="200"/>
        <w:jc w:val="left"/>
        <w:rPr>
          <w:rFonts w:hint="eastAsia" w:ascii="宋体" w:hAnsi="宋体" w:cs="宋体"/>
          <w:color w:val="auto"/>
          <w:sz w:val="24"/>
          <w:szCs w:val="24"/>
          <w:highlight w:val="none"/>
        </w:rPr>
      </w:pPr>
      <w:r>
        <w:rPr>
          <w:rStyle w:val="26"/>
          <w:rFonts w:hint="eastAsia" w:ascii="宋体" w:hAnsi="宋体" w:cs="宋体"/>
          <w:color w:val="auto"/>
          <w:szCs w:val="21"/>
          <w:highlight w:val="none"/>
        </w:rPr>
        <w:t>（六）为完成本招标图及相关资料范围内的工作内容所需的一切费用。</w:t>
      </w:r>
      <w:bookmarkStart w:id="116" w:name="_Toc11960"/>
      <w:bookmarkStart w:id="117" w:name="_Toc4610217"/>
    </w:p>
    <w:p w14:paraId="784180BB">
      <w:pPr>
        <w:spacing w:line="360" w:lineRule="auto"/>
        <w:ind w:right="-510" w:rightChars="-243" w:firstLine="422" w:firstLineChars="200"/>
        <w:jc w:val="left"/>
        <w:rPr>
          <w:rStyle w:val="26"/>
          <w:rFonts w:hint="eastAsia"/>
          <w:color w:val="auto"/>
          <w:szCs w:val="21"/>
          <w:highlight w:val="none"/>
        </w:rPr>
      </w:pPr>
      <w:r>
        <w:rPr>
          <w:rStyle w:val="26"/>
          <w:rFonts w:hint="eastAsia"/>
          <w:b/>
          <w:color w:val="auto"/>
          <w:szCs w:val="21"/>
          <w:highlight w:val="none"/>
        </w:rPr>
        <w:t>六、施工现场建筑垃圾源头减量的具体要求和建筑垃圾综合利用产品的使用要求</w:t>
      </w:r>
    </w:p>
    <w:p w14:paraId="37F3DC1D">
      <w:pPr>
        <w:spacing w:line="360" w:lineRule="auto"/>
        <w:ind w:right="-86" w:rightChars="-41" w:firstLine="420" w:firstLineChars="200"/>
        <w:jc w:val="left"/>
        <w:rPr>
          <w:rStyle w:val="26"/>
          <w:rFonts w:hint="eastAsia"/>
          <w:color w:val="auto"/>
          <w:szCs w:val="21"/>
          <w:highlight w:val="none"/>
        </w:rPr>
      </w:pPr>
      <w:r>
        <w:rPr>
          <w:rStyle w:val="26"/>
          <w:rFonts w:hint="eastAsia" w:ascii="宋体" w:hAnsi="宋体" w:cs="宋体"/>
          <w:color w:val="auto"/>
          <w:szCs w:val="21"/>
          <w:highlight w:val="none"/>
        </w:rPr>
        <w:t>（一）</w:t>
      </w:r>
      <w:r>
        <w:rPr>
          <w:rStyle w:val="26"/>
          <w:rFonts w:hint="eastAsia"/>
          <w:color w:val="auto"/>
          <w:szCs w:val="21"/>
          <w:highlight w:val="none"/>
        </w:rPr>
        <w:t>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14:paraId="0E682834">
      <w:pPr>
        <w:spacing w:line="360" w:lineRule="auto"/>
        <w:ind w:right="-86" w:rightChars="-41" w:firstLine="420" w:firstLineChars="200"/>
        <w:jc w:val="left"/>
        <w:rPr>
          <w:rStyle w:val="26"/>
          <w:rFonts w:hint="eastAsia"/>
          <w:color w:val="auto"/>
          <w:szCs w:val="21"/>
          <w:highlight w:val="none"/>
        </w:rPr>
      </w:pPr>
      <w:r>
        <w:rPr>
          <w:rStyle w:val="26"/>
          <w:rFonts w:hint="eastAsia"/>
          <w:color w:val="auto"/>
          <w:szCs w:val="21"/>
          <w:highlight w:val="none"/>
        </w:rPr>
        <w:t>（二）建筑垃圾应当按照国家有关规定进行分类，实行分类收集、分类贮存、分类运输、分类处置。</w:t>
      </w:r>
    </w:p>
    <w:p w14:paraId="78EC7C68">
      <w:pPr>
        <w:spacing w:line="360" w:lineRule="auto"/>
        <w:ind w:right="-86" w:rightChars="-41" w:firstLine="420" w:firstLineChars="200"/>
        <w:jc w:val="left"/>
        <w:rPr>
          <w:rStyle w:val="26"/>
          <w:rFonts w:hint="eastAsia"/>
          <w:color w:val="auto"/>
          <w:szCs w:val="21"/>
          <w:highlight w:val="none"/>
        </w:rPr>
      </w:pPr>
      <w:r>
        <w:rPr>
          <w:rStyle w:val="26"/>
          <w:rFonts w:hint="eastAsia"/>
          <w:color w:val="auto"/>
          <w:szCs w:val="21"/>
          <w:highlight w:val="none"/>
        </w:rPr>
        <w:t>（三）建设单位应当建立建筑垃圾分类收集、贮存以及台账管理等制度，督促施工单位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14:paraId="27476340">
      <w:pPr>
        <w:spacing w:line="360" w:lineRule="auto"/>
        <w:ind w:right="-86" w:rightChars="-41" w:firstLine="420" w:firstLineChars="200"/>
        <w:jc w:val="left"/>
        <w:rPr>
          <w:rStyle w:val="26"/>
          <w:rFonts w:hint="eastAsia"/>
          <w:color w:val="auto"/>
          <w:szCs w:val="21"/>
          <w:highlight w:val="none"/>
        </w:rPr>
      </w:pPr>
      <w:r>
        <w:rPr>
          <w:rStyle w:val="26"/>
          <w:rFonts w:hint="eastAsia"/>
          <w:color w:val="auto"/>
          <w:szCs w:val="21"/>
          <w:highlight w:val="none"/>
        </w:rPr>
        <w:t>（四）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14:paraId="13BFA22F">
      <w:pPr>
        <w:spacing w:line="360" w:lineRule="auto"/>
        <w:ind w:right="-86" w:rightChars="-41" w:firstLine="420" w:firstLineChars="200"/>
        <w:jc w:val="left"/>
        <w:rPr>
          <w:rStyle w:val="26"/>
          <w:rFonts w:hint="eastAsia"/>
          <w:color w:val="auto"/>
          <w:szCs w:val="21"/>
          <w:highlight w:val="none"/>
        </w:rPr>
      </w:pPr>
      <w:r>
        <w:rPr>
          <w:rStyle w:val="26"/>
          <w:rFonts w:hint="eastAsia"/>
          <w:color w:val="auto"/>
          <w:szCs w:val="21"/>
          <w:highlight w:val="none"/>
        </w:rPr>
        <w:t>（五）工程泥浆应当在施工现场进行脱水固化处理。施工现场不具备条件的，应当采用罐装器具密闭运输至依法设置的建筑垃圾处置场所进行处置。水上工程中依法无需经脱水处理的除外。</w:t>
      </w:r>
    </w:p>
    <w:p w14:paraId="7399FE4E">
      <w:pPr>
        <w:spacing w:line="360" w:lineRule="auto"/>
        <w:ind w:right="-86" w:rightChars="-41" w:firstLine="420" w:firstLineChars="200"/>
        <w:jc w:val="left"/>
        <w:rPr>
          <w:rStyle w:val="26"/>
          <w:rFonts w:hint="eastAsia"/>
          <w:color w:val="auto"/>
          <w:szCs w:val="21"/>
          <w:highlight w:val="none"/>
        </w:rPr>
      </w:pPr>
      <w:r>
        <w:rPr>
          <w:rStyle w:val="26"/>
          <w:rFonts w:hint="eastAsia"/>
          <w:color w:val="auto"/>
          <w:szCs w:val="21"/>
          <w:highlight w:val="none"/>
        </w:rPr>
        <w:t>（六）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14:paraId="06EA394B">
      <w:pPr>
        <w:spacing w:line="360" w:lineRule="auto"/>
        <w:ind w:right="-86" w:rightChars="-41" w:firstLine="420" w:firstLineChars="200"/>
        <w:jc w:val="left"/>
        <w:rPr>
          <w:rFonts w:hint="eastAsia" w:ascii="宋体" w:hAnsi="宋体" w:cs="宋体"/>
          <w:color w:val="auto"/>
          <w:sz w:val="24"/>
          <w:szCs w:val="24"/>
          <w:highlight w:val="none"/>
        </w:rPr>
      </w:pPr>
      <w:r>
        <w:rPr>
          <w:rStyle w:val="26"/>
          <w:rFonts w:hint="eastAsia"/>
          <w:color w:val="auto"/>
          <w:szCs w:val="21"/>
          <w:highlight w:val="none"/>
        </w:rPr>
        <w:t>（七）建设单位和施工单位严格遵守并执行《广东省建筑垃圾管理条例》。</w:t>
      </w:r>
      <w:r>
        <w:rPr>
          <w:rStyle w:val="26"/>
          <w:rFonts w:hint="eastAsia"/>
          <w:color w:val="auto"/>
          <w:szCs w:val="21"/>
          <w:highlight w:val="none"/>
        </w:rPr>
        <w:br w:type="page"/>
      </w:r>
    </w:p>
    <w:p w14:paraId="48EF83C4">
      <w:pPr>
        <w:pStyle w:val="2"/>
        <w:rPr>
          <w:rFonts w:hint="eastAsia" w:ascii="宋体" w:hAnsi="宋体" w:cs="宋体"/>
          <w:color w:val="auto"/>
          <w:highlight w:val="none"/>
        </w:rPr>
      </w:pPr>
      <w:bookmarkStart w:id="118" w:name="_Toc88246549"/>
      <w:bookmarkStart w:id="119" w:name="_Toc26499"/>
      <w:r>
        <w:rPr>
          <w:rFonts w:hint="eastAsia" w:ascii="宋体" w:hAnsi="宋体" w:cs="宋体"/>
          <w:color w:val="auto"/>
          <w:highlight w:val="none"/>
        </w:rPr>
        <w:t>第六章  图纸及勘察资料</w:t>
      </w:r>
      <w:bookmarkEnd w:id="116"/>
      <w:bookmarkEnd w:id="117"/>
      <w:bookmarkEnd w:id="118"/>
      <w:bookmarkEnd w:id="119"/>
    </w:p>
    <w:p w14:paraId="1FDBF1B5">
      <w:pPr>
        <w:jc w:val="center"/>
        <w:rPr>
          <w:rFonts w:hint="eastAsia" w:ascii="宋体" w:hAnsi="宋体" w:cs="宋体"/>
          <w:b/>
          <w:color w:val="auto"/>
          <w:sz w:val="24"/>
          <w:szCs w:val="24"/>
          <w:highlight w:val="none"/>
        </w:rPr>
      </w:pPr>
      <w:r>
        <w:rPr>
          <w:rFonts w:hint="eastAsia" w:ascii="宋体" w:hAnsi="宋体" w:cs="宋体"/>
          <w:color w:val="auto"/>
          <w:sz w:val="24"/>
          <w:szCs w:val="24"/>
          <w:highlight w:val="none"/>
        </w:rPr>
        <w:t>（另册）</w:t>
      </w:r>
    </w:p>
    <w:p w14:paraId="0531E9EF">
      <w:pPr>
        <w:jc w:val="center"/>
        <w:rPr>
          <w:rFonts w:hint="eastAsia" w:ascii="宋体" w:hAnsi="宋体" w:cs="宋体"/>
          <w:color w:val="auto"/>
          <w:sz w:val="24"/>
          <w:szCs w:val="24"/>
          <w:highlight w:val="none"/>
        </w:rPr>
      </w:pPr>
      <w:bookmarkStart w:id="120" w:name="_Toc4610218"/>
      <w:bookmarkStart w:id="121" w:name="_Toc4954"/>
    </w:p>
    <w:p w14:paraId="092DAEEE">
      <w:pPr>
        <w:jc w:val="center"/>
        <w:rPr>
          <w:rFonts w:hint="eastAsia" w:ascii="宋体" w:hAnsi="宋体" w:cs="宋体"/>
          <w:color w:val="auto"/>
          <w:highlight w:val="none"/>
        </w:rPr>
      </w:pPr>
      <w:r>
        <w:rPr>
          <w:rFonts w:hint="eastAsia" w:ascii="宋体" w:hAnsi="宋体" w:cs="宋体"/>
          <w:color w:val="auto"/>
          <w:sz w:val="24"/>
          <w:szCs w:val="24"/>
          <w:highlight w:val="none"/>
        </w:rPr>
        <w:br w:type="page"/>
      </w:r>
      <w:bookmarkStart w:id="122" w:name="_Toc14984"/>
      <w:bookmarkStart w:id="123" w:name="_Toc88246550"/>
      <w:r>
        <w:rPr>
          <w:rFonts w:hint="eastAsia" w:ascii="宋体" w:hAnsi="宋体" w:cs="宋体"/>
          <w:b/>
          <w:bCs/>
          <w:color w:val="auto"/>
          <w:sz w:val="30"/>
          <w:szCs w:val="30"/>
          <w:highlight w:val="none"/>
        </w:rPr>
        <w:t>第七章  工程量清单</w:t>
      </w:r>
      <w:bookmarkEnd w:id="120"/>
      <w:bookmarkEnd w:id="121"/>
      <w:bookmarkEnd w:id="122"/>
      <w:bookmarkEnd w:id="123"/>
    </w:p>
    <w:p w14:paraId="1060667D">
      <w:pPr>
        <w:jc w:val="center"/>
        <w:rPr>
          <w:rFonts w:hint="eastAsia" w:ascii="宋体" w:hAnsi="宋体" w:cs="宋体"/>
          <w:color w:val="auto"/>
          <w:szCs w:val="21"/>
          <w:highlight w:val="none"/>
        </w:rPr>
      </w:pPr>
    </w:p>
    <w:p w14:paraId="5238817D">
      <w:pPr>
        <w:jc w:val="center"/>
        <w:rPr>
          <w:rFonts w:hint="eastAsia" w:ascii="宋体" w:hAnsi="宋体" w:cs="宋体"/>
          <w:color w:val="auto"/>
          <w:highlight w:val="none"/>
        </w:rPr>
      </w:pPr>
      <w:r>
        <w:rPr>
          <w:rFonts w:hint="eastAsia" w:ascii="宋体" w:hAnsi="宋体" w:cs="宋体"/>
          <w:color w:val="auto"/>
          <w:sz w:val="24"/>
          <w:szCs w:val="24"/>
          <w:highlight w:val="none"/>
        </w:rPr>
        <w:t>（另册）</w:t>
      </w:r>
      <w:r>
        <w:rPr>
          <w:rFonts w:hint="eastAsia" w:ascii="宋体" w:hAnsi="宋体" w:cs="宋体"/>
          <w:color w:val="auto"/>
          <w:sz w:val="24"/>
          <w:szCs w:val="24"/>
          <w:highlight w:val="none"/>
          <w:u w:val="single"/>
        </w:rPr>
        <w:br w:type="page"/>
      </w:r>
      <w:bookmarkStart w:id="124" w:name="_Toc2272571"/>
      <w:bookmarkStart w:id="125" w:name="_Toc13527"/>
      <w:r>
        <w:rPr>
          <w:rFonts w:hint="eastAsia" w:ascii="宋体" w:hAnsi="宋体" w:cs="宋体"/>
          <w:b/>
          <w:bCs/>
          <w:color w:val="auto"/>
          <w:sz w:val="30"/>
          <w:szCs w:val="30"/>
          <w:highlight w:val="none"/>
        </w:rPr>
        <w:t>第八章  最高投标限价</w:t>
      </w:r>
      <w:bookmarkEnd w:id="124"/>
      <w:bookmarkEnd w:id="125"/>
    </w:p>
    <w:p w14:paraId="66F7B7A5">
      <w:pPr>
        <w:spacing w:line="360" w:lineRule="auto"/>
        <w:ind w:firstLine="480"/>
        <w:rPr>
          <w:rFonts w:hint="eastAsia" w:ascii="宋体" w:hAnsi="宋体" w:cs="宋体"/>
          <w:color w:val="auto"/>
          <w:szCs w:val="21"/>
          <w:highlight w:val="none"/>
        </w:rPr>
      </w:pPr>
    </w:p>
    <w:p w14:paraId="474E055F">
      <w:pPr>
        <w:spacing w:line="360" w:lineRule="auto"/>
        <w:ind w:firstLine="480"/>
        <w:jc w:val="center"/>
        <w:rPr>
          <w:rFonts w:ascii="宋体" w:hAnsi="宋体" w:cs="宋体"/>
          <w:color w:val="auto"/>
          <w:sz w:val="24"/>
          <w:szCs w:val="24"/>
          <w:highlight w:val="none"/>
          <w:u w:val="single"/>
        </w:rPr>
      </w:pPr>
      <w:r>
        <w:rPr>
          <w:rFonts w:hint="eastAsia" w:ascii="宋体" w:hAnsi="宋体" w:cs="宋体"/>
          <w:color w:val="auto"/>
          <w:szCs w:val="21"/>
          <w:highlight w:val="none"/>
          <w:u w:val="single"/>
        </w:rPr>
        <w:t>详见本项目招标公告</w:t>
      </w:r>
    </w:p>
    <w:p w14:paraId="1B516268">
      <w:pPr>
        <w:spacing w:line="360" w:lineRule="auto"/>
        <w:ind w:firstLine="480"/>
        <w:rPr>
          <w:rFonts w:hint="eastAsia" w:ascii="宋体" w:hAnsi="宋体" w:cs="宋体"/>
          <w:color w:val="auto"/>
          <w:sz w:val="24"/>
          <w:szCs w:val="24"/>
          <w:highlight w:val="none"/>
          <w:u w:val="single"/>
        </w:rPr>
      </w:pPr>
    </w:p>
    <w:p w14:paraId="244FCBD2">
      <w:pPr>
        <w:rPr>
          <w:color w:val="auto"/>
          <w:highlight w:val="none"/>
        </w:rPr>
      </w:pPr>
    </w:p>
    <w:sectPr>
      <w:pgSz w:w="11906" w:h="16838"/>
      <w:pgMar w:top="1134" w:right="1304" w:bottom="1134" w:left="1304"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AB5A0">
    <w:pPr>
      <w:pStyle w:val="16"/>
      <w:jc w:val="both"/>
      <w:rPr>
        <w:rStyle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BA4B4">
    <w:pPr>
      <w:pStyle w:val="16"/>
      <w:ind w:firstLine="39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96987">
    <w:pPr>
      <w:pStyle w:val="16"/>
      <w:jc w:val="both"/>
      <w:rPr>
        <w:rStyle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079635">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60079635">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057B7">
    <w:pPr>
      <w:pStyle w:val="16"/>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9C15FB">
                          <w:pPr>
                            <w:pStyle w:val="16"/>
                          </w:pPr>
                          <w:r>
                            <w:fldChar w:fldCharType="begin"/>
                          </w:r>
                          <w:r>
                            <w:instrText xml:space="preserve"> PAGE  \* MERGEFORMAT </w:instrText>
                          </w:r>
                          <w:r>
                            <w:fldChar w:fldCharType="separate"/>
                          </w:r>
                          <w:r>
                            <w:t>85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629C15FB">
                    <w:pPr>
                      <w:pStyle w:val="16"/>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DB1DC">
    <w:pPr>
      <w:pStyle w:val="16"/>
      <w:framePr w:wrap="around" w:vAnchor="text" w:hAnchor="margin" w:xAlign="outside" w:y="1"/>
      <w:rPr>
        <w:rStyle w:val="24"/>
      </w:rPr>
    </w:pPr>
    <w:r>
      <w:fldChar w:fldCharType="begin"/>
    </w:r>
    <w:r>
      <w:rPr>
        <w:rStyle w:val="24"/>
      </w:rPr>
      <w:instrText xml:space="preserve">PAGE  </w:instrText>
    </w:r>
    <w:r>
      <w:fldChar w:fldCharType="separate"/>
    </w:r>
    <w:r>
      <w:rPr>
        <w:rStyle w:val="24"/>
        <w:rFonts w:hint="eastAsia"/>
      </w:rPr>
      <w:t>一</w:t>
    </w:r>
    <w:r>
      <w:rPr>
        <w:rStyle w:val="24"/>
      </w:rPr>
      <w:t>–2</w:t>
    </w:r>
    <w:r>
      <w:fldChar w:fldCharType="end"/>
    </w:r>
  </w:p>
  <w:p w14:paraId="6E48B50B">
    <w:pPr>
      <w:pStyle w:val="16"/>
      <w:ind w:right="360" w:firstLine="360"/>
      <w:jc w:val="center"/>
    </w:pPr>
    <w:r>
      <w:rPr>
        <w:sz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92A28">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F2B3AD">
                          <w:pPr>
                            <w:pStyle w:val="16"/>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3AF2B3AD">
                    <w:pPr>
                      <w:pStyle w:val="1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254AB">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FC8C4">
    <w:pPr>
      <w:pStyle w:val="17"/>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1FBBC">
    <w:pPr>
      <w:pStyle w:val="17"/>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3B31C">
    <w:pPr>
      <w:pStyle w:val="17"/>
      <w:jc w:val="right"/>
      <w:rPr>
        <w:i/>
        <w:iCs/>
      </w:rPr>
    </w:pPr>
    <w:r>
      <w:rPr>
        <w:rFonts w:hint="eastAsia"/>
        <w:i/>
        <w:iCs/>
      </w:rPr>
      <w:t>横枝岗路道路排水改造工程招标文件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7003A">
    <w:pPr>
      <w:pStyle w:val="17"/>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ED64C"/>
    <w:multiLevelType w:val="singleLevel"/>
    <w:tmpl w:val="616ED64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57B0A"/>
    <w:rsid w:val="049C2D1F"/>
    <w:rsid w:val="06C807D0"/>
    <w:rsid w:val="08777107"/>
    <w:rsid w:val="0A8B33E3"/>
    <w:rsid w:val="16334066"/>
    <w:rsid w:val="19B62A90"/>
    <w:rsid w:val="1D7302A9"/>
    <w:rsid w:val="1FDD1D82"/>
    <w:rsid w:val="28BA7E6B"/>
    <w:rsid w:val="2A7F1A60"/>
    <w:rsid w:val="2C957B0A"/>
    <w:rsid w:val="351C7B36"/>
    <w:rsid w:val="3B453088"/>
    <w:rsid w:val="3F8B4737"/>
    <w:rsid w:val="45B23525"/>
    <w:rsid w:val="53472E93"/>
    <w:rsid w:val="66957FD8"/>
    <w:rsid w:val="6C573758"/>
    <w:rsid w:val="6DFE30C4"/>
    <w:rsid w:val="7BD430B2"/>
    <w:rsid w:val="7DAF4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4"/>
    <w:link w:val="41"/>
    <w:qFormat/>
    <w:uiPriority w:val="9"/>
    <w:pPr>
      <w:keepNext/>
      <w:keepLines/>
      <w:spacing w:after="120" w:line="360" w:lineRule="auto"/>
      <w:outlineLvl w:val="0"/>
    </w:pPr>
    <w:rPr>
      <w:kern w:val="44"/>
      <w:sz w:val="28"/>
      <w:szCs w:val="28"/>
    </w:rPr>
  </w:style>
  <w:style w:type="paragraph" w:styleId="6">
    <w:name w:val="heading 2"/>
    <w:basedOn w:val="1"/>
    <w:next w:val="7"/>
    <w:qFormat/>
    <w:uiPriority w:val="0"/>
    <w:pPr>
      <w:keepNext/>
      <w:keepLines/>
      <w:spacing w:before="120" w:after="120" w:line="415" w:lineRule="auto"/>
      <w:jc w:val="center"/>
      <w:outlineLvl w:val="1"/>
    </w:pPr>
    <w:rPr>
      <w:rFonts w:ascii="Arial" w:hAnsi="Arial"/>
      <w:b/>
      <w:sz w:val="24"/>
      <w:szCs w:val="24"/>
    </w:rPr>
  </w:style>
  <w:style w:type="paragraph" w:styleId="8">
    <w:name w:val="heading 3"/>
    <w:basedOn w:val="1"/>
    <w:next w:val="1"/>
    <w:qFormat/>
    <w:uiPriority w:val="0"/>
    <w:pPr>
      <w:widowControl/>
      <w:spacing w:before="100" w:beforeAutospacing="1" w:after="100" w:afterAutospacing="1"/>
      <w:jc w:val="left"/>
      <w:outlineLvl w:val="2"/>
    </w:pPr>
    <w:rPr>
      <w:rFonts w:ascii="宋体" w:hAnsi="宋体"/>
      <w:kern w:val="0"/>
      <w:sz w:val="27"/>
      <w:szCs w:val="27"/>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0"/>
    <w:pPr>
      <w:spacing w:before="120" w:after="60"/>
      <w:jc w:val="center"/>
    </w:pPr>
    <w:rPr>
      <w:rFonts w:ascii="Arial" w:hAnsi="Arial"/>
      <w:b/>
      <w:kern w:val="0"/>
      <w:sz w:val="44"/>
      <w:szCs w:val="20"/>
    </w:rPr>
  </w:style>
  <w:style w:type="paragraph" w:styleId="4">
    <w:name w:val="Body Text First Indent"/>
    <w:basedOn w:val="5"/>
    <w:qFormat/>
    <w:uiPriority w:val="0"/>
    <w:pPr>
      <w:ind w:firstLine="420"/>
    </w:pPr>
  </w:style>
  <w:style w:type="paragraph" w:styleId="5">
    <w:name w:val="Body Text"/>
    <w:basedOn w:val="1"/>
    <w:qFormat/>
    <w:uiPriority w:val="0"/>
    <w:pPr>
      <w:spacing w:after="120"/>
    </w:pPr>
    <w:rPr>
      <w:kern w:val="0"/>
      <w:sz w:val="20"/>
      <w:szCs w:val="20"/>
    </w:rPr>
  </w:style>
  <w:style w:type="paragraph" w:styleId="7">
    <w:name w:val="Normal Indent"/>
    <w:basedOn w:val="1"/>
    <w:next w:val="1"/>
    <w:qFormat/>
    <w:uiPriority w:val="0"/>
    <w:pPr>
      <w:ind w:firstLine="420"/>
    </w:pPr>
    <w:rPr>
      <w:rFonts w:ascii="Times New Roman" w:hAnsi="Times New Roman"/>
      <w:szCs w:val="20"/>
    </w:rPr>
  </w:style>
  <w:style w:type="paragraph" w:styleId="9">
    <w:name w:val="annotation text"/>
    <w:basedOn w:val="1"/>
    <w:next w:val="1"/>
    <w:qFormat/>
    <w:uiPriority w:val="0"/>
    <w:pPr>
      <w:spacing w:line="360" w:lineRule="auto"/>
      <w:ind w:firstLine="523" w:firstLineChars="218"/>
      <w:jc w:val="left"/>
    </w:pPr>
    <w:rPr>
      <w:rFonts w:ascii="宋体" w:hAnsi="宋体"/>
      <w:kern w:val="0"/>
      <w:sz w:val="24"/>
      <w:szCs w:val="24"/>
    </w:rPr>
  </w:style>
  <w:style w:type="paragraph" w:styleId="10">
    <w:name w:val="Body Text Indent"/>
    <w:basedOn w:val="1"/>
    <w:next w:val="11"/>
    <w:qFormat/>
    <w:uiPriority w:val="0"/>
    <w:pPr>
      <w:ind w:firstLine="570"/>
    </w:pPr>
    <w:rPr>
      <w:kern w:val="0"/>
      <w:sz w:val="28"/>
      <w:szCs w:val="20"/>
    </w:rPr>
  </w:style>
  <w:style w:type="paragraph" w:styleId="11">
    <w:name w:val="envelope return"/>
    <w:basedOn w:val="1"/>
    <w:qFormat/>
    <w:uiPriority w:val="0"/>
    <w:pPr>
      <w:snapToGrid w:val="0"/>
    </w:pPr>
    <w:rPr>
      <w:rFonts w:ascii="Arial" w:hAnsi="Arial"/>
      <w:szCs w:val="24"/>
    </w:rPr>
  </w:style>
  <w:style w:type="paragraph" w:styleId="12">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13">
    <w:name w:val="Plain Text"/>
    <w:basedOn w:val="1"/>
    <w:next w:val="1"/>
    <w:qFormat/>
    <w:uiPriority w:val="99"/>
    <w:rPr>
      <w:rFonts w:ascii="宋体" w:hAnsi="Courier New"/>
      <w:kern w:val="0"/>
      <w:sz w:val="20"/>
      <w:szCs w:val="20"/>
    </w:rPr>
  </w:style>
  <w:style w:type="paragraph" w:styleId="14">
    <w:name w:val="Date"/>
    <w:basedOn w:val="1"/>
    <w:next w:val="1"/>
    <w:qFormat/>
    <w:uiPriority w:val="0"/>
    <w:rPr>
      <w:kern w:val="0"/>
      <w:sz w:val="20"/>
      <w:szCs w:val="20"/>
    </w:rPr>
  </w:style>
  <w:style w:type="paragraph" w:styleId="15">
    <w:name w:val="Balloon Text"/>
    <w:basedOn w:val="1"/>
    <w:qFormat/>
    <w:uiPriority w:val="0"/>
    <w:rPr>
      <w:kern w:val="0"/>
      <w:sz w:val="18"/>
      <w:szCs w:val="18"/>
    </w:rPr>
  </w:style>
  <w:style w:type="paragraph" w:styleId="16">
    <w:name w:val="footer"/>
    <w:basedOn w:val="1"/>
    <w:unhideWhenUsed/>
    <w:qFormat/>
    <w:uiPriority w:val="0"/>
    <w:pPr>
      <w:tabs>
        <w:tab w:val="center" w:pos="4153"/>
        <w:tab w:val="right" w:pos="8306"/>
      </w:tabs>
      <w:snapToGrid w:val="0"/>
      <w:jc w:val="left"/>
    </w:pPr>
    <w:rPr>
      <w:rFonts w:ascii="Calibri" w:hAnsi="Calibri"/>
      <w:kern w:val="0"/>
      <w:sz w:val="18"/>
      <w:szCs w:val="18"/>
    </w:rPr>
  </w:style>
  <w:style w:type="paragraph" w:styleId="17">
    <w:name w:val="header"/>
    <w:basedOn w:val="1"/>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19">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20">
    <w:name w:val="Body Text First Indent 2"/>
    <w:basedOn w:val="10"/>
    <w:unhideWhenUsed/>
    <w:qFormat/>
    <w:uiPriority w:val="99"/>
    <w:pPr>
      <w:spacing w:after="120"/>
      <w:ind w:left="420" w:leftChars="200" w:firstLine="420" w:firstLineChars="200"/>
    </w:pPr>
    <w:rPr>
      <w:rFonts w:ascii="Calibri" w:hAnsi="Calibri"/>
      <w:kern w:val="2"/>
      <w:sz w:val="21"/>
      <w:szCs w:val="22"/>
    </w:rPr>
  </w:style>
  <w:style w:type="character" w:styleId="23">
    <w:name w:val="Strong"/>
    <w:basedOn w:val="22"/>
    <w:qFormat/>
    <w:uiPriority w:val="0"/>
    <w:rPr>
      <w:b/>
    </w:rPr>
  </w:style>
  <w:style w:type="character" w:styleId="24">
    <w:name w:val="page number"/>
    <w:qFormat/>
    <w:uiPriority w:val="0"/>
    <w:rPr>
      <w:rFonts w:cs="Times New Roman"/>
    </w:rPr>
  </w:style>
  <w:style w:type="character" w:styleId="25">
    <w:name w:val="Hyperlink"/>
    <w:qFormat/>
    <w:uiPriority w:val="99"/>
    <w:rPr>
      <w:color w:val="0000FF"/>
      <w:u w:val="single"/>
    </w:rPr>
  </w:style>
  <w:style w:type="character" w:customStyle="1" w:styleId="26">
    <w:name w:val="NormalCharacter"/>
    <w:qFormat/>
    <w:uiPriority w:val="0"/>
  </w:style>
  <w:style w:type="paragraph" w:customStyle="1" w:styleId="27">
    <w:name w:val="null3"/>
    <w:qFormat/>
    <w:uiPriority w:val="0"/>
    <w:rPr>
      <w:rFonts w:hint="eastAsia" w:ascii="Calibri" w:hAnsi="Calibri" w:eastAsia="宋体" w:cs="Times New Roman"/>
      <w:lang w:val="en-US" w:eastAsia="zh-Hans" w:bidi="ar-SA"/>
    </w:rPr>
  </w:style>
  <w:style w:type="paragraph" w:customStyle="1" w:styleId="28">
    <w:name w:val="Heading2"/>
    <w:basedOn w:val="1"/>
    <w:next w:val="29"/>
    <w:qFormat/>
    <w:uiPriority w:val="0"/>
    <w:pPr>
      <w:keepNext/>
      <w:keepLines/>
      <w:spacing w:before="120" w:after="120" w:line="415" w:lineRule="auto"/>
      <w:ind w:left="454"/>
      <w:jc w:val="center"/>
    </w:pPr>
    <w:rPr>
      <w:rFonts w:ascii="Arial" w:hAnsi="Arial"/>
      <w:color w:val="000000"/>
      <w:sz w:val="24"/>
      <w:szCs w:val="24"/>
    </w:rPr>
  </w:style>
  <w:style w:type="paragraph" w:customStyle="1" w:styleId="29">
    <w:name w:val="NormalIndent"/>
    <w:basedOn w:val="1"/>
    <w:qFormat/>
    <w:uiPriority w:val="0"/>
    <w:pPr>
      <w:ind w:firstLine="420"/>
    </w:pPr>
    <w:rPr>
      <w:rFonts w:ascii="Times New Roman" w:hAnsi="Times New Roman"/>
      <w:szCs w:val="20"/>
    </w:rPr>
  </w:style>
  <w:style w:type="paragraph" w:styleId="30">
    <w:name w:val="No Spacing"/>
    <w:qFormat/>
    <w:uiPriority w:val="1"/>
    <w:pPr>
      <w:widowControl w:val="0"/>
      <w:jc w:val="both"/>
    </w:pPr>
    <w:rPr>
      <w:rFonts w:ascii="Times New Roman" w:hAnsi="Times New Roman" w:eastAsia="等线" w:cs="Times New Roman"/>
      <w:kern w:val="2"/>
      <w:sz w:val="21"/>
      <w:szCs w:val="22"/>
      <w:lang w:val="en-US" w:eastAsia="zh-CN" w:bidi="ar-SA"/>
    </w:rPr>
  </w:style>
  <w:style w:type="paragraph" w:customStyle="1" w:styleId="31">
    <w:name w:val="文一"/>
    <w:basedOn w:val="1"/>
    <w:qFormat/>
    <w:uiPriority w:val="0"/>
    <w:pPr>
      <w:widowControl w:val="0"/>
      <w:topLinePunct/>
      <w:adjustRightInd w:val="0"/>
      <w:snapToGrid w:val="0"/>
      <w:spacing w:line="360" w:lineRule="auto"/>
      <w:ind w:firstLine="200" w:firstLineChars="200"/>
      <w:textAlignment w:val="auto"/>
    </w:pPr>
    <w:rPr>
      <w:rFonts w:ascii="等线" w:eastAsia="等线"/>
      <w:spacing w:val="4"/>
      <w:kern w:val="0"/>
      <w:sz w:val="24"/>
      <w:szCs w:val="24"/>
    </w:rPr>
  </w:style>
  <w:style w:type="paragraph" w:customStyle="1" w:styleId="32">
    <w:name w:val="正题"/>
    <w:basedOn w:val="31"/>
    <w:next w:val="31"/>
    <w:qFormat/>
    <w:uiPriority w:val="0"/>
    <w:pPr>
      <w:ind w:firstLine="0" w:firstLineChars="0"/>
      <w:jc w:val="center"/>
    </w:pPr>
    <w:rPr>
      <w:rFonts w:eastAsia="黑体"/>
      <w:b/>
      <w:sz w:val="36"/>
      <w:szCs w:val="36"/>
    </w:rPr>
  </w:style>
  <w:style w:type="paragraph" w:customStyle="1" w:styleId="33">
    <w:name w:val="UserStyle_57"/>
    <w:basedOn w:val="1"/>
    <w:qFormat/>
    <w:uiPriority w:val="0"/>
    <w:pPr>
      <w:topLinePunct/>
      <w:snapToGrid w:val="0"/>
      <w:spacing w:line="360" w:lineRule="auto"/>
      <w:ind w:firstLine="200" w:firstLineChars="200"/>
    </w:pPr>
    <w:rPr>
      <w:spacing w:val="4"/>
      <w:kern w:val="0"/>
      <w:sz w:val="24"/>
      <w:szCs w:val="24"/>
    </w:rPr>
  </w:style>
  <w:style w:type="paragraph" w:customStyle="1" w:styleId="34">
    <w:name w:val="BodyText"/>
    <w:basedOn w:val="1"/>
    <w:qFormat/>
    <w:uiPriority w:val="0"/>
    <w:pPr>
      <w:spacing w:after="120"/>
    </w:pPr>
    <w:rPr>
      <w:rFonts w:ascii="Times New Roman" w:hAnsi="Times New Roman"/>
      <w:kern w:val="0"/>
      <w:sz w:val="20"/>
      <w:szCs w:val="20"/>
    </w:rPr>
  </w:style>
  <w:style w:type="paragraph" w:customStyle="1" w:styleId="35">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
    <w:name w:val="封二"/>
    <w:basedOn w:val="31"/>
    <w:next w:val="31"/>
    <w:qFormat/>
    <w:uiPriority w:val="0"/>
    <w:pPr>
      <w:ind w:firstLine="0" w:firstLineChars="0"/>
      <w:jc w:val="center"/>
    </w:pPr>
    <w:rPr>
      <w:rFonts w:eastAsia="黑体"/>
      <w:b/>
      <w:sz w:val="36"/>
      <w:szCs w:val="36"/>
    </w:rPr>
  </w:style>
  <w:style w:type="paragraph" w:customStyle="1" w:styleId="37">
    <w:name w:val="UserStyle_64"/>
    <w:basedOn w:val="1"/>
    <w:next w:val="1"/>
    <w:qFormat/>
    <w:uiPriority w:val="0"/>
    <w:pPr>
      <w:topLinePunct/>
      <w:snapToGrid w:val="0"/>
      <w:jc w:val="left"/>
    </w:pPr>
    <w:rPr>
      <w:rFonts w:ascii="黑体" w:hAnsi="宋体" w:eastAsia="黑体"/>
      <w:spacing w:val="4"/>
      <w:kern w:val="0"/>
      <w:sz w:val="24"/>
      <w:szCs w:val="24"/>
    </w:rPr>
  </w:style>
  <w:style w:type="paragraph" w:customStyle="1" w:styleId="38">
    <w:name w:val="章节二"/>
    <w:basedOn w:val="1"/>
    <w:next w:val="1"/>
    <w:qFormat/>
    <w:uiPriority w:val="0"/>
    <w:pPr>
      <w:topLinePunct/>
      <w:adjustRightInd w:val="0"/>
      <w:snapToGrid w:val="0"/>
      <w:spacing w:before="156" w:beforeLines="50" w:after="156" w:afterLines="50"/>
      <w:jc w:val="center"/>
      <w:outlineLvl w:val="1"/>
    </w:pPr>
    <w:rPr>
      <w:rFonts w:ascii="Times New Roman" w:hAnsi="Times New Roman" w:eastAsia="黑体"/>
      <w:b/>
      <w:snapToGrid w:val="0"/>
      <w:spacing w:val="4"/>
      <w:kern w:val="0"/>
      <w:sz w:val="30"/>
      <w:szCs w:val="30"/>
    </w:rPr>
  </w:style>
  <w:style w:type="paragraph" w:customStyle="1" w:styleId="39">
    <w:name w:val="章节三"/>
    <w:basedOn w:val="1"/>
    <w:next w:val="1"/>
    <w:qFormat/>
    <w:uiPriority w:val="0"/>
    <w:pPr>
      <w:topLinePunct/>
      <w:adjustRightInd w:val="0"/>
      <w:snapToGrid w:val="0"/>
      <w:spacing w:before="156" w:beforeLines="50" w:after="156" w:afterLines="50"/>
      <w:jc w:val="left"/>
      <w:outlineLvl w:val="2"/>
    </w:pPr>
    <w:rPr>
      <w:rFonts w:ascii="黑体" w:hAnsi="宋体" w:eastAsia="黑体"/>
      <w:b/>
      <w:snapToGrid w:val="0"/>
      <w:spacing w:val="4"/>
      <w:kern w:val="0"/>
      <w:sz w:val="24"/>
      <w:szCs w:val="24"/>
    </w:rPr>
  </w:style>
  <w:style w:type="paragraph" w:customStyle="1" w:styleId="40">
    <w:name w:val="封四"/>
    <w:basedOn w:val="31"/>
    <w:next w:val="31"/>
    <w:qFormat/>
    <w:uiPriority w:val="0"/>
    <w:pPr>
      <w:jc w:val="left"/>
    </w:pPr>
    <w:rPr>
      <w:rFonts w:eastAsia="等线"/>
      <w:sz w:val="30"/>
      <w:szCs w:val="30"/>
    </w:rPr>
  </w:style>
  <w:style w:type="character" w:customStyle="1" w:styleId="41">
    <w:name w:val="标题 1 Char"/>
    <w:link w:val="2"/>
    <w:qFormat/>
    <w:uiPriority w:val="9"/>
    <w:rPr>
      <w:kern w:val="44"/>
      <w:sz w:val="28"/>
      <w:szCs w:val="28"/>
    </w:rPr>
  </w:style>
  <w:style w:type="paragraph" w:customStyle="1" w:styleId="42">
    <w:name w:val="UserStyle_63"/>
    <w:basedOn w:val="1"/>
    <w:next w:val="1"/>
    <w:qFormat/>
    <w:uiPriority w:val="0"/>
    <w:pPr>
      <w:topLinePunct/>
      <w:snapToGrid w:val="0"/>
      <w:jc w:val="center"/>
    </w:pPr>
    <w:rPr>
      <w:rFonts w:ascii="Times New Roman" w:hAnsi="Times New Roman" w:eastAsia="黑体"/>
      <w:spacing w:val="4"/>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46670</Words>
  <Characters>49278</Characters>
  <Lines>0</Lines>
  <Paragraphs>0</Paragraphs>
  <TotalTime>8</TotalTime>
  <ScaleCrop>false</ScaleCrop>
  <LinksUpToDate>false</LinksUpToDate>
  <CharactersWithSpaces>51153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2025-05-05T08:03:00Z</dcterms:created>
  <dc:creator>吴嘉鹏</dc:creator>
  <cp:lastModifiedBy>吴嘉鹏</cp:lastModifiedBy>
  <dcterms:modified xsi:type="dcterms:W3CDTF">2025-07-09T04:03:49Z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2F6AD1AEE7C6495587F70CD0F0120C14_13</vt:lpwstr>
  </property>
  <property fmtid="{D5CDD505-2E9C-101B-9397-08002B2CF9AE}" pid="4" name="KSOTemplateDocerSaveRecord">
    <vt:lpwstr>eyJoZGlkIjoiMzEwNTM5NzYwMDRjMzkwZTVkZjY2ODkwMGIxNGU0OTUiLCJ1c2VySWQiOiI3NDc2MDgyMzUifQ==</vt:lpwstr>
  </property>
</Properties>
</file>