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Fonts w:ascii="仿宋_GB2312" w:eastAsia="仿宋_GB2312"/>
          <w:color w:val="auto"/>
          <w:sz w:val="28"/>
          <w:szCs w:val="28"/>
          <w:highlight w:val="none"/>
        </w:rPr>
      </w:pPr>
    </w:p>
    <w:p>
      <w:pPr>
        <w:spacing w:line="360" w:lineRule="auto"/>
        <w:rPr>
          <w:color w:val="auto"/>
          <w:highlight w:val="none"/>
        </w:rPr>
      </w:pPr>
    </w:p>
    <w:p>
      <w:pPr>
        <w:jc w:val="center"/>
        <w:rPr>
          <w:rFonts w:hint="eastAsia" w:eastAsia="黑体"/>
          <w:color w:val="auto"/>
          <w:sz w:val="40"/>
          <w:szCs w:val="40"/>
          <w:highlight w:val="none"/>
          <w:lang w:eastAsia="zh-CN"/>
        </w:rPr>
      </w:pPr>
      <w:bookmarkStart w:id="0" w:name="OLE_LINK15"/>
      <w:r>
        <w:rPr>
          <w:rFonts w:hint="eastAsia" w:ascii="黑体" w:eastAsia="黑体"/>
          <w:color w:val="auto"/>
          <w:sz w:val="44"/>
          <w:szCs w:val="44"/>
          <w:highlight w:val="none"/>
          <w:lang w:eastAsia="zh-CN"/>
        </w:rPr>
        <w:t>天禾（华南）农资储备物流基地项目供销农服中心及副楼装修工程施工专业承包</w:t>
      </w:r>
    </w:p>
    <w:bookmarkEnd w:id="0"/>
    <w:p>
      <w:pPr>
        <w:jc w:val="center"/>
        <w:rPr>
          <w:rFonts w:ascii="黑体" w:eastAsia="黑体"/>
          <w:color w:val="auto"/>
          <w:sz w:val="48"/>
          <w:szCs w:val="48"/>
          <w:highlight w:val="none"/>
        </w:rPr>
      </w:pPr>
    </w:p>
    <w:p>
      <w:pPr>
        <w:rPr>
          <w:color w:val="auto"/>
          <w:sz w:val="28"/>
          <w:szCs w:val="28"/>
          <w:highlight w:val="none"/>
        </w:rPr>
      </w:pPr>
    </w:p>
    <w:p>
      <w:pPr>
        <w:jc w:val="center"/>
        <w:rPr>
          <w:rFonts w:hint="eastAsia" w:ascii="黑体" w:eastAsia="黑体"/>
          <w:color w:val="auto"/>
          <w:sz w:val="72"/>
          <w:szCs w:val="72"/>
          <w:highlight w:val="none"/>
        </w:rPr>
      </w:pPr>
    </w:p>
    <w:p>
      <w:pPr>
        <w:jc w:val="center"/>
        <w:rPr>
          <w:rFonts w:ascii="黑体" w:eastAsia="黑体"/>
          <w:color w:val="auto"/>
          <w:sz w:val="84"/>
          <w:szCs w:val="84"/>
          <w:highlight w:val="none"/>
        </w:rPr>
      </w:pPr>
      <w:r>
        <w:rPr>
          <w:rFonts w:hint="eastAsia" w:ascii="黑体" w:eastAsia="黑体"/>
          <w:color w:val="auto"/>
          <w:sz w:val="84"/>
          <w:szCs w:val="84"/>
          <w:highlight w:val="none"/>
        </w:rPr>
        <w:t>招</w:t>
      </w:r>
      <w:r>
        <w:rPr>
          <w:rFonts w:hint="eastAsia" w:ascii="黑体" w:eastAsia="黑体"/>
          <w:color w:val="auto"/>
          <w:sz w:val="84"/>
          <w:szCs w:val="84"/>
          <w:highlight w:val="none"/>
          <w:lang w:val="en-US" w:eastAsia="zh-CN"/>
        </w:rPr>
        <w:t xml:space="preserve"> </w:t>
      </w:r>
      <w:r>
        <w:rPr>
          <w:rFonts w:hint="eastAsia" w:ascii="黑体" w:eastAsia="黑体"/>
          <w:color w:val="auto"/>
          <w:sz w:val="84"/>
          <w:szCs w:val="84"/>
          <w:highlight w:val="none"/>
        </w:rPr>
        <w:t>标</w:t>
      </w:r>
      <w:r>
        <w:rPr>
          <w:rFonts w:hint="eastAsia" w:ascii="黑体" w:eastAsia="黑体"/>
          <w:color w:val="auto"/>
          <w:sz w:val="84"/>
          <w:szCs w:val="84"/>
          <w:highlight w:val="none"/>
          <w:lang w:val="en-US" w:eastAsia="zh-CN"/>
        </w:rPr>
        <w:t xml:space="preserve"> </w:t>
      </w:r>
      <w:r>
        <w:rPr>
          <w:rFonts w:hint="eastAsia" w:ascii="黑体" w:eastAsia="黑体"/>
          <w:color w:val="auto"/>
          <w:sz w:val="84"/>
          <w:szCs w:val="84"/>
          <w:highlight w:val="none"/>
        </w:rPr>
        <w:t>文</w:t>
      </w:r>
      <w:r>
        <w:rPr>
          <w:rFonts w:hint="eastAsia" w:ascii="黑体" w:eastAsia="黑体"/>
          <w:color w:val="auto"/>
          <w:sz w:val="84"/>
          <w:szCs w:val="84"/>
          <w:highlight w:val="none"/>
          <w:lang w:val="en-US" w:eastAsia="zh-CN"/>
        </w:rPr>
        <w:t xml:space="preserve"> </w:t>
      </w:r>
      <w:r>
        <w:rPr>
          <w:rFonts w:hint="eastAsia" w:ascii="黑体" w:eastAsia="黑体"/>
          <w:color w:val="auto"/>
          <w:sz w:val="84"/>
          <w:szCs w:val="84"/>
          <w:highlight w:val="none"/>
        </w:rPr>
        <w:t>件</w:t>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pStyle w:val="2"/>
        <w:jc w:val="center"/>
        <w:rPr>
          <w:rFonts w:hint="eastAsia" w:ascii="仿宋" w:hAnsi="仿宋" w:eastAsia="仿宋" w:cs="仿宋"/>
          <w:b w:val="0"/>
          <w:bCs w:val="0"/>
          <w:color w:val="auto"/>
          <w:sz w:val="32"/>
          <w:szCs w:val="32"/>
          <w:highlight w:val="none"/>
        </w:rPr>
      </w:pPr>
    </w:p>
    <w:p>
      <w:pPr>
        <w:pStyle w:val="2"/>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招标人：广东嘉业储备物流有限公司</w:t>
      </w:r>
    </w:p>
    <w:p>
      <w:pPr>
        <w:pStyle w:val="2"/>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招标代理机构：</w:t>
      </w:r>
      <w:r>
        <w:rPr>
          <w:rFonts w:hint="eastAsia" w:ascii="仿宋" w:hAnsi="仿宋" w:eastAsia="仿宋" w:cs="仿宋"/>
          <w:b w:val="0"/>
          <w:bCs w:val="0"/>
          <w:color w:val="auto"/>
          <w:sz w:val="32"/>
          <w:szCs w:val="32"/>
          <w:highlight w:val="none"/>
          <w:lang w:eastAsia="zh-CN"/>
        </w:rPr>
        <w:t>公诚管理咨询有限公司</w:t>
      </w:r>
    </w:p>
    <w:p>
      <w:pPr>
        <w:pStyle w:val="2"/>
        <w:jc w:val="center"/>
        <w:rPr>
          <w:rFonts w:hint="eastAsia" w:ascii="仿宋" w:hAnsi="仿宋" w:eastAsia="仿宋" w:cs="仿宋"/>
          <w:b w:val="0"/>
          <w:bCs w:val="0"/>
          <w:color w:val="auto"/>
          <w:sz w:val="32"/>
          <w:szCs w:val="32"/>
          <w:highlight w:val="none"/>
          <w:lang w:eastAsia="zh-CN"/>
        </w:rPr>
      </w:pPr>
    </w:p>
    <w:p>
      <w:pPr>
        <w:pStyle w:val="2"/>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日        期：</w:t>
      </w:r>
      <w:r>
        <w:rPr>
          <w:rFonts w:hint="eastAsia" w:ascii="仿宋" w:hAnsi="仿宋" w:eastAsia="仿宋" w:cs="仿宋"/>
          <w:b w:val="0"/>
          <w:bCs w:val="0"/>
          <w:color w:val="auto"/>
          <w:sz w:val="32"/>
          <w:szCs w:val="32"/>
          <w:highlight w:val="none"/>
        </w:rPr>
        <w:t>2025年</w:t>
      </w:r>
      <w:r>
        <w:rPr>
          <w:rFonts w:hint="eastAsia" w:ascii="仿宋" w:hAnsi="仿宋" w:eastAsia="仿宋" w:cs="仿宋"/>
          <w:b w:val="0"/>
          <w:bCs w:val="0"/>
          <w:color w:val="auto"/>
          <w:sz w:val="32"/>
          <w:szCs w:val="32"/>
          <w:highlight w:val="none"/>
          <w:lang w:val="en-US" w:eastAsia="zh-CN"/>
        </w:rPr>
        <w:t>7</w:t>
      </w:r>
      <w:r>
        <w:rPr>
          <w:rFonts w:hint="eastAsia" w:ascii="仿宋" w:hAnsi="仿宋" w:eastAsia="仿宋" w:cs="仿宋"/>
          <w:b w:val="0"/>
          <w:bCs w:val="0"/>
          <w:color w:val="auto"/>
          <w:sz w:val="32"/>
          <w:szCs w:val="32"/>
          <w:highlight w:val="none"/>
        </w:rPr>
        <w:t>月</w:t>
      </w:r>
    </w:p>
    <w:p>
      <w:pPr>
        <w:pStyle w:val="2"/>
        <w:jc w:val="center"/>
        <w:rPr>
          <w:rFonts w:hint="eastAsia" w:ascii="仿宋" w:hAnsi="仿宋" w:eastAsia="仿宋" w:cs="仿宋"/>
          <w:b w:val="0"/>
          <w:bCs w:val="0"/>
          <w:color w:val="auto"/>
          <w:sz w:val="32"/>
          <w:szCs w:val="32"/>
          <w:highlight w:val="none"/>
        </w:rPr>
      </w:pPr>
    </w:p>
    <w:p>
      <w:pPr>
        <w:rPr>
          <w:color w:val="auto"/>
          <w:highlight w:val="none"/>
        </w:rPr>
        <w:sectPr>
          <w:headerReference r:id="rId3" w:type="first"/>
          <w:footerReference r:id="rId5" w:type="first"/>
          <w:footerReference r:id="rId4" w:type="even"/>
          <w:pgSz w:w="11906" w:h="16838"/>
          <w:pgMar w:top="1440" w:right="1559" w:bottom="1440" w:left="1559" w:header="851" w:footer="992" w:gutter="0"/>
          <w:pgNumType w:fmt="numberInDash" w:start="1"/>
          <w:cols w:space="720" w:num="1"/>
          <w:docGrid w:type="lines" w:linePitch="312" w:charSpace="0"/>
        </w:sectPr>
      </w:pPr>
    </w:p>
    <w:p>
      <w:pPr>
        <w:spacing w:line="440" w:lineRule="exact"/>
        <w:rPr>
          <w:color w:val="auto"/>
          <w:highlight w:val="none"/>
        </w:rPr>
      </w:pPr>
      <w:bookmarkStart w:id="1" w:name="_Toc152042286"/>
      <w:bookmarkStart w:id="2" w:name="_Toc144974478"/>
    </w:p>
    <w:bookmarkEnd w:id="1"/>
    <w:bookmarkEnd w:id="2"/>
    <w:p>
      <w:pPr>
        <w:pStyle w:val="4"/>
        <w:jc w:val="center"/>
        <w:rPr>
          <w:color w:val="auto"/>
          <w:highlight w:val="none"/>
        </w:rPr>
      </w:pPr>
      <w:bookmarkStart w:id="3" w:name="_Toc5399"/>
      <w:bookmarkStart w:id="4" w:name="_Toc247085669"/>
      <w:bookmarkStart w:id="5" w:name="_Toc49284367"/>
      <w:bookmarkStart w:id="6" w:name="_Toc296602400"/>
      <w:bookmarkStart w:id="7" w:name="_Toc246996898"/>
      <w:bookmarkStart w:id="8" w:name="_Toc51965766"/>
      <w:r>
        <w:rPr>
          <w:rFonts w:hint="eastAsia"/>
          <w:color w:val="auto"/>
          <w:highlight w:val="none"/>
        </w:rPr>
        <w:t>目   录</w:t>
      </w:r>
      <w:bookmarkEnd w:id="3"/>
      <w:bookmarkEnd w:id="4"/>
      <w:bookmarkEnd w:id="5"/>
      <w:bookmarkEnd w:id="6"/>
      <w:bookmarkEnd w:id="7"/>
      <w:bookmarkEnd w:id="8"/>
    </w:p>
    <w:p>
      <w:pPr>
        <w:pStyle w:val="49"/>
        <w:tabs>
          <w:tab w:val="right" w:leader="dot" w:pos="8788"/>
        </w:tabs>
        <w:rPr>
          <w:i w:val="0"/>
          <w:iCs w:val="0"/>
          <w:sz w:val="21"/>
          <w:szCs w:val="21"/>
          <w:u w:val="none"/>
        </w:rPr>
      </w:pPr>
      <w:bookmarkStart w:id="9" w:name="_Toc246996156"/>
      <w:bookmarkStart w:id="10" w:name="_Toc246996899"/>
      <w:bookmarkStart w:id="11" w:name="_Toc247085670"/>
      <w:r>
        <w:rPr>
          <w:b w:val="0"/>
          <w:bCs w:val="0"/>
          <w:i w:val="0"/>
          <w:iCs w:val="0"/>
          <w:caps w:val="0"/>
          <w:color w:val="auto"/>
          <w:sz w:val="22"/>
          <w:szCs w:val="22"/>
          <w:highlight w:val="none"/>
          <w:u w:val="none"/>
        </w:rPr>
        <w:fldChar w:fldCharType="begin"/>
      </w:r>
      <w:r>
        <w:rPr>
          <w:bCs w:val="0"/>
          <w:i w:val="0"/>
          <w:iCs w:val="0"/>
          <w:caps w:val="0"/>
          <w:color w:val="auto"/>
          <w:sz w:val="22"/>
          <w:szCs w:val="22"/>
          <w:highlight w:val="none"/>
          <w:u w:val="none"/>
        </w:rPr>
        <w:instrText xml:space="preserve"> TOC \o \h \z \u </w:instrText>
      </w:r>
      <w:r>
        <w:rPr>
          <w:b w:val="0"/>
          <w:bCs w:val="0"/>
          <w:i w:val="0"/>
          <w:iCs w:val="0"/>
          <w:caps w:val="0"/>
          <w:color w:val="auto"/>
          <w:sz w:val="22"/>
          <w:szCs w:val="22"/>
          <w:highlight w:val="none"/>
          <w:u w:val="none"/>
        </w:rPr>
        <w:fldChar w:fldCharType="separate"/>
      </w:r>
      <w:r>
        <w:rPr>
          <w:bCs w:val="0"/>
          <w:i w:val="0"/>
          <w:iCs w:val="0"/>
          <w:caps w:val="0"/>
          <w:color w:val="auto"/>
          <w:sz w:val="21"/>
          <w:szCs w:val="22"/>
          <w:highlight w:val="none"/>
          <w:u w:val="none"/>
        </w:rPr>
        <w:fldChar w:fldCharType="begin"/>
      </w:r>
      <w:r>
        <w:rPr>
          <w:bCs w:val="0"/>
          <w:i w:val="0"/>
          <w:iCs w:val="0"/>
          <w:caps w:val="0"/>
          <w:sz w:val="21"/>
          <w:szCs w:val="22"/>
          <w:highlight w:val="none"/>
          <w:u w:val="none"/>
        </w:rPr>
        <w:instrText xml:space="preserve"> HYPERLINK \l _Toc5399 </w:instrText>
      </w:r>
      <w:r>
        <w:rPr>
          <w:bCs w:val="0"/>
          <w:i w:val="0"/>
          <w:iCs w:val="0"/>
          <w:caps w:val="0"/>
          <w:sz w:val="21"/>
          <w:szCs w:val="22"/>
          <w:highlight w:val="none"/>
          <w:u w:val="none"/>
        </w:rPr>
        <w:fldChar w:fldCharType="separate"/>
      </w:r>
      <w:r>
        <w:rPr>
          <w:rFonts w:hint="eastAsia"/>
          <w:i w:val="0"/>
          <w:iCs w:val="0"/>
          <w:sz w:val="21"/>
          <w:szCs w:val="21"/>
          <w:highlight w:val="none"/>
          <w:u w:val="none"/>
        </w:rPr>
        <w:t>目   录</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_Toc5399 \h </w:instrText>
      </w:r>
      <w:r>
        <w:rPr>
          <w:i w:val="0"/>
          <w:iCs w:val="0"/>
          <w:sz w:val="21"/>
          <w:szCs w:val="21"/>
          <w:u w:val="none"/>
        </w:rPr>
        <w:fldChar w:fldCharType="separate"/>
      </w:r>
      <w:r>
        <w:rPr>
          <w:i w:val="0"/>
          <w:iCs w:val="0"/>
          <w:sz w:val="21"/>
          <w:szCs w:val="21"/>
          <w:u w:val="none"/>
        </w:rPr>
        <w:t>- 1 -</w:t>
      </w:r>
      <w:r>
        <w:rPr>
          <w:i w:val="0"/>
          <w:iCs w:val="0"/>
          <w:sz w:val="21"/>
          <w:szCs w:val="21"/>
          <w:u w:val="none"/>
        </w:rPr>
        <w:fldChar w:fldCharType="end"/>
      </w:r>
      <w:r>
        <w:rPr>
          <w:bCs w:val="0"/>
          <w:i w:val="0"/>
          <w:iCs w:val="0"/>
          <w:caps w:val="0"/>
          <w:color w:val="auto"/>
          <w:sz w:val="21"/>
          <w:szCs w:val="22"/>
          <w:highlight w:val="none"/>
          <w:u w:val="none"/>
        </w:rPr>
        <w:fldChar w:fldCharType="end"/>
      </w:r>
    </w:p>
    <w:p>
      <w:pPr>
        <w:pStyle w:val="49"/>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_Toc8114 </w:instrText>
      </w:r>
      <w:r>
        <w:rPr>
          <w:bCs w:val="0"/>
          <w:i w:val="0"/>
          <w:iCs w:val="0"/>
          <w:caps/>
          <w:sz w:val="21"/>
          <w:szCs w:val="22"/>
          <w:highlight w:val="none"/>
          <w:u w:val="none"/>
        </w:rPr>
        <w:fldChar w:fldCharType="separate"/>
      </w:r>
      <w:r>
        <w:rPr>
          <w:rFonts w:hint="eastAsia"/>
          <w:i w:val="0"/>
          <w:iCs w:val="0"/>
          <w:sz w:val="21"/>
          <w:szCs w:val="21"/>
          <w:highlight w:val="none"/>
          <w:u w:val="none"/>
        </w:rPr>
        <w:t>投标文件否决性条款摘要</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_Toc8114 \h </w:instrText>
      </w:r>
      <w:r>
        <w:rPr>
          <w:i w:val="0"/>
          <w:iCs w:val="0"/>
          <w:sz w:val="21"/>
          <w:szCs w:val="21"/>
          <w:u w:val="none"/>
        </w:rPr>
        <w:fldChar w:fldCharType="separate"/>
      </w:r>
      <w:r>
        <w:rPr>
          <w:i w:val="0"/>
          <w:iCs w:val="0"/>
          <w:sz w:val="21"/>
          <w:szCs w:val="21"/>
          <w:u w:val="none"/>
        </w:rPr>
        <w:t>- 3 -</w:t>
      </w:r>
      <w:r>
        <w:rPr>
          <w:i w:val="0"/>
          <w:iCs w:val="0"/>
          <w:sz w:val="21"/>
          <w:szCs w:val="21"/>
          <w:u w:val="none"/>
        </w:rPr>
        <w:fldChar w:fldCharType="end"/>
      </w:r>
      <w:r>
        <w:rPr>
          <w:bCs w:val="0"/>
          <w:i w:val="0"/>
          <w:iCs w:val="0"/>
          <w:caps/>
          <w:color w:val="auto"/>
          <w:sz w:val="21"/>
          <w:szCs w:val="22"/>
          <w:highlight w:val="none"/>
          <w:u w:val="none"/>
        </w:rPr>
        <w:fldChar w:fldCharType="end"/>
      </w:r>
    </w:p>
    <w:p>
      <w:pPr>
        <w:pStyle w:val="49"/>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_Toc18031 </w:instrText>
      </w:r>
      <w:r>
        <w:rPr>
          <w:bCs w:val="0"/>
          <w:i w:val="0"/>
          <w:iCs w:val="0"/>
          <w:caps/>
          <w:sz w:val="21"/>
          <w:szCs w:val="22"/>
          <w:highlight w:val="none"/>
          <w:u w:val="none"/>
        </w:rPr>
        <w:fldChar w:fldCharType="separate"/>
      </w:r>
      <w:r>
        <w:rPr>
          <w:rFonts w:hint="eastAsia"/>
          <w:i w:val="0"/>
          <w:iCs w:val="0"/>
          <w:sz w:val="21"/>
          <w:szCs w:val="21"/>
          <w:highlight w:val="none"/>
          <w:u w:val="none"/>
        </w:rPr>
        <w:t>第一章 招标公告</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_Toc18031 \h </w:instrText>
      </w:r>
      <w:r>
        <w:rPr>
          <w:i w:val="0"/>
          <w:iCs w:val="0"/>
          <w:sz w:val="21"/>
          <w:szCs w:val="21"/>
          <w:u w:val="none"/>
        </w:rPr>
        <w:fldChar w:fldCharType="separate"/>
      </w:r>
      <w:r>
        <w:rPr>
          <w:i w:val="0"/>
          <w:iCs w:val="0"/>
          <w:sz w:val="21"/>
          <w:szCs w:val="21"/>
          <w:u w:val="none"/>
        </w:rPr>
        <w:t>- 5 -</w:t>
      </w:r>
      <w:r>
        <w:rPr>
          <w:i w:val="0"/>
          <w:iCs w:val="0"/>
          <w:sz w:val="21"/>
          <w:szCs w:val="21"/>
          <w:u w:val="none"/>
        </w:rPr>
        <w:fldChar w:fldCharType="end"/>
      </w:r>
      <w:r>
        <w:rPr>
          <w:bCs w:val="0"/>
          <w:i w:val="0"/>
          <w:iCs w:val="0"/>
          <w:caps/>
          <w:color w:val="auto"/>
          <w:sz w:val="21"/>
          <w:szCs w:val="22"/>
          <w:highlight w:val="none"/>
          <w:u w:val="none"/>
        </w:rPr>
        <w:fldChar w:fldCharType="end"/>
      </w:r>
    </w:p>
    <w:p>
      <w:pPr>
        <w:pStyle w:val="49"/>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_Toc19112 </w:instrText>
      </w:r>
      <w:r>
        <w:rPr>
          <w:bCs w:val="0"/>
          <w:i w:val="0"/>
          <w:iCs w:val="0"/>
          <w:caps/>
          <w:sz w:val="21"/>
          <w:szCs w:val="22"/>
          <w:highlight w:val="none"/>
          <w:u w:val="none"/>
        </w:rPr>
        <w:fldChar w:fldCharType="separate"/>
      </w:r>
      <w:r>
        <w:rPr>
          <w:rFonts w:hint="eastAsia"/>
          <w:i w:val="0"/>
          <w:iCs w:val="0"/>
          <w:sz w:val="21"/>
          <w:szCs w:val="21"/>
          <w:highlight w:val="none"/>
          <w:u w:val="none"/>
        </w:rPr>
        <w:t>第二章 投标人须知</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_Toc19112 \h </w:instrText>
      </w:r>
      <w:r>
        <w:rPr>
          <w:i w:val="0"/>
          <w:iCs w:val="0"/>
          <w:sz w:val="21"/>
          <w:szCs w:val="21"/>
          <w:u w:val="none"/>
        </w:rPr>
        <w:fldChar w:fldCharType="separate"/>
      </w:r>
      <w:r>
        <w:rPr>
          <w:i w:val="0"/>
          <w:iCs w:val="0"/>
          <w:sz w:val="21"/>
          <w:szCs w:val="21"/>
          <w:u w:val="none"/>
        </w:rPr>
        <w:t>- 13 -</w:t>
      </w:r>
      <w:r>
        <w:rPr>
          <w:i w:val="0"/>
          <w:iCs w:val="0"/>
          <w:sz w:val="21"/>
          <w:szCs w:val="21"/>
          <w:u w:val="none"/>
        </w:rPr>
        <w:fldChar w:fldCharType="end"/>
      </w:r>
      <w:r>
        <w:rPr>
          <w:bCs w:val="0"/>
          <w:i w:val="0"/>
          <w:iCs w:val="0"/>
          <w:caps/>
          <w:color w:val="auto"/>
          <w:sz w:val="21"/>
          <w:szCs w:val="22"/>
          <w:highlight w:val="none"/>
          <w:u w:val="none"/>
        </w:rPr>
        <w:fldChar w:fldCharType="end"/>
      </w:r>
    </w:p>
    <w:p>
      <w:pPr>
        <w:pStyle w:val="49"/>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_Toc20392 </w:instrText>
      </w:r>
      <w:r>
        <w:rPr>
          <w:bCs w:val="0"/>
          <w:i w:val="0"/>
          <w:iCs w:val="0"/>
          <w:caps/>
          <w:sz w:val="21"/>
          <w:szCs w:val="22"/>
          <w:highlight w:val="none"/>
          <w:u w:val="none"/>
        </w:rPr>
        <w:fldChar w:fldCharType="separate"/>
      </w:r>
      <w:r>
        <w:rPr>
          <w:rFonts w:hint="eastAsia"/>
          <w:i w:val="0"/>
          <w:iCs w:val="0"/>
          <w:sz w:val="21"/>
          <w:szCs w:val="21"/>
          <w:highlight w:val="none"/>
          <w:u w:val="none"/>
        </w:rPr>
        <w:t>投标人须知前附表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_Toc20392 \h </w:instrText>
      </w:r>
      <w:r>
        <w:rPr>
          <w:i w:val="0"/>
          <w:iCs w:val="0"/>
          <w:sz w:val="21"/>
          <w:szCs w:val="21"/>
          <w:u w:val="none"/>
        </w:rPr>
        <w:fldChar w:fldCharType="separate"/>
      </w:r>
      <w:r>
        <w:rPr>
          <w:i w:val="0"/>
          <w:iCs w:val="0"/>
          <w:sz w:val="21"/>
          <w:szCs w:val="21"/>
          <w:u w:val="none"/>
        </w:rPr>
        <w:t>- 14 -</w:t>
      </w:r>
      <w:r>
        <w:rPr>
          <w:i w:val="0"/>
          <w:iCs w:val="0"/>
          <w:sz w:val="21"/>
          <w:szCs w:val="21"/>
          <w:u w:val="none"/>
        </w:rPr>
        <w:fldChar w:fldCharType="end"/>
      </w:r>
      <w:r>
        <w:rPr>
          <w:bCs w:val="0"/>
          <w:i w:val="0"/>
          <w:iCs w:val="0"/>
          <w:caps/>
          <w:color w:val="auto"/>
          <w:sz w:val="21"/>
          <w:szCs w:val="22"/>
          <w:highlight w:val="none"/>
          <w:u w:val="none"/>
        </w:rPr>
        <w:fldChar w:fldCharType="end"/>
      </w:r>
    </w:p>
    <w:p>
      <w:pPr>
        <w:pStyle w:val="49"/>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_Toc5617 </w:instrText>
      </w:r>
      <w:r>
        <w:rPr>
          <w:bCs w:val="0"/>
          <w:i w:val="0"/>
          <w:iCs w:val="0"/>
          <w:caps/>
          <w:sz w:val="21"/>
          <w:szCs w:val="22"/>
          <w:highlight w:val="none"/>
          <w:u w:val="none"/>
        </w:rPr>
        <w:fldChar w:fldCharType="separate"/>
      </w:r>
      <w:r>
        <w:rPr>
          <w:rFonts w:hint="eastAsia"/>
          <w:i w:val="0"/>
          <w:iCs w:val="0"/>
          <w:sz w:val="21"/>
          <w:szCs w:val="21"/>
          <w:highlight w:val="none"/>
          <w:u w:val="none"/>
        </w:rPr>
        <w:t>第三章 评标办法（综合评估法）</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_Toc5617 \h </w:instrText>
      </w:r>
      <w:r>
        <w:rPr>
          <w:i w:val="0"/>
          <w:iCs w:val="0"/>
          <w:sz w:val="21"/>
          <w:szCs w:val="21"/>
          <w:u w:val="none"/>
        </w:rPr>
        <w:fldChar w:fldCharType="separate"/>
      </w:r>
      <w:r>
        <w:rPr>
          <w:i w:val="0"/>
          <w:iCs w:val="0"/>
          <w:sz w:val="21"/>
          <w:szCs w:val="21"/>
          <w:u w:val="none"/>
        </w:rPr>
        <w:t>- 38 -</w:t>
      </w:r>
      <w:r>
        <w:rPr>
          <w:i w:val="0"/>
          <w:iCs w:val="0"/>
          <w:sz w:val="21"/>
          <w:szCs w:val="21"/>
          <w:u w:val="none"/>
        </w:rPr>
        <w:fldChar w:fldCharType="end"/>
      </w:r>
      <w:r>
        <w:rPr>
          <w:bCs w:val="0"/>
          <w:i w:val="0"/>
          <w:iCs w:val="0"/>
          <w:caps/>
          <w:color w:val="auto"/>
          <w:sz w:val="21"/>
          <w:szCs w:val="22"/>
          <w:highlight w:val="none"/>
          <w:u w:val="none"/>
        </w:rPr>
        <w:fldChar w:fldCharType="end"/>
      </w:r>
    </w:p>
    <w:p>
      <w:pPr>
        <w:pStyle w:val="49"/>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_Toc1676 </w:instrText>
      </w:r>
      <w:r>
        <w:rPr>
          <w:bCs w:val="0"/>
          <w:i w:val="0"/>
          <w:iCs w:val="0"/>
          <w:caps/>
          <w:sz w:val="21"/>
          <w:szCs w:val="22"/>
          <w:highlight w:val="none"/>
          <w:u w:val="none"/>
        </w:rPr>
        <w:fldChar w:fldCharType="separate"/>
      </w:r>
      <w:r>
        <w:rPr>
          <w:rFonts w:hint="eastAsia"/>
          <w:i w:val="0"/>
          <w:iCs w:val="0"/>
          <w:sz w:val="21"/>
          <w:szCs w:val="36"/>
          <w:highlight w:val="none"/>
          <w:u w:val="none"/>
        </w:rPr>
        <w:t>评标办法前附表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_Toc1676 \h </w:instrText>
      </w:r>
      <w:r>
        <w:rPr>
          <w:i w:val="0"/>
          <w:iCs w:val="0"/>
          <w:sz w:val="21"/>
          <w:szCs w:val="21"/>
          <w:u w:val="none"/>
        </w:rPr>
        <w:fldChar w:fldCharType="separate"/>
      </w:r>
      <w:r>
        <w:rPr>
          <w:i w:val="0"/>
          <w:iCs w:val="0"/>
          <w:sz w:val="21"/>
          <w:szCs w:val="21"/>
          <w:u w:val="none"/>
        </w:rPr>
        <w:t>- 38 -</w:t>
      </w:r>
      <w:r>
        <w:rPr>
          <w:i w:val="0"/>
          <w:iCs w:val="0"/>
          <w:sz w:val="21"/>
          <w:szCs w:val="21"/>
          <w:u w:val="none"/>
        </w:rPr>
        <w:fldChar w:fldCharType="end"/>
      </w:r>
      <w:r>
        <w:rPr>
          <w:bCs w:val="0"/>
          <w:i w:val="0"/>
          <w:iCs w:val="0"/>
          <w:caps/>
          <w:color w:val="auto"/>
          <w:sz w:val="21"/>
          <w:szCs w:val="22"/>
          <w:highlight w:val="none"/>
          <w:u w:val="none"/>
        </w:rPr>
        <w:fldChar w:fldCharType="end"/>
      </w:r>
    </w:p>
    <w:p>
      <w:pPr>
        <w:pStyle w:val="49"/>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_Toc6269 </w:instrText>
      </w:r>
      <w:r>
        <w:rPr>
          <w:bCs w:val="0"/>
          <w:i w:val="0"/>
          <w:iCs w:val="0"/>
          <w:caps/>
          <w:sz w:val="21"/>
          <w:szCs w:val="22"/>
          <w:highlight w:val="none"/>
          <w:u w:val="none"/>
        </w:rPr>
        <w:fldChar w:fldCharType="separate"/>
      </w:r>
      <w:r>
        <w:rPr>
          <w:rFonts w:hint="eastAsia"/>
          <w:i w:val="0"/>
          <w:iCs w:val="0"/>
          <w:sz w:val="21"/>
          <w:szCs w:val="21"/>
          <w:highlight w:val="none"/>
          <w:u w:val="none"/>
        </w:rPr>
        <w:t>第四章  合同条款及格式</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_Toc6269 \h </w:instrText>
      </w:r>
      <w:r>
        <w:rPr>
          <w:i w:val="0"/>
          <w:iCs w:val="0"/>
          <w:sz w:val="21"/>
          <w:szCs w:val="21"/>
          <w:u w:val="none"/>
        </w:rPr>
        <w:fldChar w:fldCharType="separate"/>
      </w:r>
      <w:r>
        <w:rPr>
          <w:i w:val="0"/>
          <w:iCs w:val="0"/>
          <w:sz w:val="21"/>
          <w:szCs w:val="21"/>
          <w:u w:val="none"/>
        </w:rPr>
        <w:t>- 51 -</w:t>
      </w:r>
      <w:r>
        <w:rPr>
          <w:i w:val="0"/>
          <w:iCs w:val="0"/>
          <w:sz w:val="21"/>
          <w:szCs w:val="21"/>
          <w:u w:val="none"/>
        </w:rPr>
        <w:fldChar w:fldCharType="end"/>
      </w:r>
      <w:r>
        <w:rPr>
          <w:bCs w:val="0"/>
          <w:i w:val="0"/>
          <w:iCs w:val="0"/>
          <w:caps/>
          <w:color w:val="auto"/>
          <w:sz w:val="21"/>
          <w:szCs w:val="22"/>
          <w:highlight w:val="none"/>
          <w:u w:val="none"/>
        </w:rPr>
        <w:fldChar w:fldCharType="end"/>
      </w:r>
    </w:p>
    <w:p>
      <w:pPr>
        <w:pStyle w:val="49"/>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_Toc1913 </w:instrText>
      </w:r>
      <w:r>
        <w:rPr>
          <w:bCs w:val="0"/>
          <w:i w:val="0"/>
          <w:iCs w:val="0"/>
          <w:caps/>
          <w:sz w:val="21"/>
          <w:szCs w:val="22"/>
          <w:highlight w:val="none"/>
          <w:u w:val="none"/>
        </w:rPr>
        <w:fldChar w:fldCharType="separate"/>
      </w:r>
      <w:r>
        <w:rPr>
          <w:rFonts w:hint="eastAsia"/>
          <w:i w:val="0"/>
          <w:iCs w:val="0"/>
          <w:sz w:val="21"/>
          <w:szCs w:val="21"/>
          <w:highlight w:val="none"/>
          <w:u w:val="none"/>
        </w:rPr>
        <w:t>第五章  工程量清单</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_Toc1913 \h </w:instrText>
      </w:r>
      <w:r>
        <w:rPr>
          <w:i w:val="0"/>
          <w:iCs w:val="0"/>
          <w:sz w:val="21"/>
          <w:szCs w:val="21"/>
          <w:u w:val="none"/>
        </w:rPr>
        <w:fldChar w:fldCharType="separate"/>
      </w:r>
      <w:r>
        <w:rPr>
          <w:i w:val="0"/>
          <w:iCs w:val="0"/>
          <w:sz w:val="21"/>
          <w:szCs w:val="21"/>
          <w:u w:val="none"/>
        </w:rPr>
        <w:t>- 52 -</w:t>
      </w:r>
      <w:r>
        <w:rPr>
          <w:i w:val="0"/>
          <w:iCs w:val="0"/>
          <w:sz w:val="21"/>
          <w:szCs w:val="21"/>
          <w:u w:val="none"/>
        </w:rPr>
        <w:fldChar w:fldCharType="end"/>
      </w:r>
      <w:r>
        <w:rPr>
          <w:bCs w:val="0"/>
          <w:i w:val="0"/>
          <w:iCs w:val="0"/>
          <w:caps/>
          <w:color w:val="auto"/>
          <w:sz w:val="21"/>
          <w:szCs w:val="22"/>
          <w:highlight w:val="none"/>
          <w:u w:val="none"/>
        </w:rPr>
        <w:fldChar w:fldCharType="end"/>
      </w:r>
    </w:p>
    <w:p>
      <w:pPr>
        <w:pStyle w:val="49"/>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_Toc11192 </w:instrText>
      </w:r>
      <w:r>
        <w:rPr>
          <w:bCs w:val="0"/>
          <w:i w:val="0"/>
          <w:iCs w:val="0"/>
          <w:caps/>
          <w:sz w:val="21"/>
          <w:szCs w:val="22"/>
          <w:highlight w:val="none"/>
          <w:u w:val="none"/>
        </w:rPr>
        <w:fldChar w:fldCharType="separate"/>
      </w:r>
      <w:r>
        <w:rPr>
          <w:rFonts w:hint="eastAsia"/>
          <w:i w:val="0"/>
          <w:iCs w:val="0"/>
          <w:sz w:val="21"/>
          <w:szCs w:val="21"/>
          <w:highlight w:val="none"/>
          <w:u w:val="none"/>
        </w:rPr>
        <w:t>第六章  图  纸</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_Toc11192 \h </w:instrText>
      </w:r>
      <w:r>
        <w:rPr>
          <w:i w:val="0"/>
          <w:iCs w:val="0"/>
          <w:sz w:val="21"/>
          <w:szCs w:val="21"/>
          <w:u w:val="none"/>
        </w:rPr>
        <w:fldChar w:fldCharType="separate"/>
      </w:r>
      <w:r>
        <w:rPr>
          <w:i w:val="0"/>
          <w:iCs w:val="0"/>
          <w:sz w:val="21"/>
          <w:szCs w:val="21"/>
          <w:u w:val="none"/>
        </w:rPr>
        <w:t>- 53 -</w:t>
      </w:r>
      <w:r>
        <w:rPr>
          <w:i w:val="0"/>
          <w:iCs w:val="0"/>
          <w:sz w:val="21"/>
          <w:szCs w:val="21"/>
          <w:u w:val="none"/>
        </w:rPr>
        <w:fldChar w:fldCharType="end"/>
      </w:r>
      <w:r>
        <w:rPr>
          <w:bCs w:val="0"/>
          <w:i w:val="0"/>
          <w:iCs w:val="0"/>
          <w:caps/>
          <w:color w:val="auto"/>
          <w:sz w:val="21"/>
          <w:szCs w:val="22"/>
          <w:highlight w:val="none"/>
          <w:u w:val="none"/>
        </w:rPr>
        <w:fldChar w:fldCharType="end"/>
      </w:r>
    </w:p>
    <w:p>
      <w:pPr>
        <w:pStyle w:val="49"/>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_Toc15829 </w:instrText>
      </w:r>
      <w:r>
        <w:rPr>
          <w:bCs w:val="0"/>
          <w:i w:val="0"/>
          <w:iCs w:val="0"/>
          <w:caps/>
          <w:sz w:val="21"/>
          <w:szCs w:val="22"/>
          <w:highlight w:val="none"/>
          <w:u w:val="none"/>
        </w:rPr>
        <w:fldChar w:fldCharType="separate"/>
      </w:r>
      <w:r>
        <w:rPr>
          <w:rFonts w:hint="eastAsia"/>
          <w:i w:val="0"/>
          <w:iCs w:val="0"/>
          <w:sz w:val="21"/>
          <w:szCs w:val="21"/>
          <w:highlight w:val="none"/>
          <w:u w:val="none"/>
        </w:rPr>
        <w:t>第七章  技术标准和要求</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_Toc15829 \h </w:instrText>
      </w:r>
      <w:r>
        <w:rPr>
          <w:i w:val="0"/>
          <w:iCs w:val="0"/>
          <w:sz w:val="21"/>
          <w:szCs w:val="21"/>
          <w:u w:val="none"/>
        </w:rPr>
        <w:fldChar w:fldCharType="separate"/>
      </w:r>
      <w:r>
        <w:rPr>
          <w:i w:val="0"/>
          <w:iCs w:val="0"/>
          <w:sz w:val="21"/>
          <w:szCs w:val="21"/>
          <w:u w:val="none"/>
        </w:rPr>
        <w:t>- 54 -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_Toc21408 </w:instrText>
      </w:r>
      <w:r>
        <w:rPr>
          <w:bCs w:val="0"/>
          <w:i w:val="0"/>
          <w:iCs w:val="0"/>
          <w:caps/>
          <w:sz w:val="21"/>
          <w:szCs w:val="22"/>
          <w:highlight w:val="none"/>
          <w:u w:val="none"/>
        </w:rPr>
        <w:fldChar w:fldCharType="separate"/>
      </w:r>
      <w:r>
        <w:rPr>
          <w:rFonts w:hint="eastAsia" w:ascii="宋体" w:hAnsi="宋体" w:eastAsia="宋体" w:cs="宋体"/>
          <w:i w:val="0"/>
          <w:iCs w:val="0"/>
          <w:sz w:val="21"/>
          <w:szCs w:val="32"/>
          <w:highlight w:val="none"/>
          <w:u w:val="none"/>
        </w:rPr>
        <w:t>一、项目背景</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_Toc21408 \h </w:instrText>
      </w:r>
      <w:r>
        <w:rPr>
          <w:i w:val="0"/>
          <w:iCs w:val="0"/>
          <w:sz w:val="21"/>
          <w:szCs w:val="21"/>
          <w:u w:val="none"/>
        </w:rPr>
        <w:fldChar w:fldCharType="separate"/>
      </w:r>
      <w:r>
        <w:rPr>
          <w:i w:val="0"/>
          <w:iCs w:val="0"/>
          <w:sz w:val="21"/>
          <w:szCs w:val="21"/>
          <w:u w:val="none"/>
        </w:rPr>
        <w:t>- 54 -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_Toc5070 </w:instrText>
      </w:r>
      <w:r>
        <w:rPr>
          <w:bCs w:val="0"/>
          <w:i w:val="0"/>
          <w:iCs w:val="0"/>
          <w:caps/>
          <w:sz w:val="21"/>
          <w:szCs w:val="22"/>
          <w:highlight w:val="none"/>
          <w:u w:val="none"/>
        </w:rPr>
        <w:fldChar w:fldCharType="separate"/>
      </w:r>
      <w:r>
        <w:rPr>
          <w:rFonts w:hint="eastAsia" w:ascii="宋体" w:hAnsi="宋体" w:eastAsia="宋体" w:cs="宋体"/>
          <w:i w:val="0"/>
          <w:iCs w:val="0"/>
          <w:sz w:val="21"/>
          <w:szCs w:val="32"/>
          <w:highlight w:val="none"/>
          <w:u w:val="none"/>
        </w:rPr>
        <w:t>三、工程要求</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_Toc5070 \h </w:instrText>
      </w:r>
      <w:r>
        <w:rPr>
          <w:i w:val="0"/>
          <w:iCs w:val="0"/>
          <w:sz w:val="21"/>
          <w:szCs w:val="21"/>
          <w:u w:val="none"/>
        </w:rPr>
        <w:fldChar w:fldCharType="separate"/>
      </w:r>
      <w:r>
        <w:rPr>
          <w:i w:val="0"/>
          <w:iCs w:val="0"/>
          <w:sz w:val="21"/>
          <w:szCs w:val="21"/>
          <w:u w:val="none"/>
        </w:rPr>
        <w:t>- 54 -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_Toc23754 </w:instrText>
      </w:r>
      <w:r>
        <w:rPr>
          <w:bCs w:val="0"/>
          <w:i w:val="0"/>
          <w:iCs w:val="0"/>
          <w:caps/>
          <w:sz w:val="21"/>
          <w:szCs w:val="22"/>
          <w:highlight w:val="none"/>
          <w:u w:val="none"/>
        </w:rPr>
        <w:fldChar w:fldCharType="separate"/>
      </w:r>
      <w:r>
        <w:rPr>
          <w:rFonts w:hint="eastAsia"/>
          <w:i w:val="0"/>
          <w:iCs w:val="0"/>
          <w:sz w:val="21"/>
          <w:szCs w:val="28"/>
          <w:highlight w:val="none"/>
          <w:u w:val="none"/>
        </w:rPr>
        <w:t>（一）工期要求</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_Toc23754 \h </w:instrText>
      </w:r>
      <w:r>
        <w:rPr>
          <w:i w:val="0"/>
          <w:iCs w:val="0"/>
          <w:sz w:val="21"/>
          <w:szCs w:val="21"/>
          <w:u w:val="none"/>
        </w:rPr>
        <w:fldChar w:fldCharType="separate"/>
      </w:r>
      <w:r>
        <w:rPr>
          <w:i w:val="0"/>
          <w:iCs w:val="0"/>
          <w:sz w:val="21"/>
          <w:szCs w:val="21"/>
          <w:u w:val="none"/>
        </w:rPr>
        <w:t>- 54 -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_Toc31409 </w:instrText>
      </w:r>
      <w:r>
        <w:rPr>
          <w:bCs w:val="0"/>
          <w:i w:val="0"/>
          <w:iCs w:val="0"/>
          <w:caps/>
          <w:sz w:val="21"/>
          <w:szCs w:val="22"/>
          <w:highlight w:val="none"/>
          <w:u w:val="none"/>
        </w:rPr>
        <w:fldChar w:fldCharType="separate"/>
      </w:r>
      <w:r>
        <w:rPr>
          <w:rFonts w:hint="eastAsia"/>
          <w:i w:val="0"/>
          <w:iCs w:val="0"/>
          <w:sz w:val="21"/>
          <w:szCs w:val="28"/>
          <w:highlight w:val="none"/>
          <w:u w:val="none"/>
        </w:rPr>
        <w:t>（二）项目管理团队要求</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_Toc31409 \h </w:instrText>
      </w:r>
      <w:r>
        <w:rPr>
          <w:i w:val="0"/>
          <w:iCs w:val="0"/>
          <w:sz w:val="21"/>
          <w:szCs w:val="21"/>
          <w:u w:val="none"/>
        </w:rPr>
        <w:fldChar w:fldCharType="separate"/>
      </w:r>
      <w:r>
        <w:rPr>
          <w:i w:val="0"/>
          <w:iCs w:val="0"/>
          <w:sz w:val="21"/>
          <w:szCs w:val="21"/>
          <w:u w:val="none"/>
        </w:rPr>
        <w:t>- 54 -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_Toc13847 </w:instrText>
      </w:r>
      <w:r>
        <w:rPr>
          <w:bCs w:val="0"/>
          <w:i w:val="0"/>
          <w:iCs w:val="0"/>
          <w:caps/>
          <w:sz w:val="21"/>
          <w:szCs w:val="22"/>
          <w:highlight w:val="none"/>
          <w:u w:val="none"/>
        </w:rPr>
        <w:fldChar w:fldCharType="separate"/>
      </w:r>
      <w:r>
        <w:rPr>
          <w:rFonts w:hint="eastAsia"/>
          <w:i w:val="0"/>
          <w:iCs w:val="0"/>
          <w:sz w:val="21"/>
          <w:szCs w:val="28"/>
          <w:highlight w:val="none"/>
          <w:u w:val="none"/>
        </w:rPr>
        <w:t>（三）工程质量要求</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_Toc13847 \h </w:instrText>
      </w:r>
      <w:r>
        <w:rPr>
          <w:i w:val="0"/>
          <w:iCs w:val="0"/>
          <w:sz w:val="21"/>
          <w:szCs w:val="21"/>
          <w:u w:val="none"/>
        </w:rPr>
        <w:fldChar w:fldCharType="separate"/>
      </w:r>
      <w:r>
        <w:rPr>
          <w:i w:val="0"/>
          <w:iCs w:val="0"/>
          <w:sz w:val="21"/>
          <w:szCs w:val="21"/>
          <w:u w:val="none"/>
        </w:rPr>
        <w:t>- 55 -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_Toc1411 </w:instrText>
      </w:r>
      <w:r>
        <w:rPr>
          <w:bCs w:val="0"/>
          <w:i w:val="0"/>
          <w:iCs w:val="0"/>
          <w:caps/>
          <w:sz w:val="21"/>
          <w:szCs w:val="22"/>
          <w:highlight w:val="none"/>
          <w:u w:val="none"/>
        </w:rPr>
        <w:fldChar w:fldCharType="separate"/>
      </w:r>
      <w:r>
        <w:rPr>
          <w:rFonts w:hint="eastAsia"/>
          <w:i w:val="0"/>
          <w:iCs w:val="0"/>
          <w:sz w:val="21"/>
          <w:szCs w:val="28"/>
          <w:highlight w:val="none"/>
          <w:u w:val="none"/>
        </w:rPr>
        <w:t>（四）缺陷责任与保修要求</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_Toc1411 \h </w:instrText>
      </w:r>
      <w:r>
        <w:rPr>
          <w:i w:val="0"/>
          <w:iCs w:val="0"/>
          <w:sz w:val="21"/>
          <w:szCs w:val="21"/>
          <w:u w:val="none"/>
        </w:rPr>
        <w:fldChar w:fldCharType="separate"/>
      </w:r>
      <w:r>
        <w:rPr>
          <w:i w:val="0"/>
          <w:iCs w:val="0"/>
          <w:sz w:val="21"/>
          <w:szCs w:val="21"/>
          <w:u w:val="none"/>
        </w:rPr>
        <w:t>- 56 -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_Toc3990 </w:instrText>
      </w:r>
      <w:r>
        <w:rPr>
          <w:bCs w:val="0"/>
          <w:i w:val="0"/>
          <w:iCs w:val="0"/>
          <w:caps/>
          <w:sz w:val="21"/>
          <w:szCs w:val="22"/>
          <w:highlight w:val="none"/>
          <w:u w:val="none"/>
        </w:rPr>
        <w:fldChar w:fldCharType="separate"/>
      </w:r>
      <w:r>
        <w:rPr>
          <w:rFonts w:hint="eastAsia"/>
          <w:i w:val="0"/>
          <w:iCs w:val="0"/>
          <w:sz w:val="21"/>
          <w:szCs w:val="28"/>
          <w:highlight w:val="none"/>
          <w:u w:val="none"/>
          <w:lang w:eastAsia="zh-CN"/>
        </w:rPr>
        <w:t>（</w:t>
      </w:r>
      <w:r>
        <w:rPr>
          <w:rFonts w:hint="eastAsia"/>
          <w:i w:val="0"/>
          <w:iCs w:val="0"/>
          <w:sz w:val="21"/>
          <w:szCs w:val="28"/>
          <w:highlight w:val="none"/>
          <w:u w:val="none"/>
          <w:lang w:val="en-US" w:eastAsia="zh-CN"/>
        </w:rPr>
        <w:t>五</w:t>
      </w:r>
      <w:r>
        <w:rPr>
          <w:rFonts w:hint="eastAsia"/>
          <w:i w:val="0"/>
          <w:iCs w:val="0"/>
          <w:sz w:val="21"/>
          <w:szCs w:val="28"/>
          <w:highlight w:val="none"/>
          <w:u w:val="none"/>
          <w:lang w:eastAsia="zh-CN"/>
        </w:rPr>
        <w:t>）</w:t>
      </w:r>
      <w:r>
        <w:rPr>
          <w:rFonts w:hint="eastAsia"/>
          <w:i w:val="0"/>
          <w:iCs w:val="0"/>
          <w:sz w:val="21"/>
          <w:szCs w:val="28"/>
          <w:highlight w:val="none"/>
          <w:u w:val="none"/>
        </w:rPr>
        <w:t>安全文明施工</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_Toc3990 \h </w:instrText>
      </w:r>
      <w:r>
        <w:rPr>
          <w:i w:val="0"/>
          <w:iCs w:val="0"/>
          <w:sz w:val="21"/>
          <w:szCs w:val="21"/>
          <w:u w:val="none"/>
        </w:rPr>
        <w:fldChar w:fldCharType="separate"/>
      </w:r>
      <w:r>
        <w:rPr>
          <w:i w:val="0"/>
          <w:iCs w:val="0"/>
          <w:sz w:val="21"/>
          <w:szCs w:val="21"/>
          <w:u w:val="none"/>
        </w:rPr>
        <w:t>- 56 -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_Toc20679 </w:instrText>
      </w:r>
      <w:r>
        <w:rPr>
          <w:bCs w:val="0"/>
          <w:i w:val="0"/>
          <w:iCs w:val="0"/>
          <w:caps/>
          <w:sz w:val="21"/>
          <w:szCs w:val="22"/>
          <w:highlight w:val="none"/>
          <w:u w:val="none"/>
        </w:rPr>
        <w:fldChar w:fldCharType="separate"/>
      </w:r>
      <w:r>
        <w:rPr>
          <w:rFonts w:hint="eastAsia"/>
          <w:i w:val="0"/>
          <w:iCs w:val="0"/>
          <w:sz w:val="21"/>
          <w:szCs w:val="28"/>
          <w:highlight w:val="none"/>
          <w:u w:val="none"/>
          <w:lang w:eastAsia="zh-CN"/>
        </w:rPr>
        <w:t>（</w:t>
      </w:r>
      <w:r>
        <w:rPr>
          <w:rFonts w:hint="eastAsia"/>
          <w:i w:val="0"/>
          <w:iCs w:val="0"/>
          <w:sz w:val="21"/>
          <w:szCs w:val="28"/>
          <w:highlight w:val="none"/>
          <w:u w:val="none"/>
          <w:lang w:val="en-US" w:eastAsia="zh-CN"/>
        </w:rPr>
        <w:t>六</w:t>
      </w:r>
      <w:r>
        <w:rPr>
          <w:rFonts w:hint="eastAsia"/>
          <w:i w:val="0"/>
          <w:iCs w:val="0"/>
          <w:sz w:val="21"/>
          <w:szCs w:val="28"/>
          <w:highlight w:val="none"/>
          <w:u w:val="none"/>
          <w:lang w:eastAsia="zh-CN"/>
        </w:rPr>
        <w:t>）工程验收及试运行</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_Toc20679 \h </w:instrText>
      </w:r>
      <w:r>
        <w:rPr>
          <w:i w:val="0"/>
          <w:iCs w:val="0"/>
          <w:sz w:val="21"/>
          <w:szCs w:val="21"/>
          <w:u w:val="none"/>
        </w:rPr>
        <w:fldChar w:fldCharType="separate"/>
      </w:r>
      <w:r>
        <w:rPr>
          <w:i w:val="0"/>
          <w:iCs w:val="0"/>
          <w:sz w:val="21"/>
          <w:szCs w:val="21"/>
          <w:u w:val="none"/>
        </w:rPr>
        <w:t>- 57 -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_Toc21927 </w:instrText>
      </w:r>
      <w:r>
        <w:rPr>
          <w:bCs w:val="0"/>
          <w:i w:val="0"/>
          <w:iCs w:val="0"/>
          <w:caps/>
          <w:sz w:val="21"/>
          <w:szCs w:val="22"/>
          <w:highlight w:val="none"/>
          <w:u w:val="none"/>
        </w:rPr>
        <w:fldChar w:fldCharType="separate"/>
      </w:r>
      <w:r>
        <w:rPr>
          <w:rFonts w:hint="eastAsia"/>
          <w:i w:val="0"/>
          <w:iCs w:val="0"/>
          <w:sz w:val="21"/>
          <w:szCs w:val="28"/>
          <w:highlight w:val="none"/>
          <w:u w:val="none"/>
          <w:lang w:eastAsia="zh-CN"/>
        </w:rPr>
        <w:t>（</w:t>
      </w:r>
      <w:r>
        <w:rPr>
          <w:rFonts w:hint="eastAsia"/>
          <w:i w:val="0"/>
          <w:iCs w:val="0"/>
          <w:sz w:val="21"/>
          <w:szCs w:val="28"/>
          <w:highlight w:val="none"/>
          <w:u w:val="none"/>
          <w:lang w:val="en-US" w:eastAsia="zh-CN"/>
        </w:rPr>
        <w:t>七</w:t>
      </w:r>
      <w:r>
        <w:rPr>
          <w:rFonts w:hint="eastAsia"/>
          <w:i w:val="0"/>
          <w:iCs w:val="0"/>
          <w:sz w:val="21"/>
          <w:szCs w:val="28"/>
          <w:highlight w:val="none"/>
          <w:u w:val="none"/>
          <w:lang w:eastAsia="zh-CN"/>
        </w:rPr>
        <w:t>）材料要求</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_Toc21927 \h </w:instrText>
      </w:r>
      <w:r>
        <w:rPr>
          <w:i w:val="0"/>
          <w:iCs w:val="0"/>
          <w:sz w:val="21"/>
          <w:szCs w:val="21"/>
          <w:u w:val="none"/>
        </w:rPr>
        <w:fldChar w:fldCharType="separate"/>
      </w:r>
      <w:r>
        <w:rPr>
          <w:i w:val="0"/>
          <w:iCs w:val="0"/>
          <w:sz w:val="21"/>
          <w:szCs w:val="21"/>
          <w:u w:val="none"/>
        </w:rPr>
        <w:t>- 57 -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_Toc31135 </w:instrText>
      </w:r>
      <w:r>
        <w:rPr>
          <w:bCs w:val="0"/>
          <w:i w:val="0"/>
          <w:iCs w:val="0"/>
          <w:caps/>
          <w:sz w:val="21"/>
          <w:szCs w:val="22"/>
          <w:highlight w:val="none"/>
          <w:u w:val="none"/>
        </w:rPr>
        <w:fldChar w:fldCharType="separate"/>
      </w:r>
      <w:r>
        <w:rPr>
          <w:rFonts w:hint="eastAsia" w:ascii="宋体" w:hAnsi="宋体" w:eastAsia="宋体" w:cs="宋体"/>
          <w:i w:val="0"/>
          <w:iCs w:val="0"/>
          <w:sz w:val="21"/>
          <w:szCs w:val="32"/>
          <w:highlight w:val="none"/>
          <w:u w:val="none"/>
          <w:lang w:val="en-US" w:eastAsia="zh-CN"/>
        </w:rPr>
        <w:t>四</w:t>
      </w:r>
      <w:r>
        <w:rPr>
          <w:rFonts w:hint="eastAsia" w:ascii="宋体" w:hAnsi="宋体" w:eastAsia="宋体" w:cs="宋体"/>
          <w:i w:val="0"/>
          <w:iCs w:val="0"/>
          <w:sz w:val="21"/>
          <w:szCs w:val="32"/>
          <w:highlight w:val="none"/>
          <w:u w:val="none"/>
        </w:rPr>
        <w:t>、工程价款及结算方式</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_Toc31135 \h </w:instrText>
      </w:r>
      <w:r>
        <w:rPr>
          <w:i w:val="0"/>
          <w:iCs w:val="0"/>
          <w:sz w:val="21"/>
          <w:szCs w:val="21"/>
          <w:u w:val="none"/>
        </w:rPr>
        <w:fldChar w:fldCharType="separate"/>
      </w:r>
      <w:r>
        <w:rPr>
          <w:i w:val="0"/>
          <w:iCs w:val="0"/>
          <w:sz w:val="21"/>
          <w:szCs w:val="21"/>
          <w:u w:val="none"/>
        </w:rPr>
        <w:t>- 57 -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_Toc4635 </w:instrText>
      </w:r>
      <w:r>
        <w:rPr>
          <w:bCs w:val="0"/>
          <w:i w:val="0"/>
          <w:iCs w:val="0"/>
          <w:caps/>
          <w:sz w:val="21"/>
          <w:szCs w:val="22"/>
          <w:highlight w:val="none"/>
          <w:u w:val="none"/>
        </w:rPr>
        <w:fldChar w:fldCharType="separate"/>
      </w:r>
      <w:r>
        <w:rPr>
          <w:rFonts w:hint="eastAsia" w:ascii="宋体" w:hAnsi="宋体" w:eastAsia="宋体" w:cs="宋体"/>
          <w:i w:val="0"/>
          <w:iCs w:val="0"/>
          <w:sz w:val="21"/>
          <w:szCs w:val="32"/>
          <w:highlight w:val="none"/>
          <w:u w:val="none"/>
          <w:lang w:val="en-US" w:eastAsia="zh-CN"/>
        </w:rPr>
        <w:t>五、其他规定</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_Toc4635 \h </w:instrText>
      </w:r>
      <w:r>
        <w:rPr>
          <w:i w:val="0"/>
          <w:iCs w:val="0"/>
          <w:sz w:val="21"/>
          <w:szCs w:val="21"/>
          <w:u w:val="none"/>
        </w:rPr>
        <w:fldChar w:fldCharType="separate"/>
      </w:r>
      <w:r>
        <w:rPr>
          <w:i w:val="0"/>
          <w:iCs w:val="0"/>
          <w:sz w:val="21"/>
          <w:szCs w:val="21"/>
          <w:u w:val="none"/>
        </w:rPr>
        <w:t>- 57 -</w:t>
      </w:r>
      <w:r>
        <w:rPr>
          <w:i w:val="0"/>
          <w:iCs w:val="0"/>
          <w:sz w:val="21"/>
          <w:szCs w:val="21"/>
          <w:u w:val="none"/>
        </w:rPr>
        <w:fldChar w:fldCharType="end"/>
      </w:r>
      <w:r>
        <w:rPr>
          <w:bCs w:val="0"/>
          <w:i w:val="0"/>
          <w:iCs w:val="0"/>
          <w:caps/>
          <w:color w:val="auto"/>
          <w:sz w:val="21"/>
          <w:szCs w:val="22"/>
          <w:highlight w:val="none"/>
          <w:u w:val="none"/>
        </w:rPr>
        <w:fldChar w:fldCharType="end"/>
      </w:r>
    </w:p>
    <w:p>
      <w:pPr>
        <w:pStyle w:val="49"/>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_Toc9964 </w:instrText>
      </w:r>
      <w:r>
        <w:rPr>
          <w:bCs w:val="0"/>
          <w:i w:val="0"/>
          <w:iCs w:val="0"/>
          <w:caps/>
          <w:sz w:val="21"/>
          <w:szCs w:val="22"/>
          <w:highlight w:val="none"/>
          <w:u w:val="none"/>
        </w:rPr>
        <w:fldChar w:fldCharType="separate"/>
      </w:r>
      <w:r>
        <w:rPr>
          <w:rFonts w:hint="eastAsia"/>
          <w:i w:val="0"/>
          <w:iCs w:val="0"/>
          <w:sz w:val="21"/>
          <w:szCs w:val="21"/>
          <w:highlight w:val="none"/>
          <w:u w:val="none"/>
        </w:rPr>
        <w:t>第八章  投标文件格式</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_Toc9964 \h </w:instrText>
      </w:r>
      <w:r>
        <w:rPr>
          <w:i w:val="0"/>
          <w:iCs w:val="0"/>
          <w:sz w:val="21"/>
          <w:szCs w:val="21"/>
          <w:u w:val="none"/>
        </w:rPr>
        <w:fldChar w:fldCharType="separate"/>
      </w:r>
      <w:r>
        <w:rPr>
          <w:i w:val="0"/>
          <w:iCs w:val="0"/>
          <w:sz w:val="21"/>
          <w:szCs w:val="21"/>
          <w:u w:val="none"/>
        </w:rPr>
        <w:t>- 59 -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_Toc19294 </w:instrText>
      </w:r>
      <w:r>
        <w:rPr>
          <w:bCs w:val="0"/>
          <w:i w:val="0"/>
          <w:iCs w:val="0"/>
          <w:caps/>
          <w:sz w:val="21"/>
          <w:szCs w:val="22"/>
          <w:highlight w:val="none"/>
          <w:u w:val="none"/>
        </w:rPr>
        <w:fldChar w:fldCharType="separate"/>
      </w:r>
      <w:r>
        <w:rPr>
          <w:rFonts w:hint="eastAsia" w:ascii="宋体" w:hAnsi="宋体" w:eastAsia="宋体"/>
          <w:i w:val="0"/>
          <w:iCs w:val="0"/>
          <w:sz w:val="21"/>
          <w:szCs w:val="22"/>
          <w:highlight w:val="none"/>
          <w:u w:val="none"/>
        </w:rPr>
        <w:t>封面参考格式</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_Toc19294 \h </w:instrText>
      </w:r>
      <w:r>
        <w:rPr>
          <w:i w:val="0"/>
          <w:iCs w:val="0"/>
          <w:sz w:val="21"/>
          <w:szCs w:val="21"/>
          <w:u w:val="none"/>
        </w:rPr>
        <w:fldChar w:fldCharType="separate"/>
      </w:r>
      <w:r>
        <w:rPr>
          <w:i w:val="0"/>
          <w:iCs w:val="0"/>
          <w:sz w:val="21"/>
          <w:szCs w:val="21"/>
          <w:u w:val="none"/>
        </w:rPr>
        <w:t>- 59 -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_Toc31818 </w:instrText>
      </w:r>
      <w:r>
        <w:rPr>
          <w:bCs w:val="0"/>
          <w:i w:val="0"/>
          <w:iCs w:val="0"/>
          <w:caps/>
          <w:sz w:val="21"/>
          <w:szCs w:val="22"/>
          <w:highlight w:val="none"/>
          <w:u w:val="none"/>
        </w:rPr>
        <w:fldChar w:fldCharType="separate"/>
      </w:r>
      <w:r>
        <w:rPr>
          <w:rFonts w:hint="eastAsia"/>
          <w:i w:val="0"/>
          <w:iCs w:val="0"/>
          <w:sz w:val="21"/>
          <w:szCs w:val="21"/>
          <w:highlight w:val="none"/>
          <w:u w:val="none"/>
        </w:rPr>
        <w:t>目    录</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_Toc31818 \h </w:instrText>
      </w:r>
      <w:r>
        <w:rPr>
          <w:i w:val="0"/>
          <w:iCs w:val="0"/>
          <w:sz w:val="21"/>
          <w:szCs w:val="21"/>
          <w:u w:val="none"/>
        </w:rPr>
        <w:fldChar w:fldCharType="separate"/>
      </w:r>
      <w:r>
        <w:rPr>
          <w:i w:val="0"/>
          <w:iCs w:val="0"/>
          <w:sz w:val="21"/>
          <w:szCs w:val="21"/>
          <w:u w:val="none"/>
        </w:rPr>
        <w:t>- 60 -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_Toc31218 </w:instrText>
      </w:r>
      <w:r>
        <w:rPr>
          <w:bCs w:val="0"/>
          <w:i w:val="0"/>
          <w:iCs w:val="0"/>
          <w:caps/>
          <w:sz w:val="21"/>
          <w:szCs w:val="22"/>
          <w:highlight w:val="none"/>
          <w:u w:val="none"/>
        </w:rPr>
        <w:fldChar w:fldCharType="separate"/>
      </w:r>
      <w:r>
        <w:rPr>
          <w:rFonts w:ascii="宋体" w:hAnsi="宋体" w:eastAsia="宋体"/>
          <w:i w:val="0"/>
          <w:iCs w:val="0"/>
          <w:sz w:val="21"/>
          <w:szCs w:val="21"/>
          <w:highlight w:val="none"/>
          <w:u w:val="none"/>
        </w:rPr>
        <w:t>商务部分</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_Toc31218 \h </w:instrText>
      </w:r>
      <w:r>
        <w:rPr>
          <w:i w:val="0"/>
          <w:iCs w:val="0"/>
          <w:sz w:val="21"/>
          <w:szCs w:val="21"/>
          <w:u w:val="none"/>
        </w:rPr>
        <w:fldChar w:fldCharType="separate"/>
      </w:r>
      <w:r>
        <w:rPr>
          <w:i w:val="0"/>
          <w:iCs w:val="0"/>
          <w:sz w:val="21"/>
          <w:szCs w:val="21"/>
          <w:u w:val="none"/>
        </w:rPr>
        <w:t>- 61 -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_Toc20002 </w:instrText>
      </w:r>
      <w:r>
        <w:rPr>
          <w:bCs w:val="0"/>
          <w:i w:val="0"/>
          <w:iCs w:val="0"/>
          <w:caps/>
          <w:sz w:val="21"/>
          <w:szCs w:val="22"/>
          <w:highlight w:val="none"/>
          <w:u w:val="none"/>
        </w:rPr>
        <w:fldChar w:fldCharType="separate"/>
      </w:r>
      <w:r>
        <w:rPr>
          <w:rFonts w:hint="eastAsia"/>
          <w:i w:val="0"/>
          <w:iCs w:val="0"/>
          <w:sz w:val="21"/>
          <w:szCs w:val="21"/>
          <w:highlight w:val="none"/>
          <w:u w:val="none"/>
        </w:rPr>
        <w:t>评标要素索引表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_Toc20002 \h </w:instrText>
      </w:r>
      <w:r>
        <w:rPr>
          <w:i w:val="0"/>
          <w:iCs w:val="0"/>
          <w:sz w:val="21"/>
          <w:szCs w:val="21"/>
          <w:u w:val="none"/>
        </w:rPr>
        <w:fldChar w:fldCharType="separate"/>
      </w:r>
      <w:r>
        <w:rPr>
          <w:i w:val="0"/>
          <w:iCs w:val="0"/>
          <w:sz w:val="21"/>
          <w:szCs w:val="21"/>
          <w:u w:val="none"/>
        </w:rPr>
        <w:t>- 61 -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_Toc11974 </w:instrText>
      </w:r>
      <w:r>
        <w:rPr>
          <w:bCs w:val="0"/>
          <w:i w:val="0"/>
          <w:iCs w:val="0"/>
          <w:caps/>
          <w:sz w:val="21"/>
          <w:szCs w:val="22"/>
          <w:highlight w:val="none"/>
          <w:u w:val="none"/>
        </w:rPr>
        <w:fldChar w:fldCharType="separate"/>
      </w:r>
      <w:r>
        <w:rPr>
          <w:i w:val="0"/>
          <w:iCs w:val="0"/>
          <w:sz w:val="21"/>
          <w:szCs w:val="21"/>
          <w:highlight w:val="none"/>
          <w:u w:val="none"/>
        </w:rPr>
        <w:t>一、投标函及投标函附录</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_Toc11974 \h </w:instrText>
      </w:r>
      <w:r>
        <w:rPr>
          <w:i w:val="0"/>
          <w:iCs w:val="0"/>
          <w:sz w:val="21"/>
          <w:szCs w:val="21"/>
          <w:u w:val="none"/>
        </w:rPr>
        <w:fldChar w:fldCharType="separate"/>
      </w:r>
      <w:r>
        <w:rPr>
          <w:i w:val="0"/>
          <w:iCs w:val="0"/>
          <w:sz w:val="21"/>
          <w:szCs w:val="21"/>
          <w:u w:val="none"/>
        </w:rPr>
        <w:t>- 62 -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_Toc26415 </w:instrText>
      </w:r>
      <w:r>
        <w:rPr>
          <w:bCs w:val="0"/>
          <w:i w:val="0"/>
          <w:iCs w:val="0"/>
          <w:caps/>
          <w:sz w:val="21"/>
          <w:szCs w:val="22"/>
          <w:highlight w:val="none"/>
          <w:u w:val="none"/>
        </w:rPr>
        <w:fldChar w:fldCharType="separate"/>
      </w:r>
      <w:r>
        <w:rPr>
          <w:i w:val="0"/>
          <w:iCs w:val="0"/>
          <w:sz w:val="21"/>
          <w:szCs w:val="21"/>
          <w:highlight w:val="none"/>
          <w:u w:val="none"/>
        </w:rPr>
        <w:t>（一）投标函</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_Toc26415 \h </w:instrText>
      </w:r>
      <w:r>
        <w:rPr>
          <w:i w:val="0"/>
          <w:iCs w:val="0"/>
          <w:sz w:val="21"/>
          <w:szCs w:val="21"/>
          <w:u w:val="none"/>
        </w:rPr>
        <w:fldChar w:fldCharType="separate"/>
      </w:r>
      <w:r>
        <w:rPr>
          <w:i w:val="0"/>
          <w:iCs w:val="0"/>
          <w:sz w:val="21"/>
          <w:szCs w:val="21"/>
          <w:u w:val="none"/>
        </w:rPr>
        <w:t>- 62 -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_Toc6439 </w:instrText>
      </w:r>
      <w:r>
        <w:rPr>
          <w:bCs w:val="0"/>
          <w:i w:val="0"/>
          <w:iCs w:val="0"/>
          <w:caps/>
          <w:sz w:val="21"/>
          <w:szCs w:val="22"/>
          <w:highlight w:val="none"/>
          <w:u w:val="none"/>
        </w:rPr>
        <w:fldChar w:fldCharType="separate"/>
      </w:r>
      <w:r>
        <w:rPr>
          <w:i w:val="0"/>
          <w:iCs w:val="0"/>
          <w:sz w:val="21"/>
          <w:szCs w:val="21"/>
          <w:highlight w:val="none"/>
          <w:u w:val="none"/>
        </w:rPr>
        <w:t>（二）投标函附录</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_Toc6439 \h </w:instrText>
      </w:r>
      <w:r>
        <w:rPr>
          <w:i w:val="0"/>
          <w:iCs w:val="0"/>
          <w:sz w:val="21"/>
          <w:szCs w:val="21"/>
          <w:u w:val="none"/>
        </w:rPr>
        <w:fldChar w:fldCharType="separate"/>
      </w:r>
      <w:r>
        <w:rPr>
          <w:i w:val="0"/>
          <w:iCs w:val="0"/>
          <w:sz w:val="21"/>
          <w:szCs w:val="21"/>
          <w:u w:val="none"/>
        </w:rPr>
        <w:t>- 64 -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_Toc29466 </w:instrText>
      </w:r>
      <w:r>
        <w:rPr>
          <w:bCs w:val="0"/>
          <w:i w:val="0"/>
          <w:iCs w:val="0"/>
          <w:caps/>
          <w:sz w:val="21"/>
          <w:szCs w:val="22"/>
          <w:highlight w:val="none"/>
          <w:u w:val="none"/>
        </w:rPr>
        <w:fldChar w:fldCharType="separate"/>
      </w:r>
      <w:r>
        <w:rPr>
          <w:i w:val="0"/>
          <w:iCs w:val="0"/>
          <w:sz w:val="21"/>
          <w:szCs w:val="21"/>
          <w:highlight w:val="none"/>
          <w:u w:val="none"/>
        </w:rPr>
        <w:t>二、法定代表人身份证明</w:t>
      </w:r>
      <w:r>
        <w:rPr>
          <w:rFonts w:hint="eastAsia"/>
          <w:i w:val="0"/>
          <w:iCs w:val="0"/>
          <w:sz w:val="21"/>
          <w:szCs w:val="21"/>
          <w:highlight w:val="none"/>
          <w:u w:val="none"/>
        </w:rPr>
        <w:t>书</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_Toc29466 \h </w:instrText>
      </w:r>
      <w:r>
        <w:rPr>
          <w:i w:val="0"/>
          <w:iCs w:val="0"/>
          <w:sz w:val="21"/>
          <w:szCs w:val="21"/>
          <w:u w:val="none"/>
        </w:rPr>
        <w:fldChar w:fldCharType="separate"/>
      </w:r>
      <w:r>
        <w:rPr>
          <w:i w:val="0"/>
          <w:iCs w:val="0"/>
          <w:sz w:val="21"/>
          <w:szCs w:val="21"/>
          <w:u w:val="none"/>
        </w:rPr>
        <w:t>- 65 -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_Toc20831 </w:instrText>
      </w:r>
      <w:r>
        <w:rPr>
          <w:bCs w:val="0"/>
          <w:i w:val="0"/>
          <w:iCs w:val="0"/>
          <w:caps/>
          <w:sz w:val="21"/>
          <w:szCs w:val="22"/>
          <w:highlight w:val="none"/>
          <w:u w:val="none"/>
        </w:rPr>
        <w:fldChar w:fldCharType="separate"/>
      </w:r>
      <w:r>
        <w:rPr>
          <w:rFonts w:hint="eastAsia"/>
          <w:i w:val="0"/>
          <w:iCs w:val="0"/>
          <w:sz w:val="21"/>
          <w:szCs w:val="21"/>
          <w:highlight w:val="none"/>
          <w:u w:val="none"/>
        </w:rPr>
        <w:t>三</w:t>
      </w:r>
      <w:r>
        <w:rPr>
          <w:i w:val="0"/>
          <w:iCs w:val="0"/>
          <w:sz w:val="21"/>
          <w:szCs w:val="21"/>
          <w:highlight w:val="none"/>
          <w:u w:val="none"/>
        </w:rPr>
        <w:t>、授权委托书</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_Toc20831 \h </w:instrText>
      </w:r>
      <w:r>
        <w:rPr>
          <w:i w:val="0"/>
          <w:iCs w:val="0"/>
          <w:sz w:val="21"/>
          <w:szCs w:val="21"/>
          <w:u w:val="none"/>
        </w:rPr>
        <w:fldChar w:fldCharType="separate"/>
      </w:r>
      <w:r>
        <w:rPr>
          <w:i w:val="0"/>
          <w:iCs w:val="0"/>
          <w:sz w:val="21"/>
          <w:szCs w:val="21"/>
          <w:u w:val="none"/>
        </w:rPr>
        <w:t>- 66 -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_Toc32548 </w:instrText>
      </w:r>
      <w:r>
        <w:rPr>
          <w:bCs w:val="0"/>
          <w:i w:val="0"/>
          <w:iCs w:val="0"/>
          <w:caps/>
          <w:sz w:val="21"/>
          <w:szCs w:val="22"/>
          <w:highlight w:val="none"/>
          <w:u w:val="none"/>
        </w:rPr>
        <w:fldChar w:fldCharType="separate"/>
      </w:r>
      <w:r>
        <w:rPr>
          <w:rFonts w:hint="eastAsia"/>
          <w:i w:val="0"/>
          <w:iCs w:val="0"/>
          <w:sz w:val="21"/>
          <w:szCs w:val="21"/>
          <w:highlight w:val="none"/>
          <w:u w:val="none"/>
        </w:rPr>
        <w:t>四</w:t>
      </w:r>
      <w:r>
        <w:rPr>
          <w:i w:val="0"/>
          <w:iCs w:val="0"/>
          <w:sz w:val="21"/>
          <w:szCs w:val="21"/>
          <w:highlight w:val="none"/>
          <w:u w:val="none"/>
        </w:rPr>
        <w:t>、</w:t>
      </w:r>
      <w:r>
        <w:rPr>
          <w:rFonts w:hint="eastAsia"/>
          <w:i w:val="0"/>
          <w:iCs w:val="0"/>
          <w:sz w:val="21"/>
          <w:szCs w:val="21"/>
          <w:highlight w:val="none"/>
          <w:u w:val="none"/>
        </w:rPr>
        <w:t>合同条款响应表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_Toc32548 \h </w:instrText>
      </w:r>
      <w:r>
        <w:rPr>
          <w:i w:val="0"/>
          <w:iCs w:val="0"/>
          <w:sz w:val="21"/>
          <w:szCs w:val="21"/>
          <w:u w:val="none"/>
        </w:rPr>
        <w:fldChar w:fldCharType="separate"/>
      </w:r>
      <w:r>
        <w:rPr>
          <w:i w:val="0"/>
          <w:iCs w:val="0"/>
          <w:sz w:val="21"/>
          <w:szCs w:val="21"/>
          <w:u w:val="none"/>
        </w:rPr>
        <w:t>- 67 -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_Toc13639 </w:instrText>
      </w:r>
      <w:r>
        <w:rPr>
          <w:bCs w:val="0"/>
          <w:i w:val="0"/>
          <w:iCs w:val="0"/>
          <w:caps/>
          <w:sz w:val="21"/>
          <w:szCs w:val="22"/>
          <w:highlight w:val="none"/>
          <w:u w:val="none"/>
        </w:rPr>
        <w:fldChar w:fldCharType="separate"/>
      </w:r>
      <w:r>
        <w:rPr>
          <w:rFonts w:hint="eastAsia"/>
          <w:i w:val="0"/>
          <w:iCs w:val="0"/>
          <w:sz w:val="21"/>
          <w:szCs w:val="21"/>
          <w:highlight w:val="none"/>
          <w:u w:val="none"/>
        </w:rPr>
        <w:t>五</w:t>
      </w:r>
      <w:r>
        <w:rPr>
          <w:i w:val="0"/>
          <w:iCs w:val="0"/>
          <w:sz w:val="21"/>
          <w:szCs w:val="21"/>
          <w:highlight w:val="none"/>
          <w:u w:val="none"/>
        </w:rPr>
        <w:t>、</w:t>
      </w:r>
      <w:r>
        <w:rPr>
          <w:rFonts w:hint="eastAsia"/>
          <w:i w:val="0"/>
          <w:iCs w:val="0"/>
          <w:sz w:val="21"/>
          <w:szCs w:val="21"/>
          <w:highlight w:val="none"/>
          <w:u w:val="none"/>
        </w:rPr>
        <w:t>技术偏离表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_Toc13639 \h </w:instrText>
      </w:r>
      <w:r>
        <w:rPr>
          <w:i w:val="0"/>
          <w:iCs w:val="0"/>
          <w:sz w:val="21"/>
          <w:szCs w:val="21"/>
          <w:u w:val="none"/>
        </w:rPr>
        <w:fldChar w:fldCharType="separate"/>
      </w:r>
      <w:r>
        <w:rPr>
          <w:i w:val="0"/>
          <w:iCs w:val="0"/>
          <w:sz w:val="21"/>
          <w:szCs w:val="21"/>
          <w:u w:val="none"/>
        </w:rPr>
        <w:t>- 68 -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_Toc18679 </w:instrText>
      </w:r>
      <w:r>
        <w:rPr>
          <w:bCs w:val="0"/>
          <w:i w:val="0"/>
          <w:iCs w:val="0"/>
          <w:caps/>
          <w:sz w:val="21"/>
          <w:szCs w:val="22"/>
          <w:highlight w:val="none"/>
          <w:u w:val="none"/>
        </w:rPr>
        <w:fldChar w:fldCharType="separate"/>
      </w:r>
      <w:r>
        <w:rPr>
          <w:rFonts w:hint="eastAsia"/>
          <w:i w:val="0"/>
          <w:iCs w:val="0"/>
          <w:sz w:val="21"/>
          <w:szCs w:val="21"/>
          <w:highlight w:val="none"/>
          <w:u w:val="none"/>
        </w:rPr>
        <w:t>六</w:t>
      </w:r>
      <w:r>
        <w:rPr>
          <w:i w:val="0"/>
          <w:iCs w:val="0"/>
          <w:sz w:val="21"/>
          <w:szCs w:val="21"/>
          <w:highlight w:val="none"/>
          <w:u w:val="none"/>
        </w:rPr>
        <w:t>、投标保证金</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_Toc18679 \h </w:instrText>
      </w:r>
      <w:r>
        <w:rPr>
          <w:i w:val="0"/>
          <w:iCs w:val="0"/>
          <w:sz w:val="21"/>
          <w:szCs w:val="21"/>
          <w:u w:val="none"/>
        </w:rPr>
        <w:fldChar w:fldCharType="separate"/>
      </w:r>
      <w:r>
        <w:rPr>
          <w:i w:val="0"/>
          <w:iCs w:val="0"/>
          <w:sz w:val="21"/>
          <w:szCs w:val="21"/>
          <w:u w:val="none"/>
        </w:rPr>
        <w:t>- 69 -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_Toc20044 </w:instrText>
      </w:r>
      <w:r>
        <w:rPr>
          <w:bCs w:val="0"/>
          <w:i w:val="0"/>
          <w:iCs w:val="0"/>
          <w:caps/>
          <w:sz w:val="21"/>
          <w:szCs w:val="22"/>
          <w:highlight w:val="none"/>
          <w:u w:val="none"/>
        </w:rPr>
        <w:fldChar w:fldCharType="separate"/>
      </w:r>
      <w:r>
        <w:rPr>
          <w:rFonts w:hint="eastAsia"/>
          <w:i w:val="0"/>
          <w:iCs w:val="0"/>
          <w:sz w:val="21"/>
          <w:szCs w:val="21"/>
          <w:highlight w:val="none"/>
          <w:u w:val="none"/>
        </w:rPr>
        <w:t>七</w:t>
      </w:r>
      <w:r>
        <w:rPr>
          <w:i w:val="0"/>
          <w:iCs w:val="0"/>
          <w:sz w:val="21"/>
          <w:szCs w:val="21"/>
          <w:highlight w:val="none"/>
          <w:u w:val="none"/>
        </w:rPr>
        <w:t>、资格审查资料</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_Toc20044 \h </w:instrText>
      </w:r>
      <w:r>
        <w:rPr>
          <w:i w:val="0"/>
          <w:iCs w:val="0"/>
          <w:sz w:val="21"/>
          <w:szCs w:val="21"/>
          <w:u w:val="none"/>
        </w:rPr>
        <w:fldChar w:fldCharType="separate"/>
      </w:r>
      <w:r>
        <w:rPr>
          <w:i w:val="0"/>
          <w:iCs w:val="0"/>
          <w:sz w:val="21"/>
          <w:szCs w:val="21"/>
          <w:u w:val="none"/>
        </w:rPr>
        <w:t>- 70 -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_Toc5389 </w:instrText>
      </w:r>
      <w:r>
        <w:rPr>
          <w:bCs w:val="0"/>
          <w:i w:val="0"/>
          <w:iCs w:val="0"/>
          <w:caps/>
          <w:sz w:val="21"/>
          <w:szCs w:val="22"/>
          <w:highlight w:val="none"/>
          <w:u w:val="none"/>
        </w:rPr>
        <w:fldChar w:fldCharType="separate"/>
      </w:r>
      <w:r>
        <w:rPr>
          <w:i w:val="0"/>
          <w:iCs w:val="0"/>
          <w:sz w:val="21"/>
          <w:szCs w:val="21"/>
          <w:highlight w:val="none"/>
          <w:u w:val="none"/>
        </w:rPr>
        <w:t>（一）投标人基本情况表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_Toc5389 \h </w:instrText>
      </w:r>
      <w:r>
        <w:rPr>
          <w:i w:val="0"/>
          <w:iCs w:val="0"/>
          <w:sz w:val="21"/>
          <w:szCs w:val="21"/>
          <w:u w:val="none"/>
        </w:rPr>
        <w:fldChar w:fldCharType="separate"/>
      </w:r>
      <w:r>
        <w:rPr>
          <w:i w:val="0"/>
          <w:iCs w:val="0"/>
          <w:sz w:val="21"/>
          <w:szCs w:val="21"/>
          <w:u w:val="none"/>
        </w:rPr>
        <w:t>- 70 -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_Toc13498 </w:instrText>
      </w:r>
      <w:r>
        <w:rPr>
          <w:bCs w:val="0"/>
          <w:i w:val="0"/>
          <w:iCs w:val="0"/>
          <w:caps/>
          <w:sz w:val="21"/>
          <w:szCs w:val="22"/>
          <w:highlight w:val="none"/>
          <w:u w:val="none"/>
        </w:rPr>
        <w:fldChar w:fldCharType="separate"/>
      </w:r>
      <w:r>
        <w:rPr>
          <w:rFonts w:hint="eastAsia" w:ascii="Calibri" w:hAnsi="Calibri"/>
          <w:i w:val="0"/>
          <w:iCs w:val="0"/>
          <w:sz w:val="21"/>
          <w:szCs w:val="21"/>
          <w:highlight w:val="none"/>
          <w:u w:val="none"/>
        </w:rPr>
        <w:t>（二）近年财务状况表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_Toc13498 \h </w:instrText>
      </w:r>
      <w:r>
        <w:rPr>
          <w:i w:val="0"/>
          <w:iCs w:val="0"/>
          <w:sz w:val="21"/>
          <w:szCs w:val="21"/>
          <w:u w:val="none"/>
        </w:rPr>
        <w:fldChar w:fldCharType="separate"/>
      </w:r>
      <w:r>
        <w:rPr>
          <w:i w:val="0"/>
          <w:iCs w:val="0"/>
          <w:sz w:val="21"/>
          <w:szCs w:val="21"/>
          <w:u w:val="none"/>
        </w:rPr>
        <w:t>- 71 -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_Toc20821 </w:instrText>
      </w:r>
      <w:r>
        <w:rPr>
          <w:bCs w:val="0"/>
          <w:i w:val="0"/>
          <w:iCs w:val="0"/>
          <w:caps/>
          <w:sz w:val="21"/>
          <w:szCs w:val="22"/>
          <w:highlight w:val="none"/>
          <w:u w:val="none"/>
        </w:rPr>
        <w:fldChar w:fldCharType="separate"/>
      </w:r>
      <w:r>
        <w:rPr>
          <w:i w:val="0"/>
          <w:iCs w:val="0"/>
          <w:sz w:val="21"/>
          <w:szCs w:val="21"/>
          <w:highlight w:val="none"/>
          <w:u w:val="none"/>
        </w:rPr>
        <w:t>（</w:t>
      </w:r>
      <w:r>
        <w:rPr>
          <w:rFonts w:hint="eastAsia"/>
          <w:i w:val="0"/>
          <w:iCs w:val="0"/>
          <w:sz w:val="21"/>
          <w:szCs w:val="21"/>
          <w:highlight w:val="none"/>
          <w:u w:val="none"/>
        </w:rPr>
        <w:t>三</w:t>
      </w:r>
      <w:r>
        <w:rPr>
          <w:i w:val="0"/>
          <w:iCs w:val="0"/>
          <w:sz w:val="21"/>
          <w:szCs w:val="21"/>
          <w:highlight w:val="none"/>
          <w:u w:val="none"/>
        </w:rPr>
        <w:t>）近年完成的类似项目情况表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_Toc20821 \h </w:instrText>
      </w:r>
      <w:r>
        <w:rPr>
          <w:i w:val="0"/>
          <w:iCs w:val="0"/>
          <w:sz w:val="21"/>
          <w:szCs w:val="21"/>
          <w:u w:val="none"/>
        </w:rPr>
        <w:fldChar w:fldCharType="separate"/>
      </w:r>
      <w:r>
        <w:rPr>
          <w:i w:val="0"/>
          <w:iCs w:val="0"/>
          <w:sz w:val="21"/>
          <w:szCs w:val="21"/>
          <w:u w:val="none"/>
        </w:rPr>
        <w:t>- 72 -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_Toc16973 </w:instrText>
      </w:r>
      <w:r>
        <w:rPr>
          <w:bCs w:val="0"/>
          <w:i w:val="0"/>
          <w:iCs w:val="0"/>
          <w:caps/>
          <w:sz w:val="21"/>
          <w:szCs w:val="22"/>
          <w:highlight w:val="none"/>
          <w:u w:val="none"/>
        </w:rPr>
        <w:fldChar w:fldCharType="separate"/>
      </w:r>
      <w:r>
        <w:rPr>
          <w:rFonts w:hint="eastAsia"/>
          <w:i w:val="0"/>
          <w:iCs w:val="0"/>
          <w:sz w:val="21"/>
          <w:szCs w:val="21"/>
          <w:highlight w:val="none"/>
          <w:u w:val="none"/>
        </w:rPr>
        <w:t>（四）</w:t>
      </w:r>
      <w:r>
        <w:rPr>
          <w:i w:val="0"/>
          <w:iCs w:val="0"/>
          <w:sz w:val="21"/>
          <w:szCs w:val="21"/>
          <w:highlight w:val="none"/>
          <w:u w:val="none"/>
        </w:rPr>
        <w:t>其他</w:t>
      </w:r>
      <w:r>
        <w:rPr>
          <w:rFonts w:hint="eastAsia"/>
          <w:i w:val="0"/>
          <w:iCs w:val="0"/>
          <w:sz w:val="21"/>
          <w:szCs w:val="21"/>
          <w:highlight w:val="none"/>
          <w:u w:val="none"/>
        </w:rPr>
        <w:t>资格审查资</w:t>
      </w:r>
      <w:r>
        <w:rPr>
          <w:i w:val="0"/>
          <w:iCs w:val="0"/>
          <w:sz w:val="21"/>
          <w:szCs w:val="21"/>
          <w:highlight w:val="none"/>
          <w:u w:val="none"/>
        </w:rPr>
        <w:t>料</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_Toc16973 \h </w:instrText>
      </w:r>
      <w:r>
        <w:rPr>
          <w:i w:val="0"/>
          <w:iCs w:val="0"/>
          <w:sz w:val="21"/>
          <w:szCs w:val="21"/>
          <w:u w:val="none"/>
        </w:rPr>
        <w:fldChar w:fldCharType="separate"/>
      </w:r>
      <w:r>
        <w:rPr>
          <w:i w:val="0"/>
          <w:iCs w:val="0"/>
          <w:sz w:val="21"/>
          <w:szCs w:val="21"/>
          <w:u w:val="none"/>
        </w:rPr>
        <w:t>- 74 -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_Toc11773 </w:instrText>
      </w:r>
      <w:r>
        <w:rPr>
          <w:bCs w:val="0"/>
          <w:i w:val="0"/>
          <w:iCs w:val="0"/>
          <w:caps/>
          <w:sz w:val="21"/>
          <w:szCs w:val="22"/>
          <w:highlight w:val="none"/>
          <w:u w:val="none"/>
        </w:rPr>
        <w:fldChar w:fldCharType="separate"/>
      </w:r>
      <w:r>
        <w:rPr>
          <w:rFonts w:hint="eastAsia"/>
          <w:i w:val="0"/>
          <w:iCs w:val="0"/>
          <w:sz w:val="21"/>
          <w:szCs w:val="21"/>
          <w:highlight w:val="none"/>
          <w:u w:val="none"/>
        </w:rPr>
        <w:t>1、投标人声明</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_Toc11773 \h </w:instrText>
      </w:r>
      <w:r>
        <w:rPr>
          <w:i w:val="0"/>
          <w:iCs w:val="0"/>
          <w:sz w:val="21"/>
          <w:szCs w:val="21"/>
          <w:u w:val="none"/>
        </w:rPr>
        <w:fldChar w:fldCharType="separate"/>
      </w:r>
      <w:r>
        <w:rPr>
          <w:i w:val="0"/>
          <w:iCs w:val="0"/>
          <w:sz w:val="21"/>
          <w:szCs w:val="21"/>
          <w:u w:val="none"/>
        </w:rPr>
        <w:t>- 74 -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_Toc13907 </w:instrText>
      </w:r>
      <w:r>
        <w:rPr>
          <w:bCs w:val="0"/>
          <w:i w:val="0"/>
          <w:iCs w:val="0"/>
          <w:caps/>
          <w:sz w:val="21"/>
          <w:szCs w:val="22"/>
          <w:highlight w:val="none"/>
          <w:u w:val="none"/>
        </w:rPr>
        <w:fldChar w:fldCharType="separate"/>
      </w:r>
      <w:r>
        <w:rPr>
          <w:rFonts w:hint="eastAsia" w:ascii="Times New Roman" w:hAnsi="Times New Roman" w:eastAsia="宋体" w:cs="Times New Roman"/>
          <w:i w:val="0"/>
          <w:iCs w:val="0"/>
          <w:sz w:val="21"/>
          <w:szCs w:val="21"/>
          <w:highlight w:val="none"/>
          <w:u w:val="none"/>
          <w:lang w:val="en-US" w:eastAsia="zh-CN"/>
        </w:rPr>
        <w:t>2</w:t>
      </w:r>
      <w:r>
        <w:rPr>
          <w:rFonts w:hint="eastAsia" w:ascii="Times New Roman" w:hAnsi="Times New Roman" w:eastAsia="宋体" w:cs="Times New Roman"/>
          <w:i w:val="0"/>
          <w:iCs w:val="0"/>
          <w:sz w:val="21"/>
          <w:szCs w:val="21"/>
          <w:highlight w:val="none"/>
          <w:u w:val="none"/>
        </w:rPr>
        <w:t>、不拖欠民工工资和供应商货款承诺书</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_Toc13907 \h </w:instrText>
      </w:r>
      <w:r>
        <w:rPr>
          <w:i w:val="0"/>
          <w:iCs w:val="0"/>
          <w:sz w:val="21"/>
          <w:szCs w:val="21"/>
          <w:u w:val="none"/>
        </w:rPr>
        <w:fldChar w:fldCharType="separate"/>
      </w:r>
      <w:r>
        <w:rPr>
          <w:i w:val="0"/>
          <w:iCs w:val="0"/>
          <w:sz w:val="21"/>
          <w:szCs w:val="21"/>
          <w:u w:val="none"/>
        </w:rPr>
        <w:t>- 75 -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_Toc25994 </w:instrText>
      </w:r>
      <w:r>
        <w:rPr>
          <w:bCs w:val="0"/>
          <w:i w:val="0"/>
          <w:iCs w:val="0"/>
          <w:caps/>
          <w:sz w:val="21"/>
          <w:szCs w:val="22"/>
          <w:highlight w:val="none"/>
          <w:u w:val="none"/>
        </w:rPr>
        <w:fldChar w:fldCharType="separate"/>
      </w:r>
      <w:r>
        <w:rPr>
          <w:rFonts w:hint="eastAsia"/>
          <w:i w:val="0"/>
          <w:iCs w:val="0"/>
          <w:sz w:val="21"/>
          <w:szCs w:val="21"/>
          <w:highlight w:val="none"/>
          <w:u w:val="none"/>
          <w:lang w:val="en-US" w:eastAsia="zh-CN"/>
        </w:rPr>
        <w:t>八</w:t>
      </w:r>
      <w:r>
        <w:rPr>
          <w:i w:val="0"/>
          <w:iCs w:val="0"/>
          <w:sz w:val="21"/>
          <w:szCs w:val="21"/>
          <w:highlight w:val="none"/>
          <w:u w:val="none"/>
        </w:rPr>
        <w:t>、</w:t>
      </w:r>
      <w:r>
        <w:rPr>
          <w:rFonts w:hint="eastAsia" w:cs="Times New Roman"/>
          <w:i w:val="0"/>
          <w:iCs w:val="0"/>
          <w:sz w:val="21"/>
          <w:szCs w:val="21"/>
          <w:highlight w:val="none"/>
          <w:u w:val="none"/>
          <w:lang w:val="en-US" w:eastAsia="zh-CN"/>
        </w:rPr>
        <w:t>项目管理机构</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_Toc25994 \h </w:instrText>
      </w:r>
      <w:r>
        <w:rPr>
          <w:i w:val="0"/>
          <w:iCs w:val="0"/>
          <w:sz w:val="21"/>
          <w:szCs w:val="21"/>
          <w:u w:val="none"/>
        </w:rPr>
        <w:fldChar w:fldCharType="separate"/>
      </w:r>
      <w:r>
        <w:rPr>
          <w:i w:val="0"/>
          <w:iCs w:val="0"/>
          <w:sz w:val="21"/>
          <w:szCs w:val="21"/>
          <w:u w:val="none"/>
        </w:rPr>
        <w:t>- 76 -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_Toc16365 </w:instrText>
      </w:r>
      <w:r>
        <w:rPr>
          <w:bCs w:val="0"/>
          <w:i w:val="0"/>
          <w:iCs w:val="0"/>
          <w:caps/>
          <w:sz w:val="21"/>
          <w:szCs w:val="22"/>
          <w:highlight w:val="none"/>
          <w:u w:val="none"/>
        </w:rPr>
        <w:fldChar w:fldCharType="separate"/>
      </w:r>
      <w:r>
        <w:rPr>
          <w:rFonts w:hint="eastAsia"/>
          <w:i w:val="0"/>
          <w:iCs w:val="0"/>
          <w:sz w:val="21"/>
          <w:szCs w:val="21"/>
          <w:highlight w:val="none"/>
          <w:u w:val="none"/>
        </w:rPr>
        <w:t>（一）项目管理机构</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_Toc16365 \h </w:instrText>
      </w:r>
      <w:r>
        <w:rPr>
          <w:i w:val="0"/>
          <w:iCs w:val="0"/>
          <w:sz w:val="21"/>
          <w:szCs w:val="21"/>
          <w:u w:val="none"/>
        </w:rPr>
        <w:fldChar w:fldCharType="separate"/>
      </w:r>
      <w:r>
        <w:rPr>
          <w:i w:val="0"/>
          <w:iCs w:val="0"/>
          <w:sz w:val="21"/>
          <w:szCs w:val="21"/>
          <w:u w:val="none"/>
        </w:rPr>
        <w:t>- 76 -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_Toc30367 </w:instrText>
      </w:r>
      <w:r>
        <w:rPr>
          <w:bCs w:val="0"/>
          <w:i w:val="0"/>
          <w:iCs w:val="0"/>
          <w:caps/>
          <w:sz w:val="21"/>
          <w:szCs w:val="22"/>
          <w:highlight w:val="none"/>
          <w:u w:val="none"/>
        </w:rPr>
        <w:fldChar w:fldCharType="separate"/>
      </w:r>
      <w:r>
        <w:rPr>
          <w:i w:val="0"/>
          <w:iCs w:val="0"/>
          <w:sz w:val="21"/>
          <w:szCs w:val="21"/>
          <w:highlight w:val="none"/>
          <w:u w:val="none"/>
        </w:rPr>
        <w:t>（</w:t>
      </w:r>
      <w:r>
        <w:rPr>
          <w:rFonts w:hint="eastAsia"/>
          <w:i w:val="0"/>
          <w:iCs w:val="0"/>
          <w:sz w:val="21"/>
          <w:szCs w:val="21"/>
          <w:highlight w:val="none"/>
          <w:u w:val="none"/>
        </w:rPr>
        <w:t>二</w:t>
      </w:r>
      <w:r>
        <w:rPr>
          <w:i w:val="0"/>
          <w:iCs w:val="0"/>
          <w:sz w:val="21"/>
          <w:szCs w:val="21"/>
          <w:highlight w:val="none"/>
          <w:u w:val="none"/>
        </w:rPr>
        <w:t>）项目管理机构组成表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_Toc30367 \h </w:instrText>
      </w:r>
      <w:r>
        <w:rPr>
          <w:i w:val="0"/>
          <w:iCs w:val="0"/>
          <w:sz w:val="21"/>
          <w:szCs w:val="21"/>
          <w:u w:val="none"/>
        </w:rPr>
        <w:fldChar w:fldCharType="separate"/>
      </w:r>
      <w:r>
        <w:rPr>
          <w:i w:val="0"/>
          <w:iCs w:val="0"/>
          <w:sz w:val="21"/>
          <w:szCs w:val="21"/>
          <w:u w:val="none"/>
        </w:rPr>
        <w:t>- 78 -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_Toc18214 </w:instrText>
      </w:r>
      <w:r>
        <w:rPr>
          <w:bCs w:val="0"/>
          <w:i w:val="0"/>
          <w:iCs w:val="0"/>
          <w:caps/>
          <w:sz w:val="21"/>
          <w:szCs w:val="22"/>
          <w:highlight w:val="none"/>
          <w:u w:val="none"/>
        </w:rPr>
        <w:fldChar w:fldCharType="separate"/>
      </w:r>
      <w:r>
        <w:rPr>
          <w:i w:val="0"/>
          <w:iCs w:val="0"/>
          <w:sz w:val="21"/>
          <w:szCs w:val="21"/>
          <w:highlight w:val="none"/>
          <w:u w:val="none"/>
        </w:rPr>
        <w:t>（</w:t>
      </w:r>
      <w:r>
        <w:rPr>
          <w:rFonts w:hint="eastAsia"/>
          <w:i w:val="0"/>
          <w:iCs w:val="0"/>
          <w:sz w:val="21"/>
          <w:szCs w:val="21"/>
          <w:highlight w:val="none"/>
          <w:u w:val="none"/>
        </w:rPr>
        <w:t>三</w:t>
      </w:r>
      <w:r>
        <w:rPr>
          <w:i w:val="0"/>
          <w:iCs w:val="0"/>
          <w:sz w:val="21"/>
          <w:szCs w:val="21"/>
          <w:highlight w:val="none"/>
          <w:u w:val="none"/>
        </w:rPr>
        <w:t>）</w:t>
      </w:r>
      <w:r>
        <w:rPr>
          <w:rFonts w:hint="eastAsia"/>
          <w:i w:val="0"/>
          <w:iCs w:val="0"/>
          <w:sz w:val="21"/>
          <w:szCs w:val="21"/>
          <w:highlight w:val="none"/>
          <w:u w:val="none"/>
        </w:rPr>
        <w:t>项目负责人</w:t>
      </w:r>
      <w:r>
        <w:rPr>
          <w:i w:val="0"/>
          <w:iCs w:val="0"/>
          <w:sz w:val="21"/>
          <w:szCs w:val="21"/>
          <w:highlight w:val="none"/>
          <w:u w:val="none"/>
        </w:rPr>
        <w:t>简历表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_Toc18214 \h </w:instrText>
      </w:r>
      <w:r>
        <w:rPr>
          <w:i w:val="0"/>
          <w:iCs w:val="0"/>
          <w:sz w:val="21"/>
          <w:szCs w:val="21"/>
          <w:u w:val="none"/>
        </w:rPr>
        <w:fldChar w:fldCharType="separate"/>
      </w:r>
      <w:r>
        <w:rPr>
          <w:i w:val="0"/>
          <w:iCs w:val="0"/>
          <w:sz w:val="21"/>
          <w:szCs w:val="21"/>
          <w:u w:val="none"/>
        </w:rPr>
        <w:t>- 79 -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_Toc25899 </w:instrText>
      </w:r>
      <w:r>
        <w:rPr>
          <w:bCs w:val="0"/>
          <w:i w:val="0"/>
          <w:iCs w:val="0"/>
          <w:caps/>
          <w:sz w:val="21"/>
          <w:szCs w:val="22"/>
          <w:highlight w:val="none"/>
          <w:u w:val="none"/>
        </w:rPr>
        <w:fldChar w:fldCharType="separate"/>
      </w:r>
      <w:r>
        <w:rPr>
          <w:i w:val="0"/>
          <w:iCs w:val="0"/>
          <w:sz w:val="21"/>
          <w:szCs w:val="21"/>
          <w:highlight w:val="none"/>
          <w:u w:val="none"/>
        </w:rPr>
        <w:t>（</w:t>
      </w:r>
      <w:r>
        <w:rPr>
          <w:rFonts w:hint="eastAsia"/>
          <w:i w:val="0"/>
          <w:iCs w:val="0"/>
          <w:sz w:val="21"/>
          <w:szCs w:val="21"/>
          <w:highlight w:val="none"/>
          <w:u w:val="none"/>
        </w:rPr>
        <w:t>四</w:t>
      </w:r>
      <w:r>
        <w:rPr>
          <w:i w:val="0"/>
          <w:iCs w:val="0"/>
          <w:sz w:val="21"/>
          <w:szCs w:val="21"/>
          <w:highlight w:val="none"/>
          <w:u w:val="none"/>
        </w:rPr>
        <w:t>）</w:t>
      </w:r>
      <w:r>
        <w:rPr>
          <w:rFonts w:hint="eastAsia"/>
          <w:i w:val="0"/>
          <w:iCs w:val="0"/>
          <w:sz w:val="21"/>
          <w:szCs w:val="21"/>
          <w:highlight w:val="none"/>
          <w:u w:val="none"/>
        </w:rPr>
        <w:t>技术负责人</w:t>
      </w:r>
      <w:r>
        <w:rPr>
          <w:i w:val="0"/>
          <w:iCs w:val="0"/>
          <w:sz w:val="21"/>
          <w:szCs w:val="21"/>
          <w:highlight w:val="none"/>
          <w:u w:val="none"/>
        </w:rPr>
        <w:t>简历表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_Toc25899 \h </w:instrText>
      </w:r>
      <w:r>
        <w:rPr>
          <w:i w:val="0"/>
          <w:iCs w:val="0"/>
          <w:sz w:val="21"/>
          <w:szCs w:val="21"/>
          <w:u w:val="none"/>
        </w:rPr>
        <w:fldChar w:fldCharType="separate"/>
      </w:r>
      <w:r>
        <w:rPr>
          <w:i w:val="0"/>
          <w:iCs w:val="0"/>
          <w:sz w:val="21"/>
          <w:szCs w:val="21"/>
          <w:u w:val="none"/>
        </w:rPr>
        <w:t>- 80 -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_Toc21501 </w:instrText>
      </w:r>
      <w:r>
        <w:rPr>
          <w:bCs w:val="0"/>
          <w:i w:val="0"/>
          <w:iCs w:val="0"/>
          <w:caps/>
          <w:sz w:val="21"/>
          <w:szCs w:val="22"/>
          <w:highlight w:val="none"/>
          <w:u w:val="none"/>
        </w:rPr>
        <w:fldChar w:fldCharType="separate"/>
      </w:r>
      <w:r>
        <w:rPr>
          <w:i w:val="0"/>
          <w:iCs w:val="0"/>
          <w:sz w:val="21"/>
          <w:szCs w:val="21"/>
          <w:highlight w:val="none"/>
          <w:u w:val="none"/>
        </w:rPr>
        <w:t>（</w:t>
      </w:r>
      <w:r>
        <w:rPr>
          <w:rFonts w:hint="eastAsia"/>
          <w:i w:val="0"/>
          <w:iCs w:val="0"/>
          <w:sz w:val="21"/>
          <w:szCs w:val="21"/>
          <w:highlight w:val="none"/>
          <w:u w:val="none"/>
        </w:rPr>
        <w:t>五</w:t>
      </w:r>
      <w:r>
        <w:rPr>
          <w:i w:val="0"/>
          <w:iCs w:val="0"/>
          <w:sz w:val="21"/>
          <w:szCs w:val="21"/>
          <w:highlight w:val="none"/>
          <w:u w:val="none"/>
        </w:rPr>
        <w:t>）专职</w:t>
      </w:r>
      <w:r>
        <w:rPr>
          <w:rFonts w:hint="eastAsia"/>
          <w:i w:val="0"/>
          <w:iCs w:val="0"/>
          <w:sz w:val="21"/>
          <w:szCs w:val="21"/>
          <w:highlight w:val="none"/>
          <w:u w:val="none"/>
        </w:rPr>
        <w:t>安全员</w:t>
      </w:r>
      <w:r>
        <w:rPr>
          <w:i w:val="0"/>
          <w:iCs w:val="0"/>
          <w:sz w:val="21"/>
          <w:szCs w:val="21"/>
          <w:highlight w:val="none"/>
          <w:u w:val="none"/>
        </w:rPr>
        <w:t>简历表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_Toc21501 \h </w:instrText>
      </w:r>
      <w:r>
        <w:rPr>
          <w:i w:val="0"/>
          <w:iCs w:val="0"/>
          <w:sz w:val="21"/>
          <w:szCs w:val="21"/>
          <w:u w:val="none"/>
        </w:rPr>
        <w:fldChar w:fldCharType="separate"/>
      </w:r>
      <w:r>
        <w:rPr>
          <w:i w:val="0"/>
          <w:iCs w:val="0"/>
          <w:sz w:val="21"/>
          <w:szCs w:val="21"/>
          <w:u w:val="none"/>
        </w:rPr>
        <w:t>- 81 -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_Toc1493 </w:instrText>
      </w:r>
      <w:r>
        <w:rPr>
          <w:bCs w:val="0"/>
          <w:i w:val="0"/>
          <w:iCs w:val="0"/>
          <w:caps/>
          <w:sz w:val="21"/>
          <w:szCs w:val="22"/>
          <w:highlight w:val="none"/>
          <w:u w:val="none"/>
        </w:rPr>
        <w:fldChar w:fldCharType="separate"/>
      </w:r>
      <w:r>
        <w:rPr>
          <w:i w:val="0"/>
          <w:iCs w:val="0"/>
          <w:sz w:val="21"/>
          <w:szCs w:val="21"/>
          <w:highlight w:val="none"/>
          <w:u w:val="none"/>
        </w:rPr>
        <w:t>（</w:t>
      </w:r>
      <w:r>
        <w:rPr>
          <w:rFonts w:hint="eastAsia"/>
          <w:i w:val="0"/>
          <w:iCs w:val="0"/>
          <w:sz w:val="21"/>
          <w:szCs w:val="21"/>
          <w:highlight w:val="none"/>
          <w:u w:val="none"/>
        </w:rPr>
        <w:t>六</w:t>
      </w:r>
      <w:r>
        <w:rPr>
          <w:i w:val="0"/>
          <w:iCs w:val="0"/>
          <w:sz w:val="21"/>
          <w:szCs w:val="21"/>
          <w:highlight w:val="none"/>
          <w:u w:val="none"/>
        </w:rPr>
        <w:t>）其他主要管理人员和技术人员汇总表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_Toc1493 \h </w:instrText>
      </w:r>
      <w:r>
        <w:rPr>
          <w:i w:val="0"/>
          <w:iCs w:val="0"/>
          <w:sz w:val="21"/>
          <w:szCs w:val="21"/>
          <w:u w:val="none"/>
        </w:rPr>
        <w:fldChar w:fldCharType="separate"/>
      </w:r>
      <w:r>
        <w:rPr>
          <w:i w:val="0"/>
          <w:iCs w:val="0"/>
          <w:sz w:val="21"/>
          <w:szCs w:val="21"/>
          <w:u w:val="none"/>
        </w:rPr>
        <w:t>- 82 -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_Toc10906 </w:instrText>
      </w:r>
      <w:r>
        <w:rPr>
          <w:bCs w:val="0"/>
          <w:i w:val="0"/>
          <w:iCs w:val="0"/>
          <w:caps/>
          <w:sz w:val="21"/>
          <w:szCs w:val="22"/>
          <w:highlight w:val="none"/>
          <w:u w:val="none"/>
        </w:rPr>
        <w:fldChar w:fldCharType="separate"/>
      </w:r>
      <w:r>
        <w:rPr>
          <w:rFonts w:ascii="Times New Roman" w:hAnsi="Times New Roman"/>
          <w:i w:val="0"/>
          <w:iCs w:val="0"/>
          <w:sz w:val="21"/>
          <w:szCs w:val="21"/>
          <w:highlight w:val="none"/>
          <w:u w:val="none"/>
        </w:rPr>
        <w:t>九</w:t>
      </w:r>
      <w:r>
        <w:rPr>
          <w:rFonts w:hint="eastAsia" w:ascii="Times New Roman" w:hAnsi="Times New Roman"/>
          <w:i w:val="0"/>
          <w:iCs w:val="0"/>
          <w:sz w:val="21"/>
          <w:szCs w:val="21"/>
          <w:highlight w:val="none"/>
          <w:u w:val="none"/>
        </w:rPr>
        <w:t>、投标人承诺书</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_Toc10906 \h </w:instrText>
      </w:r>
      <w:r>
        <w:rPr>
          <w:i w:val="0"/>
          <w:iCs w:val="0"/>
          <w:sz w:val="21"/>
          <w:szCs w:val="21"/>
          <w:u w:val="none"/>
        </w:rPr>
        <w:fldChar w:fldCharType="separate"/>
      </w:r>
      <w:r>
        <w:rPr>
          <w:i w:val="0"/>
          <w:iCs w:val="0"/>
          <w:sz w:val="21"/>
          <w:szCs w:val="21"/>
          <w:u w:val="none"/>
        </w:rPr>
        <w:t>- 83 -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_Toc11731 </w:instrText>
      </w:r>
      <w:r>
        <w:rPr>
          <w:bCs w:val="0"/>
          <w:i w:val="0"/>
          <w:iCs w:val="0"/>
          <w:caps/>
          <w:sz w:val="21"/>
          <w:szCs w:val="22"/>
          <w:highlight w:val="none"/>
          <w:u w:val="none"/>
        </w:rPr>
        <w:fldChar w:fldCharType="separate"/>
      </w:r>
      <w:r>
        <w:rPr>
          <w:rFonts w:hint="eastAsia"/>
          <w:i w:val="0"/>
          <w:iCs w:val="0"/>
          <w:sz w:val="21"/>
          <w:szCs w:val="21"/>
          <w:highlight w:val="none"/>
          <w:u w:val="none"/>
        </w:rPr>
        <w:t>十</w:t>
      </w:r>
      <w:r>
        <w:rPr>
          <w:i w:val="0"/>
          <w:iCs w:val="0"/>
          <w:sz w:val="21"/>
          <w:szCs w:val="21"/>
          <w:highlight w:val="none"/>
          <w:u w:val="none"/>
        </w:rPr>
        <w:t>、</w:t>
      </w:r>
      <w:r>
        <w:rPr>
          <w:rFonts w:hint="eastAsia"/>
          <w:i w:val="0"/>
          <w:iCs w:val="0"/>
          <w:sz w:val="21"/>
          <w:szCs w:val="21"/>
          <w:highlight w:val="none"/>
          <w:u w:val="none"/>
        </w:rPr>
        <w:t>中标候选人</w:t>
      </w:r>
      <w:r>
        <w:rPr>
          <w:i w:val="0"/>
          <w:iCs w:val="0"/>
          <w:sz w:val="21"/>
          <w:szCs w:val="21"/>
          <w:highlight w:val="none"/>
          <w:u w:val="none"/>
        </w:rPr>
        <w:t>公示资料表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_Toc11731 \h </w:instrText>
      </w:r>
      <w:r>
        <w:rPr>
          <w:i w:val="0"/>
          <w:iCs w:val="0"/>
          <w:sz w:val="21"/>
          <w:szCs w:val="21"/>
          <w:u w:val="none"/>
        </w:rPr>
        <w:fldChar w:fldCharType="separate"/>
      </w:r>
      <w:r>
        <w:rPr>
          <w:i w:val="0"/>
          <w:iCs w:val="0"/>
          <w:sz w:val="21"/>
          <w:szCs w:val="21"/>
          <w:u w:val="none"/>
        </w:rPr>
        <w:t>- 85 -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_Toc11840 </w:instrText>
      </w:r>
      <w:r>
        <w:rPr>
          <w:bCs w:val="0"/>
          <w:i w:val="0"/>
          <w:iCs w:val="0"/>
          <w:caps/>
          <w:sz w:val="21"/>
          <w:szCs w:val="22"/>
          <w:highlight w:val="none"/>
          <w:u w:val="none"/>
        </w:rPr>
        <w:fldChar w:fldCharType="separate"/>
      </w:r>
      <w:r>
        <w:rPr>
          <w:rFonts w:hint="eastAsia"/>
          <w:i w:val="0"/>
          <w:iCs w:val="0"/>
          <w:sz w:val="21"/>
          <w:szCs w:val="21"/>
          <w:highlight w:val="none"/>
          <w:u w:val="none"/>
        </w:rPr>
        <w:t>十一、投标人认为应提供的其他商务资料</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_Toc11840 \h </w:instrText>
      </w:r>
      <w:r>
        <w:rPr>
          <w:i w:val="0"/>
          <w:iCs w:val="0"/>
          <w:sz w:val="21"/>
          <w:szCs w:val="21"/>
          <w:u w:val="none"/>
        </w:rPr>
        <w:fldChar w:fldCharType="separate"/>
      </w:r>
      <w:r>
        <w:rPr>
          <w:i w:val="0"/>
          <w:iCs w:val="0"/>
          <w:sz w:val="21"/>
          <w:szCs w:val="21"/>
          <w:u w:val="none"/>
        </w:rPr>
        <w:t>- 87 -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_Toc12958 </w:instrText>
      </w:r>
      <w:r>
        <w:rPr>
          <w:bCs w:val="0"/>
          <w:i w:val="0"/>
          <w:iCs w:val="0"/>
          <w:caps/>
          <w:sz w:val="21"/>
          <w:szCs w:val="22"/>
          <w:highlight w:val="none"/>
          <w:u w:val="none"/>
        </w:rPr>
        <w:fldChar w:fldCharType="separate"/>
      </w:r>
      <w:r>
        <w:rPr>
          <w:rFonts w:hint="eastAsia"/>
          <w:i w:val="0"/>
          <w:iCs w:val="0"/>
          <w:sz w:val="21"/>
          <w:szCs w:val="21"/>
          <w:highlight w:val="none"/>
          <w:u w:val="none"/>
        </w:rPr>
        <w:t>十二</w:t>
      </w:r>
      <w:r>
        <w:rPr>
          <w:i w:val="0"/>
          <w:iCs w:val="0"/>
          <w:sz w:val="21"/>
          <w:szCs w:val="21"/>
          <w:highlight w:val="none"/>
          <w:u w:val="none"/>
        </w:rPr>
        <w:t>、已标价工程量清单</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_Toc12958 \h </w:instrText>
      </w:r>
      <w:r>
        <w:rPr>
          <w:i w:val="0"/>
          <w:iCs w:val="0"/>
          <w:sz w:val="21"/>
          <w:szCs w:val="21"/>
          <w:u w:val="none"/>
        </w:rPr>
        <w:fldChar w:fldCharType="separate"/>
      </w:r>
      <w:r>
        <w:rPr>
          <w:i w:val="0"/>
          <w:iCs w:val="0"/>
          <w:sz w:val="21"/>
          <w:szCs w:val="21"/>
          <w:u w:val="none"/>
        </w:rPr>
        <w:t>- 88 -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_Toc26815 </w:instrText>
      </w:r>
      <w:r>
        <w:rPr>
          <w:bCs w:val="0"/>
          <w:i w:val="0"/>
          <w:iCs w:val="0"/>
          <w:caps/>
          <w:sz w:val="21"/>
          <w:szCs w:val="22"/>
          <w:highlight w:val="none"/>
          <w:u w:val="none"/>
        </w:rPr>
        <w:fldChar w:fldCharType="separate"/>
      </w:r>
      <w:r>
        <w:rPr>
          <w:rFonts w:hint="eastAsia" w:ascii="宋体" w:hAnsi="宋体" w:eastAsia="宋体"/>
          <w:i w:val="0"/>
          <w:iCs w:val="0"/>
          <w:sz w:val="21"/>
          <w:szCs w:val="21"/>
          <w:highlight w:val="none"/>
          <w:u w:val="none"/>
        </w:rPr>
        <w:t>技术</w:t>
      </w:r>
      <w:r>
        <w:rPr>
          <w:rFonts w:ascii="宋体" w:hAnsi="宋体" w:eastAsia="宋体"/>
          <w:i w:val="0"/>
          <w:iCs w:val="0"/>
          <w:sz w:val="21"/>
          <w:szCs w:val="21"/>
          <w:highlight w:val="none"/>
          <w:u w:val="none"/>
        </w:rPr>
        <w:t>部分</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_Toc26815 \h </w:instrText>
      </w:r>
      <w:r>
        <w:rPr>
          <w:i w:val="0"/>
          <w:iCs w:val="0"/>
          <w:sz w:val="21"/>
          <w:szCs w:val="21"/>
          <w:u w:val="none"/>
        </w:rPr>
        <w:fldChar w:fldCharType="separate"/>
      </w:r>
      <w:r>
        <w:rPr>
          <w:i w:val="0"/>
          <w:iCs w:val="0"/>
          <w:sz w:val="21"/>
          <w:szCs w:val="21"/>
          <w:u w:val="none"/>
        </w:rPr>
        <w:t>- 89 -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_Toc16415 </w:instrText>
      </w:r>
      <w:r>
        <w:rPr>
          <w:bCs w:val="0"/>
          <w:i w:val="0"/>
          <w:iCs w:val="0"/>
          <w:caps/>
          <w:sz w:val="21"/>
          <w:szCs w:val="22"/>
          <w:highlight w:val="none"/>
          <w:u w:val="none"/>
        </w:rPr>
        <w:fldChar w:fldCharType="separate"/>
      </w:r>
      <w:r>
        <w:rPr>
          <w:rFonts w:hint="eastAsia"/>
          <w:i w:val="0"/>
          <w:iCs w:val="0"/>
          <w:sz w:val="21"/>
          <w:szCs w:val="21"/>
          <w:highlight w:val="none"/>
          <w:u w:val="none"/>
        </w:rPr>
        <w:t>一</w:t>
      </w:r>
      <w:r>
        <w:rPr>
          <w:i w:val="0"/>
          <w:iCs w:val="0"/>
          <w:sz w:val="21"/>
          <w:szCs w:val="21"/>
          <w:highlight w:val="none"/>
          <w:u w:val="none"/>
        </w:rPr>
        <w:t>、</w:t>
      </w:r>
      <w:r>
        <w:rPr>
          <w:rFonts w:hint="eastAsia"/>
          <w:i w:val="0"/>
          <w:iCs w:val="0"/>
          <w:sz w:val="21"/>
          <w:szCs w:val="21"/>
          <w:highlight w:val="none"/>
          <w:u w:val="none"/>
        </w:rPr>
        <w:t>施工</w:t>
      </w:r>
      <w:r>
        <w:rPr>
          <w:i w:val="0"/>
          <w:iCs w:val="0"/>
          <w:sz w:val="21"/>
          <w:szCs w:val="21"/>
          <w:highlight w:val="none"/>
          <w:u w:val="none"/>
        </w:rPr>
        <w:t>组织设计</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_Toc16415 \h </w:instrText>
      </w:r>
      <w:r>
        <w:rPr>
          <w:i w:val="0"/>
          <w:iCs w:val="0"/>
          <w:sz w:val="21"/>
          <w:szCs w:val="21"/>
          <w:u w:val="none"/>
        </w:rPr>
        <w:fldChar w:fldCharType="separate"/>
      </w:r>
      <w:r>
        <w:rPr>
          <w:i w:val="0"/>
          <w:iCs w:val="0"/>
          <w:sz w:val="21"/>
          <w:szCs w:val="21"/>
          <w:u w:val="none"/>
        </w:rPr>
        <w:t>- 89 -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_Toc17000 </w:instrText>
      </w:r>
      <w:r>
        <w:rPr>
          <w:bCs w:val="0"/>
          <w:i w:val="0"/>
          <w:iCs w:val="0"/>
          <w:caps/>
          <w:sz w:val="21"/>
          <w:szCs w:val="22"/>
          <w:highlight w:val="none"/>
          <w:u w:val="none"/>
        </w:rPr>
        <w:fldChar w:fldCharType="separate"/>
      </w:r>
      <w:r>
        <w:rPr>
          <w:rFonts w:eastAsia="黑体" w:cs="宋体"/>
          <w:i w:val="0"/>
          <w:iCs w:val="0"/>
          <w:sz w:val="21"/>
          <w:szCs w:val="21"/>
          <w:highlight w:val="none"/>
          <w:u w:val="none"/>
        </w:rPr>
        <w:t>附表一：拟投入本</w:t>
      </w:r>
      <w:r>
        <w:rPr>
          <w:rFonts w:hint="eastAsia" w:eastAsia="黑体" w:cs="宋体"/>
          <w:i w:val="0"/>
          <w:iCs w:val="0"/>
          <w:sz w:val="21"/>
          <w:szCs w:val="21"/>
          <w:highlight w:val="none"/>
          <w:u w:val="none"/>
        </w:rPr>
        <w:t>项目</w:t>
      </w:r>
      <w:r>
        <w:rPr>
          <w:rFonts w:eastAsia="黑体" w:cs="宋体"/>
          <w:i w:val="0"/>
          <w:iCs w:val="0"/>
          <w:sz w:val="21"/>
          <w:szCs w:val="21"/>
          <w:highlight w:val="none"/>
          <w:u w:val="none"/>
        </w:rPr>
        <w:t>的主要施工设备表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_Toc17000 \h </w:instrText>
      </w:r>
      <w:r>
        <w:rPr>
          <w:i w:val="0"/>
          <w:iCs w:val="0"/>
          <w:sz w:val="21"/>
          <w:szCs w:val="21"/>
          <w:u w:val="none"/>
        </w:rPr>
        <w:fldChar w:fldCharType="separate"/>
      </w:r>
      <w:r>
        <w:rPr>
          <w:i w:val="0"/>
          <w:iCs w:val="0"/>
          <w:sz w:val="21"/>
          <w:szCs w:val="21"/>
          <w:u w:val="none"/>
        </w:rPr>
        <w:t>- 90 -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_Toc317 </w:instrText>
      </w:r>
      <w:r>
        <w:rPr>
          <w:bCs w:val="0"/>
          <w:i w:val="0"/>
          <w:iCs w:val="0"/>
          <w:caps/>
          <w:sz w:val="21"/>
          <w:szCs w:val="22"/>
          <w:highlight w:val="none"/>
          <w:u w:val="none"/>
        </w:rPr>
        <w:fldChar w:fldCharType="separate"/>
      </w:r>
      <w:r>
        <w:rPr>
          <w:rFonts w:eastAsia="黑体" w:cs="宋体"/>
          <w:i w:val="0"/>
          <w:iCs w:val="0"/>
          <w:sz w:val="21"/>
          <w:szCs w:val="21"/>
          <w:highlight w:val="none"/>
          <w:u w:val="none"/>
        </w:rPr>
        <w:t>附表二：拟配备本</w:t>
      </w:r>
      <w:r>
        <w:rPr>
          <w:rFonts w:hint="eastAsia" w:eastAsia="黑体" w:cs="宋体"/>
          <w:i w:val="0"/>
          <w:iCs w:val="0"/>
          <w:sz w:val="21"/>
          <w:szCs w:val="21"/>
          <w:highlight w:val="none"/>
          <w:u w:val="none"/>
        </w:rPr>
        <w:t>项目</w:t>
      </w:r>
      <w:r>
        <w:rPr>
          <w:rFonts w:eastAsia="黑体" w:cs="宋体"/>
          <w:i w:val="0"/>
          <w:iCs w:val="0"/>
          <w:sz w:val="21"/>
          <w:szCs w:val="21"/>
          <w:highlight w:val="none"/>
          <w:u w:val="none"/>
        </w:rPr>
        <w:t>的试验和检测仪器设备表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_Toc317 \h </w:instrText>
      </w:r>
      <w:r>
        <w:rPr>
          <w:i w:val="0"/>
          <w:iCs w:val="0"/>
          <w:sz w:val="21"/>
          <w:szCs w:val="21"/>
          <w:u w:val="none"/>
        </w:rPr>
        <w:fldChar w:fldCharType="separate"/>
      </w:r>
      <w:r>
        <w:rPr>
          <w:i w:val="0"/>
          <w:iCs w:val="0"/>
          <w:sz w:val="21"/>
          <w:szCs w:val="21"/>
          <w:u w:val="none"/>
        </w:rPr>
        <w:t>- 91 -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_Toc5857 </w:instrText>
      </w:r>
      <w:r>
        <w:rPr>
          <w:bCs w:val="0"/>
          <w:i w:val="0"/>
          <w:iCs w:val="0"/>
          <w:caps/>
          <w:sz w:val="21"/>
          <w:szCs w:val="22"/>
          <w:highlight w:val="none"/>
          <w:u w:val="none"/>
        </w:rPr>
        <w:fldChar w:fldCharType="separate"/>
      </w:r>
      <w:r>
        <w:rPr>
          <w:rFonts w:eastAsia="黑体" w:cs="宋体"/>
          <w:i w:val="0"/>
          <w:iCs w:val="0"/>
          <w:sz w:val="21"/>
          <w:szCs w:val="21"/>
          <w:highlight w:val="none"/>
          <w:u w:val="none"/>
        </w:rPr>
        <w:t>附表三：劳动力计划表</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_Toc5857 \h </w:instrText>
      </w:r>
      <w:r>
        <w:rPr>
          <w:i w:val="0"/>
          <w:iCs w:val="0"/>
          <w:sz w:val="21"/>
          <w:szCs w:val="21"/>
          <w:u w:val="none"/>
        </w:rPr>
        <w:fldChar w:fldCharType="separate"/>
      </w:r>
      <w:r>
        <w:rPr>
          <w:i w:val="0"/>
          <w:iCs w:val="0"/>
          <w:sz w:val="21"/>
          <w:szCs w:val="21"/>
          <w:u w:val="none"/>
        </w:rPr>
        <w:t>- 92 -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_Toc13821 </w:instrText>
      </w:r>
      <w:r>
        <w:rPr>
          <w:bCs w:val="0"/>
          <w:i w:val="0"/>
          <w:iCs w:val="0"/>
          <w:caps/>
          <w:sz w:val="21"/>
          <w:szCs w:val="22"/>
          <w:highlight w:val="none"/>
          <w:u w:val="none"/>
        </w:rPr>
        <w:fldChar w:fldCharType="separate"/>
      </w:r>
      <w:r>
        <w:rPr>
          <w:rFonts w:eastAsia="黑体" w:cs="宋体"/>
          <w:i w:val="0"/>
          <w:iCs w:val="0"/>
          <w:sz w:val="21"/>
          <w:szCs w:val="21"/>
          <w:highlight w:val="none"/>
          <w:u w:val="none"/>
        </w:rPr>
        <w:t>附表四：计划开、</w:t>
      </w:r>
      <w:r>
        <w:rPr>
          <w:rFonts w:hint="eastAsia" w:eastAsia="黑体" w:cs="宋体"/>
          <w:i w:val="0"/>
          <w:iCs w:val="0"/>
          <w:sz w:val="21"/>
          <w:szCs w:val="21"/>
          <w:highlight w:val="none"/>
          <w:u w:val="none"/>
        </w:rPr>
        <w:t>竣工</w:t>
      </w:r>
      <w:r>
        <w:rPr>
          <w:rFonts w:eastAsia="黑体" w:cs="宋体"/>
          <w:i w:val="0"/>
          <w:iCs w:val="0"/>
          <w:sz w:val="21"/>
          <w:szCs w:val="21"/>
          <w:highlight w:val="none"/>
          <w:u w:val="none"/>
        </w:rPr>
        <w:t>日期和施工进度网络图</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_Toc13821 \h </w:instrText>
      </w:r>
      <w:r>
        <w:rPr>
          <w:i w:val="0"/>
          <w:iCs w:val="0"/>
          <w:sz w:val="21"/>
          <w:szCs w:val="21"/>
          <w:u w:val="none"/>
        </w:rPr>
        <w:fldChar w:fldCharType="separate"/>
      </w:r>
      <w:r>
        <w:rPr>
          <w:i w:val="0"/>
          <w:iCs w:val="0"/>
          <w:sz w:val="21"/>
          <w:szCs w:val="21"/>
          <w:u w:val="none"/>
        </w:rPr>
        <w:t>- 93 -</w:t>
      </w:r>
      <w:r>
        <w:rPr>
          <w:i w:val="0"/>
          <w:iCs w:val="0"/>
          <w:sz w:val="21"/>
          <w:szCs w:val="21"/>
          <w:u w:val="none"/>
        </w:rPr>
        <w:fldChar w:fldCharType="end"/>
      </w:r>
      <w:r>
        <w:rPr>
          <w:bCs w:val="0"/>
          <w:i w:val="0"/>
          <w:iCs w:val="0"/>
          <w:caps/>
          <w:color w:val="auto"/>
          <w:sz w:val="21"/>
          <w:szCs w:val="22"/>
          <w:highlight w:val="none"/>
          <w:u w:val="none"/>
        </w:rPr>
        <w:fldChar w:fldCharType="end"/>
      </w:r>
    </w:p>
    <w:p>
      <w:pPr>
        <w:pStyle w:val="36"/>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_Toc27544 </w:instrText>
      </w:r>
      <w:r>
        <w:rPr>
          <w:bCs w:val="0"/>
          <w:i w:val="0"/>
          <w:iCs w:val="0"/>
          <w:caps/>
          <w:sz w:val="21"/>
          <w:szCs w:val="22"/>
          <w:highlight w:val="none"/>
          <w:u w:val="none"/>
        </w:rPr>
        <w:fldChar w:fldCharType="separate"/>
      </w:r>
      <w:r>
        <w:rPr>
          <w:rFonts w:eastAsia="黑体" w:cs="宋体"/>
          <w:i w:val="0"/>
          <w:iCs w:val="0"/>
          <w:sz w:val="21"/>
          <w:szCs w:val="21"/>
          <w:highlight w:val="none"/>
          <w:u w:val="none"/>
        </w:rPr>
        <w:t>附表五：施工总平面图</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_Toc27544 \h </w:instrText>
      </w:r>
      <w:r>
        <w:rPr>
          <w:i w:val="0"/>
          <w:iCs w:val="0"/>
          <w:sz w:val="21"/>
          <w:szCs w:val="21"/>
          <w:u w:val="none"/>
        </w:rPr>
        <w:fldChar w:fldCharType="separate"/>
      </w:r>
      <w:r>
        <w:rPr>
          <w:i w:val="0"/>
          <w:iCs w:val="0"/>
          <w:sz w:val="21"/>
          <w:szCs w:val="21"/>
          <w:u w:val="none"/>
        </w:rPr>
        <w:t>- 94 -</w:t>
      </w:r>
      <w:r>
        <w:rPr>
          <w:i w:val="0"/>
          <w:iCs w:val="0"/>
          <w:sz w:val="21"/>
          <w:szCs w:val="21"/>
          <w:u w:val="none"/>
        </w:rPr>
        <w:fldChar w:fldCharType="end"/>
      </w:r>
      <w:r>
        <w:rPr>
          <w:bCs w:val="0"/>
          <w:i w:val="0"/>
          <w:iCs w:val="0"/>
          <w:caps/>
          <w:color w:val="auto"/>
          <w:sz w:val="21"/>
          <w:szCs w:val="22"/>
          <w:highlight w:val="none"/>
          <w:u w:val="none"/>
        </w:rPr>
        <w:fldChar w:fldCharType="end"/>
      </w:r>
    </w:p>
    <w:p>
      <w:pPr>
        <w:pStyle w:val="61"/>
        <w:tabs>
          <w:tab w:val="right" w:leader="dot" w:pos="8788"/>
        </w:tabs>
        <w:rPr>
          <w:i w:val="0"/>
          <w:iCs w:val="0"/>
          <w:sz w:val="21"/>
          <w:szCs w:val="21"/>
          <w:u w:val="none"/>
        </w:rPr>
      </w:pPr>
      <w:r>
        <w:rPr>
          <w:bCs w:val="0"/>
          <w:i w:val="0"/>
          <w:iCs w:val="0"/>
          <w:caps/>
          <w:color w:val="auto"/>
          <w:sz w:val="21"/>
          <w:szCs w:val="22"/>
          <w:highlight w:val="none"/>
          <w:u w:val="none"/>
        </w:rPr>
        <w:fldChar w:fldCharType="begin"/>
      </w:r>
      <w:r>
        <w:rPr>
          <w:bCs w:val="0"/>
          <w:i w:val="0"/>
          <w:iCs w:val="0"/>
          <w:caps/>
          <w:sz w:val="21"/>
          <w:szCs w:val="22"/>
          <w:highlight w:val="none"/>
          <w:u w:val="none"/>
        </w:rPr>
        <w:instrText xml:space="preserve"> HYPERLINK \l _Toc3677 </w:instrText>
      </w:r>
      <w:r>
        <w:rPr>
          <w:bCs w:val="0"/>
          <w:i w:val="0"/>
          <w:iCs w:val="0"/>
          <w:caps/>
          <w:sz w:val="21"/>
          <w:szCs w:val="22"/>
          <w:highlight w:val="none"/>
          <w:u w:val="none"/>
        </w:rPr>
        <w:fldChar w:fldCharType="separate"/>
      </w:r>
      <w:r>
        <w:rPr>
          <w:rFonts w:hint="eastAsia" w:ascii="宋体" w:hAnsi="宋体"/>
          <w:i w:val="0"/>
          <w:iCs w:val="0"/>
          <w:sz w:val="21"/>
          <w:szCs w:val="22"/>
          <w:highlight w:val="none"/>
          <w:u w:val="none"/>
          <w:lang w:val="en-US" w:eastAsia="zh-CN"/>
        </w:rPr>
        <w:t>二</w:t>
      </w:r>
      <w:r>
        <w:rPr>
          <w:rFonts w:hint="eastAsia" w:ascii="宋体" w:hAnsi="宋体"/>
          <w:i w:val="0"/>
          <w:iCs w:val="0"/>
          <w:sz w:val="21"/>
          <w:szCs w:val="22"/>
          <w:highlight w:val="none"/>
          <w:u w:val="none"/>
        </w:rPr>
        <w:t>、</w:t>
      </w:r>
      <w:r>
        <w:rPr>
          <w:rFonts w:hint="eastAsia"/>
          <w:i w:val="0"/>
          <w:iCs w:val="0"/>
          <w:sz w:val="21"/>
          <w:szCs w:val="21"/>
          <w:highlight w:val="none"/>
          <w:u w:val="none"/>
        </w:rPr>
        <w:t>投标人认为应提供的其他技术资料</w:t>
      </w:r>
      <w:r>
        <w:rPr>
          <w:i w:val="0"/>
          <w:iCs w:val="0"/>
          <w:sz w:val="21"/>
          <w:szCs w:val="21"/>
          <w:u w:val="none"/>
        </w:rPr>
        <w:tab/>
      </w:r>
      <w:r>
        <w:rPr>
          <w:i w:val="0"/>
          <w:iCs w:val="0"/>
          <w:sz w:val="21"/>
          <w:szCs w:val="21"/>
          <w:u w:val="none"/>
        </w:rPr>
        <w:fldChar w:fldCharType="begin"/>
      </w:r>
      <w:r>
        <w:rPr>
          <w:i w:val="0"/>
          <w:iCs w:val="0"/>
          <w:sz w:val="21"/>
          <w:szCs w:val="21"/>
          <w:u w:val="none"/>
        </w:rPr>
        <w:instrText xml:space="preserve"> PAGEREF _Toc3677 \h </w:instrText>
      </w:r>
      <w:r>
        <w:rPr>
          <w:i w:val="0"/>
          <w:iCs w:val="0"/>
          <w:sz w:val="21"/>
          <w:szCs w:val="21"/>
          <w:u w:val="none"/>
        </w:rPr>
        <w:fldChar w:fldCharType="separate"/>
      </w:r>
      <w:r>
        <w:rPr>
          <w:i w:val="0"/>
          <w:iCs w:val="0"/>
          <w:sz w:val="21"/>
          <w:szCs w:val="21"/>
          <w:u w:val="none"/>
        </w:rPr>
        <w:t>- 95 -</w:t>
      </w:r>
      <w:r>
        <w:rPr>
          <w:i w:val="0"/>
          <w:iCs w:val="0"/>
          <w:sz w:val="21"/>
          <w:szCs w:val="21"/>
          <w:u w:val="none"/>
        </w:rPr>
        <w:fldChar w:fldCharType="end"/>
      </w:r>
      <w:r>
        <w:rPr>
          <w:bCs w:val="0"/>
          <w:i w:val="0"/>
          <w:iCs w:val="0"/>
          <w:caps/>
          <w:color w:val="auto"/>
          <w:sz w:val="21"/>
          <w:szCs w:val="22"/>
          <w:highlight w:val="none"/>
          <w:u w:val="none"/>
        </w:rPr>
        <w:fldChar w:fldCharType="end"/>
      </w:r>
    </w:p>
    <w:p>
      <w:pPr>
        <w:pStyle w:val="4"/>
        <w:jc w:val="center"/>
        <w:rPr>
          <w:b w:val="0"/>
          <w:bCs w:val="0"/>
          <w:color w:val="auto"/>
          <w:kern w:val="2"/>
          <w:sz w:val="32"/>
          <w:szCs w:val="32"/>
          <w:highlight w:val="none"/>
        </w:rPr>
      </w:pPr>
      <w:r>
        <w:rPr>
          <w:bCs w:val="0"/>
          <w:i w:val="0"/>
          <w:iCs w:val="0"/>
          <w:caps/>
          <w:color w:val="auto"/>
          <w:sz w:val="48"/>
          <w:szCs w:val="22"/>
          <w:highlight w:val="none"/>
          <w:u w:val="none"/>
        </w:rPr>
        <w:fldChar w:fldCharType="end"/>
      </w:r>
      <w:bookmarkEnd w:id="9"/>
      <w:bookmarkEnd w:id="10"/>
      <w:bookmarkEnd w:id="11"/>
      <w:bookmarkStart w:id="12" w:name="_Toc8114"/>
      <w:bookmarkStart w:id="13" w:name="_Toc247085671"/>
      <w:bookmarkStart w:id="14" w:name="_Toc246996900"/>
      <w:bookmarkStart w:id="15" w:name="_Toc246996157"/>
      <w:bookmarkStart w:id="16" w:name="_Toc152042287"/>
      <w:bookmarkStart w:id="17" w:name="_Toc247096243"/>
      <w:bookmarkStart w:id="18" w:name="_Toc152045511"/>
      <w:bookmarkStart w:id="19" w:name="_Toc144974479"/>
      <w:bookmarkStart w:id="20" w:name="_Toc179632527"/>
      <w:r>
        <w:rPr>
          <w:color w:val="auto"/>
          <w:szCs w:val="21"/>
          <w:highlight w:val="none"/>
          <w:u w:val="single"/>
        </w:rPr>
        <w:br w:type="page"/>
      </w:r>
      <w:r>
        <w:rPr>
          <w:rFonts w:hint="eastAsia"/>
          <w:color w:val="auto"/>
          <w:highlight w:val="none"/>
        </w:rPr>
        <w:t>投标文件否决性条款摘要</w:t>
      </w:r>
      <w:bookmarkEnd w:id="12"/>
    </w:p>
    <w:p>
      <w:pPr>
        <w:adjustRightInd w:val="0"/>
        <w:snapToGrid w:val="0"/>
        <w:spacing w:line="360" w:lineRule="auto"/>
        <w:ind w:firstLine="424" w:firstLineChars="202"/>
        <w:rPr>
          <w:color w:val="auto"/>
          <w:szCs w:val="21"/>
          <w:highlight w:val="none"/>
        </w:rPr>
      </w:pPr>
      <w:r>
        <w:rPr>
          <w:color w:val="auto"/>
          <w:szCs w:val="21"/>
          <w:highlight w:val="none"/>
        </w:rPr>
        <w:t>本章节是本招标文件（含招标文件的澄清、补充文件等）中涉及的所有否决性条款的摘要，否决性条款包括：不予受理、无效标、否决性条款。除出现以下情形外，投标文件的其他任何情形均不得作否决处理。招标文件中有关否决性条款的阐述与本章节不一致的，以本章节内容为准。</w:t>
      </w:r>
    </w:p>
    <w:p>
      <w:pPr>
        <w:adjustRightInd w:val="0"/>
        <w:snapToGrid w:val="0"/>
        <w:spacing w:line="360" w:lineRule="auto"/>
        <w:ind w:firstLine="424" w:firstLineChars="201"/>
        <w:rPr>
          <w:b/>
          <w:color w:val="auto"/>
          <w:szCs w:val="21"/>
          <w:highlight w:val="none"/>
        </w:rPr>
      </w:pPr>
      <w:r>
        <w:rPr>
          <w:b/>
          <w:color w:val="auto"/>
          <w:szCs w:val="21"/>
          <w:highlight w:val="none"/>
        </w:rPr>
        <w:t>（一）开标阶段不予受理的情形</w:t>
      </w:r>
    </w:p>
    <w:p>
      <w:pPr>
        <w:adjustRightInd w:val="0"/>
        <w:snapToGrid w:val="0"/>
        <w:spacing w:line="360" w:lineRule="auto"/>
        <w:ind w:firstLine="424" w:firstLineChars="202"/>
        <w:rPr>
          <w:color w:val="auto"/>
          <w:szCs w:val="21"/>
          <w:highlight w:val="none"/>
        </w:rPr>
      </w:pPr>
      <w:r>
        <w:rPr>
          <w:color w:val="auto"/>
          <w:szCs w:val="21"/>
          <w:highlight w:val="none"/>
        </w:rPr>
        <w:t>1. 第一章招标公告中 /5.2逾期送达的投标文件，电子招标投标交易平台将予以拒收。采取电子投标时，逾期未上传成功的电子投标文件，招标人拒绝接收。</w:t>
      </w:r>
    </w:p>
    <w:p>
      <w:pPr>
        <w:adjustRightInd w:val="0"/>
        <w:snapToGrid w:val="0"/>
        <w:spacing w:line="360" w:lineRule="auto"/>
        <w:ind w:firstLine="424" w:firstLineChars="202"/>
        <w:rPr>
          <w:color w:val="auto"/>
          <w:szCs w:val="21"/>
          <w:highlight w:val="none"/>
        </w:rPr>
      </w:pPr>
      <w:r>
        <w:rPr>
          <w:color w:val="auto"/>
          <w:szCs w:val="21"/>
          <w:highlight w:val="none"/>
        </w:rPr>
        <w:t>2. 第二章投标人须知 /4.1.3未按本章第4.1.1项要求加密的投标文件，招标人将予以拒收。</w:t>
      </w:r>
    </w:p>
    <w:p>
      <w:pPr>
        <w:adjustRightInd w:val="0"/>
        <w:snapToGrid w:val="0"/>
        <w:spacing w:line="360" w:lineRule="auto"/>
        <w:ind w:firstLine="424" w:firstLineChars="202"/>
        <w:rPr>
          <w:color w:val="auto"/>
          <w:szCs w:val="21"/>
          <w:highlight w:val="none"/>
        </w:rPr>
      </w:pPr>
      <w:r>
        <w:rPr>
          <w:color w:val="auto"/>
          <w:szCs w:val="21"/>
          <w:highlight w:val="none"/>
        </w:rPr>
        <w:t>3. 第二章投标人须知 /4.2.5逾期送达的投标文件，电子招标投标交易平台将予以拒收。</w:t>
      </w:r>
    </w:p>
    <w:p>
      <w:pPr>
        <w:adjustRightInd w:val="0"/>
        <w:snapToGrid w:val="0"/>
        <w:spacing w:line="360" w:lineRule="auto"/>
        <w:ind w:firstLine="424" w:firstLineChars="201"/>
        <w:rPr>
          <w:b/>
          <w:color w:val="auto"/>
          <w:szCs w:val="21"/>
          <w:highlight w:val="none"/>
        </w:rPr>
      </w:pPr>
      <w:r>
        <w:rPr>
          <w:b/>
          <w:color w:val="auto"/>
          <w:szCs w:val="21"/>
          <w:highlight w:val="none"/>
        </w:rPr>
        <w:t>（二）评标阶段有关无效标的情形</w:t>
      </w:r>
    </w:p>
    <w:p>
      <w:pPr>
        <w:adjustRightInd w:val="0"/>
        <w:snapToGrid w:val="0"/>
        <w:spacing w:line="360" w:lineRule="auto"/>
        <w:ind w:firstLine="424" w:firstLineChars="202"/>
        <w:rPr>
          <w:color w:val="auto"/>
          <w:szCs w:val="21"/>
          <w:highlight w:val="none"/>
        </w:rPr>
      </w:pPr>
      <w:r>
        <w:rPr>
          <w:color w:val="auto"/>
          <w:szCs w:val="21"/>
          <w:highlight w:val="none"/>
        </w:rPr>
        <w:t>1. 第二章投标人须知 /1.4.2（3）联合体各方不得再以自己名义单独或参加其他联合体在本招标项目中投标，否则各相关投标均无效。</w:t>
      </w:r>
    </w:p>
    <w:p>
      <w:pPr>
        <w:adjustRightInd w:val="0"/>
        <w:snapToGrid w:val="0"/>
        <w:spacing w:line="360" w:lineRule="auto"/>
        <w:ind w:firstLine="424" w:firstLineChars="202"/>
        <w:rPr>
          <w:color w:val="auto"/>
          <w:szCs w:val="21"/>
          <w:highlight w:val="none"/>
        </w:rPr>
      </w:pPr>
      <w:r>
        <w:rPr>
          <w:color w:val="auto"/>
          <w:szCs w:val="21"/>
          <w:highlight w:val="none"/>
        </w:rPr>
        <w:t>2. 第二章投标人须知 /1.4.3投标人不得存在下列情形之一：</w:t>
      </w:r>
    </w:p>
    <w:p>
      <w:pPr>
        <w:adjustRightInd w:val="0"/>
        <w:snapToGrid w:val="0"/>
        <w:spacing w:line="360" w:lineRule="auto"/>
        <w:ind w:firstLine="424" w:firstLineChars="202"/>
        <w:rPr>
          <w:color w:val="auto"/>
          <w:szCs w:val="21"/>
          <w:highlight w:val="none"/>
        </w:rPr>
      </w:pPr>
      <w:r>
        <w:rPr>
          <w:rFonts w:hint="eastAsia"/>
          <w:color w:val="auto"/>
          <w:szCs w:val="21"/>
          <w:highlight w:val="none"/>
        </w:rPr>
        <w:t>（1）为招标人不具有独立法人资格的附属机构（单位）；</w:t>
      </w:r>
    </w:p>
    <w:p>
      <w:pPr>
        <w:adjustRightInd w:val="0"/>
        <w:snapToGrid w:val="0"/>
        <w:spacing w:line="360" w:lineRule="auto"/>
        <w:ind w:firstLine="424" w:firstLineChars="202"/>
        <w:rPr>
          <w:color w:val="auto"/>
          <w:szCs w:val="21"/>
          <w:highlight w:val="none"/>
        </w:rPr>
      </w:pPr>
      <w:r>
        <w:rPr>
          <w:rFonts w:hint="eastAsia"/>
          <w:color w:val="auto"/>
          <w:szCs w:val="21"/>
          <w:highlight w:val="none"/>
        </w:rPr>
        <w:t xml:space="preserve">（2）为本招标项目前期准备提供设计或咨询服务的； </w:t>
      </w:r>
    </w:p>
    <w:p>
      <w:pPr>
        <w:adjustRightInd w:val="0"/>
        <w:snapToGrid w:val="0"/>
        <w:spacing w:line="360" w:lineRule="auto"/>
        <w:ind w:firstLine="424" w:firstLineChars="202"/>
        <w:rPr>
          <w:color w:val="auto"/>
          <w:szCs w:val="21"/>
          <w:highlight w:val="none"/>
        </w:rPr>
      </w:pPr>
      <w:r>
        <w:rPr>
          <w:rFonts w:hint="eastAsia"/>
          <w:color w:val="auto"/>
          <w:szCs w:val="21"/>
          <w:highlight w:val="none"/>
        </w:rPr>
        <w:t>（3）为本招标项目的监理人；</w:t>
      </w:r>
    </w:p>
    <w:p>
      <w:pPr>
        <w:adjustRightInd w:val="0"/>
        <w:snapToGrid w:val="0"/>
        <w:spacing w:line="360" w:lineRule="auto"/>
        <w:ind w:firstLine="424" w:firstLineChars="202"/>
        <w:rPr>
          <w:color w:val="auto"/>
          <w:szCs w:val="21"/>
          <w:highlight w:val="none"/>
        </w:rPr>
      </w:pPr>
      <w:r>
        <w:rPr>
          <w:rFonts w:hint="eastAsia"/>
          <w:color w:val="auto"/>
          <w:szCs w:val="21"/>
          <w:highlight w:val="none"/>
        </w:rPr>
        <w:t xml:space="preserve">（4）为本招标项目的代建人； </w:t>
      </w:r>
    </w:p>
    <w:p>
      <w:pPr>
        <w:adjustRightInd w:val="0"/>
        <w:snapToGrid w:val="0"/>
        <w:spacing w:line="360" w:lineRule="auto"/>
        <w:ind w:firstLine="424" w:firstLineChars="202"/>
        <w:rPr>
          <w:color w:val="auto"/>
          <w:szCs w:val="21"/>
          <w:highlight w:val="none"/>
        </w:rPr>
      </w:pPr>
      <w:r>
        <w:rPr>
          <w:rFonts w:hint="eastAsia"/>
          <w:color w:val="auto"/>
          <w:szCs w:val="21"/>
          <w:highlight w:val="none"/>
        </w:rPr>
        <w:t xml:space="preserve">（5）为本招标项目提供招标代理服务的； </w:t>
      </w:r>
    </w:p>
    <w:p>
      <w:pPr>
        <w:adjustRightInd w:val="0"/>
        <w:snapToGrid w:val="0"/>
        <w:spacing w:line="360" w:lineRule="auto"/>
        <w:ind w:firstLine="424" w:firstLineChars="202"/>
        <w:rPr>
          <w:color w:val="auto"/>
          <w:szCs w:val="21"/>
          <w:highlight w:val="none"/>
        </w:rPr>
      </w:pPr>
      <w:r>
        <w:rPr>
          <w:rFonts w:hint="eastAsia"/>
          <w:color w:val="auto"/>
          <w:szCs w:val="21"/>
          <w:highlight w:val="none"/>
        </w:rPr>
        <w:t>（6）与本招标项目的监理人或代建人或招标代理机构同为一个法定代表人的；</w:t>
      </w:r>
    </w:p>
    <w:p>
      <w:pPr>
        <w:adjustRightInd w:val="0"/>
        <w:snapToGrid w:val="0"/>
        <w:spacing w:line="360" w:lineRule="auto"/>
        <w:ind w:firstLine="424" w:firstLineChars="202"/>
        <w:rPr>
          <w:color w:val="auto"/>
          <w:szCs w:val="21"/>
          <w:highlight w:val="none"/>
        </w:rPr>
      </w:pPr>
      <w:r>
        <w:rPr>
          <w:rFonts w:hint="eastAsia"/>
          <w:color w:val="auto"/>
          <w:szCs w:val="21"/>
          <w:highlight w:val="none"/>
        </w:rPr>
        <w:t>（7）与本招标项目的监理人或代建人或招标代理机构相互控股或参股的；</w:t>
      </w:r>
    </w:p>
    <w:p>
      <w:pPr>
        <w:adjustRightInd w:val="0"/>
        <w:snapToGrid w:val="0"/>
        <w:spacing w:line="360" w:lineRule="auto"/>
        <w:ind w:firstLine="424" w:firstLineChars="202"/>
        <w:rPr>
          <w:color w:val="auto"/>
          <w:szCs w:val="21"/>
          <w:highlight w:val="none"/>
        </w:rPr>
      </w:pPr>
      <w:r>
        <w:rPr>
          <w:rFonts w:hint="eastAsia"/>
          <w:color w:val="auto"/>
          <w:szCs w:val="21"/>
          <w:highlight w:val="none"/>
        </w:rPr>
        <w:t>（8）与本招标项目的监理人或代建人或招标代理机构相互任职或工作的；</w:t>
      </w:r>
    </w:p>
    <w:p>
      <w:pPr>
        <w:adjustRightInd w:val="0"/>
        <w:snapToGrid w:val="0"/>
        <w:spacing w:line="360" w:lineRule="auto"/>
        <w:ind w:firstLine="424" w:firstLineChars="202"/>
        <w:rPr>
          <w:color w:val="auto"/>
          <w:szCs w:val="21"/>
          <w:highlight w:val="none"/>
        </w:rPr>
      </w:pPr>
      <w:r>
        <w:rPr>
          <w:rFonts w:hint="eastAsia"/>
          <w:color w:val="auto"/>
          <w:szCs w:val="21"/>
          <w:highlight w:val="none"/>
        </w:rPr>
        <w:t xml:space="preserve">（9）被责令停业、暂扣或者吊销许可证、暂扣或者吊销执照的（本项事实应当以根据《中华人民共和国行政处罚法》依法作出并已经生效的行政处罚决定为认定依据）； </w:t>
      </w:r>
    </w:p>
    <w:p>
      <w:pPr>
        <w:adjustRightInd w:val="0"/>
        <w:snapToGrid w:val="0"/>
        <w:spacing w:line="360" w:lineRule="auto"/>
        <w:ind w:firstLine="424" w:firstLineChars="202"/>
        <w:rPr>
          <w:color w:val="auto"/>
          <w:szCs w:val="21"/>
          <w:highlight w:val="none"/>
        </w:rPr>
      </w:pPr>
      <w:r>
        <w:rPr>
          <w:rFonts w:hint="eastAsia"/>
          <w:color w:val="auto"/>
          <w:szCs w:val="21"/>
          <w:highlight w:val="none"/>
        </w:rPr>
        <w:t xml:space="preserve">（10）被依法暂停或者取消投标资格的（本项事实应当以根据《中华人民共和国行政处罚法》依法作出并已经生效的行政处罚决定为认定依据。行政处罚决定中已经明确的暂停或取消投标资格的区域范围不包含本招标项目建设地点的，不受该项规定限制）； </w:t>
      </w:r>
    </w:p>
    <w:p>
      <w:pPr>
        <w:adjustRightInd w:val="0"/>
        <w:snapToGrid w:val="0"/>
        <w:spacing w:line="360" w:lineRule="auto"/>
        <w:ind w:firstLine="424" w:firstLineChars="202"/>
        <w:rPr>
          <w:color w:val="auto"/>
          <w:szCs w:val="21"/>
          <w:highlight w:val="none"/>
        </w:rPr>
      </w:pPr>
      <w:r>
        <w:rPr>
          <w:rFonts w:hint="eastAsia"/>
          <w:color w:val="auto"/>
          <w:szCs w:val="21"/>
          <w:highlight w:val="none"/>
        </w:rPr>
        <w:t>（11）进入清算程序，或被宣告破产，或其他丧失履约能力的情形的；</w:t>
      </w:r>
    </w:p>
    <w:p>
      <w:pPr>
        <w:adjustRightInd w:val="0"/>
        <w:snapToGrid w:val="0"/>
        <w:spacing w:line="360" w:lineRule="auto"/>
        <w:ind w:firstLine="424" w:firstLineChars="202"/>
        <w:rPr>
          <w:color w:val="auto"/>
          <w:szCs w:val="21"/>
          <w:highlight w:val="none"/>
        </w:rPr>
      </w:pPr>
      <w:r>
        <w:rPr>
          <w:rFonts w:hint="eastAsia"/>
          <w:color w:val="auto"/>
          <w:szCs w:val="21"/>
          <w:highlight w:val="none"/>
        </w:rPr>
        <w:t>（12）在最近五年内有严重违约或发生重大施工质量问题（“严重违约”事实应当以司法机关、仲裁机构出具的认定文件为准。“重大施工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pPr>
        <w:adjustRightInd w:val="0"/>
        <w:snapToGrid w:val="0"/>
        <w:spacing w:line="360" w:lineRule="auto"/>
        <w:ind w:firstLine="424" w:firstLineChars="202"/>
        <w:rPr>
          <w:color w:val="auto"/>
          <w:szCs w:val="21"/>
          <w:highlight w:val="none"/>
        </w:rPr>
      </w:pPr>
      <w:r>
        <w:rPr>
          <w:rFonts w:hint="eastAsia"/>
          <w:color w:val="auto"/>
          <w:szCs w:val="21"/>
          <w:highlight w:val="none"/>
        </w:rPr>
        <w:t>（13）在“信用中国”网站（www.creditchina.gov.cn）或各级信用信息共享平台中被列入拖欠农民工工资失信联合惩戒对象名单；</w:t>
      </w:r>
    </w:p>
    <w:p>
      <w:pPr>
        <w:adjustRightInd w:val="0"/>
        <w:snapToGrid w:val="0"/>
        <w:spacing w:line="360" w:lineRule="auto"/>
        <w:ind w:firstLine="424" w:firstLineChars="202"/>
        <w:rPr>
          <w:color w:val="auto"/>
          <w:szCs w:val="21"/>
          <w:highlight w:val="none"/>
        </w:rPr>
      </w:pPr>
      <w:r>
        <w:rPr>
          <w:color w:val="auto"/>
          <w:szCs w:val="21"/>
          <w:highlight w:val="none"/>
        </w:rPr>
        <w:t>（14）法律法规或投标人须知前附表规定的其他情形：</w:t>
      </w:r>
    </w:p>
    <w:p>
      <w:pPr>
        <w:adjustRightInd w:val="0"/>
        <w:snapToGrid w:val="0"/>
        <w:spacing w:line="360" w:lineRule="auto"/>
        <w:ind w:firstLine="424" w:firstLineChars="202"/>
        <w:rPr>
          <w:color w:val="auto"/>
          <w:szCs w:val="21"/>
          <w:highlight w:val="none"/>
        </w:rPr>
      </w:pPr>
      <w:r>
        <w:rPr>
          <w:rFonts w:hint="eastAsia"/>
          <w:color w:val="auto"/>
          <w:szCs w:val="21"/>
          <w:highlight w:val="none"/>
        </w:rPr>
        <w:t>在近五年内（自2020年1月1日至今）在以往工程中出现过较大及以上安全事故；</w:t>
      </w:r>
    </w:p>
    <w:p>
      <w:pPr>
        <w:snapToGrid w:val="0"/>
        <w:spacing w:line="360" w:lineRule="auto"/>
        <w:ind w:firstLine="424" w:firstLineChars="202"/>
        <w:rPr>
          <w:color w:val="auto"/>
          <w:szCs w:val="21"/>
          <w:highlight w:val="none"/>
        </w:rPr>
      </w:pPr>
      <w:r>
        <w:rPr>
          <w:color w:val="auto"/>
          <w:szCs w:val="21"/>
          <w:highlight w:val="none"/>
        </w:rPr>
        <w:t>3. 第二章投标人须知 /1.4.4单位负责人为同一人或者存在控股、管理关系的不同单位，不得同时参加本招标项目投标。</w:t>
      </w:r>
    </w:p>
    <w:p>
      <w:pPr>
        <w:adjustRightInd w:val="0"/>
        <w:snapToGrid w:val="0"/>
        <w:spacing w:line="360" w:lineRule="auto"/>
        <w:ind w:firstLine="424" w:firstLineChars="201"/>
        <w:rPr>
          <w:b/>
          <w:color w:val="auto"/>
          <w:szCs w:val="21"/>
          <w:highlight w:val="none"/>
        </w:rPr>
      </w:pPr>
      <w:r>
        <w:rPr>
          <w:b/>
          <w:color w:val="auto"/>
          <w:szCs w:val="21"/>
          <w:highlight w:val="none"/>
        </w:rPr>
        <w:t>（三）评标阶段有关投标被否决的情形</w:t>
      </w:r>
    </w:p>
    <w:p>
      <w:pPr>
        <w:snapToGrid w:val="0"/>
        <w:spacing w:line="360" w:lineRule="auto"/>
        <w:ind w:firstLine="424" w:firstLineChars="202"/>
        <w:rPr>
          <w:color w:val="auto"/>
          <w:szCs w:val="21"/>
          <w:highlight w:val="none"/>
        </w:rPr>
      </w:pPr>
      <w:r>
        <w:rPr>
          <w:color w:val="auto"/>
          <w:szCs w:val="21"/>
          <w:highlight w:val="none"/>
        </w:rPr>
        <w:t>1. 第二章投标人须知前附表/3.2.3投标人的投标报价不得低于其成本价或高于最高投标限价。否则投标将被否决。</w:t>
      </w:r>
    </w:p>
    <w:p>
      <w:pPr>
        <w:snapToGrid w:val="0"/>
        <w:spacing w:line="360" w:lineRule="auto"/>
        <w:ind w:firstLine="424" w:firstLineChars="202"/>
        <w:rPr>
          <w:color w:val="auto"/>
          <w:szCs w:val="21"/>
          <w:highlight w:val="none"/>
        </w:rPr>
      </w:pPr>
      <w:r>
        <w:rPr>
          <w:color w:val="auto"/>
          <w:szCs w:val="21"/>
          <w:highlight w:val="none"/>
        </w:rPr>
        <w:t>2. 第二章投标人须知/3.4.2投标人不按本章第3.4.1项要求提交投标保证金的，评标委员会将否决其投标。</w:t>
      </w:r>
    </w:p>
    <w:p>
      <w:pPr>
        <w:snapToGrid w:val="0"/>
        <w:spacing w:line="360" w:lineRule="auto"/>
        <w:ind w:firstLine="424" w:firstLineChars="202"/>
        <w:rPr>
          <w:color w:val="auto"/>
          <w:szCs w:val="21"/>
          <w:highlight w:val="none"/>
        </w:rPr>
      </w:pPr>
      <w:r>
        <w:rPr>
          <w:color w:val="auto"/>
          <w:szCs w:val="21"/>
          <w:highlight w:val="none"/>
        </w:rPr>
        <w:t>3. 第三章评标方法/3.1.1评标委员会依据本章第2.1款规定的标准对投标文件进行初步评审。有一项不符合评审标准的，评标委员会应当否决其投标。</w:t>
      </w:r>
    </w:p>
    <w:p>
      <w:pPr>
        <w:spacing w:line="360" w:lineRule="auto"/>
        <w:ind w:firstLine="420" w:firstLineChars="200"/>
        <w:rPr>
          <w:color w:val="auto"/>
          <w:szCs w:val="21"/>
          <w:highlight w:val="none"/>
        </w:rPr>
      </w:pPr>
      <w:r>
        <w:rPr>
          <w:color w:val="auto"/>
          <w:szCs w:val="21"/>
          <w:highlight w:val="none"/>
        </w:rPr>
        <w:t>4. 第三章评标方法/3.1.2投标人有以下情形之一的，评标委员会应当否决其投标：</w:t>
      </w:r>
    </w:p>
    <w:p>
      <w:pPr>
        <w:spacing w:line="360" w:lineRule="auto"/>
        <w:ind w:firstLine="718" w:firstLineChars="342"/>
        <w:rPr>
          <w:color w:val="auto"/>
          <w:szCs w:val="21"/>
          <w:highlight w:val="none"/>
        </w:rPr>
      </w:pPr>
      <w:r>
        <w:rPr>
          <w:color w:val="auto"/>
          <w:szCs w:val="21"/>
          <w:highlight w:val="none"/>
        </w:rPr>
        <w:t>（1）第二章“投标人须知”第1.4.2项、第1.4.3项规定的任何一种情形的；</w:t>
      </w:r>
    </w:p>
    <w:p>
      <w:pPr>
        <w:spacing w:line="360" w:lineRule="auto"/>
        <w:ind w:firstLine="718" w:firstLineChars="342"/>
        <w:rPr>
          <w:color w:val="auto"/>
          <w:szCs w:val="21"/>
          <w:highlight w:val="none"/>
        </w:rPr>
      </w:pPr>
      <w:r>
        <w:rPr>
          <w:color w:val="auto"/>
          <w:szCs w:val="21"/>
          <w:highlight w:val="none"/>
        </w:rPr>
        <w:t>（2）串通投标或弄虚作假或有其他违法行为的；</w:t>
      </w:r>
    </w:p>
    <w:p>
      <w:pPr>
        <w:spacing w:line="360" w:lineRule="auto"/>
        <w:ind w:firstLine="718" w:firstLineChars="342"/>
        <w:rPr>
          <w:color w:val="auto"/>
          <w:szCs w:val="21"/>
          <w:highlight w:val="none"/>
        </w:rPr>
      </w:pPr>
      <w:r>
        <w:rPr>
          <w:color w:val="auto"/>
          <w:szCs w:val="21"/>
          <w:highlight w:val="none"/>
        </w:rPr>
        <w:t>（3）不按评标委员会要求澄清、说明或补正的。</w:t>
      </w:r>
    </w:p>
    <w:p>
      <w:pPr>
        <w:spacing w:line="360" w:lineRule="auto"/>
        <w:ind w:firstLine="420" w:firstLineChars="200"/>
        <w:rPr>
          <w:color w:val="auto"/>
          <w:szCs w:val="21"/>
          <w:highlight w:val="none"/>
        </w:rPr>
      </w:pPr>
      <w:r>
        <w:rPr>
          <w:color w:val="auto"/>
          <w:szCs w:val="21"/>
          <w:highlight w:val="none"/>
        </w:rPr>
        <w:t>5. 第三章评标方法/3.1.3投标报价有算术错误的，评标委员会按以下原则对投标报价进行修正，修正的价格经投标人书面确认后具有约束力。投标人不接受修正价格的，评标委员会应当否决其投标。</w:t>
      </w:r>
    </w:p>
    <w:p>
      <w:pPr>
        <w:spacing w:line="360" w:lineRule="auto"/>
        <w:ind w:firstLine="718" w:firstLineChars="342"/>
        <w:rPr>
          <w:color w:val="auto"/>
          <w:szCs w:val="21"/>
          <w:highlight w:val="none"/>
        </w:rPr>
      </w:pPr>
      <w:r>
        <w:rPr>
          <w:color w:val="auto"/>
          <w:szCs w:val="21"/>
          <w:highlight w:val="none"/>
        </w:rPr>
        <w:t>（1）投标文件中的大写金额与小写金额不一致的，以大写金额为准；</w:t>
      </w:r>
    </w:p>
    <w:p>
      <w:pPr>
        <w:spacing w:line="360" w:lineRule="auto"/>
        <w:ind w:firstLine="718" w:firstLineChars="342"/>
        <w:rPr>
          <w:color w:val="auto"/>
          <w:szCs w:val="21"/>
          <w:highlight w:val="none"/>
        </w:rPr>
      </w:pPr>
      <w:r>
        <w:rPr>
          <w:color w:val="auto"/>
          <w:szCs w:val="21"/>
          <w:highlight w:val="none"/>
        </w:rPr>
        <w:t>（2）总价金额与依据单价计算出的结果不一致的，以单价金额为准修正总价，但单价金额小数点有明显错误的除外。</w:t>
      </w:r>
    </w:p>
    <w:p>
      <w:pPr>
        <w:spacing w:line="360" w:lineRule="auto"/>
        <w:ind w:firstLine="420" w:firstLineChars="200"/>
        <w:rPr>
          <w:color w:val="auto"/>
          <w:szCs w:val="21"/>
          <w:highlight w:val="none"/>
        </w:rPr>
      </w:pPr>
      <w:r>
        <w:rPr>
          <w:color w:val="auto"/>
          <w:szCs w:val="21"/>
          <w:highlight w:val="none"/>
        </w:rPr>
        <w:t>6. 第三章评标方法/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spacing w:line="360" w:lineRule="auto"/>
        <w:ind w:firstLine="420" w:firstLineChars="200"/>
        <w:rPr>
          <w:color w:val="auto"/>
          <w:szCs w:val="21"/>
          <w:highlight w:val="none"/>
        </w:rPr>
      </w:pPr>
    </w:p>
    <w:p>
      <w:pPr>
        <w:spacing w:line="400" w:lineRule="exact"/>
        <w:rPr>
          <w:color w:val="auto"/>
          <w:highlight w:val="none"/>
        </w:rPr>
      </w:pPr>
      <w:r>
        <w:rPr>
          <w:color w:val="auto"/>
          <w:highlight w:val="none"/>
        </w:rPr>
        <w:br w:type="page"/>
      </w:r>
    </w:p>
    <w:p>
      <w:pPr>
        <w:pStyle w:val="4"/>
        <w:jc w:val="center"/>
        <w:rPr>
          <w:color w:val="auto"/>
          <w:highlight w:val="none"/>
        </w:rPr>
      </w:pPr>
      <w:bookmarkStart w:id="21" w:name="_Toc18031"/>
      <w:bookmarkStart w:id="22" w:name="OLE_LINK5"/>
      <w:r>
        <w:rPr>
          <w:rFonts w:hint="eastAsia"/>
          <w:color w:val="auto"/>
          <w:highlight w:val="none"/>
        </w:rPr>
        <w:t>第一章 招标公告</w:t>
      </w:r>
      <w:bookmarkEnd w:id="13"/>
      <w:bookmarkEnd w:id="14"/>
      <w:bookmarkEnd w:id="15"/>
      <w:bookmarkEnd w:id="16"/>
      <w:bookmarkEnd w:id="17"/>
      <w:bookmarkEnd w:id="18"/>
      <w:bookmarkEnd w:id="19"/>
      <w:bookmarkEnd w:id="20"/>
      <w:bookmarkEnd w:id="21"/>
    </w:p>
    <w:p>
      <w:pPr>
        <w:spacing w:line="440" w:lineRule="exact"/>
        <w:jc w:val="center"/>
        <w:rPr>
          <w:rFonts w:hint="eastAsia" w:eastAsia="宋体"/>
          <w:color w:val="auto"/>
          <w:sz w:val="28"/>
          <w:szCs w:val="28"/>
          <w:highlight w:val="none"/>
          <w:u w:val="single"/>
          <w:lang w:eastAsia="zh-CN"/>
        </w:rPr>
      </w:pPr>
      <w:r>
        <w:rPr>
          <w:color w:val="auto"/>
          <w:highlight w:val="none"/>
        </w:rPr>
        <w:br w:type="page"/>
      </w:r>
    </w:p>
    <w:p>
      <w:pPr>
        <w:spacing w:line="440" w:lineRule="exact"/>
        <w:jc w:val="center"/>
        <w:rPr>
          <w:rFonts w:eastAsia="黑体"/>
          <w:color w:val="auto"/>
          <w:sz w:val="32"/>
          <w:szCs w:val="32"/>
          <w:highlight w:val="none"/>
          <w:u w:val="none"/>
        </w:rPr>
      </w:pPr>
      <w:bookmarkStart w:id="23" w:name="_Toc179632528"/>
      <w:bookmarkStart w:id="24" w:name="_Toc144974480"/>
      <w:bookmarkStart w:id="25" w:name="_Toc152042288"/>
      <w:bookmarkStart w:id="26" w:name="_Toc246996901"/>
      <w:bookmarkStart w:id="27" w:name="_Toc247085672"/>
      <w:bookmarkStart w:id="28" w:name="_Toc246996158"/>
      <w:bookmarkStart w:id="29" w:name="_Toc152045512"/>
      <w:r>
        <w:rPr>
          <w:rFonts w:hint="eastAsia" w:eastAsia="黑体"/>
          <w:color w:val="auto"/>
          <w:sz w:val="32"/>
          <w:szCs w:val="32"/>
          <w:highlight w:val="none"/>
          <w:u w:val="none"/>
        </w:rPr>
        <w:t>天禾（华南）农资储备物流基地项目供销农服中心及副楼装修工程施工专业承包</w:t>
      </w:r>
      <w:r>
        <w:rPr>
          <w:rFonts w:eastAsia="黑体"/>
          <w:color w:val="auto"/>
          <w:sz w:val="32"/>
          <w:szCs w:val="32"/>
          <w:highlight w:val="none"/>
          <w:u w:val="none"/>
        </w:rPr>
        <w:t>招标公告</w:t>
      </w:r>
    </w:p>
    <w:p>
      <w:pPr>
        <w:pStyle w:val="5"/>
        <w:rPr>
          <w:rFonts w:ascii="Times New Roman" w:hAnsi="Times New Roman" w:eastAsia="宋体"/>
          <w:color w:val="auto"/>
          <w:sz w:val="30"/>
          <w:szCs w:val="30"/>
          <w:highlight w:val="none"/>
        </w:rPr>
      </w:pPr>
      <w:bookmarkStart w:id="30" w:name="_Toc23355"/>
      <w:r>
        <w:rPr>
          <w:rFonts w:ascii="Times New Roman" w:hAnsi="Times New Roman" w:eastAsia="宋体"/>
          <w:color w:val="auto"/>
          <w:sz w:val="30"/>
          <w:szCs w:val="30"/>
          <w:highlight w:val="none"/>
        </w:rPr>
        <w:t>1. 招标条件</w:t>
      </w:r>
      <w:bookmarkEnd w:id="23"/>
      <w:bookmarkEnd w:id="24"/>
      <w:bookmarkEnd w:id="25"/>
      <w:bookmarkEnd w:id="26"/>
      <w:bookmarkEnd w:id="27"/>
      <w:bookmarkEnd w:id="28"/>
      <w:bookmarkEnd w:id="29"/>
      <w:bookmarkEnd w:id="30"/>
    </w:p>
    <w:p>
      <w:pPr>
        <w:spacing w:line="400" w:lineRule="exact"/>
        <w:ind w:firstLine="420" w:firstLineChars="200"/>
        <w:rPr>
          <w:color w:val="auto"/>
          <w:szCs w:val="21"/>
          <w:highlight w:val="none"/>
        </w:rPr>
      </w:pPr>
      <w:r>
        <w:rPr>
          <w:rFonts w:hint="eastAsia" w:asciiTheme="minorEastAsia" w:hAnsiTheme="minorEastAsia" w:eastAsiaTheme="minorEastAsia"/>
          <w:color w:val="auto"/>
          <w:highlight w:val="none"/>
        </w:rPr>
        <w:t>本项目为</w:t>
      </w:r>
      <w:r>
        <w:rPr>
          <w:rFonts w:hint="eastAsia" w:asciiTheme="minorEastAsia" w:hAnsiTheme="minorEastAsia" w:eastAsiaTheme="minorEastAsia"/>
          <w:color w:val="auto"/>
          <w:highlight w:val="none"/>
          <w:u w:val="single"/>
        </w:rPr>
        <w:t>天禾（华南）农资储备物流基地项目供销农服中心及副楼装修工程施工专业承包</w:t>
      </w:r>
      <w:r>
        <w:rPr>
          <w:rFonts w:hint="eastAsia" w:asciiTheme="minorEastAsia" w:hAnsiTheme="minorEastAsia" w:eastAsiaTheme="minorEastAsia"/>
          <w:color w:val="auto"/>
          <w:highlight w:val="none"/>
          <w:u w:val="single"/>
          <w:lang w:val="en-US" w:eastAsia="zh-CN"/>
        </w:rPr>
        <w:t>,</w:t>
      </w:r>
      <w:r>
        <w:rPr>
          <w:rFonts w:hint="eastAsia" w:asciiTheme="minorEastAsia" w:hAnsiTheme="minorEastAsia" w:eastAsiaTheme="minorEastAsia"/>
          <w:color w:val="auto"/>
          <w:highlight w:val="none"/>
        </w:rPr>
        <w:t>招标人</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u w:val="single"/>
          <w:lang w:eastAsia="zh-CN"/>
        </w:rPr>
        <w:t>广东嘉业储备物流有限公司</w:t>
      </w:r>
      <w:r>
        <w:rPr>
          <w:rFonts w:asciiTheme="minorEastAsia" w:hAnsiTheme="minorEastAsia" w:eastAsiaTheme="minorEastAsia"/>
          <w:color w:val="auto"/>
          <w:highlight w:val="none"/>
        </w:rPr>
        <w:t>，建设资金来自</w:t>
      </w:r>
      <w:r>
        <w:rPr>
          <w:rFonts w:asciiTheme="minorEastAsia" w:hAnsiTheme="minorEastAsia" w:eastAsiaTheme="minorEastAsia"/>
          <w:color w:val="auto"/>
          <w:highlight w:val="none"/>
          <w:u w:val="single"/>
        </w:rPr>
        <w:t>企业</w:t>
      </w:r>
      <w:r>
        <w:rPr>
          <w:rFonts w:hint="eastAsia" w:asciiTheme="minorEastAsia" w:hAnsiTheme="minorEastAsia" w:eastAsiaTheme="minorEastAsia"/>
          <w:color w:val="auto"/>
          <w:highlight w:val="none"/>
          <w:u w:val="single"/>
        </w:rPr>
        <w:t>自筹资金</w:t>
      </w:r>
      <w:r>
        <w:rPr>
          <w:rFonts w:asciiTheme="minorEastAsia" w:hAnsiTheme="minorEastAsia" w:eastAsiaTheme="minorEastAsia"/>
          <w:color w:val="auto"/>
          <w:highlight w:val="none"/>
        </w:rPr>
        <w:t>，出资比例为</w:t>
      </w:r>
      <w:r>
        <w:rPr>
          <w:rFonts w:asciiTheme="minorEastAsia" w:hAnsiTheme="minorEastAsia" w:eastAsiaTheme="minorEastAsia"/>
          <w:color w:val="auto"/>
          <w:highlight w:val="none"/>
          <w:u w:val="single"/>
        </w:rPr>
        <w:t>100%</w:t>
      </w:r>
      <w:r>
        <w:rPr>
          <w:color w:val="auto"/>
          <w:highlight w:val="none"/>
        </w:rPr>
        <w:t>。项目已具备招标条件，现对该项目进行公开招标。</w:t>
      </w:r>
    </w:p>
    <w:p>
      <w:pPr>
        <w:pStyle w:val="5"/>
        <w:rPr>
          <w:rFonts w:ascii="Times New Roman" w:hAnsi="Times New Roman" w:eastAsia="宋体"/>
          <w:color w:val="auto"/>
          <w:sz w:val="30"/>
          <w:szCs w:val="30"/>
          <w:highlight w:val="none"/>
        </w:rPr>
      </w:pPr>
      <w:bookmarkStart w:id="31" w:name="_Toc246996159"/>
      <w:bookmarkStart w:id="32" w:name="_Toc144974481"/>
      <w:bookmarkStart w:id="33" w:name="_Toc11201"/>
      <w:bookmarkStart w:id="34" w:name="_Toc152045513"/>
      <w:bookmarkStart w:id="35" w:name="_Toc179632529"/>
      <w:bookmarkStart w:id="36" w:name="_Toc247085673"/>
      <w:bookmarkStart w:id="37" w:name="_Toc152042289"/>
      <w:bookmarkStart w:id="38" w:name="_Toc246996902"/>
      <w:r>
        <w:rPr>
          <w:rFonts w:ascii="Times New Roman" w:hAnsi="Times New Roman" w:eastAsia="宋体"/>
          <w:color w:val="auto"/>
          <w:sz w:val="30"/>
          <w:szCs w:val="30"/>
          <w:highlight w:val="none"/>
        </w:rPr>
        <w:t>2. 项目概况与招标范围</w:t>
      </w:r>
      <w:bookmarkEnd w:id="31"/>
      <w:bookmarkEnd w:id="32"/>
      <w:bookmarkEnd w:id="33"/>
      <w:bookmarkEnd w:id="34"/>
      <w:bookmarkEnd w:id="35"/>
      <w:bookmarkEnd w:id="36"/>
      <w:bookmarkEnd w:id="37"/>
      <w:bookmarkEnd w:id="38"/>
    </w:p>
    <w:p>
      <w:pPr>
        <w:spacing w:line="400" w:lineRule="exact"/>
        <w:ind w:firstLine="420" w:firstLineChars="200"/>
        <w:rPr>
          <w:rFonts w:hint="eastAsia" w:ascii="Times New Roman" w:hAnsi="Times New Roman" w:eastAsia="宋体" w:cs="Times New Roman"/>
          <w:color w:val="auto"/>
          <w:szCs w:val="21"/>
          <w:highlight w:val="none"/>
          <w:lang w:val="en-US" w:eastAsia="zh-CN"/>
        </w:rPr>
      </w:pPr>
      <w:r>
        <w:rPr>
          <w:rFonts w:hint="eastAsia"/>
          <w:color w:val="auto"/>
          <w:szCs w:val="21"/>
          <w:highlight w:val="none"/>
          <w:lang w:val="en-US" w:eastAsia="zh-CN"/>
        </w:rPr>
        <w:t>2.1项目名称</w:t>
      </w:r>
      <w:r>
        <w:rPr>
          <w:rFonts w:hint="eastAsia"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天禾（华南）农资储备物流基地项目供销农服中心及副楼装修工程施工专业承包</w:t>
      </w:r>
      <w:r>
        <w:rPr>
          <w:rFonts w:hint="eastAsia" w:ascii="Times New Roman" w:hAnsi="Times New Roman" w:eastAsia="宋体" w:cs="Times New Roman"/>
          <w:color w:val="auto"/>
          <w:szCs w:val="21"/>
          <w:highlight w:val="none"/>
          <w:lang w:val="en-US" w:eastAsia="zh-CN"/>
        </w:rPr>
        <w:t>。</w:t>
      </w:r>
    </w:p>
    <w:p>
      <w:pPr>
        <w:spacing w:line="400" w:lineRule="exact"/>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2.2项目编号：（以交易中心发布为准）。</w:t>
      </w:r>
    </w:p>
    <w:p>
      <w:pPr>
        <w:spacing w:line="400" w:lineRule="exact"/>
        <w:ind w:firstLine="420" w:firstLineChars="200"/>
        <w:rPr>
          <w:color w:val="auto"/>
          <w:highlight w:val="none"/>
        </w:rPr>
      </w:pPr>
      <w:r>
        <w:rPr>
          <w:color w:val="auto"/>
          <w:szCs w:val="21"/>
          <w:highlight w:val="none"/>
        </w:rPr>
        <w:t>2.</w:t>
      </w:r>
      <w:r>
        <w:rPr>
          <w:rFonts w:hint="eastAsia"/>
          <w:color w:val="auto"/>
          <w:szCs w:val="21"/>
          <w:highlight w:val="none"/>
          <w:lang w:val="en-US" w:eastAsia="zh-CN"/>
        </w:rPr>
        <w:t>3</w:t>
      </w:r>
      <w:r>
        <w:rPr>
          <w:color w:val="auto"/>
          <w:szCs w:val="21"/>
          <w:highlight w:val="none"/>
        </w:rPr>
        <w:t xml:space="preserve"> 项目建设地点：</w:t>
      </w:r>
      <w:r>
        <w:rPr>
          <w:rFonts w:hint="eastAsia"/>
          <w:color w:val="auto"/>
          <w:highlight w:val="none"/>
        </w:rPr>
        <w:t>广东省</w:t>
      </w:r>
      <w:r>
        <w:rPr>
          <w:rFonts w:hint="eastAsia"/>
          <w:color w:val="auto"/>
          <w:highlight w:val="none"/>
          <w:lang w:val="en-US" w:eastAsia="zh-CN"/>
        </w:rPr>
        <w:t>湛江</w:t>
      </w:r>
      <w:r>
        <w:rPr>
          <w:rFonts w:hint="eastAsia"/>
          <w:color w:val="auto"/>
          <w:highlight w:val="none"/>
          <w:lang w:eastAsia="zh-CN"/>
        </w:rPr>
        <w:t>市</w:t>
      </w:r>
      <w:r>
        <w:rPr>
          <w:rFonts w:hint="eastAsia"/>
          <w:color w:val="auto"/>
          <w:highlight w:val="none"/>
        </w:rPr>
        <w:t>。</w:t>
      </w:r>
    </w:p>
    <w:p>
      <w:pPr>
        <w:spacing w:line="400" w:lineRule="exact"/>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4</w:t>
      </w:r>
      <w:r>
        <w:rPr>
          <w:color w:val="auto"/>
          <w:szCs w:val="21"/>
          <w:highlight w:val="none"/>
        </w:rPr>
        <w:t xml:space="preserve"> 项目规模及建设内容：</w:t>
      </w:r>
    </w:p>
    <w:p>
      <w:pPr>
        <w:spacing w:line="400" w:lineRule="exact"/>
        <w:ind w:firstLine="420" w:firstLineChars="200"/>
        <w:rPr>
          <w:rFonts w:hint="default" w:ascii="Times New Roman" w:hAnsi="Times New Roman" w:eastAsia="宋体" w:cs="Times New Roman"/>
          <w:color w:val="auto"/>
          <w:highlight w:val="none"/>
          <w:lang w:val="en-US" w:eastAsia="zh-CN"/>
        </w:rPr>
      </w:pPr>
      <w:r>
        <w:rPr>
          <w:rFonts w:hint="eastAsia"/>
          <w:color w:val="auto"/>
          <w:szCs w:val="21"/>
          <w:highlight w:val="none"/>
        </w:rPr>
        <w:t>本项目划分为一个标段，</w:t>
      </w:r>
      <w:r>
        <w:rPr>
          <w:rFonts w:hint="eastAsia" w:ascii="宋体" w:hAnsi="宋体"/>
          <w:color w:val="auto"/>
          <w:szCs w:val="21"/>
          <w:highlight w:val="none"/>
        </w:rPr>
        <w:t>涉及装修工程面积约</w:t>
      </w:r>
      <w:r>
        <w:rPr>
          <w:rFonts w:hint="eastAsia"/>
          <w:color w:val="auto"/>
          <w:highlight w:val="none"/>
          <w:lang w:val="en-US" w:eastAsia="zh-CN"/>
        </w:rPr>
        <w:t>4500</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以图纸为准）</w:t>
      </w:r>
      <w:r>
        <w:rPr>
          <w:rFonts w:hint="eastAsia" w:ascii="宋体" w:hAnsi="宋体"/>
          <w:color w:val="auto"/>
          <w:szCs w:val="21"/>
          <w:highlight w:val="none"/>
        </w:rPr>
        <w:t>。</w:t>
      </w:r>
      <w:r>
        <w:rPr>
          <w:rFonts w:hint="eastAsia"/>
          <w:color w:val="auto"/>
          <w:szCs w:val="21"/>
          <w:highlight w:val="none"/>
        </w:rPr>
        <w:t>主要包括主楼（一、五-八层、其它楼层的过道及电梯前厅、西侧卫生间）、副楼（一层、二层）</w:t>
      </w:r>
      <w:r>
        <w:rPr>
          <w:rFonts w:hint="eastAsia" w:ascii="宋体" w:hAnsi="宋体"/>
          <w:color w:val="auto"/>
          <w:szCs w:val="21"/>
          <w:highlight w:val="none"/>
        </w:rPr>
        <w:t>室内外装饰等工程</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具体以发包人提供的</w:t>
      </w:r>
      <w:r>
        <w:rPr>
          <w:rFonts w:hint="eastAsia" w:ascii="Times New Roman" w:hAnsi="Times New Roman" w:eastAsia="宋体" w:cs="Times New Roman"/>
          <w:color w:val="auto"/>
          <w:highlight w:val="none"/>
          <w:lang w:val="en-US" w:eastAsia="zh-CN"/>
        </w:rPr>
        <w:t>项目</w:t>
      </w:r>
      <w:r>
        <w:rPr>
          <w:rFonts w:hint="default" w:ascii="Times New Roman" w:hAnsi="Times New Roman" w:eastAsia="宋体" w:cs="Times New Roman"/>
          <w:color w:val="auto"/>
          <w:highlight w:val="none"/>
          <w:lang w:val="en-US" w:eastAsia="zh-CN"/>
        </w:rPr>
        <w:t>施工图纸及工程量清单为准。</w:t>
      </w:r>
    </w:p>
    <w:p>
      <w:pPr>
        <w:spacing w:line="400" w:lineRule="exact"/>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5</w:t>
      </w:r>
      <w:r>
        <w:rPr>
          <w:color w:val="auto"/>
          <w:szCs w:val="21"/>
          <w:highlight w:val="none"/>
        </w:rPr>
        <w:t xml:space="preserve"> 项目招标范围：</w:t>
      </w:r>
    </w:p>
    <w:p>
      <w:pPr>
        <w:spacing w:line="400" w:lineRule="exact"/>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本次招标内</w:t>
      </w:r>
      <w:r>
        <w:rPr>
          <w:rFonts w:hint="default" w:ascii="Times New Roman" w:hAnsi="Times New Roman" w:eastAsia="宋体" w:cs="Times New Roman"/>
          <w:color w:val="auto"/>
          <w:highlight w:val="none"/>
          <w:lang w:val="en-US" w:eastAsia="zh-CN"/>
        </w:rPr>
        <w:t>包括但不限于</w:t>
      </w:r>
      <w:r>
        <w:rPr>
          <w:rFonts w:hint="eastAsia" w:ascii="Times New Roman" w:hAnsi="Times New Roman" w:eastAsia="宋体" w:cs="Times New Roman"/>
          <w:color w:val="auto"/>
          <w:highlight w:val="none"/>
          <w:lang w:val="en-US" w:eastAsia="zh-CN"/>
        </w:rPr>
        <w:t>以下内容：</w:t>
      </w:r>
    </w:p>
    <w:p>
      <w:pPr>
        <w:spacing w:line="400" w:lineRule="exact"/>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 装修内容包括但不限于砌体、门窗构造柱过梁等二次结构，</w:t>
      </w:r>
      <w:r>
        <w:rPr>
          <w:rFonts w:hint="eastAsia" w:cs="Times New Roman"/>
          <w:color w:val="auto"/>
          <w:highlight w:val="none"/>
          <w:lang w:val="en-US" w:eastAsia="zh-CN"/>
        </w:rPr>
        <w:t>防水、保温，</w:t>
      </w:r>
      <w:r>
        <w:rPr>
          <w:rFonts w:hint="eastAsia" w:ascii="Times New Roman" w:hAnsi="Times New Roman" w:eastAsia="宋体" w:cs="Times New Roman"/>
          <w:color w:val="auto"/>
          <w:highlight w:val="none"/>
          <w:lang w:val="en-US" w:eastAsia="zh-CN"/>
        </w:rPr>
        <w:t>内外墙、地面、门窗装饰装修及其配套的强电、消防、暖通、给排水等。（2）</w:t>
      </w:r>
      <w:r>
        <w:rPr>
          <w:rFonts w:hint="eastAsia" w:cs="Times New Roman"/>
          <w:color w:val="auto"/>
          <w:highlight w:val="none"/>
          <w:lang w:val="en-US" w:eastAsia="zh-CN"/>
        </w:rPr>
        <w:t>负责</w:t>
      </w:r>
      <w:r>
        <w:rPr>
          <w:rFonts w:hint="eastAsia" w:ascii="Times New Roman" w:hAnsi="Times New Roman" w:eastAsia="宋体" w:cs="Times New Roman"/>
          <w:color w:val="auto"/>
          <w:highlight w:val="none"/>
          <w:lang w:val="en-US" w:eastAsia="zh-CN"/>
        </w:rPr>
        <w:t>相关报批、报建</w:t>
      </w:r>
      <w:r>
        <w:rPr>
          <w:rFonts w:hint="eastAsia" w:cs="Times New Roman"/>
          <w:color w:val="auto"/>
          <w:highlight w:val="none"/>
          <w:lang w:val="en-US" w:eastAsia="zh-CN"/>
        </w:rPr>
        <w:t>消防</w:t>
      </w:r>
      <w:r>
        <w:rPr>
          <w:rFonts w:hint="eastAsia" w:ascii="Times New Roman" w:hAnsi="Times New Roman" w:eastAsia="宋体" w:cs="Times New Roman"/>
          <w:color w:val="auto"/>
          <w:highlight w:val="none"/>
          <w:lang w:val="en-US" w:eastAsia="zh-CN"/>
        </w:rPr>
        <w:t>服务</w:t>
      </w:r>
      <w:r>
        <w:rPr>
          <w:rFonts w:hint="eastAsia" w:cs="Times New Roman"/>
          <w:color w:val="auto"/>
          <w:highlight w:val="none"/>
          <w:lang w:val="en-US" w:eastAsia="zh-CN"/>
        </w:rPr>
        <w:t>（若有）</w:t>
      </w:r>
      <w:r>
        <w:rPr>
          <w:rFonts w:hint="eastAsia" w:ascii="Times New Roman" w:hAnsi="Times New Roman" w:eastAsia="宋体" w:cs="Times New Roman"/>
          <w:color w:val="auto"/>
          <w:highlight w:val="none"/>
          <w:lang w:val="en-US" w:eastAsia="zh-CN"/>
        </w:rPr>
        <w:t xml:space="preserve">、竣工备案等。（3）完成本项目水、电、通信等与现有设施的接驳工作。 </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w:t>
      </w:r>
      <w:r>
        <w:rPr>
          <w:rFonts w:hint="eastAsia" w:ascii="宋体" w:hAnsi="宋体" w:eastAsia="宋体" w:cs="宋体"/>
          <w:b w:val="0"/>
          <w:bCs w:val="0"/>
          <w:color w:val="auto"/>
          <w:sz w:val="21"/>
          <w:szCs w:val="21"/>
          <w:highlight w:val="none"/>
          <w:lang w:val="en-US" w:eastAsia="zh-CN"/>
        </w:rPr>
        <w:t>为专业工程施工，</w:t>
      </w:r>
      <w:r>
        <w:rPr>
          <w:rFonts w:hint="eastAsia" w:ascii="宋体" w:hAnsi="宋体" w:eastAsia="宋体" w:cs="宋体"/>
          <w:color w:val="auto"/>
          <w:sz w:val="21"/>
          <w:szCs w:val="21"/>
          <w:highlight w:val="none"/>
          <w:lang w:val="en-US" w:eastAsia="zh-CN"/>
        </w:rPr>
        <w:t>具体内容以工程图纸和工程量清单为准。</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项目计划工期：</w:t>
      </w:r>
      <w:r>
        <w:rPr>
          <w:rFonts w:hint="eastAsia" w:ascii="宋体" w:hAnsi="宋体" w:eastAsia="宋体" w:cs="宋体"/>
          <w:color w:val="auto"/>
          <w:sz w:val="21"/>
          <w:szCs w:val="21"/>
          <w:highlight w:val="none"/>
          <w:lang w:val="en-US" w:eastAsia="zh-CN"/>
        </w:rPr>
        <w:t>总工期</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0日历天。开工日期以开工令</w:t>
      </w:r>
      <w:r>
        <w:rPr>
          <w:rFonts w:hint="eastAsia" w:ascii="宋体" w:hAnsi="宋体" w:eastAsia="宋体" w:cs="宋体"/>
          <w:color w:val="auto"/>
          <w:sz w:val="21"/>
          <w:szCs w:val="21"/>
          <w:highlight w:val="none"/>
          <w:lang w:val="en-US" w:eastAsia="zh-CN"/>
        </w:rPr>
        <w:t>为准</w:t>
      </w:r>
      <w:r>
        <w:rPr>
          <w:rFonts w:hint="eastAsia" w:ascii="宋体" w:hAnsi="宋体" w:eastAsia="宋体" w:cs="宋体"/>
          <w:color w:val="auto"/>
          <w:sz w:val="21"/>
          <w:szCs w:val="21"/>
          <w:highlight w:val="none"/>
        </w:rPr>
        <w:t>。</w:t>
      </w:r>
    </w:p>
    <w:p>
      <w:pPr>
        <w:spacing w:line="400" w:lineRule="exact"/>
        <w:ind w:firstLine="420" w:firstLineChars="200"/>
        <w:rPr>
          <w:rFonts w:hint="eastAsia" w:ascii="宋体" w:hAnsi="宋体" w:eastAsia="宋体" w:cs="宋体"/>
          <w:strike/>
          <w:dstrike w:val="0"/>
          <w:color w:val="auto"/>
          <w:sz w:val="21"/>
          <w:szCs w:val="21"/>
          <w:highlight w:val="none"/>
          <w:u w:val="singl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本项目最高投标限价：人民币￥</w:t>
      </w:r>
      <w:r>
        <w:rPr>
          <w:rFonts w:hint="eastAsia" w:ascii="宋体" w:hAnsi="宋体" w:eastAsia="宋体" w:cs="宋体"/>
          <w:color w:val="auto"/>
          <w:sz w:val="21"/>
          <w:szCs w:val="21"/>
          <w:highlight w:val="none"/>
          <w:lang w:val="en-US" w:eastAsia="zh-CN"/>
        </w:rPr>
        <w:t>837.711607元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其中：</w:t>
      </w:r>
      <w:r>
        <w:rPr>
          <w:rFonts w:hint="eastAsia" w:ascii="宋体" w:hAnsi="宋体" w:eastAsia="宋体" w:cs="宋体"/>
          <w:b/>
          <w:bCs/>
          <w:color w:val="auto"/>
          <w:sz w:val="21"/>
          <w:szCs w:val="21"/>
          <w:highlight w:val="none"/>
        </w:rPr>
        <w:t>绿色施工安全防护措施费：</w:t>
      </w:r>
      <w:r>
        <w:rPr>
          <w:rFonts w:hint="eastAsia" w:ascii="宋体" w:hAnsi="宋体" w:eastAsia="宋体" w:cs="宋体"/>
          <w:b/>
          <w:bCs/>
          <w:color w:val="auto"/>
          <w:sz w:val="21"/>
          <w:szCs w:val="21"/>
          <w:highlight w:val="none"/>
          <w:lang w:val="en-US" w:eastAsia="zh-CN"/>
        </w:rPr>
        <w:t>278500.99</w:t>
      </w:r>
      <w:r>
        <w:rPr>
          <w:rFonts w:hint="eastAsia" w:ascii="宋体" w:hAnsi="宋体" w:eastAsia="宋体" w:cs="宋体"/>
          <w:b/>
          <w:bCs/>
          <w:color w:val="auto"/>
          <w:sz w:val="21"/>
          <w:szCs w:val="21"/>
          <w:highlight w:val="none"/>
        </w:rPr>
        <w:t>元</w:t>
      </w:r>
      <w:r>
        <w:rPr>
          <w:rFonts w:hint="eastAsia" w:ascii="宋体" w:hAnsi="宋体" w:eastAsia="宋体" w:cs="宋体"/>
          <w:b/>
          <w:bCs/>
          <w:color w:val="auto"/>
          <w:sz w:val="21"/>
          <w:szCs w:val="21"/>
          <w:highlight w:val="none"/>
          <w:lang w:val="en-US" w:eastAsia="zh-CN"/>
        </w:rPr>
        <w:t>；暂列金647313.21：</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pPr>
        <w:spacing w:line="400" w:lineRule="exact"/>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8</w:t>
      </w:r>
      <w:r>
        <w:rPr>
          <w:color w:val="auto"/>
          <w:szCs w:val="21"/>
          <w:highlight w:val="none"/>
        </w:rPr>
        <w:t>项目资格审查方式：资格后审。</w:t>
      </w:r>
    </w:p>
    <w:p>
      <w:pPr>
        <w:spacing w:line="400" w:lineRule="exact"/>
        <w:ind w:firstLine="420" w:firstLineChars="200"/>
        <w:rPr>
          <w:color w:val="auto"/>
          <w:szCs w:val="21"/>
          <w:highlight w:val="none"/>
        </w:rPr>
      </w:pPr>
      <w:r>
        <w:rPr>
          <w:color w:val="auto"/>
          <w:szCs w:val="21"/>
          <w:highlight w:val="none"/>
        </w:rPr>
        <w:t>2.</w:t>
      </w:r>
      <w:r>
        <w:rPr>
          <w:rFonts w:hint="eastAsia"/>
          <w:color w:val="auto"/>
          <w:szCs w:val="21"/>
          <w:highlight w:val="none"/>
          <w:lang w:val="en-US" w:eastAsia="zh-CN"/>
        </w:rPr>
        <w:t>9</w:t>
      </w:r>
      <w:r>
        <w:rPr>
          <w:color w:val="auto"/>
          <w:szCs w:val="21"/>
          <w:highlight w:val="none"/>
        </w:rPr>
        <w:t>投标人须自行了解并办理进入项目所在地开展施工工作的备案登记手续。投标人如中标，则必须自行完成本次招标工程的主体及关键部分，不得转包。</w:t>
      </w:r>
    </w:p>
    <w:p>
      <w:pPr>
        <w:pStyle w:val="5"/>
        <w:rPr>
          <w:rFonts w:ascii="Times New Roman" w:hAnsi="Times New Roman" w:eastAsia="宋体"/>
          <w:color w:val="auto"/>
          <w:sz w:val="30"/>
          <w:szCs w:val="30"/>
          <w:highlight w:val="none"/>
        </w:rPr>
      </w:pPr>
      <w:bookmarkStart w:id="39" w:name="_Toc144974482"/>
      <w:bookmarkStart w:id="40" w:name="_Toc246996160"/>
      <w:bookmarkStart w:id="41" w:name="_Toc179632530"/>
      <w:bookmarkStart w:id="42" w:name="_Toc246996903"/>
      <w:bookmarkStart w:id="43" w:name="_Toc247085674"/>
      <w:bookmarkStart w:id="44" w:name="_Toc152045514"/>
      <w:bookmarkStart w:id="45" w:name="_Toc152042290"/>
      <w:bookmarkStart w:id="46" w:name="_Toc20383"/>
      <w:r>
        <w:rPr>
          <w:rFonts w:ascii="Times New Roman" w:hAnsi="Times New Roman" w:eastAsia="宋体"/>
          <w:color w:val="auto"/>
          <w:sz w:val="30"/>
          <w:szCs w:val="30"/>
          <w:highlight w:val="none"/>
        </w:rPr>
        <w:t>3. 投标人资格要求</w:t>
      </w:r>
      <w:bookmarkEnd w:id="39"/>
      <w:bookmarkEnd w:id="40"/>
      <w:bookmarkEnd w:id="41"/>
      <w:bookmarkEnd w:id="42"/>
      <w:bookmarkEnd w:id="43"/>
      <w:bookmarkEnd w:id="44"/>
      <w:bookmarkEnd w:id="45"/>
      <w:bookmarkEnd w:id="46"/>
    </w:p>
    <w:p>
      <w:pPr>
        <w:spacing w:line="400" w:lineRule="exact"/>
        <w:ind w:firstLine="420" w:firstLineChars="200"/>
        <w:rPr>
          <w:color w:val="auto"/>
          <w:szCs w:val="21"/>
          <w:highlight w:val="none"/>
        </w:rPr>
      </w:pPr>
      <w:bookmarkStart w:id="47" w:name="_Toc152042291"/>
      <w:bookmarkStart w:id="48" w:name="_Toc247085675"/>
      <w:bookmarkStart w:id="49" w:name="_Toc152045515"/>
      <w:bookmarkStart w:id="50" w:name="_Toc246996904"/>
      <w:bookmarkStart w:id="51" w:name="_Toc144974483"/>
      <w:bookmarkStart w:id="52" w:name="_Toc179632531"/>
      <w:bookmarkStart w:id="53" w:name="_Toc246996161"/>
      <w:r>
        <w:rPr>
          <w:color w:val="auto"/>
          <w:szCs w:val="21"/>
          <w:highlight w:val="none"/>
        </w:rPr>
        <w:t>3.1投标人为中华人民共和国国内注册的独立法人，持有工商行政管理部门核发的营业执照</w:t>
      </w:r>
      <w:r>
        <w:rPr>
          <w:rFonts w:hint="eastAsia" w:ascii="宋体" w:hAnsi="宋体" w:cs="宋体"/>
          <w:color w:val="auto"/>
          <w:sz w:val="24"/>
          <w:highlight w:val="none"/>
        </w:rPr>
        <w:t>（</w:t>
      </w:r>
      <w:r>
        <w:rPr>
          <w:rFonts w:hint="eastAsia" w:ascii="楷体" w:hAnsi="楷体" w:eastAsia="楷体" w:cs="宋体"/>
          <w:b/>
          <w:bCs/>
          <w:color w:val="auto"/>
          <w:sz w:val="22"/>
          <w:highlight w:val="none"/>
        </w:rPr>
        <w:t>营业执照扫描件或电子证照</w:t>
      </w:r>
      <w:r>
        <w:rPr>
          <w:rFonts w:hint="eastAsia" w:ascii="宋体" w:hAnsi="宋体" w:cs="宋体"/>
          <w:color w:val="auto"/>
          <w:sz w:val="24"/>
          <w:highlight w:val="none"/>
        </w:rPr>
        <w:t>）</w:t>
      </w:r>
      <w:r>
        <w:rPr>
          <w:color w:val="auto"/>
          <w:szCs w:val="21"/>
          <w:highlight w:val="none"/>
        </w:rPr>
        <w:t>；</w:t>
      </w:r>
    </w:p>
    <w:p>
      <w:pPr>
        <w:spacing w:line="400" w:lineRule="exact"/>
        <w:ind w:firstLine="420" w:firstLineChars="200"/>
        <w:rPr>
          <w:color w:val="auto"/>
          <w:szCs w:val="21"/>
          <w:highlight w:val="none"/>
        </w:rPr>
      </w:pPr>
      <w:r>
        <w:rPr>
          <w:color w:val="auto"/>
          <w:szCs w:val="21"/>
          <w:highlight w:val="none"/>
        </w:rPr>
        <w:t>3.2投标人具有建设行政主管部门核发的</w:t>
      </w:r>
      <w:r>
        <w:rPr>
          <w:b/>
          <w:bCs/>
          <w:color w:val="auto"/>
          <w:szCs w:val="21"/>
          <w:highlight w:val="none"/>
        </w:rPr>
        <w:t>建筑</w:t>
      </w:r>
      <w:r>
        <w:rPr>
          <w:rFonts w:hint="eastAsia"/>
          <w:b/>
          <w:bCs/>
          <w:color w:val="auto"/>
          <w:szCs w:val="21"/>
          <w:highlight w:val="none"/>
        </w:rPr>
        <w:t>装修装饰</w:t>
      </w:r>
      <w:r>
        <w:rPr>
          <w:b/>
          <w:bCs/>
          <w:color w:val="auto"/>
          <w:szCs w:val="21"/>
          <w:highlight w:val="none"/>
        </w:rPr>
        <w:t>工程专业承包</w:t>
      </w:r>
      <w:r>
        <w:rPr>
          <w:rFonts w:hint="eastAsia"/>
          <w:b/>
          <w:bCs/>
          <w:color w:val="auto"/>
          <w:szCs w:val="21"/>
          <w:highlight w:val="none"/>
          <w:lang w:val="en-US" w:eastAsia="zh-CN"/>
        </w:rPr>
        <w:t>贰级</w:t>
      </w:r>
      <w:r>
        <w:rPr>
          <w:b/>
          <w:bCs/>
          <w:color w:val="auto"/>
          <w:szCs w:val="21"/>
          <w:highlight w:val="none"/>
        </w:rPr>
        <w:t>或以上资质</w:t>
      </w:r>
      <w:r>
        <w:rPr>
          <w:rFonts w:hint="eastAsia" w:ascii="宋体" w:hAnsi="宋体" w:cs="宋体"/>
          <w:color w:val="auto"/>
          <w:sz w:val="24"/>
          <w:highlight w:val="none"/>
        </w:rPr>
        <w:t>（</w:t>
      </w:r>
      <w:r>
        <w:rPr>
          <w:rFonts w:hint="eastAsia" w:ascii="楷体" w:hAnsi="楷体" w:eastAsia="楷体" w:cs="宋体"/>
          <w:b/>
          <w:bCs/>
          <w:color w:val="auto"/>
          <w:sz w:val="22"/>
          <w:highlight w:val="none"/>
        </w:rPr>
        <w:t>资质证书扫描件或电子证照</w:t>
      </w:r>
      <w:r>
        <w:rPr>
          <w:rFonts w:hint="eastAsia" w:ascii="宋体" w:hAnsi="宋体" w:cs="宋体"/>
          <w:color w:val="auto"/>
          <w:sz w:val="24"/>
          <w:highlight w:val="none"/>
        </w:rPr>
        <w:t>）</w:t>
      </w:r>
      <w:r>
        <w:rPr>
          <w:color w:val="auto"/>
          <w:szCs w:val="21"/>
          <w:highlight w:val="none"/>
        </w:rPr>
        <w:t>；</w:t>
      </w:r>
    </w:p>
    <w:p>
      <w:pPr>
        <w:spacing w:line="400" w:lineRule="exact"/>
        <w:ind w:firstLine="420" w:firstLineChars="200"/>
        <w:rPr>
          <w:color w:val="auto"/>
          <w:highlight w:val="none"/>
        </w:rPr>
      </w:pPr>
      <w:r>
        <w:rPr>
          <w:color w:val="auto"/>
          <w:highlight w:val="none"/>
        </w:rPr>
        <w:t>注：</w:t>
      </w:r>
      <w:r>
        <w:rPr>
          <w:rFonts w:hint="eastAsia"/>
          <w:color w:val="auto"/>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有关事宜的通知》（建办市函〔2022〕361号）、《住房和城乡建设部办公厅关于做好建筑业“证照分离”改革衔接有关工作的通知》（建办市〔2021〕30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要求设置。地方各级住房和城乡建设主管部门核发的建设工程企业资质证书延续有关政策按各省级住房和城乡建设主管部门规定执行。</w:t>
      </w:r>
    </w:p>
    <w:p>
      <w:pPr>
        <w:spacing w:line="400" w:lineRule="exact"/>
        <w:ind w:firstLine="420" w:firstLineChars="200"/>
        <w:rPr>
          <w:color w:val="auto"/>
          <w:szCs w:val="21"/>
          <w:highlight w:val="none"/>
        </w:rPr>
      </w:pPr>
      <w:r>
        <w:rPr>
          <w:color w:val="auto"/>
          <w:szCs w:val="21"/>
          <w:highlight w:val="none"/>
        </w:rPr>
        <w:t>3.3投标人具有</w:t>
      </w:r>
      <w:r>
        <w:rPr>
          <w:rFonts w:hint="eastAsia"/>
          <w:color w:val="auto"/>
          <w:szCs w:val="21"/>
          <w:highlight w:val="none"/>
        </w:rPr>
        <w:t>建设行政主管部门核发的在有效期内</w:t>
      </w:r>
      <w:r>
        <w:rPr>
          <w:color w:val="auto"/>
          <w:szCs w:val="21"/>
          <w:highlight w:val="none"/>
        </w:rPr>
        <w:t>的安全生产许可证</w:t>
      </w:r>
      <w:r>
        <w:rPr>
          <w:rFonts w:hint="eastAsia" w:ascii="宋体" w:hAnsi="宋体" w:cs="宋体"/>
          <w:color w:val="auto"/>
          <w:sz w:val="24"/>
          <w:highlight w:val="none"/>
        </w:rPr>
        <w:t>（</w:t>
      </w:r>
      <w:r>
        <w:rPr>
          <w:rFonts w:hint="eastAsia" w:ascii="楷体" w:hAnsi="楷体" w:eastAsia="楷体" w:cs="宋体"/>
          <w:b/>
          <w:bCs/>
          <w:color w:val="auto"/>
          <w:sz w:val="22"/>
          <w:highlight w:val="none"/>
        </w:rPr>
        <w:t>安全生产许可证扫描件或电子证照</w:t>
      </w:r>
      <w:r>
        <w:rPr>
          <w:rFonts w:hint="eastAsia" w:ascii="宋体" w:hAnsi="宋体" w:cs="宋体"/>
          <w:color w:val="auto"/>
          <w:sz w:val="24"/>
          <w:highlight w:val="none"/>
        </w:rPr>
        <w:t>）</w:t>
      </w:r>
      <w:r>
        <w:rPr>
          <w:color w:val="auto"/>
          <w:szCs w:val="21"/>
          <w:highlight w:val="none"/>
        </w:rPr>
        <w:t>；</w:t>
      </w:r>
    </w:p>
    <w:p>
      <w:pPr>
        <w:spacing w:line="400" w:lineRule="exact"/>
        <w:ind w:firstLine="420" w:firstLineChars="200"/>
        <w:rPr>
          <w:rFonts w:hint="eastAsia" w:ascii="宋体" w:hAnsi="宋体" w:cs="宋体"/>
          <w:color w:val="auto"/>
          <w:sz w:val="24"/>
          <w:szCs w:val="24"/>
          <w:highlight w:val="none"/>
        </w:rPr>
      </w:pPr>
      <w:r>
        <w:rPr>
          <w:color w:val="auto"/>
          <w:szCs w:val="21"/>
          <w:highlight w:val="none"/>
        </w:rPr>
        <w:t>3.4</w:t>
      </w:r>
      <w:r>
        <w:rPr>
          <w:rFonts w:hint="eastAsia"/>
          <w:color w:val="auto"/>
          <w:szCs w:val="21"/>
          <w:highlight w:val="none"/>
        </w:rPr>
        <w:t>投标人拟派本工程的项目负责人须具有</w:t>
      </w:r>
      <w:r>
        <w:rPr>
          <w:rFonts w:hint="eastAsia" w:ascii="宋体" w:hAnsi="宋体" w:cs="宋体"/>
          <w:b/>
          <w:bCs/>
          <w:color w:val="auto"/>
          <w:sz w:val="24"/>
          <w:szCs w:val="24"/>
          <w:highlight w:val="none"/>
          <w:u w:val="none"/>
        </w:rPr>
        <w:t>建筑工程专业</w:t>
      </w:r>
      <w:r>
        <w:rPr>
          <w:rFonts w:hint="default" w:ascii="宋体" w:hAnsi="宋体" w:cs="宋体"/>
          <w:b/>
          <w:bCs/>
          <w:color w:val="auto"/>
          <w:sz w:val="24"/>
          <w:szCs w:val="24"/>
          <w:highlight w:val="none"/>
          <w:u w:val="none"/>
          <w:lang w:val="en-US"/>
        </w:rPr>
        <w:t>二</w:t>
      </w:r>
      <w:r>
        <w:rPr>
          <w:rFonts w:hint="eastAsia" w:ascii="宋体" w:hAnsi="宋体" w:cs="宋体"/>
          <w:b/>
          <w:bCs/>
          <w:color w:val="auto"/>
          <w:sz w:val="24"/>
          <w:szCs w:val="24"/>
          <w:highlight w:val="none"/>
          <w:u w:val="none"/>
        </w:rPr>
        <w:t>级或以上</w:t>
      </w:r>
      <w:r>
        <w:rPr>
          <w:rFonts w:hint="eastAsia" w:ascii="宋体" w:hAnsi="宋体" w:cs="宋体"/>
          <w:color w:val="auto"/>
          <w:sz w:val="24"/>
          <w:szCs w:val="24"/>
          <w:highlight w:val="none"/>
        </w:rPr>
        <w:t>注册建造师资格（</w:t>
      </w:r>
      <w:r>
        <w:rPr>
          <w:rFonts w:hint="eastAsia" w:ascii="楷体" w:hAnsi="楷体" w:eastAsia="楷体" w:cs="宋体"/>
          <w:color w:val="auto"/>
          <w:sz w:val="22"/>
          <w:highlight w:val="none"/>
        </w:rPr>
        <w:t>有效期内的建造师注册证书扫描件或电子证书，打印建造师电子证书后，在个人签名处手写本人签名再扫描提交。</w:t>
      </w:r>
      <w:r>
        <w:rPr>
          <w:rFonts w:hint="eastAsia" w:ascii="宋体" w:hAnsi="宋体" w:cs="宋体"/>
          <w:color w:val="auto"/>
          <w:sz w:val="24"/>
          <w:szCs w:val="24"/>
          <w:highlight w:val="none"/>
        </w:rPr>
        <w:t>）；持有安全生产考核合格证（B类）或建筑施工企业项目负责人安全生产考核合格证书</w:t>
      </w:r>
      <w:r>
        <w:rPr>
          <w:rFonts w:hint="eastAsia" w:ascii="楷体" w:hAnsi="楷体" w:eastAsia="楷体" w:cs="宋体"/>
          <w:b/>
          <w:bCs/>
          <w:color w:val="auto"/>
          <w:sz w:val="22"/>
          <w:highlight w:val="none"/>
        </w:rPr>
        <w:t>扫描件或电子证书</w:t>
      </w:r>
      <w:r>
        <w:rPr>
          <w:rFonts w:hint="eastAsia" w:ascii="宋体" w:hAnsi="宋体" w:cs="宋体"/>
          <w:color w:val="auto"/>
          <w:sz w:val="24"/>
          <w:szCs w:val="24"/>
          <w:highlight w:val="none"/>
        </w:rPr>
        <w:t>。投标人在投标登记时对投标人该项目负责人进行锁定。</w:t>
      </w:r>
    </w:p>
    <w:p>
      <w:pPr>
        <w:spacing w:line="400" w:lineRule="exact"/>
        <w:ind w:firstLine="420" w:firstLineChars="200"/>
        <w:rPr>
          <w:rFonts w:hint="eastAsia"/>
          <w:color w:val="auto"/>
          <w:szCs w:val="21"/>
          <w:highlight w:val="none"/>
        </w:rPr>
      </w:pPr>
      <w:r>
        <w:rPr>
          <w:rFonts w:hint="eastAsia"/>
          <w:color w:val="auto"/>
          <w:szCs w:val="21"/>
          <w:highlight w:val="none"/>
        </w:rPr>
        <w:t>注：（1）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400" w:lineRule="exact"/>
        <w:ind w:firstLine="420" w:firstLineChars="200"/>
        <w:rPr>
          <w:rFonts w:hint="eastAsia"/>
          <w:color w:val="auto"/>
          <w:szCs w:val="21"/>
          <w:highlight w:val="none"/>
        </w:rPr>
      </w:pPr>
      <w:r>
        <w:rPr>
          <w:rFonts w:hint="eastAsia"/>
          <w:color w:val="auto"/>
          <w:szCs w:val="21"/>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numPr>
          <w:ilvl w:val="0"/>
          <w:numId w:val="2"/>
        </w:numPr>
        <w:spacing w:line="400" w:lineRule="exact"/>
        <w:ind w:firstLine="420" w:firstLineChars="200"/>
        <w:rPr>
          <w:rFonts w:hint="eastAsia"/>
          <w:color w:val="auto"/>
          <w:szCs w:val="21"/>
          <w:highlight w:val="none"/>
        </w:rPr>
      </w:pPr>
      <w:r>
        <w:rPr>
          <w:rFonts w:hint="eastAsia"/>
          <w:color w:val="auto"/>
          <w:szCs w:val="21"/>
          <w:highlight w:val="none"/>
        </w:rPr>
        <w:t>根据广东省住建厅《关于明确二级建造师注册执业有关问题的通知》（粤建市函〔2023〕469号），二级建造师应在考试取得执业资格的省、自治区、直辖市申请注册，二级注册建造师可随注册企业在全国范围内执业。</w:t>
      </w:r>
    </w:p>
    <w:p>
      <w:pPr>
        <w:numPr>
          <w:ilvl w:val="0"/>
          <w:numId w:val="0"/>
        </w:numPr>
        <w:spacing w:line="400" w:lineRule="exact"/>
        <w:ind w:firstLine="420" w:firstLineChars="200"/>
        <w:rPr>
          <w:rFonts w:hint="eastAsia" w:eastAsia="楷体"/>
          <w:color w:val="auto"/>
          <w:szCs w:val="21"/>
          <w:highlight w:val="none"/>
          <w:lang w:eastAsia="zh-CN"/>
        </w:rPr>
      </w:pPr>
      <w:r>
        <w:rPr>
          <w:color w:val="auto"/>
          <w:szCs w:val="21"/>
          <w:highlight w:val="none"/>
        </w:rPr>
        <w:t>3.5拟派专职安全人员须具有安全生产考核合格证（C类）或建筑施工企业专职安全生产管理人员安全生产考核合格证书</w:t>
      </w:r>
      <w:r>
        <w:rPr>
          <w:rFonts w:hint="eastAsia"/>
          <w:color w:val="auto"/>
          <w:szCs w:val="21"/>
          <w:highlight w:val="none"/>
        </w:rPr>
        <w:t>（C3）</w:t>
      </w:r>
      <w:r>
        <w:rPr>
          <w:color w:val="auto"/>
          <w:szCs w:val="21"/>
          <w:highlight w:val="none"/>
        </w:rPr>
        <w:t>；</w:t>
      </w:r>
      <w:r>
        <w:rPr>
          <w:rFonts w:hint="eastAsia" w:ascii="楷体" w:hAnsi="楷体" w:eastAsia="楷体" w:cs="宋体"/>
          <w:b/>
          <w:bCs/>
          <w:color w:val="auto"/>
          <w:sz w:val="22"/>
          <w:highlight w:val="none"/>
        </w:rPr>
        <w:t>扫描件或电子证书</w:t>
      </w:r>
      <w:r>
        <w:rPr>
          <w:rFonts w:hint="eastAsia" w:ascii="楷体" w:hAnsi="楷体" w:eastAsia="楷体" w:cs="宋体"/>
          <w:b/>
          <w:bCs/>
          <w:color w:val="auto"/>
          <w:sz w:val="22"/>
          <w:highlight w:val="none"/>
          <w:lang w:eastAsia="zh-CN"/>
        </w:rPr>
        <w:t>。</w:t>
      </w:r>
    </w:p>
    <w:p>
      <w:pPr>
        <w:adjustRightInd w:val="0"/>
        <w:snapToGrid w:val="0"/>
        <w:spacing w:line="460" w:lineRule="exact"/>
        <w:ind w:firstLine="420" w:firstLineChars="200"/>
        <w:rPr>
          <w:rFonts w:hint="eastAsia" w:ascii="Times New Roman" w:hAnsi="Times New Roman" w:eastAsia="宋体" w:cs="Times New Roman"/>
          <w:color w:val="auto"/>
          <w:szCs w:val="21"/>
          <w:highlight w:val="none"/>
        </w:rPr>
      </w:pPr>
      <w:r>
        <w:rPr>
          <w:color w:val="auto"/>
          <w:szCs w:val="21"/>
          <w:highlight w:val="none"/>
        </w:rPr>
        <w:t>注</w:t>
      </w:r>
      <w:r>
        <w:rPr>
          <w:rFonts w:hint="eastAsia" w:ascii="Times New Roman" w:hAnsi="Times New Roman" w:eastAsia="宋体" w:cs="Times New Roman"/>
          <w:color w:val="auto"/>
          <w:szCs w:val="21"/>
          <w:highlight w:val="none"/>
        </w:rPr>
        <w:t>：根据《建筑施工企业主要负责人、项目负责人和专职安全生产管理人员安全生产管理规定》（住房和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w:t>
      </w:r>
    </w:p>
    <w:p>
      <w:pPr>
        <w:adjustRightInd w:val="0"/>
        <w:snapToGrid w:val="0"/>
        <w:spacing w:line="460" w:lineRule="exact"/>
        <w:ind w:firstLine="420" w:firstLineChars="200"/>
        <w:rPr>
          <w:color w:val="auto"/>
          <w:szCs w:val="21"/>
          <w:highlight w:val="none"/>
        </w:rPr>
      </w:pPr>
      <w:r>
        <w:rPr>
          <w:rFonts w:hint="eastAsia"/>
          <w:color w:val="auto"/>
          <w:szCs w:val="21"/>
          <w:highlight w:val="none"/>
        </w:rPr>
        <w:t>项目负责人在任职期间不得担任专职安全员，项目专职安全员在任职期间也不得担任项目负责人，项目负责人和专职安全员不为同一人。</w:t>
      </w:r>
    </w:p>
    <w:p>
      <w:pPr>
        <w:spacing w:line="400" w:lineRule="exact"/>
        <w:ind w:firstLine="420" w:firstLineChars="200"/>
        <w:rPr>
          <w:color w:val="auto"/>
          <w:szCs w:val="21"/>
          <w:highlight w:val="none"/>
        </w:rPr>
      </w:pPr>
      <w:r>
        <w:rPr>
          <w:color w:val="auto"/>
          <w:szCs w:val="21"/>
          <w:highlight w:val="none"/>
        </w:rPr>
        <w:t>3.</w:t>
      </w:r>
      <w:r>
        <w:rPr>
          <w:rFonts w:hint="eastAsia"/>
          <w:color w:val="auto"/>
          <w:szCs w:val="21"/>
          <w:highlight w:val="none"/>
        </w:rPr>
        <w:t>6</w:t>
      </w:r>
      <w:r>
        <w:rPr>
          <w:color w:val="auto"/>
          <w:szCs w:val="21"/>
          <w:highlight w:val="none"/>
        </w:rPr>
        <w:t>其他要求</w:t>
      </w:r>
      <w:r>
        <w:rPr>
          <w:rFonts w:hint="eastAsia"/>
          <w:color w:val="auto"/>
          <w:szCs w:val="21"/>
          <w:highlight w:val="none"/>
        </w:rPr>
        <w:t>：</w:t>
      </w:r>
    </w:p>
    <w:p>
      <w:pPr>
        <w:spacing w:line="400" w:lineRule="exact"/>
        <w:ind w:firstLine="420" w:firstLineChars="200"/>
        <w:rPr>
          <w:color w:val="auto"/>
          <w:szCs w:val="21"/>
          <w:highlight w:val="none"/>
        </w:rPr>
      </w:pPr>
      <w:r>
        <w:rPr>
          <w:rFonts w:hint="eastAsia"/>
          <w:color w:val="auto"/>
          <w:szCs w:val="21"/>
          <w:highlight w:val="none"/>
        </w:rPr>
        <w:t>（1）</w:t>
      </w:r>
      <w:r>
        <w:rPr>
          <w:color w:val="auto"/>
          <w:szCs w:val="21"/>
          <w:highlight w:val="none"/>
        </w:rPr>
        <w:t>投标人已按照招标公告附件一的内容签署盖章的投标人声明；</w:t>
      </w:r>
    </w:p>
    <w:p>
      <w:pPr>
        <w:spacing w:line="400" w:lineRule="exact"/>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w:t>
      </w:r>
      <w:r>
        <w:rPr>
          <w:color w:val="auto"/>
          <w:szCs w:val="21"/>
          <w:highlight w:val="none"/>
        </w:rPr>
        <w:t>投标人在“全国建筑市场监管公共服务平台”网（http://jzsc.mohurd.gov.cn）及</w:t>
      </w:r>
      <w:r>
        <w:rPr>
          <w:rFonts w:hint="eastAsia"/>
          <w:color w:val="auto"/>
          <w:szCs w:val="21"/>
          <w:highlight w:val="none"/>
        </w:rPr>
        <w:t>“广东省建设行业数据开放平台”（https://skypt.gdcic.net/openplatform/#/web/home）</w:t>
      </w:r>
      <w:r>
        <w:rPr>
          <w:color w:val="auto"/>
          <w:szCs w:val="21"/>
          <w:highlight w:val="none"/>
        </w:rPr>
        <w:t>的企业信用信息查询中没有黑名单记录，须提供上述网站的查询信息截图；</w:t>
      </w:r>
    </w:p>
    <w:p>
      <w:pPr>
        <w:spacing w:line="400" w:lineRule="exact"/>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w:t>
      </w:r>
      <w:r>
        <w:rPr>
          <w:color w:val="auto"/>
          <w:szCs w:val="21"/>
          <w:highlight w:val="none"/>
        </w:rPr>
        <w:t>投标人在“进粤企业和人员诚信信息登记平台”已录入相关信息并通过数据规范检查（广东省外进粤建筑企业提供网页查询结果截图或进粤企业和人员诚信信息表，广东省内注册企业不需要提供）。</w:t>
      </w:r>
    </w:p>
    <w:p>
      <w:pPr>
        <w:spacing w:line="400" w:lineRule="exact"/>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）投标人须承诺近三年（</w:t>
      </w:r>
      <w:r>
        <w:rPr>
          <w:color w:val="auto"/>
          <w:szCs w:val="21"/>
          <w:highlight w:val="none"/>
        </w:rPr>
        <w:t>202</w:t>
      </w:r>
      <w:r>
        <w:rPr>
          <w:rFonts w:hint="eastAsia"/>
          <w:color w:val="auto"/>
          <w:szCs w:val="21"/>
          <w:highlight w:val="none"/>
        </w:rPr>
        <w:t>2年</w:t>
      </w:r>
      <w:r>
        <w:rPr>
          <w:color w:val="auto"/>
          <w:szCs w:val="21"/>
          <w:highlight w:val="none"/>
        </w:rPr>
        <w:t>1</w:t>
      </w:r>
      <w:r>
        <w:rPr>
          <w:rFonts w:hint="eastAsia"/>
          <w:color w:val="auto"/>
          <w:szCs w:val="21"/>
          <w:highlight w:val="none"/>
        </w:rPr>
        <w:t>月</w:t>
      </w:r>
      <w:r>
        <w:rPr>
          <w:color w:val="auto"/>
          <w:szCs w:val="21"/>
          <w:highlight w:val="none"/>
        </w:rPr>
        <w:t>1</w:t>
      </w:r>
      <w:r>
        <w:rPr>
          <w:rFonts w:hint="eastAsia"/>
          <w:color w:val="auto"/>
          <w:szCs w:val="21"/>
          <w:highlight w:val="none"/>
        </w:rPr>
        <w:t>日至投标截止时间止）未出现过拖欠农民工工资及供货商材料款的舆情事件，承诺如发生承建项目账户资金被冻结问题，必须限期解决，并确保中央资金安全（由投标人在《投标函》中承诺并按要求签署盖章）。</w:t>
      </w:r>
    </w:p>
    <w:p>
      <w:pPr>
        <w:spacing w:line="400" w:lineRule="exact"/>
        <w:ind w:firstLine="420" w:firstLineChars="200"/>
        <w:rPr>
          <w:color w:val="auto"/>
          <w:szCs w:val="21"/>
          <w:highlight w:val="none"/>
        </w:rPr>
      </w:pPr>
      <w:r>
        <w:rPr>
          <w:color w:val="auto"/>
          <w:szCs w:val="21"/>
          <w:highlight w:val="none"/>
        </w:rPr>
        <w:t>3.</w:t>
      </w:r>
      <w:r>
        <w:rPr>
          <w:rFonts w:hint="eastAsia"/>
          <w:color w:val="auto"/>
          <w:szCs w:val="21"/>
          <w:highlight w:val="none"/>
        </w:rPr>
        <w:t>7</w:t>
      </w:r>
      <w:r>
        <w:rPr>
          <w:color w:val="auto"/>
          <w:szCs w:val="21"/>
          <w:highlight w:val="none"/>
        </w:rPr>
        <w:t>本项目不接受联合体投标。</w:t>
      </w:r>
    </w:p>
    <w:p>
      <w:pPr>
        <w:pStyle w:val="86"/>
        <w:rPr>
          <w:rFonts w:hint="default" w:eastAsia="宋体"/>
          <w:color w:val="auto"/>
          <w:highlight w:val="none"/>
          <w:lang w:val="en-US" w:eastAsia="zh-CN"/>
        </w:rPr>
      </w:pPr>
    </w:p>
    <w:p>
      <w:pPr>
        <w:pStyle w:val="5"/>
        <w:tabs>
          <w:tab w:val="left" w:pos="360"/>
          <w:tab w:val="left" w:pos="800"/>
        </w:tabs>
        <w:rPr>
          <w:rFonts w:ascii="Times New Roman" w:hAnsi="Times New Roman" w:eastAsia="宋体"/>
          <w:color w:val="auto"/>
          <w:sz w:val="30"/>
          <w:szCs w:val="30"/>
          <w:highlight w:val="none"/>
        </w:rPr>
      </w:pPr>
      <w:bookmarkStart w:id="54" w:name="_Toc7463"/>
      <w:r>
        <w:rPr>
          <w:rFonts w:ascii="Times New Roman" w:hAnsi="Times New Roman" w:eastAsia="宋体"/>
          <w:color w:val="auto"/>
          <w:sz w:val="30"/>
          <w:szCs w:val="30"/>
          <w:highlight w:val="none"/>
        </w:rPr>
        <w:t>4. 招标文件的获取</w:t>
      </w:r>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szCs w:val="22"/>
          <w:highlight w:val="none"/>
        </w:rPr>
      </w:pPr>
      <w:bookmarkStart w:id="55" w:name="_Toc144974484"/>
      <w:bookmarkStart w:id="56" w:name="_Toc247085676"/>
      <w:bookmarkStart w:id="57" w:name="_Toc179632532"/>
      <w:bookmarkStart w:id="58" w:name="_Toc246996905"/>
      <w:bookmarkStart w:id="59" w:name="_Toc246996162"/>
      <w:bookmarkStart w:id="60" w:name="_Toc152045516"/>
      <w:bookmarkStart w:id="61" w:name="_Toc152042292"/>
      <w:r>
        <w:rPr>
          <w:color w:val="auto"/>
          <w:szCs w:val="21"/>
          <w:highlight w:val="none"/>
        </w:rPr>
        <w:t>4.1</w:t>
      </w:r>
      <w:r>
        <w:rPr>
          <w:color w:val="auto"/>
          <w:highlight w:val="none"/>
        </w:rPr>
        <w:t>凡有意参加投标者，请于</w:t>
      </w:r>
      <w:r>
        <w:rPr>
          <w:color w:val="auto"/>
          <w:highlight w:val="none"/>
          <w:u w:val="single"/>
        </w:rPr>
        <w:t>202</w:t>
      </w:r>
      <w:r>
        <w:rPr>
          <w:rFonts w:hint="eastAsia"/>
          <w:color w:val="auto"/>
          <w:highlight w:val="none"/>
          <w:u w:val="single"/>
        </w:rPr>
        <w:t>5</w:t>
      </w:r>
      <w:r>
        <w:rPr>
          <w:color w:val="auto"/>
          <w:highlight w:val="none"/>
        </w:rPr>
        <w:t>年</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rPr>
        <w:t>日</w:t>
      </w:r>
      <w:r>
        <w:rPr>
          <w:color w:val="auto"/>
          <w:highlight w:val="none"/>
          <w:u w:val="single"/>
        </w:rPr>
        <w:t>00</w:t>
      </w:r>
      <w:r>
        <w:rPr>
          <w:color w:val="auto"/>
          <w:highlight w:val="none"/>
        </w:rPr>
        <w:t>时</w:t>
      </w:r>
      <w:r>
        <w:rPr>
          <w:color w:val="auto"/>
          <w:highlight w:val="none"/>
          <w:u w:val="single"/>
        </w:rPr>
        <w:t>00</w:t>
      </w:r>
      <w:r>
        <w:rPr>
          <w:color w:val="auto"/>
          <w:highlight w:val="none"/>
        </w:rPr>
        <w:t>分至</w:t>
      </w:r>
      <w:r>
        <w:rPr>
          <w:color w:val="auto"/>
          <w:highlight w:val="none"/>
          <w:u w:val="single"/>
        </w:rPr>
        <w:t>202</w:t>
      </w:r>
      <w:r>
        <w:rPr>
          <w:rFonts w:hint="eastAsia"/>
          <w:color w:val="auto"/>
          <w:highlight w:val="none"/>
          <w:u w:val="single"/>
        </w:rPr>
        <w:t>5</w:t>
      </w:r>
      <w:r>
        <w:rPr>
          <w:color w:val="auto"/>
          <w:highlight w:val="none"/>
        </w:rPr>
        <w:t>年</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rPr>
        <w:t>日</w:t>
      </w:r>
      <w:r>
        <w:rPr>
          <w:color w:val="auto"/>
          <w:highlight w:val="none"/>
          <w:u w:val="single"/>
        </w:rPr>
        <w:t>23</w:t>
      </w:r>
      <w:r>
        <w:rPr>
          <w:color w:val="auto"/>
          <w:highlight w:val="none"/>
        </w:rPr>
        <w:t>时</w:t>
      </w:r>
      <w:r>
        <w:rPr>
          <w:color w:val="auto"/>
          <w:highlight w:val="none"/>
          <w:u w:val="single"/>
        </w:rPr>
        <w:t>59</w:t>
      </w:r>
      <w:r>
        <w:rPr>
          <w:color w:val="auto"/>
          <w:highlight w:val="none"/>
        </w:rPr>
        <w:t>分（北京时间，下同），登录</w:t>
      </w:r>
      <w:r>
        <w:rPr>
          <w:rFonts w:hint="eastAsia"/>
          <w:color w:val="auto"/>
          <w:highlight w:val="none"/>
          <w:u w:val="single"/>
        </w:rPr>
        <w:t>广州交易集团有限公司（广州公共资源交易中心）</w:t>
      </w:r>
      <w:r>
        <w:rPr>
          <w:color w:val="auto"/>
          <w:highlight w:val="none"/>
          <w:u w:val="single"/>
        </w:rPr>
        <w:t>数字交易平台</w:t>
      </w:r>
      <w:r>
        <w:rPr>
          <w:rFonts w:hint="eastAsia"/>
          <w:color w:val="auto"/>
          <w:highlight w:val="none"/>
          <w:u w:val="single"/>
        </w:rPr>
        <w:t>（</w:t>
      </w:r>
      <w:r>
        <w:rPr>
          <w:color w:val="auto"/>
          <w:szCs w:val="22"/>
          <w:highlight w:val="none"/>
          <w:u w:val="single"/>
        </w:rPr>
        <w:t>http://www.gzggzy.cn/</w:t>
      </w:r>
      <w:r>
        <w:rPr>
          <w:rFonts w:hint="eastAsia"/>
          <w:color w:val="auto"/>
          <w:highlight w:val="none"/>
          <w:u w:val="single"/>
        </w:rPr>
        <w:t>）</w:t>
      </w:r>
      <w:r>
        <w:rPr>
          <w:color w:val="auto"/>
          <w:highlight w:val="none"/>
        </w:rPr>
        <w:t>办理网上投标登记手续并下载电子招标文件。</w:t>
      </w:r>
      <w:r>
        <w:rPr>
          <w:color w:val="auto"/>
          <w:szCs w:val="22"/>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4.2投标人应在投标登记截止时间前登录</w:t>
      </w:r>
      <w:r>
        <w:rPr>
          <w:rFonts w:hint="eastAsia"/>
          <w:color w:val="auto"/>
          <w:highlight w:val="none"/>
          <w:u w:val="single"/>
        </w:rPr>
        <w:t>广州交易集团有限公司（广州公共资源交易中心）数字交易平台</w:t>
      </w:r>
      <w:r>
        <w:rPr>
          <w:color w:val="auto"/>
          <w:highlight w:val="none"/>
        </w:rPr>
        <w:t>（http//www.gzggzy.cn/）办理网上投标登记手续，并按照交易平台关于全流程电子化项目的相关指南进行。详见：广州交易集团有限公司（广州公共资源交易中心）网站指引。</w:t>
      </w:r>
    </w:p>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4.3投标人完成</w:t>
      </w:r>
      <w:r>
        <w:rPr>
          <w:rFonts w:hint="eastAsia"/>
          <w:color w:val="auto"/>
          <w:highlight w:val="none"/>
        </w:rPr>
        <w:t>广州交易集团有限公司（广州公共资源交易中心）</w:t>
      </w:r>
      <w:r>
        <w:rPr>
          <w:color w:val="auto"/>
          <w:highlight w:val="none"/>
        </w:rPr>
        <w:t>网上投标登记手续后，应在投标登记截止时间前联系本项目招标代理机构：</w:t>
      </w:r>
      <w:r>
        <w:rPr>
          <w:rFonts w:hint="eastAsia"/>
          <w:color w:val="auto"/>
          <w:highlight w:val="none"/>
          <w:lang w:val="en-US" w:eastAsia="zh-CN"/>
        </w:rPr>
        <w:t>付</w:t>
      </w:r>
      <w:r>
        <w:rPr>
          <w:rFonts w:hint="eastAsia"/>
          <w:color w:val="auto"/>
          <w:highlight w:val="none"/>
        </w:rPr>
        <w:t>工</w:t>
      </w:r>
      <w:r>
        <w:rPr>
          <w:rFonts w:hint="eastAsia"/>
          <w:color w:val="auto"/>
          <w:highlight w:val="none"/>
          <w:lang w:val="en-US" w:eastAsia="zh-CN"/>
        </w:rPr>
        <w:t>13797429846</w:t>
      </w:r>
      <w:r>
        <w:rPr>
          <w:rFonts w:hint="eastAsia"/>
          <w:color w:val="auto"/>
          <w:highlight w:val="none"/>
        </w:rPr>
        <w:t>、黄工15920177102 （邮箱：</w:t>
      </w:r>
      <w:r>
        <w:rPr>
          <w:rFonts w:hint="eastAsia"/>
          <w:color w:val="auto"/>
          <w:highlight w:val="none"/>
          <w:lang w:val="en-US" w:eastAsia="zh-CN"/>
        </w:rPr>
        <w:t>961643956@qq.com</w:t>
      </w:r>
      <w:r>
        <w:rPr>
          <w:rFonts w:hint="eastAsia"/>
          <w:color w:val="auto"/>
          <w:highlight w:val="none"/>
        </w:rPr>
        <w:t>）获取招标文件（含图纸及技术资料，获取时间段，工作日9:00至17:00）。投标人获取时需提交《投标登记申请表》</w:t>
      </w:r>
      <w:r>
        <w:rPr>
          <w:color w:val="auto"/>
          <w:highlight w:val="none"/>
        </w:rPr>
        <w:t>（</w:t>
      </w:r>
      <w:r>
        <w:rPr>
          <w:rFonts w:hint="eastAsia"/>
          <w:color w:val="auto"/>
          <w:highlight w:val="none"/>
        </w:rPr>
        <w:t>签章齐全，格式可在广州公共资源交易中心网站（http:// www.gzggzy.cn）下载），若为联合体投标的请同步提供《联合体协议书》。</w:t>
      </w:r>
    </w:p>
    <w:p>
      <w:pPr>
        <w:pStyle w:val="5"/>
        <w:rPr>
          <w:rFonts w:ascii="Times New Roman" w:hAnsi="Times New Roman" w:eastAsia="宋体"/>
          <w:color w:val="auto"/>
          <w:sz w:val="30"/>
          <w:szCs w:val="30"/>
          <w:highlight w:val="none"/>
        </w:rPr>
      </w:pPr>
      <w:bookmarkStart w:id="62" w:name="_Toc23770"/>
      <w:r>
        <w:rPr>
          <w:rFonts w:ascii="Times New Roman" w:hAnsi="Times New Roman" w:eastAsia="宋体"/>
          <w:color w:val="auto"/>
          <w:sz w:val="30"/>
          <w:szCs w:val="30"/>
          <w:highlight w:val="none"/>
        </w:rPr>
        <w:t>5. 投标文件的递交</w:t>
      </w:r>
      <w:bookmarkEnd w:id="55"/>
      <w:bookmarkEnd w:id="56"/>
      <w:bookmarkEnd w:id="57"/>
      <w:bookmarkEnd w:id="58"/>
      <w:bookmarkEnd w:id="59"/>
      <w:bookmarkEnd w:id="60"/>
      <w:bookmarkEnd w:id="61"/>
      <w:bookmarkEnd w:id="62"/>
    </w:p>
    <w:p>
      <w:pPr>
        <w:adjustRightInd w:val="0"/>
        <w:snapToGrid w:val="0"/>
        <w:spacing w:line="360" w:lineRule="auto"/>
        <w:ind w:firstLine="487" w:firstLineChars="232"/>
        <w:rPr>
          <w:rFonts w:ascii="宋体" w:hAnsi="宋体" w:eastAsia="宋体" w:cs="宋体"/>
          <w:sz w:val="21"/>
          <w:szCs w:val="21"/>
        </w:rPr>
      </w:pPr>
      <w:bookmarkStart w:id="63" w:name="_Toc246996163"/>
      <w:bookmarkStart w:id="64" w:name="_Toc246996906"/>
      <w:bookmarkStart w:id="65" w:name="_Toc179632533"/>
      <w:bookmarkStart w:id="66" w:name="_Toc157499355"/>
      <w:bookmarkStart w:id="67" w:name="_Toc247085677"/>
      <w:bookmarkStart w:id="68" w:name="_Toc27082"/>
      <w:r>
        <w:rPr>
          <w:rFonts w:ascii="宋体" w:hAnsi="宋体" w:eastAsia="宋体" w:cs="宋体"/>
          <w:sz w:val="21"/>
          <w:szCs w:val="21"/>
        </w:rPr>
        <w:t xml:space="preserve">5.1 投标文件递交的截止时间（投标截止时间，下同）为2025年 月 日 时 分，投 标人应在截止时间前登录广州交易集团有限公司（广州公共资源交易中心）网站 （http://www.gzggzy.cn/）通过广州公共资源交易中心数字交易平台递交电子投标文件。 </w:t>
      </w:r>
    </w:p>
    <w:p>
      <w:pPr>
        <w:adjustRightInd w:val="0"/>
        <w:snapToGrid w:val="0"/>
        <w:spacing w:line="360" w:lineRule="auto"/>
        <w:ind w:firstLine="487" w:firstLineChars="232"/>
        <w:rPr>
          <w:rFonts w:ascii="宋体" w:hAnsi="宋体" w:eastAsia="宋体" w:cs="宋体"/>
          <w:sz w:val="21"/>
          <w:szCs w:val="21"/>
        </w:rPr>
      </w:pPr>
      <w:r>
        <w:rPr>
          <w:rFonts w:ascii="宋体" w:hAnsi="宋体" w:eastAsia="宋体" w:cs="宋体"/>
          <w:sz w:val="21"/>
          <w:szCs w:val="21"/>
        </w:rPr>
        <w:t>投标文件备用 U 盘递交时间：2025 年 月 日 时 分至 2025 年 月 日 时 分（备注：填写时间为投标截止前15分钟开始递交至投标截止时间止），投标文件备用U盘递交 地点：广州公共资源交易中心第 开标室。</w:t>
      </w:r>
    </w:p>
    <w:p>
      <w:pPr>
        <w:adjustRightInd w:val="0"/>
        <w:snapToGrid w:val="0"/>
        <w:spacing w:line="360" w:lineRule="auto"/>
        <w:ind w:firstLine="487" w:firstLineChars="232"/>
        <w:rPr>
          <w:rFonts w:ascii="宋体" w:hAnsi="宋体" w:eastAsia="宋体" w:cs="宋体"/>
          <w:sz w:val="21"/>
          <w:szCs w:val="21"/>
        </w:rPr>
      </w:pPr>
      <w:r>
        <w:rPr>
          <w:rFonts w:ascii="宋体" w:hAnsi="宋体" w:eastAsia="宋体" w:cs="宋体"/>
          <w:sz w:val="21"/>
          <w:szCs w:val="21"/>
        </w:rPr>
        <w:t xml:space="preserve"> 投标人完成电子投标上传后，电子招标投标交易平台即时向投标人发出递交回执通知。递交 时间以递交回执通知载明的传输时间为准。</w:t>
      </w:r>
    </w:p>
    <w:p>
      <w:pPr>
        <w:adjustRightInd w:val="0"/>
        <w:snapToGrid w:val="0"/>
        <w:spacing w:line="360" w:lineRule="auto"/>
        <w:ind w:firstLine="487" w:firstLineChars="232"/>
        <w:rPr>
          <w:rFonts w:ascii="宋体" w:hAnsi="宋体" w:eastAsia="宋体" w:cs="宋体"/>
          <w:sz w:val="21"/>
          <w:szCs w:val="21"/>
        </w:rPr>
      </w:pPr>
      <w:r>
        <w:rPr>
          <w:rFonts w:ascii="宋体" w:hAnsi="宋体" w:eastAsia="宋体" w:cs="宋体"/>
          <w:sz w:val="21"/>
          <w:szCs w:val="21"/>
        </w:rPr>
        <w:t xml:space="preserve"> 5.2 逾期送达的投标文件，电子招标投标交易平台将予以拒收。采取电子投标时，逾期未上 传成功的电子投标文件，招标人拒绝接收。</w:t>
      </w:r>
    </w:p>
    <w:p>
      <w:pPr>
        <w:adjustRightInd w:val="0"/>
        <w:snapToGrid w:val="0"/>
        <w:spacing w:line="360" w:lineRule="auto"/>
        <w:ind w:firstLine="487" w:firstLineChars="232"/>
        <w:rPr>
          <w:rFonts w:ascii="宋体" w:hAnsi="宋体" w:eastAsia="宋体" w:cs="宋体"/>
          <w:sz w:val="21"/>
          <w:szCs w:val="21"/>
        </w:rPr>
      </w:pPr>
      <w:r>
        <w:rPr>
          <w:rFonts w:ascii="宋体" w:hAnsi="宋体" w:eastAsia="宋体" w:cs="宋体"/>
          <w:sz w:val="21"/>
          <w:szCs w:val="21"/>
        </w:rPr>
        <w:t xml:space="preserve"> 5.3 开标时间：2025年 月 日 时 分。 </w:t>
      </w:r>
    </w:p>
    <w:p>
      <w:pPr>
        <w:adjustRightInd w:val="0"/>
        <w:snapToGrid w:val="0"/>
        <w:spacing w:line="360" w:lineRule="auto"/>
        <w:ind w:firstLine="487" w:firstLineChars="232"/>
        <w:rPr>
          <w:rFonts w:hint="eastAsia" w:ascii="宋体" w:hAnsi="宋体" w:cs="宋体"/>
          <w:b/>
          <w:bCs/>
          <w:color w:val="auto"/>
          <w:sz w:val="21"/>
          <w:szCs w:val="21"/>
          <w:highlight w:val="none"/>
        </w:rPr>
      </w:pPr>
      <w:r>
        <w:rPr>
          <w:rFonts w:ascii="宋体" w:hAnsi="宋体" w:eastAsia="宋体" w:cs="宋体"/>
          <w:sz w:val="21"/>
          <w:szCs w:val="21"/>
        </w:rPr>
        <w:t xml:space="preserve">注：投标人可自行登录广州交易集团有限公司（广州公共资源交易中心）网站首页，点击“建- 4 - 设工程”专栏中的“项目查询（日程安排、答疑纪要）”，输入项目编号或项目名称即可查询，并请 密切留意招标答疑中的相关信息。 </w:t>
      </w:r>
    </w:p>
    <w:p>
      <w:pPr>
        <w:pStyle w:val="5"/>
        <w:rPr>
          <w:rFonts w:ascii="Times New Roman" w:hAnsi="Times New Roman" w:eastAsia="宋体"/>
          <w:color w:val="auto"/>
          <w:sz w:val="30"/>
          <w:szCs w:val="30"/>
          <w:highlight w:val="none"/>
        </w:rPr>
      </w:pPr>
      <w:r>
        <w:rPr>
          <w:rFonts w:ascii="Times New Roman" w:hAnsi="Times New Roman" w:eastAsia="宋体"/>
          <w:color w:val="auto"/>
          <w:sz w:val="30"/>
          <w:szCs w:val="30"/>
          <w:highlight w:val="none"/>
        </w:rPr>
        <w:t>6. 发布公告的媒介</w:t>
      </w:r>
      <w:bookmarkEnd w:id="63"/>
      <w:bookmarkEnd w:id="64"/>
      <w:bookmarkEnd w:id="65"/>
      <w:bookmarkEnd w:id="66"/>
      <w:bookmarkEnd w:id="67"/>
      <w:bookmarkEnd w:id="68"/>
    </w:p>
    <w:p>
      <w:pPr>
        <w:spacing w:line="400" w:lineRule="exact"/>
        <w:ind w:firstLine="420" w:firstLineChars="200"/>
        <w:rPr>
          <w:color w:val="auto"/>
          <w:highlight w:val="none"/>
        </w:rPr>
      </w:pPr>
      <w:r>
        <w:rPr>
          <w:color w:val="auto"/>
          <w:szCs w:val="21"/>
          <w:highlight w:val="none"/>
        </w:rPr>
        <w:t>本次招标公告同时在</w:t>
      </w:r>
      <w:bookmarkStart w:id="69" w:name="OLE_LINK1"/>
      <w:r>
        <w:rPr>
          <w:color w:val="auto"/>
          <w:szCs w:val="21"/>
          <w:highlight w:val="none"/>
        </w:rPr>
        <w:t>中国招标投标公共服务平台</w:t>
      </w:r>
      <w:r>
        <w:rPr>
          <w:color w:val="auto"/>
          <w:highlight w:val="none"/>
        </w:rPr>
        <w:t>（网址：http://www.cebpubservice.com/）、广东省招标投标监管网（网址：http://zbtb.gd.gov.cn/）、</w:t>
      </w:r>
      <w:r>
        <w:rPr>
          <w:rFonts w:hint="eastAsia"/>
          <w:color w:val="auto"/>
          <w:highlight w:val="none"/>
        </w:rPr>
        <w:t>广州交易集团有限公司（广州公共资源交易中心）网站</w:t>
      </w:r>
      <w:r>
        <w:rPr>
          <w:color w:val="auto"/>
          <w:highlight w:val="none"/>
        </w:rPr>
        <w:t>（网址：</w:t>
      </w:r>
      <w:r>
        <w:rPr>
          <w:color w:val="auto"/>
          <w:highlight w:val="none"/>
        </w:rPr>
        <w:fldChar w:fldCharType="begin"/>
      </w:r>
      <w:r>
        <w:rPr>
          <w:color w:val="auto"/>
          <w:highlight w:val="none"/>
        </w:rPr>
        <w:instrText xml:space="preserve"> HYPERLINK "http://www.gzggzy.cn/）发布。本项目招标公告的修改、补充，在国家和省指定的媒体以及广州交易集团有限公司（广州公共资源交易中心）网站发布。" </w:instrText>
      </w:r>
      <w:r>
        <w:rPr>
          <w:color w:val="auto"/>
          <w:highlight w:val="none"/>
        </w:rPr>
        <w:fldChar w:fldCharType="separate"/>
      </w:r>
      <w:r>
        <w:rPr>
          <w:color w:val="auto"/>
          <w:highlight w:val="none"/>
        </w:rPr>
        <w:t>http://www.gzggzy.cn/）发布。</w:t>
      </w:r>
      <w:bookmarkEnd w:id="69"/>
      <w:r>
        <w:rPr>
          <w:color w:val="auto"/>
          <w:highlight w:val="none"/>
        </w:rPr>
        <w:t>本项目招标公告的修改、补充，在国家和省指定的媒体以及</w:t>
      </w:r>
      <w:r>
        <w:rPr>
          <w:rFonts w:hint="eastAsia"/>
          <w:color w:val="auto"/>
          <w:highlight w:val="none"/>
        </w:rPr>
        <w:t>广州交易集团有限公司（广州公共资源交易中心）网站</w:t>
      </w:r>
      <w:r>
        <w:rPr>
          <w:color w:val="auto"/>
          <w:highlight w:val="none"/>
        </w:rPr>
        <w:t>发布。</w:t>
      </w:r>
      <w:r>
        <w:rPr>
          <w:color w:val="auto"/>
          <w:highlight w:val="none"/>
        </w:rPr>
        <w:fldChar w:fldCharType="end"/>
      </w:r>
    </w:p>
    <w:p>
      <w:pPr>
        <w:pStyle w:val="2"/>
        <w:rPr>
          <w:color w:val="auto"/>
          <w:highlight w:val="none"/>
        </w:rPr>
      </w:pPr>
    </w:p>
    <w:p>
      <w:pPr>
        <w:pStyle w:val="2"/>
        <w:numPr>
          <w:ilvl w:val="0"/>
          <w:numId w:val="3"/>
        </w:numPr>
        <w:rPr>
          <w:rFonts w:hint="default"/>
          <w:b/>
          <w:bCs/>
          <w:color w:val="auto"/>
          <w:sz w:val="30"/>
          <w:szCs w:val="30"/>
          <w:highlight w:val="none"/>
          <w:lang w:val="en-US" w:eastAsia="zh-CN"/>
        </w:rPr>
      </w:pPr>
      <w:r>
        <w:rPr>
          <w:rFonts w:hint="default"/>
          <w:b/>
          <w:bCs/>
          <w:color w:val="auto"/>
          <w:sz w:val="30"/>
          <w:szCs w:val="30"/>
          <w:highlight w:val="none"/>
          <w:lang w:val="en-US" w:eastAsia="zh-CN"/>
        </w:rPr>
        <w:t>其他：</w:t>
      </w:r>
    </w:p>
    <w:p>
      <w:pPr>
        <w:keepNext/>
        <w:keepLines/>
        <w:numPr>
          <w:ilvl w:val="0"/>
          <w:numId w:val="0"/>
        </w:numPr>
        <w:spacing w:before="120" w:line="360" w:lineRule="auto"/>
        <w:ind w:firstLine="420" w:firstLineChars="200"/>
        <w:outlineLvl w:val="1"/>
        <w:rPr>
          <w:rFonts w:hint="default"/>
          <w:color w:val="auto"/>
          <w:highlight w:val="none"/>
          <w:lang w:val="en-US" w:eastAsia="zh-CN"/>
        </w:rPr>
      </w:pPr>
      <w:bookmarkStart w:id="70" w:name="_Toc20491"/>
      <w:r>
        <w:rPr>
          <w:rFonts w:hint="eastAsia" w:ascii="Arial" w:hAnsi="Arial" w:eastAsia="宋体" w:cs="Times New Roman"/>
          <w:color w:val="auto"/>
          <w:highlight w:val="none"/>
          <w:lang w:val="en-US" w:eastAsia="zh-CN"/>
        </w:rPr>
        <w:t>投标人须在参与项目前，前往</w:t>
      </w:r>
      <w:r>
        <w:rPr>
          <w:rFonts w:hint="eastAsia" w:ascii="Arial" w:hAnsi="Arial" w:eastAsia="宋体" w:cs="Times New Roman"/>
          <w:b/>
          <w:bCs/>
          <w:color w:val="auto"/>
          <w:highlight w:val="none"/>
          <w:lang w:val="en-US" w:eastAsia="zh-CN"/>
        </w:rPr>
        <w:t>诚E招电子采购交易平台（https://www.chengezhao.com/）</w:t>
      </w:r>
      <w:r>
        <w:rPr>
          <w:rFonts w:hint="eastAsia" w:ascii="Arial" w:hAnsi="Arial" w:eastAsia="宋体" w:cs="Times New Roman"/>
          <w:color w:val="auto"/>
          <w:highlight w:val="none"/>
          <w:lang w:val="en-US" w:eastAsia="zh-CN"/>
        </w:rPr>
        <w:t>进行注册（建议使用“火狐”、“360”浏览器。注册时须在系统上传原件扫描件或加盖单位公章的营业执照以及法定代表人证明书扫描件、法人授权委托书扫描件、银行基本账户开户许可证或基本存款账户信息扫描件），操作步骤详见诚E招电子采购交易平台注册指引。</w:t>
      </w:r>
      <w:bookmarkEnd w:id="70"/>
    </w:p>
    <w:p>
      <w:pPr>
        <w:pStyle w:val="5"/>
        <w:rPr>
          <w:rFonts w:ascii="Times New Roman" w:hAnsi="Times New Roman" w:eastAsia="宋体"/>
          <w:color w:val="auto"/>
          <w:sz w:val="30"/>
          <w:szCs w:val="30"/>
          <w:highlight w:val="none"/>
        </w:rPr>
      </w:pPr>
      <w:bookmarkStart w:id="71" w:name="_Toc246996164"/>
      <w:bookmarkStart w:id="72" w:name="_Toc144974485"/>
      <w:bookmarkStart w:id="73" w:name="_Toc25224"/>
      <w:bookmarkStart w:id="74" w:name="_Toc179632534"/>
      <w:bookmarkStart w:id="75" w:name="_Toc246996907"/>
      <w:bookmarkStart w:id="76" w:name="_Toc152042293"/>
      <w:bookmarkStart w:id="77" w:name="_Toc247085678"/>
      <w:bookmarkStart w:id="78" w:name="_Toc152045517"/>
      <w:r>
        <w:rPr>
          <w:rFonts w:hint="eastAsia" w:ascii="Times New Roman" w:hAnsi="Times New Roman" w:eastAsia="宋体"/>
          <w:color w:val="auto"/>
          <w:sz w:val="30"/>
          <w:szCs w:val="30"/>
          <w:highlight w:val="none"/>
          <w:lang w:val="en-US" w:eastAsia="zh-CN"/>
        </w:rPr>
        <w:t>8</w:t>
      </w:r>
      <w:r>
        <w:rPr>
          <w:rFonts w:ascii="Times New Roman" w:hAnsi="Times New Roman" w:eastAsia="宋体"/>
          <w:color w:val="auto"/>
          <w:sz w:val="30"/>
          <w:szCs w:val="30"/>
          <w:highlight w:val="none"/>
        </w:rPr>
        <w:t>. 联系方式</w:t>
      </w:r>
      <w:bookmarkEnd w:id="71"/>
      <w:bookmarkEnd w:id="72"/>
      <w:bookmarkEnd w:id="73"/>
      <w:bookmarkEnd w:id="74"/>
      <w:bookmarkEnd w:id="75"/>
      <w:bookmarkEnd w:id="76"/>
      <w:bookmarkEnd w:id="77"/>
      <w:bookmarkEnd w:id="78"/>
    </w:p>
    <w:p>
      <w:pPr>
        <w:spacing w:line="240" w:lineRule="auto"/>
        <w:ind w:left="420" w:leftChars="200"/>
        <w:rPr>
          <w:rFonts w:hint="eastAsia" w:ascii="宋体" w:hAnsi="宋体" w:eastAsia="宋体" w:cs="宋体"/>
          <w:color w:val="auto"/>
          <w:szCs w:val="21"/>
          <w:highlight w:val="none"/>
          <w:lang w:eastAsia="zh-CN"/>
        </w:rPr>
      </w:pPr>
      <w:r>
        <w:rPr>
          <w:rFonts w:ascii="宋体" w:hAnsi="宋体" w:cs="宋体"/>
          <w:color w:val="auto"/>
          <w:szCs w:val="21"/>
          <w:highlight w:val="none"/>
        </w:rPr>
        <w:t>招 标 人：</w:t>
      </w:r>
      <w:r>
        <w:rPr>
          <w:rFonts w:hint="eastAsia" w:ascii="宋体" w:hAnsi="宋体" w:cs="宋体"/>
          <w:color w:val="auto"/>
          <w:szCs w:val="21"/>
          <w:highlight w:val="none"/>
          <w:lang w:eastAsia="zh-CN"/>
        </w:rPr>
        <w:t>广东嘉业储备物流有限公司</w:t>
      </w:r>
    </w:p>
    <w:p>
      <w:pPr>
        <w:spacing w:line="240" w:lineRule="auto"/>
        <w:ind w:left="420" w:leftChars="200"/>
        <w:rPr>
          <w:rFonts w:hint="default" w:ascii="宋体" w:hAnsi="宋体" w:eastAsia="宋体" w:cs="宋体"/>
          <w:color w:val="auto"/>
          <w:szCs w:val="21"/>
          <w:highlight w:val="none"/>
          <w:lang w:val="en-US" w:eastAsia="zh-CN"/>
        </w:rPr>
      </w:pPr>
      <w:r>
        <w:rPr>
          <w:rFonts w:ascii="宋体" w:hAnsi="宋体" w:cs="宋体"/>
          <w:color w:val="auto"/>
          <w:szCs w:val="21"/>
          <w:highlight w:val="none"/>
        </w:rPr>
        <w:t>地    址：</w:t>
      </w:r>
      <w:r>
        <w:rPr>
          <w:rFonts w:hint="eastAsia" w:ascii="宋体" w:hAnsi="宋体" w:cs="宋体"/>
          <w:color w:val="auto"/>
          <w:sz w:val="21"/>
          <w:szCs w:val="21"/>
          <w:highlight w:val="none"/>
          <w:lang w:val="en-US" w:eastAsia="zh-CN"/>
        </w:rPr>
        <w:t>湛江市霞山区荷花村1号</w:t>
      </w:r>
    </w:p>
    <w:p>
      <w:pPr>
        <w:spacing w:line="240" w:lineRule="auto"/>
        <w:ind w:left="420" w:leftChars="200"/>
        <w:rPr>
          <w:rFonts w:ascii="宋体" w:hAnsi="宋体" w:cs="宋体"/>
          <w:color w:val="auto"/>
          <w:szCs w:val="21"/>
          <w:highlight w:val="none"/>
        </w:rPr>
      </w:pPr>
      <w:r>
        <w:rPr>
          <w:rFonts w:ascii="宋体" w:hAnsi="宋体" w:cs="宋体"/>
          <w:color w:val="auto"/>
          <w:szCs w:val="21"/>
          <w:highlight w:val="none"/>
        </w:rPr>
        <w:t>联 系 人：</w:t>
      </w:r>
      <w:r>
        <w:rPr>
          <w:rFonts w:hint="eastAsia" w:ascii="宋体" w:hAnsi="宋体" w:cs="宋体"/>
          <w:color w:val="auto"/>
          <w:sz w:val="21"/>
          <w:szCs w:val="21"/>
          <w:highlight w:val="none"/>
          <w:lang w:val="en-US" w:eastAsia="zh-CN"/>
        </w:rPr>
        <w:t>黄生</w:t>
      </w:r>
    </w:p>
    <w:p>
      <w:pPr>
        <w:spacing w:line="360" w:lineRule="auto"/>
        <w:ind w:left="420" w:leftChars="200"/>
        <w:rPr>
          <w:rFonts w:hint="default" w:ascii="宋体" w:hAnsi="宋体" w:eastAsia="宋体" w:cs="宋体"/>
          <w:color w:val="auto"/>
          <w:sz w:val="21"/>
          <w:szCs w:val="21"/>
          <w:highlight w:val="none"/>
          <w:lang w:val="en-US" w:eastAsia="zh-CN"/>
        </w:rPr>
      </w:pPr>
      <w:r>
        <w:rPr>
          <w:rFonts w:ascii="宋体" w:hAnsi="宋体" w:cs="宋体"/>
          <w:color w:val="auto"/>
          <w:szCs w:val="21"/>
          <w:highlight w:val="none"/>
        </w:rPr>
        <w:t>电    话：</w:t>
      </w:r>
      <w:r>
        <w:rPr>
          <w:rFonts w:hint="eastAsia" w:ascii="宋体" w:hAnsi="宋体" w:cs="宋体"/>
          <w:color w:val="auto"/>
          <w:highlight w:val="none"/>
          <w:lang w:val="en-US" w:eastAsia="zh-CN"/>
        </w:rPr>
        <w:t>19022391187</w:t>
      </w:r>
    </w:p>
    <w:p>
      <w:pPr>
        <w:spacing w:line="240" w:lineRule="auto"/>
        <w:ind w:left="420" w:leftChars="200"/>
        <w:rPr>
          <w:rFonts w:ascii="宋体" w:hAnsi="宋体" w:cs="宋体"/>
          <w:color w:val="auto"/>
          <w:szCs w:val="21"/>
          <w:highlight w:val="none"/>
        </w:rPr>
      </w:pPr>
    </w:p>
    <w:p>
      <w:pPr>
        <w:spacing w:line="400" w:lineRule="exact"/>
        <w:ind w:firstLine="420" w:firstLineChars="200"/>
        <w:rPr>
          <w:rFonts w:hint="eastAsia" w:ascii="宋体" w:hAnsi="宋体" w:cs="宋体"/>
          <w:color w:val="auto"/>
          <w:szCs w:val="21"/>
          <w:highlight w:val="none"/>
        </w:rPr>
      </w:pPr>
    </w:p>
    <w:p>
      <w:pPr>
        <w:spacing w:line="400" w:lineRule="exact"/>
        <w:ind w:firstLine="420" w:firstLineChars="200"/>
        <w:rPr>
          <w:rFonts w:hint="eastAsia" w:ascii="Times New Roman" w:hAnsi="Times New Roman" w:eastAsia="宋体" w:cs="Times New Roman"/>
          <w:color w:val="auto"/>
          <w:szCs w:val="21"/>
          <w:highlight w:val="none"/>
          <w:lang w:eastAsia="zh-CN"/>
        </w:rPr>
      </w:pPr>
      <w:r>
        <w:rPr>
          <w:rFonts w:ascii="Times New Roman" w:hAnsi="Times New Roman" w:eastAsia="宋体" w:cs="Times New Roman"/>
          <w:color w:val="auto"/>
          <w:szCs w:val="21"/>
          <w:highlight w:val="none"/>
        </w:rPr>
        <w:t>招标代理机构：</w:t>
      </w:r>
      <w:r>
        <w:rPr>
          <w:rFonts w:hint="eastAsia" w:ascii="Times New Roman" w:hAnsi="Times New Roman" w:eastAsia="宋体" w:cs="Times New Roman"/>
          <w:color w:val="auto"/>
          <w:szCs w:val="21"/>
          <w:highlight w:val="none"/>
          <w:lang w:eastAsia="zh-CN"/>
        </w:rPr>
        <w:t>公诚管理咨询有限公司</w:t>
      </w:r>
    </w:p>
    <w:p>
      <w:pPr>
        <w:spacing w:line="400" w:lineRule="exact"/>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地    址：广州市天河北路423号远晖商厦8楼</w:t>
      </w:r>
    </w:p>
    <w:p>
      <w:pPr>
        <w:spacing w:line="400" w:lineRule="exact"/>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项目负责人：</w:t>
      </w:r>
      <w:r>
        <w:rPr>
          <w:rFonts w:hint="eastAsia" w:cs="Times New Roman"/>
          <w:color w:val="auto"/>
          <w:szCs w:val="21"/>
          <w:highlight w:val="none"/>
          <w:lang w:val="en-US" w:eastAsia="zh-CN"/>
        </w:rPr>
        <w:t>付威、</w:t>
      </w:r>
      <w:r>
        <w:rPr>
          <w:rFonts w:hint="eastAsia" w:ascii="Times New Roman" w:hAnsi="Times New Roman" w:eastAsia="宋体" w:cs="Times New Roman"/>
          <w:color w:val="auto"/>
          <w:szCs w:val="21"/>
          <w:highlight w:val="none"/>
          <w:lang w:val="en-US" w:eastAsia="zh-CN"/>
        </w:rPr>
        <w:t>黄德兴、</w:t>
      </w:r>
      <w:bookmarkStart w:id="79" w:name="OLE_LINK14"/>
      <w:r>
        <w:rPr>
          <w:rFonts w:hint="eastAsia" w:eastAsia="宋体" w:cs="Times New Roman"/>
          <w:color w:val="auto"/>
          <w:szCs w:val="21"/>
          <w:highlight w:val="none"/>
          <w:lang w:val="en-US" w:eastAsia="zh-CN"/>
        </w:rPr>
        <w:t>庞森丹</w:t>
      </w:r>
      <w:bookmarkEnd w:id="79"/>
      <w:r>
        <w:rPr>
          <w:rFonts w:hint="eastAsia" w:ascii="Times New Roman" w:hAnsi="Times New Roman" w:eastAsia="宋体" w:cs="Times New Roman"/>
          <w:color w:val="auto"/>
          <w:szCs w:val="21"/>
          <w:highlight w:val="none"/>
          <w:lang w:val="en-US" w:eastAsia="zh-CN"/>
        </w:rPr>
        <w:t>、唐苏辉、巫克纯、宋晋刚</w:t>
      </w:r>
    </w:p>
    <w:p>
      <w:pPr>
        <w:spacing w:line="400" w:lineRule="exact"/>
        <w:ind w:firstLine="420" w:firstLineChars="20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联 系 人：</w:t>
      </w:r>
      <w:r>
        <w:rPr>
          <w:rFonts w:hint="eastAsia" w:cs="Times New Roman"/>
          <w:color w:val="auto"/>
          <w:szCs w:val="21"/>
          <w:highlight w:val="none"/>
          <w:lang w:val="en-US" w:eastAsia="zh-CN"/>
        </w:rPr>
        <w:t>付</w:t>
      </w:r>
      <w:r>
        <w:rPr>
          <w:rFonts w:hint="eastAsia" w:ascii="Times New Roman" w:hAnsi="Times New Roman" w:eastAsia="宋体" w:cs="Times New Roman"/>
          <w:color w:val="auto"/>
          <w:szCs w:val="21"/>
          <w:highlight w:val="none"/>
          <w:lang w:val="en-US" w:eastAsia="zh-CN"/>
        </w:rPr>
        <w:t xml:space="preserve">工        </w:t>
      </w:r>
      <w:r>
        <w:rPr>
          <w:rFonts w:hint="eastAsia" w:ascii="Times New Roman" w:hAnsi="Times New Roman" w:eastAsia="宋体" w:cs="Times New Roman"/>
          <w:color w:val="auto"/>
          <w:szCs w:val="21"/>
          <w:highlight w:val="none"/>
        </w:rPr>
        <w:t>电    话：</w:t>
      </w:r>
      <w:r>
        <w:rPr>
          <w:rFonts w:hint="eastAsia" w:cs="Times New Roman"/>
          <w:color w:val="auto"/>
          <w:szCs w:val="21"/>
          <w:highlight w:val="none"/>
          <w:lang w:val="en-US" w:eastAsia="zh-CN"/>
        </w:rPr>
        <w:t>13797429846</w:t>
      </w:r>
    </w:p>
    <w:p>
      <w:pPr>
        <w:spacing w:line="400" w:lineRule="exact"/>
        <w:ind w:firstLine="420" w:firstLineChars="200"/>
        <w:rPr>
          <w:color w:val="auto"/>
          <w:szCs w:val="21"/>
          <w:highlight w:val="none"/>
        </w:rPr>
      </w:pPr>
      <w:r>
        <w:rPr>
          <w:rFonts w:hint="eastAsia" w:ascii="Times New Roman" w:hAnsi="Times New Roman" w:eastAsia="宋体" w:cs="Times New Roman"/>
          <w:color w:val="auto"/>
          <w:szCs w:val="21"/>
          <w:highlight w:val="none"/>
        </w:rPr>
        <w:t>电子邮箱：</w:t>
      </w:r>
      <w:r>
        <w:rPr>
          <w:rFonts w:hint="eastAsia" w:ascii="Times New Roman" w:hAnsi="Times New Roman"/>
          <w:color w:val="auto"/>
          <w:highlight w:val="none"/>
          <w:lang w:val="en-US" w:eastAsia="zh-CN"/>
        </w:rPr>
        <w:t>fuwei1@gcbidding.com</w:t>
      </w:r>
    </w:p>
    <w:p>
      <w:pPr>
        <w:wordWrap w:val="0"/>
        <w:spacing w:line="360" w:lineRule="auto"/>
        <w:jc w:val="both"/>
        <w:rPr>
          <w:color w:val="auto"/>
          <w:szCs w:val="21"/>
          <w:highlight w:val="none"/>
        </w:rPr>
      </w:pPr>
    </w:p>
    <w:p>
      <w:pPr>
        <w:spacing w:line="360" w:lineRule="auto"/>
        <w:jc w:val="right"/>
        <w:rPr>
          <w:rFonts w:hint="eastAsia" w:eastAsia="宋体"/>
          <w:color w:val="auto"/>
          <w:szCs w:val="21"/>
          <w:highlight w:val="none"/>
          <w:lang w:eastAsia="zh-CN"/>
        </w:rPr>
      </w:pPr>
      <w:r>
        <w:rPr>
          <w:rFonts w:hint="eastAsia"/>
          <w:color w:val="auto"/>
          <w:szCs w:val="21"/>
          <w:highlight w:val="none"/>
          <w:lang w:eastAsia="zh-CN"/>
        </w:rPr>
        <w:t>广东嘉业储备物流有限公司</w:t>
      </w:r>
    </w:p>
    <w:p>
      <w:pPr>
        <w:spacing w:line="360" w:lineRule="auto"/>
        <w:jc w:val="right"/>
        <w:rPr>
          <w:rFonts w:hint="eastAsia" w:eastAsia="宋体"/>
          <w:color w:val="auto"/>
          <w:highlight w:val="none"/>
          <w:lang w:eastAsia="zh-CN"/>
        </w:rPr>
      </w:pPr>
      <w:r>
        <w:rPr>
          <w:rFonts w:hint="eastAsia"/>
          <w:color w:val="auto"/>
          <w:highlight w:val="none"/>
          <w:lang w:eastAsia="zh-CN"/>
        </w:rPr>
        <w:t>公诚管理咨询有限公司</w:t>
      </w:r>
    </w:p>
    <w:p>
      <w:pPr>
        <w:wordWrap w:val="0"/>
        <w:spacing w:line="360" w:lineRule="auto"/>
        <w:ind w:right="210"/>
        <w:jc w:val="right"/>
        <w:rPr>
          <w:color w:val="auto"/>
          <w:highlight w:val="none"/>
        </w:rPr>
      </w:pPr>
      <w:r>
        <w:rPr>
          <w:color w:val="auto"/>
          <w:szCs w:val="21"/>
          <w:highlight w:val="none"/>
        </w:rPr>
        <w:t>202</w:t>
      </w:r>
      <w:r>
        <w:rPr>
          <w:rFonts w:hint="eastAsia"/>
          <w:color w:val="auto"/>
          <w:szCs w:val="21"/>
          <w:highlight w:val="none"/>
        </w:rPr>
        <w:t>5</w:t>
      </w:r>
      <w:r>
        <w:rPr>
          <w:color w:val="auto"/>
          <w:highlight w:val="none"/>
        </w:rPr>
        <w:t xml:space="preserve">年 </w:t>
      </w:r>
      <w:r>
        <w:rPr>
          <w:rFonts w:hint="eastAsia"/>
          <w:color w:val="auto"/>
          <w:highlight w:val="none"/>
        </w:rPr>
        <w:t xml:space="preserve"> </w:t>
      </w:r>
      <w:r>
        <w:rPr>
          <w:color w:val="auto"/>
          <w:highlight w:val="none"/>
        </w:rPr>
        <w:t xml:space="preserve"> 月 </w:t>
      </w:r>
      <w:r>
        <w:rPr>
          <w:rFonts w:hint="eastAsia"/>
          <w:color w:val="auto"/>
          <w:highlight w:val="none"/>
        </w:rPr>
        <w:t xml:space="preserve"> </w:t>
      </w:r>
      <w:r>
        <w:rPr>
          <w:color w:val="auto"/>
          <w:highlight w:val="none"/>
        </w:rPr>
        <w:t xml:space="preserve"> 日</w:t>
      </w:r>
      <w:bookmarkEnd w:id="22"/>
    </w:p>
    <w:p>
      <w:pPr>
        <w:rPr>
          <w:rFonts w:hint="eastAsia" w:ascii="宋体" w:hAnsi="宋体"/>
          <w:color w:val="auto"/>
          <w:sz w:val="24"/>
          <w:szCs w:val="24"/>
          <w:highlight w:val="none"/>
        </w:rPr>
      </w:pPr>
      <w:r>
        <w:rPr>
          <w:rFonts w:hint="eastAsia" w:ascii="宋体" w:hAnsi="宋体"/>
          <w:color w:val="auto"/>
          <w:sz w:val="24"/>
          <w:szCs w:val="24"/>
          <w:highlight w:val="none"/>
        </w:rPr>
        <w:br w:type="page"/>
      </w:r>
    </w:p>
    <w:p>
      <w:pPr>
        <w:pStyle w:val="5"/>
        <w:rPr>
          <w:rFonts w:hint="eastAsia" w:ascii="宋体" w:hAnsi="宋体"/>
          <w:color w:val="auto"/>
          <w:highlight w:val="none"/>
        </w:rPr>
      </w:pPr>
      <w:bookmarkStart w:id="80" w:name="_Toc22020"/>
      <w:r>
        <w:rPr>
          <w:rFonts w:hint="eastAsia" w:ascii="宋体" w:hAnsi="宋体"/>
          <w:color w:val="auto"/>
          <w:sz w:val="24"/>
          <w:szCs w:val="24"/>
          <w:highlight w:val="none"/>
        </w:rPr>
        <w:t>附件一：投标人声明</w:t>
      </w:r>
      <w:bookmarkEnd w:id="80"/>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投标人声明</w:t>
      </w:r>
    </w:p>
    <w:p>
      <w:pPr>
        <w:spacing w:line="360" w:lineRule="auto"/>
        <w:rPr>
          <w:color w:val="auto"/>
          <w:szCs w:val="21"/>
          <w:highlight w:val="none"/>
        </w:rPr>
      </w:pPr>
      <w:r>
        <w:rPr>
          <w:rFonts w:hint="eastAsia"/>
          <w:color w:val="auto"/>
          <w:szCs w:val="21"/>
          <w:highlight w:val="none"/>
        </w:rPr>
        <w:t>本招标项目招标人及招标监管机构：</w:t>
      </w:r>
    </w:p>
    <w:p>
      <w:pPr>
        <w:widowControl/>
        <w:spacing w:line="360" w:lineRule="auto"/>
        <w:ind w:firstLine="405" w:firstLineChars="193"/>
        <w:jc w:val="left"/>
        <w:rPr>
          <w:color w:val="auto"/>
          <w:szCs w:val="21"/>
          <w:highlight w:val="none"/>
        </w:rPr>
      </w:pPr>
      <w:r>
        <w:rPr>
          <w:rFonts w:hint="eastAsia"/>
          <w:color w:val="auto"/>
          <w:szCs w:val="21"/>
          <w:highlight w:val="none"/>
        </w:rPr>
        <w:t>一、本公司保证投标文件及其后提供的一切材料都是真实的。如我司成为本项目中标候选人，我司同意并授权招标人将我司投标文件商务部分文件的中标候选人公示相关资料信息进行公开。</w:t>
      </w:r>
    </w:p>
    <w:p>
      <w:pPr>
        <w:widowControl/>
        <w:spacing w:line="360" w:lineRule="auto"/>
        <w:ind w:firstLine="405" w:firstLineChars="193"/>
        <w:jc w:val="left"/>
        <w:rPr>
          <w:color w:val="auto"/>
          <w:szCs w:val="21"/>
          <w:highlight w:val="none"/>
        </w:rPr>
      </w:pPr>
      <w:r>
        <w:rPr>
          <w:rFonts w:hint="eastAsia"/>
          <w:color w:val="auto"/>
          <w:szCs w:val="21"/>
          <w:highlight w:val="none"/>
        </w:rPr>
        <w:t>二、本公司保证不与其他单位围标、串标，不出让投标资格，不向招标人或评标委员会成员行贿，同时不出现其他失信行为。</w:t>
      </w:r>
    </w:p>
    <w:p>
      <w:pPr>
        <w:widowControl/>
        <w:spacing w:line="360" w:lineRule="auto"/>
        <w:ind w:firstLine="405" w:firstLineChars="193"/>
        <w:jc w:val="left"/>
        <w:rPr>
          <w:color w:val="auto"/>
          <w:szCs w:val="21"/>
          <w:highlight w:val="none"/>
        </w:rPr>
      </w:pPr>
      <w:r>
        <w:rPr>
          <w:rFonts w:hint="eastAsia"/>
          <w:color w:val="auto"/>
          <w:szCs w:val="21"/>
          <w:highlight w:val="none"/>
        </w:rPr>
        <w:t>三、本公司不存在下列情形之一：</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）为招标人不具有独立法人资格的附属机构（单位）；</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）为本招标项目前期准备提供设计或咨询服务的；</w:t>
      </w:r>
      <w:r>
        <w:rPr>
          <w:color w:val="auto"/>
          <w:szCs w:val="21"/>
          <w:highlight w:val="none"/>
        </w:rPr>
        <w:t xml:space="preserve"> </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）为本招标项目的监理人；</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）为本招标项目的代建人；</w:t>
      </w:r>
      <w:r>
        <w:rPr>
          <w:color w:val="auto"/>
          <w:szCs w:val="21"/>
          <w:highlight w:val="none"/>
        </w:rPr>
        <w:t xml:space="preserve"> </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）为本招标项目提供招标代理服务的；</w:t>
      </w:r>
      <w:r>
        <w:rPr>
          <w:color w:val="auto"/>
          <w:szCs w:val="21"/>
          <w:highlight w:val="none"/>
        </w:rPr>
        <w:t xml:space="preserve"> </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）与本招标项目的监理人或代建人或招标代理机构同为一个法定代表人的；</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）与本招标项目的监理人或代建人或招标代理机构相互控股或参股的；</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）与本招标项目的监理人或代建人或招标代理机构相互任职或工作的；</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）被责令停业、暂扣或者吊销许可证、暂扣或者吊销执照的（本项事实应当以根据《中华人民共和国行政处罚法》依法作出并已经生效的行政处罚决定为认定依据）；</w:t>
      </w:r>
      <w:r>
        <w:rPr>
          <w:color w:val="auto"/>
          <w:szCs w:val="21"/>
          <w:highlight w:val="none"/>
        </w:rPr>
        <w:t xml:space="preserve"> </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被依法暂停或者取消投标资格的（本项事实应当以根据《中华人民共和国行政处罚法》依法作出并已经生效的行政处罚决定为认定依据。行政处罚决定中已经明确的暂停或取消投标资格的区域范围不包含本招标项目建设地点的，不受该项规定限制）；</w:t>
      </w:r>
      <w:r>
        <w:rPr>
          <w:color w:val="auto"/>
          <w:szCs w:val="21"/>
          <w:highlight w:val="none"/>
        </w:rPr>
        <w:t xml:space="preserve"> </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11</w:t>
      </w:r>
      <w:r>
        <w:rPr>
          <w:rFonts w:hint="eastAsia"/>
          <w:color w:val="auto"/>
          <w:szCs w:val="21"/>
          <w:highlight w:val="none"/>
        </w:rPr>
        <w:t>）进入清算程序，或被宣告破产，或其他丧失履约能力的情形的；</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12</w:t>
      </w:r>
      <w:r>
        <w:rPr>
          <w:rFonts w:hint="eastAsia"/>
          <w:color w:val="auto"/>
          <w:szCs w:val="21"/>
          <w:highlight w:val="none"/>
        </w:rPr>
        <w:t>）在最近五年内有严重违约或发生重大施工质量问题（“严重违约”事实应当以司法机关、仲裁机构出具的认定文件为准。“重大施工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13</w:t>
      </w:r>
      <w:r>
        <w:rPr>
          <w:rFonts w:hint="eastAsia"/>
          <w:color w:val="auto"/>
          <w:szCs w:val="21"/>
          <w:highlight w:val="none"/>
        </w:rPr>
        <w:t>）在“信用中国”网站（</w:t>
      </w:r>
      <w:r>
        <w:rPr>
          <w:color w:val="auto"/>
          <w:szCs w:val="21"/>
          <w:highlight w:val="none"/>
        </w:rPr>
        <w:t>www.creditchina.gov.cn</w:t>
      </w:r>
      <w:r>
        <w:rPr>
          <w:rFonts w:hint="eastAsia"/>
          <w:color w:val="auto"/>
          <w:szCs w:val="21"/>
          <w:highlight w:val="none"/>
        </w:rPr>
        <w:t>）或各级信用信息共享平台中被列入拖欠农民工工资失信联合惩戒对象名单；</w:t>
      </w:r>
    </w:p>
    <w:p>
      <w:pPr>
        <w:widowControl/>
        <w:spacing w:line="360" w:lineRule="auto"/>
        <w:ind w:firstLine="405" w:firstLineChars="193"/>
        <w:jc w:val="left"/>
        <w:rPr>
          <w:color w:val="auto"/>
          <w:szCs w:val="21"/>
          <w:highlight w:val="none"/>
        </w:rPr>
      </w:pPr>
      <w:r>
        <w:rPr>
          <w:rFonts w:hint="eastAsia"/>
          <w:color w:val="auto"/>
          <w:szCs w:val="21"/>
          <w:highlight w:val="none"/>
        </w:rPr>
        <w:t>（</w:t>
      </w:r>
      <w:r>
        <w:rPr>
          <w:color w:val="auto"/>
          <w:szCs w:val="21"/>
          <w:highlight w:val="none"/>
        </w:rPr>
        <w:t>14</w:t>
      </w:r>
      <w:r>
        <w:rPr>
          <w:rFonts w:hint="eastAsia"/>
          <w:color w:val="auto"/>
          <w:szCs w:val="21"/>
          <w:highlight w:val="none"/>
        </w:rPr>
        <w:t>）法律法规或投标人须知前附表规定的其他情形。</w:t>
      </w:r>
    </w:p>
    <w:p>
      <w:pPr>
        <w:widowControl/>
        <w:spacing w:line="360" w:lineRule="auto"/>
        <w:ind w:firstLine="405" w:firstLineChars="193"/>
        <w:jc w:val="left"/>
        <w:rPr>
          <w:color w:val="auto"/>
          <w:szCs w:val="21"/>
          <w:highlight w:val="none"/>
        </w:rPr>
      </w:pPr>
      <w:r>
        <w:rPr>
          <w:rFonts w:hint="eastAsia"/>
          <w:color w:val="auto"/>
          <w:szCs w:val="21"/>
          <w:highlight w:val="none"/>
        </w:rPr>
        <w:t>四、本公司保证提交的投标保函真实、有效。（适用于提交投标保函的情形）</w:t>
      </w:r>
    </w:p>
    <w:p>
      <w:pPr>
        <w:widowControl/>
        <w:spacing w:line="360" w:lineRule="auto"/>
        <w:ind w:firstLine="405" w:firstLineChars="193"/>
        <w:jc w:val="left"/>
        <w:rPr>
          <w:color w:val="auto"/>
          <w:szCs w:val="21"/>
          <w:highlight w:val="none"/>
        </w:rPr>
      </w:pPr>
      <w:r>
        <w:rPr>
          <w:rFonts w:hint="eastAsia"/>
          <w:color w:val="auto"/>
          <w:szCs w:val="21"/>
          <w:highlight w:val="none"/>
        </w:rPr>
        <w:t>五、本公司保证本项目拟派的项目负责人和安全员没有在其他在建项目中任职。</w:t>
      </w:r>
    </w:p>
    <w:p>
      <w:pPr>
        <w:widowControl/>
        <w:spacing w:line="360" w:lineRule="auto"/>
        <w:ind w:firstLine="405" w:firstLineChars="193"/>
        <w:jc w:val="left"/>
        <w:rPr>
          <w:color w:val="auto"/>
          <w:szCs w:val="21"/>
          <w:highlight w:val="none"/>
        </w:rPr>
      </w:pPr>
      <w:r>
        <w:rPr>
          <w:rFonts w:hint="eastAsia"/>
          <w:color w:val="auto"/>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05" w:firstLineChars="193"/>
        <w:jc w:val="left"/>
        <w:rPr>
          <w:color w:val="auto"/>
          <w:szCs w:val="21"/>
          <w:highlight w:val="none"/>
        </w:rPr>
      </w:pPr>
      <w:r>
        <w:rPr>
          <w:rFonts w:hint="eastAsia"/>
          <w:color w:val="auto"/>
          <w:szCs w:val="21"/>
          <w:highlight w:val="none"/>
        </w:rPr>
        <w:t>七、本公司承诺，近五年内（自</w:t>
      </w:r>
      <w:r>
        <w:rPr>
          <w:color w:val="auto"/>
          <w:szCs w:val="21"/>
          <w:highlight w:val="none"/>
        </w:rPr>
        <w:t>20</w:t>
      </w:r>
      <w:r>
        <w:rPr>
          <w:rFonts w:hint="eastAsia"/>
          <w:color w:val="auto"/>
          <w:szCs w:val="21"/>
          <w:highlight w:val="none"/>
        </w:rPr>
        <w:t>20</w:t>
      </w:r>
      <w:r>
        <w:rPr>
          <w:color w:val="auto"/>
          <w:szCs w:val="21"/>
          <w:highlight w:val="none"/>
        </w:rPr>
        <w:t>年1</w:t>
      </w:r>
      <w:r>
        <w:rPr>
          <w:rFonts w:hint="eastAsia"/>
          <w:color w:val="auto"/>
          <w:szCs w:val="21"/>
          <w:highlight w:val="none"/>
        </w:rPr>
        <w:t>月</w:t>
      </w:r>
      <w:r>
        <w:rPr>
          <w:color w:val="auto"/>
          <w:szCs w:val="21"/>
          <w:highlight w:val="none"/>
        </w:rPr>
        <w:t>1</w:t>
      </w:r>
      <w:r>
        <w:rPr>
          <w:rFonts w:hint="eastAsia"/>
          <w:color w:val="auto"/>
          <w:szCs w:val="21"/>
          <w:highlight w:val="none"/>
        </w:rPr>
        <w:t>日至今）未在以往工程中出现过较大及以上安全事故。</w:t>
      </w:r>
    </w:p>
    <w:p>
      <w:pPr>
        <w:widowControl/>
        <w:spacing w:line="360" w:lineRule="auto"/>
        <w:ind w:firstLine="405" w:firstLineChars="193"/>
        <w:jc w:val="left"/>
        <w:rPr>
          <w:color w:val="auto"/>
          <w:szCs w:val="21"/>
          <w:highlight w:val="none"/>
        </w:rPr>
      </w:pPr>
      <w:r>
        <w:rPr>
          <w:rFonts w:hint="eastAsia"/>
          <w:color w:val="auto"/>
          <w:szCs w:val="21"/>
          <w:highlight w:val="none"/>
        </w:rPr>
        <w:t>本公司违反上述保证，或本声明陈述与事实不符，经查实，本公司愿意接受公开通报，记录不良行为，承担由此带来的法律后果，并愿意停止</w:t>
      </w:r>
      <w:r>
        <w:rPr>
          <w:rFonts w:hint="eastAsia"/>
          <w:color w:val="auto"/>
          <w:szCs w:val="21"/>
          <w:highlight w:val="none"/>
          <w:lang w:val="en-US" w:eastAsia="zh-CN"/>
        </w:rPr>
        <w:t>本次</w:t>
      </w:r>
      <w:r>
        <w:rPr>
          <w:rFonts w:hint="eastAsia"/>
          <w:color w:val="auto"/>
          <w:szCs w:val="21"/>
          <w:highlight w:val="none"/>
        </w:rPr>
        <w:t>招标投标活动。其中，本声明陈述与事实不符的，属于弄虚作假骗取中标，将依法接受相关监管单位的处罚。</w:t>
      </w:r>
    </w:p>
    <w:p>
      <w:pPr>
        <w:widowControl/>
        <w:spacing w:line="360" w:lineRule="auto"/>
        <w:ind w:firstLine="405" w:firstLineChars="193"/>
        <w:jc w:val="left"/>
        <w:rPr>
          <w:color w:val="auto"/>
          <w:szCs w:val="21"/>
          <w:highlight w:val="none"/>
        </w:rPr>
      </w:pPr>
      <w:r>
        <w:rPr>
          <w:rFonts w:hint="eastAsia"/>
          <w:color w:val="auto"/>
          <w:szCs w:val="21"/>
          <w:highlight w:val="none"/>
        </w:rPr>
        <w:t>特此声明。</w:t>
      </w:r>
    </w:p>
    <w:p>
      <w:pPr>
        <w:widowControl/>
        <w:spacing w:line="360" w:lineRule="auto"/>
        <w:ind w:firstLine="405" w:firstLineChars="193"/>
        <w:jc w:val="left"/>
        <w:rPr>
          <w:color w:val="auto"/>
          <w:szCs w:val="21"/>
          <w:highlight w:val="none"/>
        </w:rPr>
      </w:pPr>
    </w:p>
    <w:p>
      <w:pPr>
        <w:widowControl/>
        <w:spacing w:line="360" w:lineRule="auto"/>
        <w:jc w:val="center"/>
        <w:rPr>
          <w:color w:val="auto"/>
          <w:szCs w:val="21"/>
          <w:highlight w:val="none"/>
        </w:rPr>
      </w:pPr>
      <w:r>
        <w:rPr>
          <w:rFonts w:hint="eastAsia"/>
          <w:color w:val="auto"/>
          <w:szCs w:val="21"/>
          <w:highlight w:val="none"/>
        </w:rPr>
        <w:t>声明企业（公章）：</w:t>
      </w:r>
    </w:p>
    <w:p>
      <w:pPr>
        <w:widowControl/>
        <w:spacing w:line="360" w:lineRule="auto"/>
        <w:jc w:val="center"/>
        <w:rPr>
          <w:color w:val="auto"/>
          <w:szCs w:val="21"/>
          <w:highlight w:val="none"/>
        </w:rPr>
      </w:pPr>
      <w:r>
        <w:rPr>
          <w:color w:val="auto"/>
          <w:szCs w:val="21"/>
          <w:highlight w:val="none"/>
        </w:rPr>
        <w:t xml:space="preserve">                  法定代表人或法定代表人授权代表签字：</w:t>
      </w:r>
    </w:p>
    <w:p>
      <w:pPr>
        <w:widowControl/>
        <w:spacing w:line="360" w:lineRule="auto"/>
        <w:jc w:val="center"/>
        <w:rPr>
          <w:color w:val="auto"/>
          <w:szCs w:val="21"/>
          <w:highlight w:val="none"/>
        </w:rPr>
      </w:pPr>
      <w:r>
        <w:rPr>
          <w:color w:val="auto"/>
          <w:szCs w:val="21"/>
          <w:highlight w:val="none"/>
        </w:rPr>
        <w:t xml:space="preserve">      年   月   日</w:t>
      </w:r>
    </w:p>
    <w:p>
      <w:pPr>
        <w:widowControl/>
        <w:spacing w:line="360" w:lineRule="auto"/>
        <w:ind w:firstLine="405" w:firstLineChars="193"/>
        <w:jc w:val="left"/>
        <w:rPr>
          <w:rFonts w:hint="eastAsia" w:ascii="宋体" w:hAnsi="宋体"/>
          <w:color w:val="auto"/>
          <w:szCs w:val="21"/>
          <w:highlight w:val="none"/>
        </w:rPr>
      </w:pPr>
    </w:p>
    <w:p>
      <w:pPr>
        <w:widowControl/>
        <w:jc w:val="left"/>
        <w:rPr>
          <w:color w:val="auto"/>
          <w:highlight w:val="none"/>
        </w:rPr>
      </w:pPr>
      <w:r>
        <w:rPr>
          <w:rFonts w:ascii="宋体" w:hAnsi="宋体"/>
          <w:color w:val="auto"/>
          <w:highlight w:val="none"/>
        </w:rPr>
        <w:br w:type="page"/>
      </w:r>
    </w:p>
    <w:p>
      <w:pPr>
        <w:pStyle w:val="4"/>
        <w:jc w:val="center"/>
        <w:rPr>
          <w:color w:val="auto"/>
          <w:highlight w:val="none"/>
        </w:rPr>
      </w:pPr>
      <w:bookmarkStart w:id="81" w:name="_Toc246996173"/>
      <w:bookmarkStart w:id="82" w:name="_Toc152042303"/>
      <w:bookmarkStart w:id="83" w:name="_Toc246996916"/>
      <w:bookmarkStart w:id="84" w:name="_Toc144974495"/>
      <w:bookmarkStart w:id="85" w:name="_Toc152045527"/>
      <w:bookmarkStart w:id="86" w:name="_Toc247085687"/>
      <w:bookmarkStart w:id="87" w:name="_Toc179632544"/>
      <w:bookmarkStart w:id="88" w:name="_Toc19112"/>
      <w:r>
        <w:rPr>
          <w:rFonts w:hint="eastAsia"/>
          <w:color w:val="auto"/>
          <w:highlight w:val="none"/>
        </w:rPr>
        <w:t>第二章 投标人须知</w:t>
      </w:r>
      <w:bookmarkEnd w:id="81"/>
      <w:bookmarkEnd w:id="82"/>
      <w:bookmarkEnd w:id="83"/>
      <w:bookmarkEnd w:id="84"/>
      <w:bookmarkEnd w:id="85"/>
      <w:bookmarkEnd w:id="86"/>
      <w:bookmarkEnd w:id="87"/>
      <w:bookmarkEnd w:id="88"/>
    </w:p>
    <w:p>
      <w:pPr>
        <w:pStyle w:val="4"/>
        <w:jc w:val="center"/>
        <w:rPr>
          <w:color w:val="auto"/>
          <w:highlight w:val="none"/>
        </w:rPr>
      </w:pPr>
      <w:r>
        <w:rPr>
          <w:color w:val="auto"/>
          <w:highlight w:val="none"/>
        </w:rPr>
        <w:br w:type="page"/>
      </w:r>
      <w:bookmarkStart w:id="89" w:name="_Toc20392"/>
      <w:r>
        <w:rPr>
          <w:rFonts w:hint="eastAsia"/>
          <w:color w:val="auto"/>
          <w:highlight w:val="none"/>
        </w:rPr>
        <w:t>投标人须知前附表</w:t>
      </w:r>
      <w:bookmarkEnd w:id="89"/>
    </w:p>
    <w:tbl>
      <w:tblPr>
        <w:tblStyle w:val="74"/>
        <w:tblW w:w="9464" w:type="dxa"/>
        <w:jc w:val="center"/>
        <w:tblLayout w:type="fixed"/>
        <w:tblCellMar>
          <w:top w:w="0" w:type="dxa"/>
          <w:left w:w="108" w:type="dxa"/>
          <w:bottom w:w="0" w:type="dxa"/>
          <w:right w:w="108" w:type="dxa"/>
        </w:tblCellMar>
      </w:tblPr>
      <w:tblGrid>
        <w:gridCol w:w="851"/>
        <w:gridCol w:w="3686"/>
        <w:gridCol w:w="4927"/>
      </w:tblGrid>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szCs w:val="21"/>
                <w:highlight w:val="none"/>
              </w:rPr>
            </w:pPr>
            <w:bookmarkStart w:id="90" w:name="_Toc246996174"/>
            <w:bookmarkStart w:id="91" w:name="_Toc144974496"/>
            <w:bookmarkStart w:id="92" w:name="_Toc152045528"/>
            <w:bookmarkStart w:id="93" w:name="_Toc247085688"/>
            <w:bookmarkStart w:id="94" w:name="_Toc246996917"/>
            <w:bookmarkStart w:id="95" w:name="_Toc179632545"/>
            <w:bookmarkStart w:id="96" w:name="_Toc152042304"/>
            <w:r>
              <w:rPr>
                <w:rFonts w:hint="eastAsia" w:ascii="宋体" w:hAnsi="宋体" w:eastAsia="宋体" w:cs="宋体"/>
                <w:b/>
                <w:color w:val="auto"/>
                <w:szCs w:val="21"/>
                <w:highlight w:val="none"/>
              </w:rPr>
              <w:t>条款号</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  款  名  称</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  列  内  容</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广东嘉业储备物流有限公司</w:t>
            </w:r>
            <w:r>
              <w:rPr>
                <w:rFonts w:hint="eastAsia" w:ascii="宋体" w:hAnsi="宋体" w:eastAsia="宋体" w:cs="宋体"/>
                <w:color w:val="auto"/>
                <w:highlight w:val="none"/>
              </w:rPr>
              <w:t xml:space="preserve"> </w:t>
            </w:r>
          </w:p>
          <w:p>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w:t>
            </w:r>
            <w:r>
              <w:rPr>
                <w:rFonts w:hint="eastAsia" w:ascii="宋体" w:hAnsi="宋体" w:eastAsia="宋体" w:cs="宋体"/>
                <w:color w:val="auto"/>
                <w:highlight w:val="none"/>
              </w:rPr>
              <w:t>详见第一章招标公告</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公诚管理咨询有限公司</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联系方式：</w:t>
            </w:r>
            <w:r>
              <w:rPr>
                <w:rFonts w:hint="eastAsia" w:ascii="宋体" w:hAnsi="宋体" w:eastAsia="宋体" w:cs="宋体"/>
                <w:color w:val="auto"/>
                <w:highlight w:val="none"/>
              </w:rPr>
              <w:t>详见第一章招标公告</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bookmarkStart w:id="97" w:name="OLE_LINK2"/>
            <w:r>
              <w:rPr>
                <w:rFonts w:hint="eastAsia" w:ascii="宋体" w:hAnsi="宋体" w:eastAsia="宋体" w:cs="宋体"/>
                <w:color w:val="auto"/>
                <w:highlight w:val="none"/>
              </w:rPr>
              <w:t>详见第一章招标公告</w:t>
            </w:r>
            <w:bookmarkEnd w:id="97"/>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详见第一章招标公告</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详见第一章招标公告</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资金已落实</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详见第一章招标公告</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计划工期</w:t>
            </w:r>
          </w:p>
        </w:tc>
        <w:tc>
          <w:tcPr>
            <w:tcW w:w="49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详见第一章招标公告</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符合《工程施工质量验收规范》合格标准。</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详见第一章招标公告的投标人资格要求</w:t>
            </w:r>
          </w:p>
        </w:tc>
      </w:tr>
      <w:tr>
        <w:tblPrEx>
          <w:tblCellMar>
            <w:top w:w="0" w:type="dxa"/>
            <w:left w:w="108" w:type="dxa"/>
            <w:bottom w:w="0" w:type="dxa"/>
            <w:right w:w="108" w:type="dxa"/>
          </w:tblCellMar>
        </w:tblPrEx>
        <w:trPr>
          <w:trHeight w:val="101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49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不接受</w:t>
            </w:r>
          </w:p>
          <w:p>
            <w:pPr>
              <w:spacing w:line="440" w:lineRule="exact"/>
              <w:rPr>
                <w:rFonts w:hint="eastAsia" w:ascii="宋体" w:hAnsi="宋体" w:eastAsia="宋体" w:cs="宋体"/>
                <w:color w:val="auto"/>
                <w:sz w:val="32"/>
                <w:highlight w:val="none"/>
              </w:rPr>
            </w:pPr>
            <w:r>
              <w:rPr>
                <w:rFonts w:hint="eastAsia" w:ascii="宋体" w:hAnsi="宋体" w:eastAsia="宋体" w:cs="宋体"/>
                <w:color w:val="auto"/>
                <w:sz w:val="32"/>
                <w:highlight w:val="none"/>
              </w:rPr>
              <w:t>□</w:t>
            </w:r>
            <w:r>
              <w:rPr>
                <w:rFonts w:hint="eastAsia" w:ascii="宋体" w:hAnsi="宋体" w:eastAsia="宋体" w:cs="宋体"/>
                <w:color w:val="auto"/>
                <w:highlight w:val="none"/>
              </w:rPr>
              <w:t>接受，应满足下列要求：</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投标人不得存在的其他情形</w:t>
            </w:r>
          </w:p>
        </w:tc>
        <w:tc>
          <w:tcPr>
            <w:tcW w:w="49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在近五年内（自2020年1月1日至今）在以往工程中出现过较大及以上安全事故；</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4927" w:type="dxa"/>
            <w:tcBorders>
              <w:top w:val="single" w:color="auto" w:sz="4" w:space="0"/>
              <w:left w:val="single" w:color="auto" w:sz="4" w:space="0"/>
              <w:bottom w:val="single" w:color="auto" w:sz="4" w:space="0"/>
              <w:right w:val="single" w:color="auto" w:sz="4" w:space="0"/>
            </w:tcBorders>
            <w:vAlign w:val="center"/>
          </w:tcPr>
          <w:p>
            <w:pPr>
              <w:pStyle w:val="25"/>
              <w:topLinePunct/>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p>
            <w:pPr>
              <w:pStyle w:val="25"/>
              <w:topLinePunct/>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32"/>
                <w:highlight w:val="none"/>
              </w:rPr>
              <w:t>□</w:t>
            </w:r>
            <w:r>
              <w:rPr>
                <w:rFonts w:hint="eastAsia" w:ascii="宋体" w:hAnsi="宋体" w:eastAsia="宋体" w:cs="宋体"/>
                <w:color w:val="auto"/>
                <w:sz w:val="21"/>
                <w:szCs w:val="21"/>
                <w:highlight w:val="none"/>
              </w:rPr>
              <w:t>组织，踏勘时间：不适用</w:t>
            </w:r>
          </w:p>
          <w:p>
            <w:pPr>
              <w:pStyle w:val="48"/>
              <w:jc w:val="lef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踏勘集中地点：不适用</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4927" w:type="dxa"/>
            <w:tcBorders>
              <w:top w:val="single" w:color="auto" w:sz="4" w:space="0"/>
              <w:left w:val="single" w:color="auto" w:sz="4" w:space="0"/>
              <w:bottom w:val="single" w:color="auto" w:sz="4" w:space="0"/>
              <w:right w:val="single" w:color="auto" w:sz="4" w:space="0"/>
            </w:tcBorders>
            <w:vAlign w:val="center"/>
          </w:tcPr>
          <w:p>
            <w:pPr>
              <w:pStyle w:val="25"/>
              <w:topLinePunct/>
              <w:spacing w:line="440" w:lineRule="exact"/>
              <w:rPr>
                <w:rFonts w:hint="eastAsia" w:ascii="宋体" w:hAnsi="宋体" w:eastAsia="宋体" w:cs="宋体"/>
                <w:color w:val="auto"/>
                <w:sz w:val="21"/>
                <w:szCs w:val="22"/>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2"/>
                <w:highlight w:val="none"/>
              </w:rPr>
              <w:t>不召开</w:t>
            </w:r>
          </w:p>
          <w:p>
            <w:pPr>
              <w:spacing w:line="440" w:lineRule="exact"/>
              <w:rPr>
                <w:rFonts w:hint="eastAsia" w:ascii="宋体" w:hAnsi="宋体" w:eastAsia="宋体" w:cs="宋体"/>
                <w:color w:val="auto"/>
                <w:highlight w:val="none"/>
              </w:rPr>
            </w:pPr>
            <w:r>
              <w:rPr>
                <w:rFonts w:hint="eastAsia" w:ascii="宋体" w:hAnsi="宋体" w:eastAsia="宋体" w:cs="宋体"/>
                <w:color w:val="auto"/>
                <w:sz w:val="32"/>
                <w:highlight w:val="none"/>
              </w:rPr>
              <w:t>□</w:t>
            </w:r>
            <w:r>
              <w:rPr>
                <w:rFonts w:hint="eastAsia" w:ascii="宋体" w:hAnsi="宋体" w:eastAsia="宋体" w:cs="宋体"/>
                <w:color w:val="auto"/>
                <w:highlight w:val="none"/>
              </w:rPr>
              <w:t>召开，召开时间：不适用</w:t>
            </w:r>
          </w:p>
          <w:p>
            <w:pPr>
              <w:spacing w:line="440" w:lineRule="exac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召开地点：不适用</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投标人在投标预备会前提出问题的截止时间</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不适用</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招标人书面澄清的时间</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不适用</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■不允许：劳务分包除外</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Cs w:val="21"/>
                <w:highlight w:val="none"/>
              </w:rPr>
              <w:t>允许，分包内容要求：</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分包金额要求：</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440" w:lineRule="exact"/>
              <w:ind w:firstLine="840" w:firstLineChars="400"/>
              <w:rPr>
                <w:rFonts w:hint="eastAsia" w:ascii="宋体" w:hAnsi="宋体" w:eastAsia="宋体" w:cs="宋体"/>
                <w:color w:val="auto"/>
                <w:highlight w:val="none"/>
              </w:rPr>
            </w:pPr>
            <w:r>
              <w:rPr>
                <w:rFonts w:hint="eastAsia" w:ascii="宋体" w:hAnsi="宋体" w:eastAsia="宋体" w:cs="宋体"/>
                <w:color w:val="auto"/>
                <w:szCs w:val="21"/>
                <w:highlight w:val="none"/>
              </w:rPr>
              <w:t>接受分包的第三人资质要求：</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4927" w:type="dxa"/>
            <w:tcBorders>
              <w:top w:val="single" w:color="auto" w:sz="4" w:space="0"/>
              <w:left w:val="single" w:color="auto" w:sz="4" w:space="0"/>
              <w:bottom w:val="single" w:color="auto" w:sz="4" w:space="0"/>
              <w:right w:val="single" w:color="auto" w:sz="4" w:space="0"/>
            </w:tcBorders>
            <w:vAlign w:val="center"/>
          </w:tcPr>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21"/>
                <w:szCs w:val="21"/>
                <w:highlight w:val="none"/>
              </w:rPr>
              <w:t>允许</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构成招标文件的其他材料</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b/>
                <w:bCs/>
                <w:color w:val="auto"/>
                <w:highlight w:val="none"/>
                <w:lang w:val="en-US" w:eastAsia="zh-CN"/>
              </w:rPr>
              <w:t>招标文件附件：</w:t>
            </w:r>
            <w:r>
              <w:rPr>
                <w:rFonts w:hint="eastAsia" w:ascii="宋体" w:hAnsi="宋体" w:eastAsia="宋体" w:cs="宋体"/>
                <w:b/>
                <w:bCs/>
                <w:color w:val="auto"/>
                <w:highlight w:val="none"/>
              </w:rPr>
              <w:t>工程量清单（另册）</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图纸及技术资料（另册）。</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投标人要求澄清招标文件的</w:t>
            </w:r>
            <w:bookmarkStart w:id="98" w:name="OLE_LINK4"/>
            <w:r>
              <w:rPr>
                <w:rFonts w:hint="eastAsia" w:ascii="宋体" w:hAnsi="宋体" w:eastAsia="宋体" w:cs="宋体"/>
                <w:color w:val="auto"/>
                <w:szCs w:val="21"/>
                <w:highlight w:val="none"/>
              </w:rPr>
              <w:t>截止时间</w:t>
            </w:r>
            <w:bookmarkEnd w:id="98"/>
            <w:r>
              <w:rPr>
                <w:rFonts w:hint="eastAsia" w:ascii="宋体" w:hAnsi="宋体" w:eastAsia="宋体" w:cs="宋体"/>
                <w:color w:val="auto"/>
                <w:szCs w:val="21"/>
                <w:highlight w:val="none"/>
              </w:rPr>
              <w:t>及方式</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b/>
                <w:bCs/>
                <w:color w:val="auto"/>
                <w:szCs w:val="21"/>
                <w:highlight w:val="none"/>
              </w:rPr>
              <w:t>时间</w:t>
            </w:r>
            <w:r>
              <w:rPr>
                <w:rFonts w:hint="eastAsia" w:ascii="宋体" w:hAnsi="宋体" w:eastAsia="宋体" w:cs="宋体"/>
                <w:b/>
                <w:bCs/>
                <w:color w:val="auto"/>
                <w:highlight w:val="none"/>
              </w:rPr>
              <w:t>：</w:t>
            </w:r>
            <w:r>
              <w:rPr>
                <w:rFonts w:hint="eastAsia" w:ascii="宋体" w:hAnsi="宋体" w:eastAsia="宋体" w:cs="宋体"/>
                <w:color w:val="auto"/>
                <w:highlight w:val="none"/>
              </w:rPr>
              <w:t>2025年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日17:00时前（投标截止时间18天前）提出澄清要求；</w:t>
            </w:r>
          </w:p>
          <w:p>
            <w:pPr>
              <w:spacing w:line="440" w:lineRule="exact"/>
              <w:rPr>
                <w:rFonts w:hint="eastAsia" w:ascii="宋体" w:hAnsi="宋体" w:eastAsia="宋体" w:cs="宋体"/>
                <w:color w:val="auto"/>
                <w:highlight w:val="none"/>
              </w:rPr>
            </w:pPr>
            <w:r>
              <w:rPr>
                <w:rFonts w:hint="eastAsia" w:ascii="宋体" w:hAnsi="宋体" w:eastAsia="宋体" w:cs="宋体"/>
                <w:b/>
                <w:bCs/>
                <w:color w:val="auto"/>
                <w:highlight w:val="none"/>
              </w:rPr>
              <w:t>方式：</w:t>
            </w:r>
            <w:r>
              <w:rPr>
                <w:rFonts w:hint="eastAsia" w:ascii="宋体" w:hAnsi="宋体" w:eastAsia="宋体" w:cs="宋体"/>
                <w:color w:val="auto"/>
                <w:highlight w:val="none"/>
              </w:rPr>
              <w:t>招标答疑采用网上答疑方式进行。投标人若对招标文件有疑问的，可在规定的时间内通过广州交易集团有限公司（广州公共资源交易中心）网站进入“招标答疑提问”页面将问题提交给招标人或招标代理人，提交问题时一律不得署名（提交可编辑版本澄清疑问）。</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网上答疑的操作指南：登录广州交易集团有限公司（广州公共资源交易中心）数字交易平台→进入“我的投标”页面→进入“招标答疑提问”页面→通过项目编号或名称找到所需的项目→在上述的答疑时间内点击“答疑提问”→无记名或匿名提出问题。</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网上答疑：</w:t>
            </w:r>
            <w:r>
              <w:rPr>
                <w:rFonts w:hint="eastAsia" w:ascii="宋体" w:hAnsi="宋体" w:eastAsia="宋体" w:cs="宋体"/>
                <w:color w:val="auto"/>
                <w:highlight w:val="none"/>
                <w:u w:val="single"/>
              </w:rPr>
              <w:t>本项目的招标文件澄清及</w:t>
            </w:r>
            <w:r>
              <w:rPr>
                <w:rFonts w:hint="eastAsia" w:ascii="宋体" w:hAnsi="宋体" w:eastAsia="宋体" w:cs="宋体"/>
                <w:color w:val="auto"/>
                <w:szCs w:val="21"/>
                <w:highlight w:val="none"/>
                <w:u w:val="single"/>
              </w:rPr>
              <w:t>答疑</w:t>
            </w:r>
            <w:r>
              <w:rPr>
                <w:rFonts w:hint="eastAsia" w:ascii="宋体" w:hAnsi="宋体" w:eastAsia="宋体" w:cs="宋体"/>
                <w:color w:val="auto"/>
                <w:highlight w:val="none"/>
                <w:u w:val="single"/>
              </w:rPr>
              <w:t>文件将在广州交易集团有限公司（广州公共资源交易中心）网站发布，投标人自行下载。</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投标人确认收到招标文件澄清的时间</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从招标文件澄清</w:t>
            </w:r>
            <w:r>
              <w:rPr>
                <w:rFonts w:hint="eastAsia" w:ascii="宋体" w:hAnsi="宋体" w:eastAsia="宋体" w:cs="宋体"/>
                <w:color w:val="auto"/>
                <w:highlight w:val="none"/>
                <w:u w:val="single"/>
              </w:rPr>
              <w:t>及</w:t>
            </w:r>
            <w:r>
              <w:rPr>
                <w:rFonts w:hint="eastAsia" w:ascii="宋体" w:hAnsi="宋体" w:eastAsia="宋体" w:cs="宋体"/>
                <w:color w:val="auto"/>
                <w:szCs w:val="21"/>
                <w:highlight w:val="none"/>
                <w:u w:val="single"/>
              </w:rPr>
              <w:t>答疑文件发布之日起即视为投标人已确认收到。澄清答疑内容作为招标文件的组成部分，具有约束作用。</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招标文件修改发出的形式</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rPr>
              <w:t>本项目的招标文件澄清及修改文件将在广州交易集团有限公司（广州公共资源交易中心）网站发布，投标人自行下载。</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投标人确认收到招标文件修改的时间</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从招标文件澄清及修改文件发布之日起即视为投标人已确认收到。招标文件的修改内容作为招标文件的组成部分，具有约束作用。</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投标文件包括的内容</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（1）分为商务部分及技术部分，详见投标人须知正文内容及第八章投标文件格式要求。</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（2）具体内容要求按投标文件格式填写，并按要求用单位数字证书加盖电子印章。</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（3）投标人按照招标文件提供的投标文件格式的要求如实填写（表格可以按同样格式扩展、缩小）。</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36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承包方式</w:t>
            </w:r>
          </w:p>
        </w:tc>
        <w:tc>
          <w:tcPr>
            <w:tcW w:w="49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（1）本工程采用固定单价，包括但不限于包工、包材料、包机械设备、包工期、包检测、包质量、包安全、包文明施工、包环境卫生、包验收、包维修、包服务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负责消防报批、环境检测</w:t>
            </w:r>
            <w:r>
              <w:rPr>
                <w:rFonts w:hint="eastAsia" w:ascii="宋体" w:hAnsi="宋体" w:eastAsia="宋体" w:cs="宋体"/>
                <w:color w:val="auto"/>
                <w:szCs w:val="21"/>
                <w:highlight w:val="none"/>
              </w:rPr>
              <w:t>等的施工总承包形式，承包方自负盈亏，合同执行过程中，除本招标文件合同条款约定可调整的情况外，合同单价均不调整。</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投标报价其他要求详见投标人须知正文内容。</w:t>
            </w:r>
          </w:p>
          <w:p>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（2）工程成本警戒价：</w:t>
            </w:r>
            <w:bookmarkStart w:id="1321" w:name="_GoBack"/>
            <w:r>
              <w:rPr>
                <w:rFonts w:hint="eastAsia" w:ascii="宋体" w:hAnsi="宋体" w:eastAsia="宋体" w:cs="宋体"/>
                <w:color w:val="auto"/>
                <w:szCs w:val="21"/>
                <w:highlight w:val="none"/>
              </w:rPr>
              <w:t>7120548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6</w:t>
            </w:r>
            <w:bookmarkEnd w:id="1321"/>
            <w:r>
              <w:rPr>
                <w:rFonts w:hint="eastAsia" w:ascii="宋体" w:hAnsi="宋体" w:eastAsia="宋体" w:cs="宋体"/>
                <w:color w:val="auto"/>
                <w:szCs w:val="21"/>
                <w:highlight w:val="none"/>
              </w:rPr>
              <w:t>元</w:t>
            </w:r>
            <w:r>
              <w:rPr>
                <w:rFonts w:hint="eastAsia" w:ascii="宋体" w:hAnsi="宋体" w:eastAsia="宋体" w:cs="宋体"/>
                <w:b/>
                <w:bCs/>
                <w:color w:val="auto"/>
                <w:szCs w:val="21"/>
                <w:highlight w:val="none"/>
              </w:rPr>
              <w:t>（按最高投标限价的85%设置）</w:t>
            </w:r>
            <w:r>
              <w:rPr>
                <w:rFonts w:hint="eastAsia" w:ascii="宋体" w:hAnsi="宋体" w:eastAsia="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tblPrEx>
          <w:tblCellMar>
            <w:top w:w="0" w:type="dxa"/>
            <w:left w:w="108" w:type="dxa"/>
            <w:bottom w:w="0" w:type="dxa"/>
            <w:right w:w="108" w:type="dxa"/>
          </w:tblCellMar>
        </w:tblPrEx>
        <w:trPr>
          <w:trHeight w:val="103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368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工程计价方式</w:t>
            </w:r>
          </w:p>
        </w:tc>
        <w:tc>
          <w:tcPr>
            <w:tcW w:w="492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采用工程量清单计价方式。</w:t>
            </w:r>
          </w:p>
          <w:p>
            <w:pPr>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说明：</w:t>
            </w:r>
            <w:r>
              <w:rPr>
                <w:rFonts w:hint="eastAsia" w:ascii="宋体" w:hAnsi="宋体" w:eastAsia="宋体" w:cs="宋体"/>
                <w:color w:val="auto"/>
                <w:highlight w:val="none"/>
                <w:u w:val="single"/>
              </w:rPr>
              <w:t>投标报价编制依据见第二章投标人须知正文3.2.4。</w:t>
            </w:r>
          </w:p>
        </w:tc>
      </w:tr>
      <w:tr>
        <w:tblPrEx>
          <w:tblCellMar>
            <w:top w:w="0" w:type="dxa"/>
            <w:left w:w="108" w:type="dxa"/>
            <w:bottom w:w="0" w:type="dxa"/>
            <w:right w:w="108" w:type="dxa"/>
          </w:tblCellMar>
        </w:tblPrEx>
        <w:trPr>
          <w:trHeight w:val="302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49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最高投标限价：</w:t>
            </w:r>
            <w:r>
              <w:rPr>
                <w:rFonts w:hint="eastAsia" w:ascii="宋体" w:hAnsi="宋体" w:eastAsia="宋体" w:cs="宋体"/>
                <w:b/>
                <w:color w:val="auto"/>
                <w:sz w:val="21"/>
                <w:szCs w:val="21"/>
                <w:highlight w:val="none"/>
                <w:u w:val="single"/>
              </w:rPr>
              <w:t>人民币</w:t>
            </w:r>
            <w:r>
              <w:rPr>
                <w:rFonts w:hint="eastAsia" w:ascii="宋体" w:hAnsi="宋体" w:eastAsia="宋体" w:cs="宋体"/>
                <w:b/>
                <w:color w:val="auto"/>
                <w:sz w:val="21"/>
                <w:szCs w:val="21"/>
                <w:highlight w:val="none"/>
                <w:u w:val="single"/>
                <w:lang w:val="en-US" w:eastAsia="zh-CN"/>
              </w:rPr>
              <w:t xml:space="preserve">8377116.07 </w:t>
            </w:r>
            <w:r>
              <w:rPr>
                <w:rFonts w:hint="eastAsia" w:ascii="宋体" w:hAnsi="宋体" w:eastAsia="宋体" w:cs="宋体"/>
                <w:b/>
                <w:color w:val="auto"/>
                <w:sz w:val="21"/>
                <w:szCs w:val="21"/>
                <w:highlight w:val="none"/>
                <w:u w:val="single"/>
              </w:rPr>
              <w:t>元。</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说明：绿色施工安全防护措施费、暂估价（如有）、暂列金额（如有）详见本项目最高投标限价公布函。</w:t>
            </w:r>
          </w:p>
          <w:p>
            <w:pPr>
              <w:spacing w:line="400" w:lineRule="exact"/>
              <w:rPr>
                <w:rFonts w:hint="eastAsia" w:ascii="宋体" w:hAnsi="宋体" w:eastAsia="宋体" w:cs="宋体"/>
                <w:color w:val="auto"/>
                <w:highlight w:val="none"/>
              </w:rPr>
            </w:pPr>
            <w:r>
              <w:rPr>
                <w:rFonts w:hint="eastAsia" w:ascii="宋体" w:hAnsi="宋体" w:eastAsia="宋体" w:cs="宋体"/>
                <w:b/>
                <w:color w:val="auto"/>
                <w:sz w:val="21"/>
                <w:szCs w:val="21"/>
                <w:highlight w:val="none"/>
              </w:rPr>
              <w:t>投标人的报价不得低于其成本价或高于最高投标限价，非竞争费用按招标文件规定的金额填写，否则其投标将被否决。</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bookmarkStart w:id="99" w:name="OLE_LINK3"/>
            <w:r>
              <w:rPr>
                <w:rFonts w:hint="eastAsia" w:ascii="宋体" w:hAnsi="宋体" w:eastAsia="宋体" w:cs="宋体"/>
                <w:color w:val="auto"/>
                <w:szCs w:val="21"/>
                <w:highlight w:val="none"/>
              </w:rPr>
              <w:t>投标有效期</w:t>
            </w:r>
            <w:bookmarkEnd w:id="99"/>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120日历天（从投标截止之日算起）</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4927" w:type="dxa"/>
            <w:tcBorders>
              <w:top w:val="single" w:color="auto" w:sz="4" w:space="0"/>
              <w:left w:val="single" w:color="auto" w:sz="4" w:space="0"/>
              <w:bottom w:val="single" w:color="auto" w:sz="4" w:space="0"/>
              <w:right w:val="single" w:color="auto" w:sz="4" w:space="0"/>
            </w:tcBorders>
            <w:vAlign w:val="center"/>
          </w:tcPr>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21"/>
                <w:szCs w:val="21"/>
                <w:highlight w:val="none"/>
              </w:rPr>
              <w:t>不要求递交投标保证金</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■要求递交投标保证金</w:t>
            </w:r>
          </w:p>
          <w:p>
            <w:pPr>
              <w:pStyle w:val="25"/>
              <w:topLinePunct/>
              <w:spacing w:line="400" w:lineRule="exact"/>
              <w:rPr>
                <w:rFonts w:hint="eastAsia" w:ascii="宋体" w:hAnsi="宋体" w:eastAsia="宋体" w:cs="宋体"/>
                <w:color w:val="auto"/>
                <w:sz w:val="21"/>
                <w:szCs w:val="22"/>
                <w:highlight w:val="none"/>
              </w:rPr>
            </w:pPr>
            <w:r>
              <w:rPr>
                <w:rFonts w:hint="eastAsia" w:ascii="宋体" w:hAnsi="宋体" w:eastAsia="宋体" w:cs="宋体"/>
                <w:color w:val="auto"/>
                <w:sz w:val="21"/>
                <w:szCs w:val="21"/>
                <w:highlight w:val="none"/>
              </w:rPr>
              <w:t>（1）银行电汇：</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1）由广州公共资源交易中心代收：</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w:t>
            </w:r>
            <w:r>
              <w:rPr>
                <w:rFonts w:hint="eastAsia" w:ascii="宋体" w:hAnsi="宋体" w:eastAsia="宋体" w:cs="宋体"/>
                <w:color w:val="auto"/>
                <w:sz w:val="21"/>
                <w:szCs w:val="21"/>
                <w:highlight w:val="none"/>
                <w:u w:val="single"/>
              </w:rPr>
              <w:t>广州交易集团有限公司</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中国建设银行广州天润路支行</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44001583404059333333</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2）缴纳时间：递交投标文件截止时间前。</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3）具体操作步骤参见广州交易集团有限公司（广州公共资源交易中心）网站最新的投标保证金缴纳操作流程。</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4）到账情况以开标时广州公共资源交易中心数据库查询的信息为准。</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（2）非电子形式投标保函或投标保证保险或专业担保公司担保：</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采用非电子形式投标保函或投标保证保险或专业担保公司担保的形式提交的，投标人应在投标文件中提交投标保函或投标保证保险或专业担保公司担保扫描件并加盖投标人印章。中标候选人在中标候选人公示前提交银行保函或保证保险或专业担保公司担保的纸质原件给招标代理机构。</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（3）本项目允许递交电子保函，具体操作详见广州公共资源交易中心电子保函操作指引。</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投标保证金的金额：</w:t>
            </w:r>
            <w:r>
              <w:rPr>
                <w:rFonts w:hint="eastAsia" w:ascii="宋体" w:hAnsi="宋体" w:eastAsia="宋体" w:cs="宋体"/>
                <w:color w:val="auto"/>
                <w:szCs w:val="21"/>
                <w:highlight w:val="none"/>
                <w:u w:val="single"/>
              </w:rPr>
              <w:t>人民币</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万</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投标保证金退还</w:t>
            </w:r>
          </w:p>
        </w:tc>
        <w:tc>
          <w:tcPr>
            <w:tcW w:w="4927" w:type="dxa"/>
            <w:tcBorders>
              <w:top w:val="single" w:color="auto" w:sz="4" w:space="0"/>
              <w:left w:val="single" w:color="auto" w:sz="4" w:space="0"/>
              <w:bottom w:val="single" w:color="auto" w:sz="4" w:space="0"/>
              <w:right w:val="single" w:color="auto" w:sz="4" w:space="0"/>
            </w:tcBorders>
            <w:vAlign w:val="center"/>
          </w:tcPr>
          <w:p>
            <w:pPr>
              <w:pStyle w:val="25"/>
              <w:topLinePunct/>
              <w:spacing w:line="400" w:lineRule="exact"/>
              <w:rPr>
                <w:rFonts w:hint="eastAsia" w:ascii="宋体" w:hAnsi="宋体" w:eastAsia="宋体" w:cs="宋体"/>
                <w:color w:val="auto"/>
                <w:sz w:val="32"/>
                <w:szCs w:val="32"/>
                <w:highlight w:val="none"/>
              </w:rPr>
            </w:pPr>
            <w:r>
              <w:rPr>
                <w:rFonts w:hint="eastAsia" w:ascii="宋体" w:hAnsi="宋体" w:eastAsia="宋体" w:cs="宋体"/>
                <w:color w:val="auto"/>
                <w:sz w:val="21"/>
                <w:szCs w:val="21"/>
                <w:highlight w:val="none"/>
              </w:rPr>
              <w:t>招标人（招标代理机构）最迟在中标通知书发出之日起五日内将投标保证金退回中标候选人以外的投标人，在书面合同订立之日起五日内将投标保证金退回中标人和其他中标候选人。</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3.4.4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其他可以不予退还投标保证金的情形</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1）投标人在投标有效期内对招标文件提出实质性修改的；</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2）因投标人原因造成投标文件未解密的或未在投标截止时间后</w:t>
            </w:r>
            <w:r>
              <w:rPr>
                <w:rFonts w:hint="eastAsia" w:ascii="宋体" w:hAnsi="宋体" w:eastAsia="宋体" w:cs="宋体"/>
                <w:color w:val="auto"/>
                <w:highlight w:val="none"/>
                <w:lang w:eastAsia="zh-CN"/>
              </w:rPr>
              <w:t>一小时</w:t>
            </w:r>
            <w:r>
              <w:rPr>
                <w:rFonts w:hint="eastAsia" w:ascii="宋体" w:hAnsi="宋体" w:eastAsia="宋体" w:cs="宋体"/>
                <w:color w:val="auto"/>
                <w:highlight w:val="none"/>
              </w:rPr>
              <w:t>内解密的且未提交备用U盘的；</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投标人中标后未按招标文件要求办理相关手续，影响合同签订工作的</w:t>
            </w:r>
            <w:r>
              <w:rPr>
                <w:rFonts w:hint="eastAsia" w:ascii="宋体" w:hAnsi="宋体" w:eastAsia="宋体" w:cs="宋体"/>
                <w:color w:val="auto"/>
                <w:highlight w:val="none"/>
              </w:rPr>
              <w:t>；</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4）经查实投标人投标文件弄虚作假的，投标人有串通投标、行贿等违法行为的。</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资格审查资料</w:t>
            </w:r>
            <w:r>
              <w:rPr>
                <w:rFonts w:hint="eastAsia" w:ascii="宋体" w:hAnsi="宋体" w:eastAsia="宋体" w:cs="宋体"/>
                <w:color w:val="auto"/>
                <w:szCs w:val="21"/>
                <w:highlight w:val="none"/>
              </w:rPr>
              <w:t>的特殊要求</w:t>
            </w:r>
          </w:p>
        </w:tc>
        <w:tc>
          <w:tcPr>
            <w:tcW w:w="4927" w:type="dxa"/>
            <w:tcBorders>
              <w:top w:val="single" w:color="auto" w:sz="4" w:space="0"/>
              <w:left w:val="single" w:color="auto" w:sz="4" w:space="0"/>
              <w:bottom w:val="single" w:color="auto" w:sz="4" w:space="0"/>
              <w:right w:val="single" w:color="auto" w:sz="4" w:space="0"/>
            </w:tcBorders>
            <w:vAlign w:val="center"/>
          </w:tcPr>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32"/>
                <w:highlight w:val="none"/>
              </w:rPr>
              <w:t>□</w:t>
            </w:r>
            <w:r>
              <w:rPr>
                <w:rFonts w:hint="eastAsia" w:ascii="宋体" w:hAnsi="宋体" w:eastAsia="宋体" w:cs="宋体"/>
                <w:color w:val="auto"/>
                <w:sz w:val="21"/>
                <w:szCs w:val="22"/>
                <w:highlight w:val="none"/>
              </w:rPr>
              <w:t>无</w:t>
            </w:r>
          </w:p>
          <w:p>
            <w:pPr>
              <w:pStyle w:val="25"/>
              <w:topLinePunct/>
              <w:spacing w:line="400" w:lineRule="exact"/>
              <w:rPr>
                <w:rFonts w:hint="eastAsia" w:ascii="宋体" w:hAnsi="宋体" w:eastAsia="宋体" w:cs="宋体"/>
                <w:color w:val="auto"/>
                <w:sz w:val="21"/>
                <w:szCs w:val="22"/>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2"/>
                <w:highlight w:val="none"/>
              </w:rPr>
              <w:t>有，具体要求：</w:t>
            </w:r>
          </w:p>
          <w:p>
            <w:pPr>
              <w:topLinePunct/>
              <w:spacing w:line="40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1）本招标项目要求提供“近年财务状况表”，但投标人财务状况不作为资格审查内容。上述内容资料需提供且作为详细评标资料。</w:t>
            </w:r>
          </w:p>
          <w:p>
            <w:pPr>
              <w:pStyle w:val="25"/>
              <w:topLinePunct/>
              <w:spacing w:line="400" w:lineRule="exact"/>
              <w:rPr>
                <w:rFonts w:hint="eastAsia" w:ascii="宋体" w:hAnsi="宋体" w:eastAsia="宋体" w:cs="宋体"/>
                <w:color w:val="auto"/>
                <w:szCs w:val="22"/>
                <w:highlight w:val="none"/>
              </w:rPr>
            </w:pPr>
            <w:r>
              <w:rPr>
                <w:rFonts w:hint="eastAsia" w:ascii="宋体" w:hAnsi="宋体" w:eastAsia="宋体" w:cs="宋体"/>
                <w:color w:val="auto"/>
                <w:sz w:val="21"/>
                <w:szCs w:val="22"/>
                <w:highlight w:val="none"/>
              </w:rPr>
              <w:t>2）本招标项目要求提供的业绩证明材料以招标公告及评标办法的要求为准（如有要求）。</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近年财务状况的年份要求</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2021年度至2023年度（详细评审要求）。</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近年完成的类似项目的年份要求</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详见第三章评标办法</w:t>
            </w:r>
            <w:r>
              <w:rPr>
                <w:rFonts w:hint="eastAsia" w:ascii="宋体" w:hAnsi="宋体" w:eastAsia="宋体" w:cs="宋体"/>
                <w:color w:val="auto"/>
                <w:szCs w:val="21"/>
                <w:highlight w:val="none"/>
              </w:rPr>
              <w:t>详细评审</w:t>
            </w:r>
            <w:r>
              <w:rPr>
                <w:rFonts w:hint="eastAsia" w:ascii="宋体" w:hAnsi="宋体" w:eastAsia="宋体" w:cs="宋体"/>
                <w:color w:val="auto"/>
                <w:highlight w:val="none"/>
              </w:rPr>
              <w:t>要求</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3.6.3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投标文件所附证书证件要求</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投标文件所附证书证件要求：证书证件需为原件清晰扫描件，并采用单位数字证书，按照招标文件要求在相应位置用单位数字证书加盖电子印章。</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4927" w:type="dxa"/>
            <w:tcBorders>
              <w:top w:val="single" w:color="auto" w:sz="4" w:space="0"/>
              <w:left w:val="single" w:color="auto" w:sz="4" w:space="0"/>
              <w:bottom w:val="single" w:color="auto" w:sz="4" w:space="0"/>
              <w:right w:val="single" w:color="auto" w:sz="4" w:space="0"/>
            </w:tcBorders>
            <w:vAlign w:val="center"/>
          </w:tcPr>
          <w:p>
            <w:pPr>
              <w:tabs>
                <w:tab w:val="left" w:pos="800"/>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取消采用个人数字证书和加盖个人电子印章要求，投标文件中需法定代表人、代理人签字或加盖电子印章的，可以手签后扫描上传，或加盖个人电子印章后提交。投标文件按招标文件要求用单位数字证书加盖电子印章。相关操作按照交易平台关于全流程电子化项目的相关指南进行操作。详见：广州公共资源在交易中心网站。</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4.1.1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网上递交的电子投标文件须进行加密。具体操作按照交易平台关于全流程电子化项目的相关指南进行操作。详见：广州公共资源在交易中心网站。</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4.1.2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封套上应载明的信息</w:t>
            </w:r>
          </w:p>
          <w:p>
            <w:pPr>
              <w:spacing w:line="440" w:lineRule="exact"/>
              <w:jc w:val="center"/>
              <w:rPr>
                <w:rFonts w:hint="eastAsia" w:ascii="宋体" w:hAnsi="宋体" w:eastAsia="宋体" w:cs="宋体"/>
                <w:color w:val="auto"/>
                <w:highlight w:val="none"/>
                <w:shd w:val="clear" w:color="FFFFFF" w:fill="D9D9D9"/>
              </w:rPr>
            </w:pPr>
            <w:r>
              <w:rPr>
                <w:rFonts w:hint="eastAsia" w:ascii="宋体" w:hAnsi="宋体" w:eastAsia="宋体" w:cs="宋体"/>
                <w:color w:val="auto"/>
                <w:highlight w:val="none"/>
              </w:rPr>
              <w:t>（适用于提交备用U盘的情况）</w:t>
            </w:r>
          </w:p>
        </w:tc>
        <w:tc>
          <w:tcPr>
            <w:tcW w:w="4927" w:type="dxa"/>
            <w:tcBorders>
              <w:top w:val="single" w:color="auto" w:sz="4" w:space="0"/>
              <w:left w:val="single" w:color="auto" w:sz="4" w:space="0"/>
              <w:bottom w:val="single" w:color="auto" w:sz="4" w:space="0"/>
              <w:right w:val="single" w:color="auto" w:sz="4" w:space="0"/>
            </w:tcBorders>
            <w:vAlign w:val="center"/>
          </w:tcPr>
          <w:p>
            <w:pPr>
              <w:pStyle w:val="25"/>
              <w:topLinePunct/>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招标人名称：</w:t>
            </w:r>
            <w:r>
              <w:rPr>
                <w:rFonts w:hint="eastAsia" w:ascii="宋体" w:hAnsi="宋体" w:eastAsia="宋体" w:cs="宋体"/>
                <w:color w:val="auto"/>
                <w:sz w:val="21"/>
                <w:szCs w:val="21"/>
                <w:highlight w:val="none"/>
                <w:lang w:val="en-US" w:eastAsia="zh-CN"/>
              </w:rPr>
              <w:t xml:space="preserve"> </w:t>
            </w:r>
          </w:p>
          <w:p>
            <w:pPr>
              <w:pStyle w:val="25"/>
              <w:topLinePunct/>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招标人地址：</w:t>
            </w:r>
            <w:r>
              <w:rPr>
                <w:rFonts w:hint="eastAsia" w:ascii="宋体" w:hAnsi="宋体" w:eastAsia="宋体" w:cs="宋体"/>
                <w:color w:val="auto"/>
                <w:sz w:val="21"/>
                <w:szCs w:val="21"/>
                <w:highlight w:val="none"/>
                <w:lang w:val="en-US" w:eastAsia="zh-CN"/>
              </w:rPr>
              <w:t xml:space="preserve"> </w:t>
            </w:r>
          </w:p>
          <w:p>
            <w:pPr>
              <w:pStyle w:val="25"/>
              <w:topLinePunct/>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 xml:space="preserve">   （项目名称）                      </w:t>
            </w:r>
            <w:r>
              <w:rPr>
                <w:rFonts w:hint="eastAsia" w:ascii="宋体" w:hAnsi="宋体" w:eastAsia="宋体" w:cs="宋体"/>
                <w:color w:val="auto"/>
                <w:sz w:val="21"/>
                <w:szCs w:val="21"/>
                <w:highlight w:val="none"/>
              </w:rPr>
              <w:t>投标文件</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时前不得开启</w:t>
            </w:r>
          </w:p>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（填入前附表第4.2.1条的时间）</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4.2.1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详见第一章招标公告</w:t>
            </w:r>
          </w:p>
        </w:tc>
      </w:tr>
      <w:tr>
        <w:tblPrEx>
          <w:tblCellMar>
            <w:top w:w="0" w:type="dxa"/>
            <w:left w:w="108" w:type="dxa"/>
            <w:bottom w:w="0" w:type="dxa"/>
            <w:right w:w="108" w:type="dxa"/>
          </w:tblCellMar>
        </w:tblPrEx>
        <w:trPr>
          <w:trHeight w:val="48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递交投标文件地点</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详见第一章招标公告</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4927" w:type="dxa"/>
            <w:tcBorders>
              <w:top w:val="single" w:color="auto" w:sz="4" w:space="0"/>
              <w:left w:val="single" w:color="auto" w:sz="4" w:space="0"/>
              <w:bottom w:val="single" w:color="auto" w:sz="4" w:space="0"/>
              <w:right w:val="single" w:color="auto" w:sz="4" w:space="0"/>
            </w:tcBorders>
            <w:vAlign w:val="center"/>
          </w:tcPr>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Cs w:val="21"/>
                <w:highlight w:val="none"/>
              </w:rPr>
              <w:t>是</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投标文件的修改与撤回</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具体操作按照交易平台关于全流程电子化项目的相关指南进行操作。详见：广州公共资源在交易中心网站。</w:t>
            </w:r>
          </w:p>
        </w:tc>
      </w:tr>
      <w:tr>
        <w:tblPrEx>
          <w:tblCellMar>
            <w:top w:w="0" w:type="dxa"/>
            <w:left w:w="108" w:type="dxa"/>
            <w:bottom w:w="0" w:type="dxa"/>
            <w:right w:w="108" w:type="dxa"/>
          </w:tblCellMar>
        </w:tblPrEx>
        <w:trPr>
          <w:trHeight w:val="8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本电子招投标项目在本章4.2.1项规定的投标截止时间（开标时间），在广州公共资源交易中心公开开标，并邀请所有投标人的法定代表人或其委托代理人准时参加。</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u w:val="single"/>
              </w:rPr>
              <w:t>开标时，投标人代表有权出席开标会，也可以自主决定不参加开标会，若投标人代表在开标现场对开标过程提出异议，该投标人代表须同时出示本人身份证原件。</w:t>
            </w:r>
          </w:p>
        </w:tc>
      </w:tr>
      <w:tr>
        <w:tblPrEx>
          <w:tblCellMar>
            <w:top w:w="0" w:type="dxa"/>
            <w:left w:w="108" w:type="dxa"/>
            <w:bottom w:w="0" w:type="dxa"/>
            <w:right w:w="108" w:type="dxa"/>
          </w:tblCellMar>
        </w:tblPrEx>
        <w:trPr>
          <w:trHeight w:val="38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电子招投标开标程序</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电子招投标项目开标按下列程序进行：</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5.2.1主持人按下列程序进行开标：</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（1）宣布开标纪律；</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（2）公布在投标截止时间前递交投标文件的投标人名称；</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（3）宣布开标人、唱标人、记录人、监标人等有关人员姓名；</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（4）投标人通过电子招标投标交易平台对已递交的电子投标文件进行解密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解密时长：60分钟</w:t>
            </w:r>
            <w:r>
              <w:rPr>
                <w:rFonts w:hint="eastAsia" w:ascii="宋体" w:hAnsi="宋体" w:eastAsia="宋体" w:cs="宋体"/>
                <w:color w:val="auto"/>
                <w:highlight w:val="none"/>
              </w:rPr>
              <w:t>；</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（5）招标人通过电子招标投标交易平台对已递交的电子投标文件进行解密，并公布招标项目名称、投标人名称、投标保证金的递交情况、投标报价及其他内容，并记录在案；</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（6）投标人代表、招标人代表、监标人、记录人等有关人员在开标记录上签字确认；若有关人员不签字的，不影响开标程序；</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（7）开标结束。</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5.2.2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w:t>
            </w:r>
            <w:r>
              <w:rPr>
                <w:rFonts w:hint="eastAsia" w:ascii="宋体" w:hAnsi="宋体" w:eastAsia="宋体" w:cs="宋体"/>
                <w:color w:val="auto"/>
                <w:highlight w:val="none"/>
                <w:lang w:eastAsia="zh-CN"/>
              </w:rPr>
              <w:t>一小时</w:t>
            </w:r>
            <w:r>
              <w:rPr>
                <w:rFonts w:hint="eastAsia" w:ascii="宋体" w:hAnsi="宋体" w:eastAsia="宋体" w:cs="宋体"/>
                <w:color w:val="auto"/>
                <w:highlight w:val="none"/>
              </w:rPr>
              <w:t>内解密的且未提交备用U盘的，视为撤销其投标文件。</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5.2.3开标时，两个（含两个）以上的投标人加密打包投标文件电脑机器特征码一致的，不参与下一程序，并由评标委员会否决其投标。</w:t>
            </w:r>
          </w:p>
        </w:tc>
      </w:tr>
      <w:tr>
        <w:tblPrEx>
          <w:tblCellMar>
            <w:top w:w="0" w:type="dxa"/>
            <w:left w:w="108" w:type="dxa"/>
            <w:bottom w:w="0" w:type="dxa"/>
            <w:right w:w="108" w:type="dxa"/>
          </w:tblCellMar>
        </w:tblPrEx>
        <w:trPr>
          <w:trHeight w:val="38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b/>
                <w:bCs/>
                <w:color w:val="auto"/>
                <w:highlight w:val="none"/>
              </w:rPr>
              <w:t>5.3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开标异议</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投标人对开标有异议的，应当在开标时通过电子交易系统提出，招标人应对投标人提出的异议当场作出答复，并在电子交易系统中如实记录。具体操作详见广州交易集团有限公司（广州公共资源交易中心）网站《广东省发展和改革委员会等8部门关于印发广东省工程建设项目电子招标投标交易规则的通知》</w:t>
            </w:r>
          </w:p>
        </w:tc>
      </w:tr>
      <w:tr>
        <w:tblPrEx>
          <w:tblCellMar>
            <w:top w:w="0" w:type="dxa"/>
            <w:left w:w="108" w:type="dxa"/>
            <w:bottom w:w="0" w:type="dxa"/>
            <w:right w:w="108" w:type="dxa"/>
          </w:tblCellMar>
        </w:tblPrEx>
        <w:trPr>
          <w:trHeight w:val="163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w:t>
            </w:r>
            <w:r>
              <w:rPr>
                <w:rFonts w:hint="eastAsia" w:ascii="宋体" w:hAnsi="宋体" w:eastAsia="宋体" w:cs="宋体"/>
                <w:color w:val="auto"/>
                <w:szCs w:val="22"/>
                <w:highlight w:val="none"/>
              </w:rPr>
              <w:t>由招标人依法组建，由</w:t>
            </w:r>
            <w:r>
              <w:rPr>
                <w:rFonts w:hint="eastAsia" w:ascii="宋体" w:hAnsi="宋体" w:eastAsia="宋体" w:cs="宋体"/>
                <w:color w:val="auto"/>
                <w:szCs w:val="22"/>
                <w:highlight w:val="none"/>
                <w:lang w:val="en-US" w:eastAsia="zh-CN"/>
              </w:rPr>
              <w:t>5</w:t>
            </w:r>
            <w:r>
              <w:rPr>
                <w:rFonts w:hint="eastAsia" w:ascii="宋体" w:hAnsi="宋体" w:eastAsia="宋体" w:cs="宋体"/>
                <w:color w:val="auto"/>
                <w:szCs w:val="22"/>
                <w:highlight w:val="none"/>
              </w:rPr>
              <w:t>人组成，其中招标人代表</w:t>
            </w: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rPr>
              <w:t>人，专家</w:t>
            </w:r>
            <w:r>
              <w:rPr>
                <w:rFonts w:hint="eastAsia" w:ascii="宋体" w:hAnsi="宋体" w:eastAsia="宋体" w:cs="宋体"/>
                <w:color w:val="auto"/>
                <w:szCs w:val="22"/>
                <w:highlight w:val="none"/>
                <w:lang w:val="en-US" w:eastAsia="zh-CN"/>
              </w:rPr>
              <w:t>4</w:t>
            </w:r>
            <w:r>
              <w:rPr>
                <w:rFonts w:hint="eastAsia" w:ascii="宋体" w:hAnsi="宋体" w:eastAsia="宋体" w:cs="宋体"/>
                <w:color w:val="auto"/>
                <w:szCs w:val="22"/>
                <w:highlight w:val="none"/>
              </w:rPr>
              <w:t>人</w:t>
            </w:r>
            <w:r>
              <w:rPr>
                <w:rFonts w:hint="eastAsia" w:ascii="宋体" w:hAnsi="宋体" w:eastAsia="宋体" w:cs="宋体"/>
                <w:color w:val="auto"/>
                <w:szCs w:val="21"/>
                <w:highlight w:val="none"/>
              </w:rPr>
              <w:t>。</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评标专家确定方式：</w:t>
            </w:r>
            <w:r>
              <w:rPr>
                <w:rFonts w:hint="eastAsia" w:ascii="宋体" w:hAnsi="宋体" w:eastAsia="宋体" w:cs="宋体"/>
                <w:color w:val="auto"/>
                <w:szCs w:val="22"/>
                <w:highlight w:val="none"/>
              </w:rPr>
              <w:t>在广东省综合评标评审专家库中随机抽取产生。</w:t>
            </w:r>
          </w:p>
        </w:tc>
      </w:tr>
      <w:tr>
        <w:tblPrEx>
          <w:tblCellMar>
            <w:top w:w="0" w:type="dxa"/>
            <w:left w:w="108" w:type="dxa"/>
            <w:bottom w:w="0" w:type="dxa"/>
            <w:right w:w="108" w:type="dxa"/>
          </w:tblCellMar>
        </w:tblPrEx>
        <w:trPr>
          <w:trHeight w:val="49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492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Cs w:val="21"/>
                <w:highlight w:val="none"/>
              </w:rPr>
              <w:t>是</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■否，推荐的中标候选人数：3名。</w:t>
            </w:r>
            <w:r>
              <w:rPr>
                <w:rFonts w:hint="eastAsia" w:ascii="宋体" w:hAnsi="宋体" w:eastAsia="宋体" w:cs="宋体"/>
                <w:color w:val="auto"/>
                <w:highlight w:val="none"/>
              </w:rPr>
              <w:t>若可推荐的单位不足3名时，按能推荐的最大数推荐。</w:t>
            </w:r>
          </w:p>
        </w:tc>
      </w:tr>
      <w:tr>
        <w:tblPrEx>
          <w:tblCellMar>
            <w:top w:w="0" w:type="dxa"/>
            <w:left w:w="108" w:type="dxa"/>
            <w:bottom w:w="0" w:type="dxa"/>
            <w:right w:w="108" w:type="dxa"/>
          </w:tblCellMar>
        </w:tblPrEx>
        <w:trPr>
          <w:trHeight w:val="8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中标候选人公示媒介</w:t>
            </w:r>
          </w:p>
        </w:tc>
        <w:tc>
          <w:tcPr>
            <w:tcW w:w="49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rPr>
            </w:pPr>
            <w:bookmarkStart w:id="100" w:name="_Hlk519590075"/>
            <w:r>
              <w:rPr>
                <w:rFonts w:hint="eastAsia" w:ascii="宋体" w:hAnsi="宋体" w:eastAsia="宋体" w:cs="宋体"/>
                <w:color w:val="auto"/>
                <w:highlight w:val="none"/>
              </w:rPr>
              <w:t>中国招标投标公共服务平台、广东省招标投标监管网</w:t>
            </w:r>
            <w:bookmarkEnd w:id="100"/>
            <w:r>
              <w:rPr>
                <w:rFonts w:hint="eastAsia" w:ascii="宋体" w:hAnsi="宋体" w:eastAsia="宋体" w:cs="宋体"/>
                <w:color w:val="auto"/>
                <w:highlight w:val="none"/>
              </w:rPr>
              <w:t>、广州交易集团有限公司（广州公共资源交易中心）网站。</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公示期限：</w:t>
            </w:r>
            <w:r>
              <w:rPr>
                <w:rFonts w:hint="eastAsia" w:ascii="宋体" w:hAnsi="宋体" w:eastAsia="宋体" w:cs="宋体"/>
                <w:color w:val="auto"/>
                <w:highlight w:val="none"/>
                <w:u w:val="single"/>
              </w:rPr>
              <w:t>3</w:t>
            </w:r>
            <w:r>
              <w:rPr>
                <w:rFonts w:hint="eastAsia" w:ascii="宋体" w:hAnsi="宋体" w:eastAsia="宋体" w:cs="宋体"/>
                <w:color w:val="auto"/>
                <w:highlight w:val="none"/>
              </w:rPr>
              <w:t>日。</w:t>
            </w:r>
          </w:p>
          <w:p>
            <w:pPr>
              <w:spacing w:line="440" w:lineRule="exact"/>
              <w:rPr>
                <w:rFonts w:hint="eastAsia" w:ascii="宋体" w:hAnsi="宋体" w:eastAsia="宋体" w:cs="宋体"/>
                <w:color w:val="auto"/>
                <w:sz w:val="32"/>
                <w:szCs w:val="32"/>
                <w:highlight w:val="none"/>
              </w:rPr>
            </w:pPr>
            <w:r>
              <w:rPr>
                <w:rFonts w:hint="eastAsia" w:ascii="宋体" w:hAnsi="宋体" w:eastAsia="宋体" w:cs="宋体"/>
                <w:color w:val="auto"/>
                <w:highlight w:val="none"/>
              </w:rPr>
              <w:t>说明：在发布中标候选人公示时，招标人将</w:t>
            </w:r>
            <w:r>
              <w:rPr>
                <w:rFonts w:hint="eastAsia" w:ascii="宋体" w:hAnsi="宋体" w:eastAsia="宋体" w:cs="宋体"/>
                <w:b/>
                <w:bCs/>
                <w:color w:val="auto"/>
                <w:highlight w:val="none"/>
              </w:rPr>
              <w:t>中标候选人的投标文件商务部分</w:t>
            </w:r>
            <w:r>
              <w:rPr>
                <w:rFonts w:hint="eastAsia" w:ascii="宋体" w:hAnsi="宋体" w:eastAsia="宋体" w:cs="宋体"/>
                <w:b/>
                <w:bCs/>
                <w:color w:val="auto"/>
                <w:highlight w:val="none"/>
                <w:lang w:val="en-US" w:eastAsia="zh-CN"/>
              </w:rPr>
              <w:t>的</w:t>
            </w:r>
            <w:r>
              <w:rPr>
                <w:rFonts w:hint="eastAsia" w:ascii="宋体" w:hAnsi="宋体" w:eastAsia="宋体" w:cs="宋体"/>
                <w:color w:val="auto"/>
                <w:szCs w:val="21"/>
                <w:highlight w:val="none"/>
              </w:rPr>
              <w:t>公示相关资料信息</w:t>
            </w:r>
            <w:r>
              <w:rPr>
                <w:rFonts w:hint="eastAsia" w:ascii="宋体" w:hAnsi="宋体" w:eastAsia="宋体" w:cs="宋体"/>
                <w:color w:val="auto"/>
                <w:highlight w:val="none"/>
              </w:rPr>
              <w:t>在</w:t>
            </w:r>
            <w:r>
              <w:rPr>
                <w:rFonts w:hint="eastAsia" w:ascii="宋体" w:hAnsi="宋体" w:eastAsia="宋体" w:cs="宋体"/>
                <w:color w:val="auto"/>
                <w:szCs w:val="21"/>
                <w:highlight w:val="none"/>
              </w:rPr>
              <w:t>广东省招标投标监管网</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highlight w:val="none"/>
              </w:rPr>
              <w:t>广州交易集团有限公司（广州公共资源交易中心）等网站公开。</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4927" w:type="dxa"/>
            <w:tcBorders>
              <w:top w:val="single" w:color="auto" w:sz="4" w:space="0"/>
              <w:left w:val="single" w:color="auto" w:sz="4" w:space="0"/>
              <w:bottom w:val="single" w:color="auto" w:sz="4" w:space="0"/>
              <w:right w:val="single" w:color="auto" w:sz="4" w:space="0"/>
            </w:tcBorders>
            <w:vAlign w:val="center"/>
          </w:tcPr>
          <w:p>
            <w:pPr>
              <w:pStyle w:val="25"/>
              <w:topLinePunct/>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是否要求中标人提交履约保证金：</w:t>
            </w:r>
          </w:p>
          <w:p>
            <w:pP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 w:val="21"/>
                <w:szCs w:val="21"/>
                <w:highlight w:val="none"/>
              </w:rPr>
              <w:t>要求，履约保证金的形式：履约保函</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履约保证金的金额：</w:t>
            </w:r>
            <w:r>
              <w:rPr>
                <w:rFonts w:hint="eastAsia" w:ascii="宋体" w:hAnsi="宋体" w:eastAsia="宋体" w:cs="宋体"/>
                <w:b/>
                <w:bCs/>
                <w:color w:val="auto"/>
                <w:szCs w:val="21"/>
                <w:highlight w:val="none"/>
              </w:rPr>
              <w:t>合同价的10%，</w:t>
            </w:r>
            <w:r>
              <w:rPr>
                <w:rFonts w:hint="eastAsia" w:ascii="宋体" w:hAnsi="宋体" w:eastAsia="宋体" w:cs="宋体"/>
                <w:color w:val="auto"/>
                <w:szCs w:val="21"/>
                <w:highlight w:val="none"/>
              </w:rPr>
              <w:t>具体见第四章合同条款。</w:t>
            </w:r>
          </w:p>
          <w:p>
            <w:pPr>
              <w:pStyle w:val="25"/>
              <w:topLinePunct/>
              <w:spacing w:line="400" w:lineRule="exact"/>
              <w:rPr>
                <w:rFonts w:hint="eastAsia" w:ascii="宋体" w:hAnsi="宋体" w:eastAsia="宋体" w:cs="宋体"/>
                <w:color w:val="auto"/>
                <w:sz w:val="21"/>
                <w:szCs w:val="22"/>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2"/>
                <w:highlight w:val="none"/>
              </w:rPr>
              <w:t>不要求</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是否采用电子招标投标</w:t>
            </w:r>
          </w:p>
        </w:tc>
        <w:tc>
          <w:tcPr>
            <w:tcW w:w="49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highlight w:val="none"/>
              </w:rPr>
              <w:t>否</w:t>
            </w:r>
          </w:p>
          <w:p>
            <w:pP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是，具体要求：</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（1）具体操作按照交易平台关于全流程电子化项目的相关指南进行操作。详见：广州交易集团有限公司（广州公共资源交易中心）网站指引。</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（2）提交投标文件备用U盘</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①投标人可制作非加密的电子投标文件（交易中心平台导出的格式版本）放入U盘（1份），按招标公告规定的时间、地点提交备用。拷贝好的投标文件U盘密封在密封袋中，并在封口处加盖投标人单位公章。密封袋上应写明的内容见投标人须知前附表要求4.1.2。</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②递交的投标文件（U盘）不得加密。U盘（投标文件）无法读取或导入的，则视为未提交备用投标文件U盘。如果投标人没有按规定通过交易平台网上递交电子投标文件的，不再读取提交的U盘（投标文件）。</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③投标人也可不提交投标文件U盘（备用）。</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（3）补救方案</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①投标文件解密失败的补救方案：</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在规定时间内，因投标人之外原因(指网络瘫痪、服务器损坏、交易系统故障短期无法恢复)导致的电子投标文件解密失败，在开标现场读取U盘内容，继续开标程序。评标委员会对其投标文件的评审以U盘内容为准。因投标人之外原因解密失败且未递交U盘的，视为撤回投标文件。</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②评标时突发情况的补救方案</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若遇不可抗力发生（如：网络瘫痪、服务器损坏、交易系统故障短期无法恢复等因素），由评标委员会开启现场递交的全部投标文件U盘，并按U盘内容进行评审。</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③除发生上述情况外，开标评标均以投标人通过交易平台网上递交的电子投标文件为准。</w:t>
            </w:r>
          </w:p>
          <w:p>
            <w:pPr>
              <w:spacing w:line="440" w:lineRule="exact"/>
              <w:rPr>
                <w:rFonts w:hint="eastAsia" w:ascii="宋体" w:hAnsi="宋体" w:eastAsia="宋体" w:cs="宋体"/>
                <w:color w:val="auto"/>
                <w:sz w:val="32"/>
                <w:highlight w:val="none"/>
              </w:rPr>
            </w:pPr>
            <w:r>
              <w:rPr>
                <w:rFonts w:hint="eastAsia" w:ascii="宋体" w:hAnsi="宋体" w:eastAsia="宋体" w:cs="宋体"/>
                <w:color w:val="auto"/>
                <w:highlight w:val="none"/>
              </w:rPr>
              <w:t>（4）</w:t>
            </w:r>
            <w:r>
              <w:rPr>
                <w:rFonts w:hint="eastAsia" w:ascii="宋体" w:hAnsi="宋体" w:eastAsia="宋体" w:cs="宋体"/>
                <w:b/>
                <w:bCs/>
                <w:color w:val="auto"/>
                <w:highlight w:val="none"/>
              </w:rPr>
              <w:t>中标人在中标后，须向招标人提供投标文件纸质版2套用于存档。</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6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需要补充的其他内容</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10.1</w:t>
            </w:r>
          </w:p>
        </w:tc>
        <w:tc>
          <w:tcPr>
            <w:tcW w:w="86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递交、招标日程安排：请登录广州交易集团有限公司（广州公共资源交易中心）网站首页，点击“建设工程”专栏中的“项目查询（日程安排、答疑纪要）”，输入项目编号或项目名称即可查询，并请密切留意招标答疑中的相关信息。</w:t>
            </w:r>
          </w:p>
          <w:p>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投标人或者其他利害关系人认为招标投标活动不符合法律、行政法规规定的，须在法定时间内以“异议”的形式提出。</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10.2</w:t>
            </w:r>
          </w:p>
        </w:tc>
        <w:tc>
          <w:tcPr>
            <w:tcW w:w="86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中标人应根据有关规定，向广州公共资源交易中心交纳交易服务费。服务费不在投标报价中单列，但也视为包含在投标总价中。</w:t>
            </w:r>
          </w:p>
          <w:p>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中标人在领取《中标通知书》时向招标代理机构交纳招标代理服务费。招标代理服务费以中标价为计算基数，按照发改价格[2011]534号文工程类收费标准下浮</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%计取，由中标人以电汇方式一次性支付。服务费不在投标报价中单列，但也视为包含在投标总价中。</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10.3</w:t>
            </w:r>
          </w:p>
        </w:tc>
        <w:tc>
          <w:tcPr>
            <w:tcW w:w="86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b/>
                <w:color w:val="auto"/>
                <w:szCs w:val="21"/>
                <w:highlight w:val="none"/>
              </w:rPr>
            </w:pPr>
            <w:r>
              <w:rPr>
                <w:rFonts w:hint="eastAsia" w:ascii="宋体" w:hAnsi="宋体" w:eastAsia="宋体" w:cs="宋体"/>
                <w:color w:val="auto"/>
                <w:highlight w:val="none"/>
              </w:rPr>
              <w:t>在投标截止时间前递交投标文件的投标人少于3家，或通过初步评审的投标人少于3家使得投标明显缺乏竞争性，评标委员会否决所有投标时为招标失败，招标人应当重新组织招标。</w:t>
            </w:r>
          </w:p>
        </w:tc>
      </w:tr>
      <w:tr>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10.4</w:t>
            </w:r>
          </w:p>
        </w:tc>
        <w:tc>
          <w:tcPr>
            <w:tcW w:w="86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eastAsia="宋体" w:cs="宋体"/>
                <w:color w:val="auto"/>
                <w:highlight w:val="none"/>
              </w:rPr>
            </w:pPr>
            <w:r>
              <w:rPr>
                <w:rFonts w:hint="eastAsia" w:ascii="宋体" w:hAnsi="宋体" w:eastAsia="宋体" w:cs="宋体"/>
                <w:color w:val="auto"/>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bookmarkEnd w:id="90"/>
      <w:bookmarkEnd w:id="91"/>
      <w:bookmarkEnd w:id="92"/>
      <w:bookmarkEnd w:id="93"/>
      <w:bookmarkEnd w:id="94"/>
      <w:bookmarkEnd w:id="95"/>
      <w:bookmarkEnd w:id="96"/>
    </w:tbl>
    <w:p>
      <w:pPr>
        <w:widowControl/>
        <w:jc w:val="left"/>
        <w:rPr>
          <w:rFonts w:ascii="Arial" w:hAnsi="Arial" w:eastAsia="黑体"/>
          <w:b/>
          <w:bCs/>
          <w:color w:val="auto"/>
          <w:sz w:val="32"/>
          <w:szCs w:val="32"/>
          <w:highlight w:val="none"/>
        </w:rPr>
      </w:pPr>
      <w:bookmarkStart w:id="101" w:name="_Toc144974497"/>
      <w:bookmarkStart w:id="102" w:name="_Toc247085689"/>
      <w:bookmarkStart w:id="103" w:name="_Toc152042305"/>
      <w:bookmarkStart w:id="104" w:name="_Toc246996175"/>
      <w:bookmarkStart w:id="105" w:name="_Toc152045529"/>
      <w:bookmarkStart w:id="106" w:name="_Toc179632546"/>
      <w:bookmarkStart w:id="107" w:name="_Toc246996918"/>
    </w:p>
    <w:p>
      <w:pPr>
        <w:widowControl/>
        <w:jc w:val="left"/>
        <w:rPr>
          <w:rFonts w:hint="eastAsia" w:ascii="华文宋体" w:hAnsi="华文宋体" w:eastAsia="华文宋体"/>
          <w:b/>
          <w:bCs/>
          <w:color w:val="auto"/>
          <w:sz w:val="32"/>
          <w:szCs w:val="32"/>
          <w:highlight w:val="none"/>
        </w:rPr>
      </w:pPr>
      <w:r>
        <w:rPr>
          <w:rFonts w:ascii="华文宋体" w:hAnsi="华文宋体" w:eastAsia="华文宋体"/>
          <w:color w:val="auto"/>
          <w:highlight w:val="none"/>
        </w:rPr>
        <w:br w:type="page"/>
      </w:r>
    </w:p>
    <w:p>
      <w:pPr>
        <w:pStyle w:val="5"/>
        <w:rPr>
          <w:rFonts w:hint="eastAsia" w:ascii="华文宋体" w:hAnsi="华文宋体" w:eastAsia="华文宋体"/>
          <w:color w:val="auto"/>
          <w:highlight w:val="none"/>
        </w:rPr>
      </w:pPr>
      <w:bookmarkStart w:id="108" w:name="_Toc26448"/>
      <w:r>
        <w:rPr>
          <w:rFonts w:hint="eastAsia" w:ascii="华文宋体" w:hAnsi="华文宋体" w:eastAsia="华文宋体"/>
          <w:color w:val="auto"/>
          <w:highlight w:val="none"/>
        </w:rPr>
        <w:t>1. 总则</w:t>
      </w:r>
      <w:bookmarkEnd w:id="101"/>
      <w:bookmarkEnd w:id="102"/>
      <w:bookmarkEnd w:id="103"/>
      <w:bookmarkEnd w:id="104"/>
      <w:bookmarkEnd w:id="105"/>
      <w:bookmarkEnd w:id="106"/>
      <w:bookmarkEnd w:id="107"/>
      <w:bookmarkEnd w:id="108"/>
    </w:p>
    <w:p>
      <w:pPr>
        <w:pStyle w:val="6"/>
        <w:rPr>
          <w:rFonts w:hint="eastAsia" w:ascii="华文宋体" w:hAnsi="华文宋体" w:eastAsia="华文宋体"/>
          <w:color w:val="auto"/>
          <w:highlight w:val="none"/>
        </w:rPr>
      </w:pPr>
      <w:bookmarkStart w:id="109" w:name="_Toc152045530"/>
      <w:bookmarkStart w:id="110" w:name="_Toc113285975"/>
      <w:bookmarkStart w:id="111" w:name="_Toc183770482"/>
      <w:bookmarkStart w:id="112" w:name="_Toc32271"/>
      <w:bookmarkStart w:id="113" w:name="_Toc12375850"/>
      <w:bookmarkStart w:id="114" w:name="_Toc101107085"/>
      <w:bookmarkStart w:id="115" w:name="_Toc247085690"/>
      <w:bookmarkStart w:id="116" w:name="_Toc51965779"/>
      <w:bookmarkStart w:id="117" w:name="_Toc246996176"/>
      <w:bookmarkStart w:id="118" w:name="_Toc144974498"/>
      <w:bookmarkStart w:id="119" w:name="_Toc55504899"/>
      <w:bookmarkStart w:id="120" w:name="_Toc183772297"/>
      <w:bookmarkStart w:id="121" w:name="_Toc521674858"/>
      <w:bookmarkStart w:id="122" w:name="_Toc49284380"/>
      <w:bookmarkStart w:id="123" w:name="_Toc246996919"/>
      <w:bookmarkStart w:id="124" w:name="_Toc529528665"/>
      <w:bookmarkStart w:id="125" w:name="_Toc179632547"/>
      <w:bookmarkStart w:id="126" w:name="_Toc152042306"/>
      <w:r>
        <w:rPr>
          <w:rFonts w:hint="eastAsia" w:ascii="华文宋体" w:hAnsi="华文宋体" w:eastAsia="华文宋体"/>
          <w:color w:val="auto"/>
          <w:highlight w:val="none"/>
        </w:rPr>
        <w:t>1.1 项目概况</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400" w:lineRule="exact"/>
        <w:ind w:firstLine="420" w:firstLineChars="200"/>
        <w:rPr>
          <w:color w:val="auto"/>
          <w:highlight w:val="none"/>
        </w:rPr>
      </w:pPr>
      <w:r>
        <w:rPr>
          <w:rFonts w:hint="eastAsia"/>
          <w:color w:val="auto"/>
          <w:highlight w:val="none"/>
        </w:rPr>
        <w:t>1.1.1根据《中华人民共和国招标投标法》等有关法律、法规和规章的规定，本招标项目已具备招标条件，现对本项目施工进行招标。</w:t>
      </w:r>
    </w:p>
    <w:p>
      <w:pPr>
        <w:spacing w:line="400" w:lineRule="exact"/>
        <w:ind w:firstLine="420" w:firstLineChars="200"/>
        <w:rPr>
          <w:color w:val="auto"/>
          <w:highlight w:val="none"/>
        </w:rPr>
      </w:pPr>
      <w:r>
        <w:rPr>
          <w:rFonts w:hint="eastAsia"/>
          <w:color w:val="auto"/>
          <w:highlight w:val="none"/>
        </w:rPr>
        <w:t>1.1.2 本招标项目招标人：见投标人须知前附表。</w:t>
      </w:r>
    </w:p>
    <w:p>
      <w:pPr>
        <w:spacing w:line="400" w:lineRule="exact"/>
        <w:ind w:firstLine="420" w:firstLineChars="200"/>
        <w:rPr>
          <w:color w:val="auto"/>
          <w:highlight w:val="none"/>
        </w:rPr>
      </w:pPr>
      <w:r>
        <w:rPr>
          <w:rFonts w:hint="eastAsia"/>
          <w:color w:val="auto"/>
          <w:highlight w:val="none"/>
        </w:rPr>
        <w:t>1.1.3 本招标项目招标代理机构：见投标人须知前附表。</w:t>
      </w:r>
    </w:p>
    <w:p>
      <w:pPr>
        <w:spacing w:line="400" w:lineRule="exact"/>
        <w:ind w:firstLine="420" w:firstLineChars="200"/>
        <w:rPr>
          <w:color w:val="auto"/>
          <w:highlight w:val="none"/>
        </w:rPr>
      </w:pPr>
      <w:r>
        <w:rPr>
          <w:rFonts w:hint="eastAsia"/>
          <w:color w:val="auto"/>
          <w:highlight w:val="none"/>
        </w:rPr>
        <w:t>1.1.4 本招标项目名称：见投标人须知前附表。</w:t>
      </w:r>
    </w:p>
    <w:p>
      <w:pPr>
        <w:spacing w:line="400" w:lineRule="exact"/>
        <w:ind w:firstLine="420" w:firstLineChars="200"/>
        <w:rPr>
          <w:color w:val="auto"/>
          <w:highlight w:val="none"/>
        </w:rPr>
      </w:pPr>
      <w:r>
        <w:rPr>
          <w:rFonts w:hint="eastAsia"/>
          <w:color w:val="auto"/>
          <w:highlight w:val="none"/>
        </w:rPr>
        <w:t>1.1.5 本招标项目建设地点：见投标人须知前附表。</w:t>
      </w:r>
    </w:p>
    <w:p>
      <w:pPr>
        <w:pStyle w:val="6"/>
        <w:rPr>
          <w:rFonts w:hint="eastAsia" w:ascii="华文宋体" w:hAnsi="华文宋体" w:eastAsia="华文宋体"/>
          <w:color w:val="auto"/>
          <w:highlight w:val="none"/>
        </w:rPr>
      </w:pPr>
      <w:bookmarkStart w:id="127" w:name="_Toc152042307"/>
      <w:bookmarkStart w:id="128" w:name="_Toc27552"/>
      <w:bookmarkStart w:id="129" w:name="_Toc144974499"/>
      <w:bookmarkStart w:id="130" w:name="_Toc247085691"/>
      <w:bookmarkStart w:id="131" w:name="_Toc55504900"/>
      <w:bookmarkStart w:id="132" w:name="_Toc113285976"/>
      <w:bookmarkStart w:id="133" w:name="_Toc521674859"/>
      <w:bookmarkStart w:id="134" w:name="_Toc152045531"/>
      <w:bookmarkStart w:id="135" w:name="_Toc51965780"/>
      <w:bookmarkStart w:id="136" w:name="_Toc49284381"/>
      <w:bookmarkStart w:id="137" w:name="_Toc179632548"/>
      <w:bookmarkStart w:id="138" w:name="_Toc246996177"/>
      <w:bookmarkStart w:id="139" w:name="_Toc101107086"/>
      <w:bookmarkStart w:id="140" w:name="_Toc183772298"/>
      <w:bookmarkStart w:id="141" w:name="_Toc183770483"/>
      <w:bookmarkStart w:id="142" w:name="_Toc12375851"/>
      <w:bookmarkStart w:id="143" w:name="_Toc246996920"/>
      <w:bookmarkStart w:id="144" w:name="_Toc529528666"/>
      <w:r>
        <w:rPr>
          <w:rFonts w:hint="eastAsia" w:ascii="华文宋体" w:hAnsi="华文宋体" w:eastAsia="华文宋体"/>
          <w:color w:val="auto"/>
          <w:highlight w:val="none"/>
        </w:rPr>
        <w:t>1.2 资金来源和落实情况</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400" w:lineRule="exact"/>
        <w:ind w:firstLine="420" w:firstLineChars="200"/>
        <w:rPr>
          <w:color w:val="auto"/>
          <w:highlight w:val="none"/>
        </w:rPr>
      </w:pPr>
      <w:r>
        <w:rPr>
          <w:rFonts w:hint="eastAsia"/>
          <w:color w:val="auto"/>
          <w:highlight w:val="none"/>
        </w:rPr>
        <w:t>1.2.1 本招标项目的资金来源及出资比例：见投标人须知前附表。</w:t>
      </w:r>
    </w:p>
    <w:p>
      <w:pPr>
        <w:spacing w:line="400" w:lineRule="exact"/>
        <w:ind w:firstLine="420" w:firstLineChars="200"/>
        <w:rPr>
          <w:color w:val="auto"/>
          <w:highlight w:val="none"/>
        </w:rPr>
      </w:pPr>
      <w:r>
        <w:rPr>
          <w:rFonts w:hint="eastAsia"/>
          <w:color w:val="auto"/>
          <w:highlight w:val="none"/>
        </w:rPr>
        <w:t>1.2.2 本招标项目的资金落实情况：见投标人须知前附表。</w:t>
      </w:r>
    </w:p>
    <w:p>
      <w:pPr>
        <w:pStyle w:val="6"/>
        <w:rPr>
          <w:rFonts w:hint="eastAsia" w:ascii="华文宋体" w:hAnsi="华文宋体" w:eastAsia="华文宋体"/>
          <w:color w:val="auto"/>
          <w:highlight w:val="none"/>
        </w:rPr>
      </w:pPr>
      <w:bookmarkStart w:id="145" w:name="_Toc183772299"/>
      <w:bookmarkStart w:id="146" w:name="_Toc152045532"/>
      <w:bookmarkStart w:id="147" w:name="_Toc521674860"/>
      <w:bookmarkStart w:id="148" w:name="_Toc247085692"/>
      <w:bookmarkStart w:id="149" w:name="_Toc183770484"/>
      <w:bookmarkStart w:id="150" w:name="_Toc12375852"/>
      <w:bookmarkStart w:id="151" w:name="_Toc179632549"/>
      <w:bookmarkStart w:id="152" w:name="_Toc529528667"/>
      <w:bookmarkStart w:id="153" w:name="_Toc27828"/>
      <w:bookmarkStart w:id="154" w:name="_Toc49284382"/>
      <w:bookmarkStart w:id="155" w:name="_Toc144974500"/>
      <w:bookmarkStart w:id="156" w:name="_Toc55504901"/>
      <w:bookmarkStart w:id="157" w:name="_Toc246996921"/>
      <w:bookmarkStart w:id="158" w:name="_Toc113285977"/>
      <w:bookmarkStart w:id="159" w:name="_Toc101107087"/>
      <w:bookmarkStart w:id="160" w:name="_Toc152042308"/>
      <w:bookmarkStart w:id="161" w:name="_Toc51965781"/>
      <w:bookmarkStart w:id="162" w:name="_Toc246996178"/>
      <w:r>
        <w:rPr>
          <w:rFonts w:hint="eastAsia" w:ascii="华文宋体" w:hAnsi="华文宋体" w:eastAsia="华文宋体"/>
          <w:color w:val="auto"/>
          <w:highlight w:val="none"/>
        </w:rPr>
        <w:t>1.3 招标范围、计划工期、质量要求</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line="400" w:lineRule="exact"/>
        <w:ind w:firstLine="420" w:firstLineChars="200"/>
        <w:rPr>
          <w:color w:val="auto"/>
          <w:highlight w:val="none"/>
        </w:rPr>
      </w:pPr>
      <w:r>
        <w:rPr>
          <w:rFonts w:hint="eastAsia"/>
          <w:color w:val="auto"/>
          <w:highlight w:val="none"/>
        </w:rPr>
        <w:t>1.3.1 招标范围：见投标人须知前附表。</w:t>
      </w:r>
    </w:p>
    <w:p>
      <w:pPr>
        <w:spacing w:line="400" w:lineRule="exact"/>
        <w:ind w:firstLine="420" w:firstLineChars="200"/>
        <w:rPr>
          <w:color w:val="auto"/>
          <w:highlight w:val="none"/>
        </w:rPr>
      </w:pPr>
      <w:r>
        <w:rPr>
          <w:rFonts w:hint="eastAsia"/>
          <w:color w:val="auto"/>
          <w:highlight w:val="none"/>
        </w:rPr>
        <w:t xml:space="preserve">1.3.2 </w:t>
      </w:r>
      <w:bookmarkStart w:id="163" w:name="OLE_LINK7"/>
      <w:r>
        <w:rPr>
          <w:rFonts w:hint="eastAsia"/>
          <w:color w:val="auto"/>
          <w:highlight w:val="none"/>
        </w:rPr>
        <w:t>计划工期</w:t>
      </w:r>
      <w:bookmarkEnd w:id="163"/>
      <w:r>
        <w:rPr>
          <w:rFonts w:hint="eastAsia"/>
          <w:color w:val="auto"/>
          <w:highlight w:val="none"/>
        </w:rPr>
        <w:t>：见投标人须知前附表。</w:t>
      </w:r>
    </w:p>
    <w:p>
      <w:pPr>
        <w:spacing w:line="400" w:lineRule="exact"/>
        <w:ind w:firstLine="420" w:firstLineChars="200"/>
        <w:rPr>
          <w:color w:val="auto"/>
          <w:highlight w:val="none"/>
        </w:rPr>
      </w:pPr>
      <w:r>
        <w:rPr>
          <w:rFonts w:hint="eastAsia"/>
          <w:color w:val="auto"/>
          <w:highlight w:val="none"/>
        </w:rPr>
        <w:t>1.3.3 质量要求：见投标人须知前附表。</w:t>
      </w:r>
    </w:p>
    <w:p>
      <w:pPr>
        <w:pStyle w:val="6"/>
        <w:rPr>
          <w:rFonts w:hint="eastAsia" w:ascii="华文宋体" w:hAnsi="华文宋体" w:eastAsia="华文宋体"/>
          <w:color w:val="auto"/>
          <w:highlight w:val="none"/>
        </w:rPr>
      </w:pPr>
      <w:bookmarkStart w:id="164" w:name="_Toc51965782"/>
      <w:bookmarkStart w:id="165" w:name="_Toc246996922"/>
      <w:bookmarkStart w:id="166" w:name="_Toc12375853"/>
      <w:bookmarkStart w:id="167" w:name="_Toc529528668"/>
      <w:bookmarkStart w:id="168" w:name="_Toc183772300"/>
      <w:bookmarkStart w:id="169" w:name="_Toc247085693"/>
      <w:bookmarkStart w:id="170" w:name="_Toc179632551"/>
      <w:bookmarkStart w:id="171" w:name="_Toc101107088"/>
      <w:bookmarkStart w:id="172" w:name="_Toc246996179"/>
      <w:bookmarkStart w:id="173" w:name="_Toc521674861"/>
      <w:bookmarkStart w:id="174" w:name="_Toc152045534"/>
      <w:bookmarkStart w:id="175" w:name="_Toc152042310"/>
      <w:bookmarkStart w:id="176" w:name="_Toc144974502"/>
      <w:bookmarkStart w:id="177" w:name="_Toc55504902"/>
      <w:bookmarkStart w:id="178" w:name="_Toc11926"/>
      <w:bookmarkStart w:id="179" w:name="_Toc113285978"/>
      <w:bookmarkStart w:id="180" w:name="_Toc183770485"/>
      <w:bookmarkStart w:id="181" w:name="_Toc49284383"/>
      <w:r>
        <w:rPr>
          <w:rFonts w:hint="eastAsia" w:ascii="华文宋体" w:hAnsi="华文宋体" w:eastAsia="华文宋体"/>
          <w:color w:val="auto"/>
          <w:highlight w:val="none"/>
        </w:rPr>
        <w:t>1.4 投标人资格要求</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spacing w:line="400" w:lineRule="exact"/>
        <w:ind w:firstLine="359" w:firstLineChars="171"/>
        <w:rPr>
          <w:color w:val="auto"/>
          <w:highlight w:val="none"/>
        </w:rPr>
      </w:pPr>
      <w:r>
        <w:rPr>
          <w:rFonts w:hint="eastAsia"/>
          <w:color w:val="auto"/>
          <w:highlight w:val="none"/>
        </w:rPr>
        <w:t>1.4.1 投标人应具备承担本项目施工的资质条件、能力和信誉。</w:t>
      </w:r>
    </w:p>
    <w:p>
      <w:pPr>
        <w:spacing w:line="400" w:lineRule="exact"/>
        <w:ind w:firstLine="359" w:firstLineChars="171"/>
        <w:rPr>
          <w:rFonts w:hint="eastAsia"/>
          <w:color w:val="auto"/>
          <w:highlight w:val="none"/>
        </w:rPr>
      </w:pPr>
      <w:r>
        <w:rPr>
          <w:rFonts w:hint="eastAsia"/>
          <w:color w:val="auto"/>
          <w:highlight w:val="none"/>
        </w:rPr>
        <w:t>（1）资质条件：</w:t>
      </w:r>
      <w:bookmarkStart w:id="182" w:name="OLE_LINK8"/>
      <w:r>
        <w:rPr>
          <w:rFonts w:hint="eastAsia"/>
          <w:color w:val="auto"/>
          <w:highlight w:val="none"/>
        </w:rPr>
        <w:t>见投标人须知前附表；</w:t>
      </w:r>
      <w:bookmarkEnd w:id="182"/>
    </w:p>
    <w:p>
      <w:pPr>
        <w:spacing w:line="400" w:lineRule="exact"/>
        <w:ind w:firstLine="359" w:firstLineChars="171"/>
        <w:rPr>
          <w:rFonts w:hint="eastAsia"/>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项目负责人的资格要求：</w:t>
      </w:r>
      <w:r>
        <w:rPr>
          <w:rFonts w:hint="eastAsia"/>
          <w:color w:val="auto"/>
          <w:highlight w:val="none"/>
        </w:rPr>
        <w:t>见投标人须知前附表；</w:t>
      </w:r>
    </w:p>
    <w:p>
      <w:pPr>
        <w:spacing w:line="400" w:lineRule="exact"/>
        <w:ind w:firstLine="359" w:firstLineChars="171"/>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）财务要求：见投标人须知前附表；</w:t>
      </w:r>
    </w:p>
    <w:p>
      <w:pPr>
        <w:spacing w:line="400" w:lineRule="exact"/>
        <w:ind w:firstLine="359" w:firstLineChars="171"/>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）业绩要求：见投标人须知前附表；</w:t>
      </w:r>
    </w:p>
    <w:p>
      <w:pPr>
        <w:spacing w:line="400" w:lineRule="exact"/>
        <w:ind w:firstLine="359" w:firstLineChars="171"/>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）其他要求：见投标人须知前附表。</w:t>
      </w:r>
    </w:p>
    <w:p>
      <w:pPr>
        <w:spacing w:line="400" w:lineRule="exact"/>
        <w:ind w:firstLine="359" w:firstLineChars="171"/>
        <w:rPr>
          <w:color w:val="auto"/>
          <w:highlight w:val="none"/>
        </w:rPr>
      </w:pPr>
      <w:r>
        <w:rPr>
          <w:rFonts w:hint="eastAsia"/>
          <w:color w:val="auto"/>
          <w:highlight w:val="none"/>
        </w:rPr>
        <w:t>1.4.2投标人须知前附表规定接受联合体投标的，联合体除应符合本章第1.4.1项和投标人须知前附表的要求外，还应遵守以下规定：</w:t>
      </w:r>
    </w:p>
    <w:p>
      <w:pPr>
        <w:spacing w:line="400" w:lineRule="exact"/>
        <w:ind w:firstLine="359" w:firstLineChars="171"/>
        <w:rPr>
          <w:color w:val="auto"/>
          <w:highlight w:val="none"/>
        </w:rPr>
      </w:pPr>
      <w:r>
        <w:rPr>
          <w:rFonts w:hint="eastAsia"/>
          <w:color w:val="auto"/>
          <w:highlight w:val="none"/>
        </w:rPr>
        <w:t>（1）联合体各方应按招标文件提供的格式签订联合体协议书，明确联合体牵头人和各方权利义务，并承诺就中标项目向招标人承担连带责任；</w:t>
      </w:r>
    </w:p>
    <w:p>
      <w:pPr>
        <w:spacing w:line="400" w:lineRule="exact"/>
        <w:ind w:firstLine="359" w:firstLineChars="171"/>
        <w:rPr>
          <w:color w:val="auto"/>
          <w:highlight w:val="none"/>
        </w:rPr>
      </w:pPr>
      <w:r>
        <w:rPr>
          <w:rFonts w:hint="eastAsia"/>
          <w:color w:val="auto"/>
          <w:highlight w:val="none"/>
        </w:rPr>
        <w:t>（2）由同一专业的单位组成的联合体，按照资质等级较低的单位确定资质等级；</w:t>
      </w:r>
    </w:p>
    <w:p>
      <w:pPr>
        <w:spacing w:line="400" w:lineRule="exact"/>
        <w:ind w:firstLine="359" w:firstLineChars="171"/>
        <w:rPr>
          <w:color w:val="auto"/>
          <w:highlight w:val="none"/>
        </w:rPr>
      </w:pPr>
      <w:r>
        <w:rPr>
          <w:rFonts w:hint="eastAsia"/>
          <w:color w:val="auto"/>
          <w:highlight w:val="none"/>
        </w:rPr>
        <w:t>（3）联合体各方不得再以自己名义单独或参加其他联合体在本招标项目中投标，否则各相关投标均无效。</w:t>
      </w:r>
    </w:p>
    <w:p>
      <w:pPr>
        <w:spacing w:line="400" w:lineRule="exact"/>
        <w:ind w:firstLine="359" w:firstLineChars="171"/>
        <w:rPr>
          <w:color w:val="auto"/>
          <w:highlight w:val="none"/>
        </w:rPr>
      </w:pPr>
      <w:r>
        <w:rPr>
          <w:rFonts w:hint="eastAsia"/>
          <w:color w:val="auto"/>
          <w:highlight w:val="none"/>
        </w:rPr>
        <w:t>1.4.</w:t>
      </w:r>
      <w:r>
        <w:rPr>
          <w:color w:val="auto"/>
          <w:highlight w:val="none"/>
        </w:rPr>
        <w:t>3</w:t>
      </w:r>
      <w:r>
        <w:rPr>
          <w:rFonts w:hint="eastAsia"/>
          <w:color w:val="auto"/>
          <w:highlight w:val="none"/>
        </w:rPr>
        <w:t xml:space="preserve"> 投标人不得存在下列情形之一：</w:t>
      </w:r>
    </w:p>
    <w:p>
      <w:pPr>
        <w:spacing w:line="400" w:lineRule="exact"/>
        <w:ind w:firstLine="359" w:firstLineChars="171"/>
        <w:rPr>
          <w:color w:val="auto"/>
          <w:szCs w:val="21"/>
          <w:highlight w:val="none"/>
        </w:rPr>
      </w:pPr>
      <w:r>
        <w:rPr>
          <w:rFonts w:hint="eastAsia"/>
          <w:color w:val="auto"/>
          <w:szCs w:val="21"/>
          <w:highlight w:val="none"/>
        </w:rPr>
        <w:t>（1）为招标人不具有独立法人资格的附属机构（单位）；</w:t>
      </w:r>
    </w:p>
    <w:p>
      <w:pPr>
        <w:spacing w:line="400" w:lineRule="exact"/>
        <w:ind w:firstLine="359" w:firstLineChars="171"/>
        <w:rPr>
          <w:color w:val="auto"/>
          <w:szCs w:val="21"/>
          <w:highlight w:val="none"/>
        </w:rPr>
      </w:pPr>
      <w:r>
        <w:rPr>
          <w:rFonts w:hint="eastAsia"/>
          <w:color w:val="auto"/>
          <w:szCs w:val="21"/>
          <w:highlight w:val="none"/>
        </w:rPr>
        <w:t xml:space="preserve">（2）为本招标项目前期准备提供设计或咨询服务的； </w:t>
      </w:r>
    </w:p>
    <w:p>
      <w:pPr>
        <w:spacing w:line="400" w:lineRule="exact"/>
        <w:ind w:firstLine="359" w:firstLineChars="171"/>
        <w:rPr>
          <w:color w:val="auto"/>
          <w:szCs w:val="21"/>
          <w:highlight w:val="none"/>
        </w:rPr>
      </w:pPr>
      <w:r>
        <w:rPr>
          <w:rFonts w:hint="eastAsia"/>
          <w:color w:val="auto"/>
          <w:szCs w:val="21"/>
          <w:highlight w:val="none"/>
        </w:rPr>
        <w:t>（3）为本招标项目的监理人；</w:t>
      </w:r>
    </w:p>
    <w:p>
      <w:pPr>
        <w:spacing w:line="400" w:lineRule="exact"/>
        <w:ind w:firstLine="359" w:firstLineChars="171"/>
        <w:rPr>
          <w:color w:val="auto"/>
          <w:szCs w:val="21"/>
          <w:highlight w:val="none"/>
        </w:rPr>
      </w:pPr>
      <w:r>
        <w:rPr>
          <w:rFonts w:hint="eastAsia"/>
          <w:color w:val="auto"/>
          <w:szCs w:val="21"/>
          <w:highlight w:val="none"/>
        </w:rPr>
        <w:t xml:space="preserve">（4）为本招标项目的代建人； </w:t>
      </w:r>
    </w:p>
    <w:p>
      <w:pPr>
        <w:spacing w:line="400" w:lineRule="exact"/>
        <w:ind w:firstLine="359" w:firstLineChars="171"/>
        <w:rPr>
          <w:color w:val="auto"/>
          <w:szCs w:val="21"/>
          <w:highlight w:val="none"/>
        </w:rPr>
      </w:pPr>
      <w:r>
        <w:rPr>
          <w:rFonts w:hint="eastAsia"/>
          <w:color w:val="auto"/>
          <w:szCs w:val="21"/>
          <w:highlight w:val="none"/>
        </w:rPr>
        <w:t xml:space="preserve">（5）为本招标项目提供招标代理服务的； </w:t>
      </w:r>
    </w:p>
    <w:p>
      <w:pPr>
        <w:spacing w:line="400" w:lineRule="exact"/>
        <w:ind w:firstLine="359" w:firstLineChars="171"/>
        <w:rPr>
          <w:color w:val="auto"/>
          <w:szCs w:val="21"/>
          <w:highlight w:val="none"/>
        </w:rPr>
      </w:pPr>
      <w:r>
        <w:rPr>
          <w:rFonts w:hint="eastAsia"/>
          <w:color w:val="auto"/>
          <w:szCs w:val="21"/>
          <w:highlight w:val="none"/>
        </w:rPr>
        <w:t>（6）与本招标项目的监理人或代建人或招标代理机构同为一个法定代表人的；</w:t>
      </w:r>
    </w:p>
    <w:p>
      <w:pPr>
        <w:spacing w:line="400" w:lineRule="exact"/>
        <w:ind w:firstLine="359" w:firstLineChars="171"/>
        <w:rPr>
          <w:color w:val="auto"/>
          <w:szCs w:val="21"/>
          <w:highlight w:val="none"/>
        </w:rPr>
      </w:pPr>
      <w:r>
        <w:rPr>
          <w:rFonts w:hint="eastAsia"/>
          <w:color w:val="auto"/>
          <w:szCs w:val="21"/>
          <w:highlight w:val="none"/>
        </w:rPr>
        <w:t>（7）与本招标项目的监理人或代建人或招标代理机构相互控股或参股的；</w:t>
      </w:r>
    </w:p>
    <w:p>
      <w:pPr>
        <w:spacing w:line="400" w:lineRule="exact"/>
        <w:ind w:firstLine="359" w:firstLineChars="171"/>
        <w:rPr>
          <w:color w:val="auto"/>
          <w:szCs w:val="21"/>
          <w:highlight w:val="none"/>
        </w:rPr>
      </w:pPr>
      <w:r>
        <w:rPr>
          <w:rFonts w:hint="eastAsia"/>
          <w:color w:val="auto"/>
          <w:szCs w:val="21"/>
          <w:highlight w:val="none"/>
        </w:rPr>
        <w:t>（8）与本招标项目的监理人或代建人或招标代理机构相互任职或工作的；</w:t>
      </w:r>
    </w:p>
    <w:p>
      <w:pPr>
        <w:spacing w:line="400" w:lineRule="exact"/>
        <w:ind w:firstLine="359" w:firstLineChars="171"/>
        <w:rPr>
          <w:color w:val="auto"/>
          <w:szCs w:val="21"/>
          <w:highlight w:val="none"/>
          <w:u w:val="single"/>
        </w:rPr>
      </w:pPr>
      <w:r>
        <w:rPr>
          <w:rFonts w:hint="eastAsia"/>
          <w:color w:val="auto"/>
          <w:szCs w:val="21"/>
          <w:highlight w:val="none"/>
          <w:u w:val="single"/>
        </w:rPr>
        <w:t>（</w:t>
      </w:r>
      <w:r>
        <w:rPr>
          <w:color w:val="auto"/>
          <w:szCs w:val="21"/>
          <w:highlight w:val="none"/>
          <w:u w:val="single"/>
        </w:rPr>
        <w:t>9</w:t>
      </w:r>
      <w:r>
        <w:rPr>
          <w:rFonts w:hint="eastAsia"/>
          <w:color w:val="auto"/>
          <w:szCs w:val="21"/>
          <w:highlight w:val="none"/>
          <w:u w:val="single"/>
        </w:rPr>
        <w:t>）被责令停业、暂扣或者吊销许可证、暂扣或者吊销执照的（本项事实应当以根据《中华人民共和国行政处罚法》依法作出并已经生效的行政处罚决定为认定依据）；</w:t>
      </w:r>
      <w:r>
        <w:rPr>
          <w:color w:val="auto"/>
          <w:szCs w:val="21"/>
          <w:highlight w:val="none"/>
          <w:u w:val="single"/>
        </w:rPr>
        <w:t xml:space="preserve"> </w:t>
      </w:r>
    </w:p>
    <w:p>
      <w:pPr>
        <w:spacing w:line="400" w:lineRule="exact"/>
        <w:ind w:firstLine="359" w:firstLineChars="171"/>
        <w:rPr>
          <w:color w:val="auto"/>
          <w:szCs w:val="21"/>
          <w:highlight w:val="none"/>
          <w:u w:val="single"/>
        </w:rPr>
      </w:pPr>
      <w:r>
        <w:rPr>
          <w:rFonts w:hint="eastAsia"/>
          <w:color w:val="auto"/>
          <w:szCs w:val="21"/>
          <w:highlight w:val="none"/>
          <w:u w:val="single"/>
        </w:rPr>
        <w:t>（</w:t>
      </w:r>
      <w:r>
        <w:rPr>
          <w:color w:val="auto"/>
          <w:szCs w:val="21"/>
          <w:highlight w:val="none"/>
          <w:u w:val="single"/>
        </w:rPr>
        <w:t>10</w:t>
      </w:r>
      <w:r>
        <w:rPr>
          <w:rFonts w:hint="eastAsia"/>
          <w:color w:val="auto"/>
          <w:szCs w:val="21"/>
          <w:highlight w:val="none"/>
          <w:u w:val="single"/>
        </w:rPr>
        <w:t>）被依法暂停或者取消投标资格的（本项事实应当以根据《中华人民共和国行政处罚法》依法作出并已经生效的行政处罚决定为认定依据。行政处罚决定中已经明确的暂停或取消投标资格的区域范围不包含本招标项目建设地点的，不受该项规定限制）；</w:t>
      </w:r>
      <w:r>
        <w:rPr>
          <w:color w:val="auto"/>
          <w:szCs w:val="21"/>
          <w:highlight w:val="none"/>
          <w:u w:val="single"/>
        </w:rPr>
        <w:t xml:space="preserve"> </w:t>
      </w:r>
    </w:p>
    <w:p>
      <w:pPr>
        <w:spacing w:line="400" w:lineRule="exact"/>
        <w:ind w:firstLine="359" w:firstLineChars="171"/>
        <w:rPr>
          <w:color w:val="auto"/>
          <w:szCs w:val="21"/>
          <w:highlight w:val="none"/>
          <w:u w:val="single"/>
        </w:rPr>
      </w:pPr>
      <w:r>
        <w:rPr>
          <w:rFonts w:hint="eastAsia"/>
          <w:color w:val="auto"/>
          <w:szCs w:val="21"/>
          <w:highlight w:val="none"/>
          <w:u w:val="single"/>
        </w:rPr>
        <w:t>（</w:t>
      </w:r>
      <w:r>
        <w:rPr>
          <w:color w:val="auto"/>
          <w:szCs w:val="21"/>
          <w:highlight w:val="none"/>
          <w:u w:val="single"/>
        </w:rPr>
        <w:t>11</w:t>
      </w:r>
      <w:r>
        <w:rPr>
          <w:rFonts w:hint="eastAsia"/>
          <w:color w:val="auto"/>
          <w:szCs w:val="21"/>
          <w:highlight w:val="none"/>
          <w:u w:val="single"/>
        </w:rPr>
        <w:t>）进入清算程序，或被宣告破产，或其他丧失履约能力的情形的；</w:t>
      </w:r>
    </w:p>
    <w:p>
      <w:pPr>
        <w:spacing w:line="400" w:lineRule="exact"/>
        <w:ind w:firstLine="359" w:firstLineChars="171"/>
        <w:rPr>
          <w:color w:val="auto"/>
          <w:szCs w:val="21"/>
          <w:highlight w:val="none"/>
          <w:u w:val="single"/>
        </w:rPr>
      </w:pPr>
      <w:r>
        <w:rPr>
          <w:rFonts w:hint="eastAsia"/>
          <w:color w:val="auto"/>
          <w:szCs w:val="21"/>
          <w:highlight w:val="none"/>
          <w:u w:val="single"/>
        </w:rPr>
        <w:t>（</w:t>
      </w:r>
      <w:r>
        <w:rPr>
          <w:color w:val="auto"/>
          <w:szCs w:val="21"/>
          <w:highlight w:val="none"/>
          <w:u w:val="single"/>
        </w:rPr>
        <w:t>12</w:t>
      </w:r>
      <w:r>
        <w:rPr>
          <w:rFonts w:hint="eastAsia"/>
          <w:color w:val="auto"/>
          <w:szCs w:val="21"/>
          <w:highlight w:val="none"/>
          <w:u w:val="single"/>
        </w:rPr>
        <w:t>）在最近五年内有严重违约或发生重大施工质量问题（“严重违约”事实应当以司法机关、仲裁机构出具的认定文件为准。“重大施工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pPr>
        <w:spacing w:line="400" w:lineRule="exact"/>
        <w:ind w:firstLine="359" w:firstLineChars="171"/>
        <w:rPr>
          <w:color w:val="auto"/>
          <w:szCs w:val="21"/>
          <w:highlight w:val="none"/>
          <w:u w:val="single"/>
        </w:rPr>
      </w:pPr>
      <w:r>
        <w:rPr>
          <w:rFonts w:hint="eastAsia"/>
          <w:color w:val="auto"/>
          <w:szCs w:val="21"/>
          <w:highlight w:val="none"/>
          <w:u w:val="single"/>
        </w:rPr>
        <w:t>（</w:t>
      </w:r>
      <w:r>
        <w:rPr>
          <w:color w:val="auto"/>
          <w:szCs w:val="21"/>
          <w:highlight w:val="none"/>
          <w:u w:val="single"/>
        </w:rPr>
        <w:t>13</w:t>
      </w:r>
      <w:r>
        <w:rPr>
          <w:rFonts w:hint="eastAsia"/>
          <w:color w:val="auto"/>
          <w:szCs w:val="21"/>
          <w:highlight w:val="none"/>
          <w:u w:val="single"/>
        </w:rPr>
        <w:t>）在“信用中国”网站（</w:t>
      </w:r>
      <w:r>
        <w:rPr>
          <w:color w:val="auto"/>
          <w:szCs w:val="21"/>
          <w:highlight w:val="none"/>
          <w:u w:val="single"/>
        </w:rPr>
        <w:t>www.creditchina.gov.cn</w:t>
      </w:r>
      <w:r>
        <w:rPr>
          <w:rFonts w:hint="eastAsia"/>
          <w:color w:val="auto"/>
          <w:szCs w:val="21"/>
          <w:highlight w:val="none"/>
          <w:u w:val="single"/>
        </w:rPr>
        <w:t>）或各级信用信息共享平台中被列入拖欠农民工工资失信联合惩戒对象名单；</w:t>
      </w:r>
    </w:p>
    <w:p>
      <w:pPr>
        <w:spacing w:line="400" w:lineRule="exact"/>
        <w:ind w:firstLine="359" w:firstLineChars="171"/>
        <w:rPr>
          <w:color w:val="auto"/>
          <w:szCs w:val="21"/>
          <w:highlight w:val="none"/>
        </w:rPr>
      </w:pPr>
      <w:r>
        <w:rPr>
          <w:rFonts w:hint="eastAsia"/>
          <w:color w:val="auto"/>
          <w:szCs w:val="21"/>
          <w:highlight w:val="none"/>
        </w:rPr>
        <w:t>（14）法律法规或投标人须知前附表规定的其他情形</w:t>
      </w:r>
      <w:r>
        <w:rPr>
          <w:color w:val="auto"/>
          <w:szCs w:val="21"/>
          <w:highlight w:val="none"/>
        </w:rPr>
        <w:t>：</w:t>
      </w:r>
    </w:p>
    <w:p>
      <w:pPr>
        <w:spacing w:line="400" w:lineRule="exact"/>
        <w:ind w:firstLine="420" w:firstLineChars="200"/>
        <w:rPr>
          <w:color w:val="auto"/>
          <w:highlight w:val="none"/>
        </w:rPr>
      </w:pPr>
      <w:r>
        <w:rPr>
          <w:rFonts w:hint="eastAsia"/>
          <w:color w:val="auto"/>
          <w:highlight w:val="none"/>
        </w:rPr>
        <w:t>1.4.</w:t>
      </w:r>
      <w:r>
        <w:rPr>
          <w:color w:val="auto"/>
          <w:highlight w:val="none"/>
        </w:rPr>
        <w:t>4</w:t>
      </w:r>
      <w:r>
        <w:rPr>
          <w:rFonts w:hint="eastAsia"/>
          <w:color w:val="auto"/>
          <w:highlight w:val="none"/>
        </w:rPr>
        <w:t xml:space="preserve"> 单位负责人为同一人或者存在控股、管理关系的不同单位，不得同时参加本招标项目投标。</w:t>
      </w:r>
    </w:p>
    <w:p>
      <w:pPr>
        <w:pStyle w:val="6"/>
        <w:rPr>
          <w:rFonts w:hint="eastAsia" w:ascii="华文宋体" w:hAnsi="华文宋体" w:eastAsia="华文宋体"/>
          <w:color w:val="auto"/>
          <w:highlight w:val="none"/>
        </w:rPr>
      </w:pPr>
      <w:bookmarkStart w:id="183" w:name="_Toc144974503"/>
      <w:bookmarkStart w:id="184" w:name="_Toc246996180"/>
      <w:bookmarkStart w:id="185" w:name="_Toc152045535"/>
      <w:bookmarkStart w:id="186" w:name="_Toc49284384"/>
      <w:bookmarkStart w:id="187" w:name="_Toc246996923"/>
      <w:bookmarkStart w:id="188" w:name="_Toc521674862"/>
      <w:bookmarkStart w:id="189" w:name="_Toc179632552"/>
      <w:bookmarkStart w:id="190" w:name="_Toc247085694"/>
      <w:bookmarkStart w:id="191" w:name="_Toc152042311"/>
      <w:bookmarkStart w:id="192" w:name="_Toc183770486"/>
      <w:bookmarkStart w:id="193" w:name="_Toc101107089"/>
      <w:bookmarkStart w:id="194" w:name="_Toc51965783"/>
      <w:bookmarkStart w:id="195" w:name="_Toc529528669"/>
      <w:bookmarkStart w:id="196" w:name="_Toc55504903"/>
      <w:bookmarkStart w:id="197" w:name="_Toc183772301"/>
      <w:bookmarkStart w:id="198" w:name="_Toc29251"/>
      <w:bookmarkStart w:id="199" w:name="_Toc113285979"/>
      <w:bookmarkStart w:id="200" w:name="_Toc12375854"/>
      <w:r>
        <w:rPr>
          <w:rFonts w:hint="eastAsia" w:ascii="华文宋体" w:hAnsi="华文宋体" w:eastAsia="华文宋体"/>
          <w:color w:val="auto"/>
          <w:highlight w:val="none"/>
        </w:rPr>
        <w:t>1.5 费用承担</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spacing w:line="400" w:lineRule="exact"/>
        <w:ind w:firstLine="420" w:firstLineChars="200"/>
        <w:rPr>
          <w:color w:val="auto"/>
          <w:highlight w:val="none"/>
        </w:rPr>
      </w:pPr>
      <w:r>
        <w:rPr>
          <w:rFonts w:hint="eastAsia"/>
          <w:color w:val="auto"/>
          <w:highlight w:val="none"/>
        </w:rPr>
        <w:t>投标人准备和参加投标活动发生的费用自理。</w:t>
      </w:r>
    </w:p>
    <w:p>
      <w:pPr>
        <w:pStyle w:val="6"/>
        <w:rPr>
          <w:rFonts w:hint="eastAsia" w:ascii="华文宋体" w:hAnsi="华文宋体" w:eastAsia="华文宋体"/>
          <w:color w:val="auto"/>
          <w:highlight w:val="none"/>
        </w:rPr>
      </w:pPr>
      <w:bookmarkStart w:id="201" w:name="_Toc529528670"/>
      <w:bookmarkStart w:id="202" w:name="_Toc179632553"/>
      <w:bookmarkStart w:id="203" w:name="_Toc246996924"/>
      <w:bookmarkStart w:id="204" w:name="_Toc49284385"/>
      <w:bookmarkStart w:id="205" w:name="_Toc101107090"/>
      <w:bookmarkStart w:id="206" w:name="_Toc144974504"/>
      <w:bookmarkStart w:id="207" w:name="_Toc521674863"/>
      <w:bookmarkStart w:id="208" w:name="_Toc183772302"/>
      <w:bookmarkStart w:id="209" w:name="_Toc16685"/>
      <w:bookmarkStart w:id="210" w:name="_Toc183770487"/>
      <w:bookmarkStart w:id="211" w:name="_Toc12375855"/>
      <w:bookmarkStart w:id="212" w:name="_Toc246996181"/>
      <w:bookmarkStart w:id="213" w:name="_Toc152042312"/>
      <w:bookmarkStart w:id="214" w:name="_Toc113285980"/>
      <w:bookmarkStart w:id="215" w:name="_Toc152045536"/>
      <w:bookmarkStart w:id="216" w:name="_Toc51965784"/>
      <w:bookmarkStart w:id="217" w:name="_Toc55504904"/>
      <w:bookmarkStart w:id="218" w:name="_Toc247085695"/>
      <w:r>
        <w:rPr>
          <w:rFonts w:hint="eastAsia" w:ascii="华文宋体" w:hAnsi="华文宋体" w:eastAsia="华文宋体"/>
          <w:color w:val="auto"/>
          <w:highlight w:val="none"/>
        </w:rPr>
        <w:t>1.6 保密</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line="400" w:lineRule="exact"/>
        <w:ind w:firstLine="420" w:firstLineChars="200"/>
        <w:rPr>
          <w:color w:val="auto"/>
          <w:highlight w:val="none"/>
        </w:rPr>
      </w:pPr>
      <w:r>
        <w:rPr>
          <w:rFonts w:hint="eastAsia"/>
          <w:color w:val="auto"/>
          <w:highlight w:val="none"/>
        </w:rPr>
        <w:t xml:space="preserve">参与招标投标活动的各方应对招标文件和投标文件中的商业和技术等秘密保密，违者应对由此造成的后果承担法律责任。 </w:t>
      </w:r>
    </w:p>
    <w:p>
      <w:pPr>
        <w:pStyle w:val="6"/>
        <w:rPr>
          <w:rFonts w:hint="eastAsia" w:ascii="华文宋体" w:hAnsi="华文宋体" w:eastAsia="华文宋体"/>
          <w:color w:val="auto"/>
          <w:highlight w:val="none"/>
        </w:rPr>
      </w:pPr>
      <w:bookmarkStart w:id="219" w:name="_Toc144974505"/>
      <w:bookmarkStart w:id="220" w:name="_Toc183772303"/>
      <w:bookmarkStart w:id="221" w:name="_Toc152042313"/>
      <w:bookmarkStart w:id="222" w:name="_Toc179632554"/>
      <w:bookmarkStart w:id="223" w:name="_Toc55504905"/>
      <w:bookmarkStart w:id="224" w:name="_Toc183770488"/>
      <w:bookmarkStart w:id="225" w:name="_Toc521674864"/>
      <w:bookmarkStart w:id="226" w:name="_Toc246996925"/>
      <w:bookmarkStart w:id="227" w:name="_Toc49284386"/>
      <w:bookmarkStart w:id="228" w:name="_Toc246996182"/>
      <w:bookmarkStart w:id="229" w:name="_Toc152045537"/>
      <w:bookmarkStart w:id="230" w:name="_Toc247085696"/>
      <w:bookmarkStart w:id="231" w:name="_Toc529528671"/>
      <w:bookmarkStart w:id="232" w:name="_Toc101107091"/>
      <w:bookmarkStart w:id="233" w:name="_Toc51965785"/>
      <w:bookmarkStart w:id="234" w:name="_Toc12375856"/>
      <w:bookmarkStart w:id="235" w:name="_Toc9418"/>
      <w:bookmarkStart w:id="236" w:name="_Toc113285981"/>
      <w:r>
        <w:rPr>
          <w:rFonts w:hint="eastAsia" w:ascii="华文宋体" w:hAnsi="华文宋体" w:eastAsia="华文宋体"/>
          <w:color w:val="auto"/>
          <w:highlight w:val="none"/>
        </w:rPr>
        <w:t>1.7 语言</w:t>
      </w:r>
      <w:bookmarkEnd w:id="219"/>
      <w:r>
        <w:rPr>
          <w:rFonts w:hint="eastAsia" w:ascii="华文宋体" w:hAnsi="华文宋体" w:eastAsia="华文宋体"/>
          <w:color w:val="auto"/>
          <w:highlight w:val="none"/>
        </w:rPr>
        <w:t>文字</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spacing w:line="400" w:lineRule="exact"/>
        <w:ind w:firstLine="420" w:firstLineChars="200"/>
        <w:rPr>
          <w:color w:val="auto"/>
          <w:highlight w:val="none"/>
        </w:rPr>
      </w:pPr>
      <w:bookmarkStart w:id="237" w:name="_Toc246996926"/>
      <w:bookmarkStart w:id="238" w:name="_Toc247085697"/>
      <w:bookmarkStart w:id="239" w:name="_Toc246996183"/>
      <w:bookmarkStart w:id="240" w:name="_Toc179632555"/>
      <w:bookmarkStart w:id="241" w:name="_Toc152045538"/>
      <w:bookmarkStart w:id="242" w:name="_Toc144974506"/>
      <w:bookmarkStart w:id="243" w:name="_Toc152042314"/>
      <w:r>
        <w:rPr>
          <w:rFonts w:hint="eastAsia"/>
          <w:color w:val="auto"/>
          <w:highlight w:val="none"/>
        </w:rPr>
        <w:t>招标投标文件使用的语言文字为中文。专用术语使用外文的，应附有中文注释。</w:t>
      </w:r>
    </w:p>
    <w:p>
      <w:pPr>
        <w:pStyle w:val="6"/>
        <w:rPr>
          <w:rFonts w:hint="eastAsia" w:ascii="华文宋体" w:hAnsi="华文宋体" w:eastAsia="华文宋体"/>
          <w:color w:val="auto"/>
          <w:highlight w:val="none"/>
        </w:rPr>
      </w:pPr>
      <w:bookmarkStart w:id="244" w:name="_Toc51965786"/>
      <w:bookmarkStart w:id="245" w:name="_Toc521674865"/>
      <w:bookmarkStart w:id="246" w:name="_Toc113285982"/>
      <w:bookmarkStart w:id="247" w:name="_Toc183772304"/>
      <w:bookmarkStart w:id="248" w:name="_Toc49284387"/>
      <w:bookmarkStart w:id="249" w:name="_Toc529528672"/>
      <w:bookmarkStart w:id="250" w:name="_Toc101107092"/>
      <w:bookmarkStart w:id="251" w:name="_Toc28243"/>
      <w:bookmarkStart w:id="252" w:name="_Toc183770489"/>
      <w:bookmarkStart w:id="253" w:name="_Toc12375857"/>
      <w:bookmarkStart w:id="254" w:name="_Toc55504906"/>
      <w:r>
        <w:rPr>
          <w:rFonts w:hint="eastAsia" w:ascii="华文宋体" w:hAnsi="华文宋体" w:eastAsia="华文宋体"/>
          <w:color w:val="auto"/>
          <w:highlight w:val="none"/>
        </w:rPr>
        <w:t>1.8 计量单位</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spacing w:line="400" w:lineRule="exact"/>
        <w:ind w:firstLine="420" w:firstLineChars="200"/>
        <w:rPr>
          <w:color w:val="auto"/>
          <w:highlight w:val="none"/>
        </w:rPr>
      </w:pPr>
      <w:r>
        <w:rPr>
          <w:rFonts w:hint="eastAsia"/>
          <w:color w:val="auto"/>
          <w:highlight w:val="none"/>
        </w:rPr>
        <w:t>所有计量均采用中华人民共和国法定计量单位。</w:t>
      </w:r>
    </w:p>
    <w:p>
      <w:pPr>
        <w:pStyle w:val="6"/>
        <w:rPr>
          <w:rFonts w:hint="eastAsia" w:ascii="华文宋体" w:hAnsi="华文宋体" w:eastAsia="华文宋体"/>
          <w:color w:val="auto"/>
          <w:highlight w:val="none"/>
        </w:rPr>
      </w:pPr>
      <w:bookmarkStart w:id="255" w:name="_Toc49284388"/>
      <w:bookmarkStart w:id="256" w:name="_Toc17482"/>
      <w:bookmarkStart w:id="257" w:name="_Toc247527563"/>
      <w:bookmarkStart w:id="258" w:name="_Toc152042315"/>
      <w:bookmarkStart w:id="259" w:name="_Toc247592876"/>
      <w:bookmarkStart w:id="260" w:name="_Toc55504907"/>
      <w:bookmarkStart w:id="261" w:name="_Toc12375858"/>
      <w:bookmarkStart w:id="262" w:name="_Toc101107093"/>
      <w:bookmarkStart w:id="263" w:name="_Toc521674866"/>
      <w:bookmarkStart w:id="264" w:name="_Toc144974507"/>
      <w:bookmarkStart w:id="265" w:name="_Toc183772305"/>
      <w:bookmarkStart w:id="266" w:name="_Toc247513962"/>
      <w:bookmarkStart w:id="267" w:name="_Toc51965787"/>
      <w:bookmarkStart w:id="268" w:name="_Toc529528673"/>
      <w:bookmarkStart w:id="269" w:name="_Toc183770490"/>
      <w:bookmarkStart w:id="270" w:name="_Toc152045539"/>
      <w:bookmarkStart w:id="271" w:name="_Toc113285983"/>
      <w:r>
        <w:rPr>
          <w:rFonts w:hint="eastAsia" w:ascii="华文宋体" w:hAnsi="华文宋体" w:eastAsia="华文宋体"/>
          <w:color w:val="auto"/>
          <w:highlight w:val="none"/>
        </w:rPr>
        <w:t>1.9 踏勘现场</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00" w:lineRule="exact"/>
        <w:ind w:firstLine="420" w:firstLineChars="200"/>
        <w:rPr>
          <w:color w:val="auto"/>
          <w:highlight w:val="none"/>
        </w:rPr>
      </w:pPr>
      <w:r>
        <w:rPr>
          <w:rFonts w:hint="eastAsia"/>
          <w:color w:val="auto"/>
          <w:highlight w:val="none"/>
        </w:rPr>
        <w:t xml:space="preserve">1.9.1 投标人须知前附表规定组织踏勘现场的，招标人按投标人须知前附表规定的时间、地点组织投标人踏勘项目现场。 </w:t>
      </w:r>
    </w:p>
    <w:p>
      <w:pPr>
        <w:spacing w:line="400" w:lineRule="exact"/>
        <w:ind w:firstLine="420" w:firstLineChars="200"/>
        <w:rPr>
          <w:color w:val="auto"/>
          <w:highlight w:val="none"/>
        </w:rPr>
      </w:pPr>
      <w:r>
        <w:rPr>
          <w:rFonts w:hint="eastAsia"/>
          <w:color w:val="auto"/>
          <w:highlight w:val="none"/>
        </w:rPr>
        <w:t>1.9.2 投标人踏勘现场发生的费用自理。</w:t>
      </w:r>
    </w:p>
    <w:p>
      <w:pPr>
        <w:spacing w:line="400" w:lineRule="exact"/>
        <w:ind w:firstLine="420" w:firstLineChars="200"/>
        <w:rPr>
          <w:color w:val="auto"/>
          <w:highlight w:val="none"/>
        </w:rPr>
      </w:pPr>
      <w:r>
        <w:rPr>
          <w:rFonts w:hint="eastAsia"/>
          <w:color w:val="auto"/>
          <w:highlight w:val="none"/>
        </w:rPr>
        <w:t>1.9.3 除招标人的原因外，投标人自行负责在踏勘现场中所发生的人员伤亡和财产损失。</w:t>
      </w:r>
    </w:p>
    <w:p>
      <w:pPr>
        <w:spacing w:line="400" w:lineRule="exact"/>
        <w:ind w:firstLine="420" w:firstLineChars="200"/>
        <w:rPr>
          <w:color w:val="auto"/>
          <w:highlight w:val="none"/>
        </w:rPr>
      </w:pPr>
      <w:r>
        <w:rPr>
          <w:rFonts w:hint="eastAsia"/>
          <w:color w:val="auto"/>
          <w:highlight w:val="none"/>
        </w:rPr>
        <w:t>1.9.4 招标人在踏勘现场中介绍的工程场地和相关的周边环境情况，供投标人在编制投标文件时参考，招标人不对投标人据此作出的判断和决策负责。</w:t>
      </w:r>
    </w:p>
    <w:p>
      <w:pPr>
        <w:pStyle w:val="6"/>
        <w:rPr>
          <w:rFonts w:hint="eastAsia" w:ascii="华文宋体" w:hAnsi="华文宋体" w:eastAsia="华文宋体"/>
          <w:color w:val="auto"/>
          <w:highlight w:val="none"/>
        </w:rPr>
      </w:pPr>
      <w:bookmarkStart w:id="272" w:name="_Toc247592877"/>
      <w:bookmarkStart w:id="273" w:name="_Toc529528674"/>
      <w:bookmarkStart w:id="274" w:name="_Toc101107094"/>
      <w:bookmarkStart w:id="275" w:name="_Toc247513963"/>
      <w:bookmarkStart w:id="276" w:name="_Toc152045540"/>
      <w:bookmarkStart w:id="277" w:name="_Toc15269"/>
      <w:bookmarkStart w:id="278" w:name="_Toc152042316"/>
      <w:bookmarkStart w:id="279" w:name="_Toc183772306"/>
      <w:bookmarkStart w:id="280" w:name="_Toc183770491"/>
      <w:bookmarkStart w:id="281" w:name="_Toc51965788"/>
      <w:bookmarkStart w:id="282" w:name="_Toc113285984"/>
      <w:bookmarkStart w:id="283" w:name="_Toc55504908"/>
      <w:bookmarkStart w:id="284" w:name="_Toc49284389"/>
      <w:bookmarkStart w:id="285" w:name="_Toc12375859"/>
      <w:bookmarkStart w:id="286" w:name="_Toc247527564"/>
      <w:bookmarkStart w:id="287" w:name="_Toc521674867"/>
      <w:bookmarkStart w:id="288" w:name="_Toc144974508"/>
      <w:r>
        <w:rPr>
          <w:rFonts w:hint="eastAsia" w:ascii="华文宋体" w:hAnsi="华文宋体" w:eastAsia="华文宋体"/>
          <w:color w:val="auto"/>
          <w:highlight w:val="none"/>
        </w:rPr>
        <w:t>1.10 投标预备会</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400" w:lineRule="exact"/>
        <w:ind w:firstLine="420" w:firstLineChars="200"/>
        <w:rPr>
          <w:color w:val="auto"/>
          <w:highlight w:val="none"/>
        </w:rPr>
      </w:pPr>
      <w:r>
        <w:rPr>
          <w:rFonts w:hint="eastAsia"/>
          <w:color w:val="auto"/>
          <w:highlight w:val="none"/>
        </w:rPr>
        <w:t>1.10.1 投标人须知前附表规定召开投标预备会的，招标人按投标人须知前附表规定的时间和地点召开投标预备会，澄清投标人提出的问题。</w:t>
      </w:r>
    </w:p>
    <w:p>
      <w:pPr>
        <w:spacing w:line="400" w:lineRule="exact"/>
        <w:ind w:firstLine="420" w:firstLineChars="200"/>
        <w:rPr>
          <w:color w:val="auto"/>
          <w:highlight w:val="none"/>
        </w:rPr>
      </w:pPr>
      <w:r>
        <w:rPr>
          <w:rFonts w:hint="eastAsia"/>
          <w:color w:val="auto"/>
          <w:highlight w:val="none"/>
        </w:rPr>
        <w:t>1.10.2 投标人应在投标人须知前附表规定的时间前，以书面形式将提出的问题送达招标人，以便招标人在会议期间澄清。</w:t>
      </w:r>
    </w:p>
    <w:p>
      <w:pPr>
        <w:spacing w:line="400" w:lineRule="exact"/>
        <w:ind w:firstLine="420" w:firstLineChars="200"/>
        <w:rPr>
          <w:color w:val="auto"/>
          <w:highlight w:val="none"/>
        </w:rPr>
      </w:pPr>
      <w:r>
        <w:rPr>
          <w:rFonts w:hint="eastAsia"/>
          <w:color w:val="auto"/>
          <w:highlight w:val="none"/>
        </w:rPr>
        <w:t>1.10.3 投标预备会后，招标人在投标人须知前附表规定的时间内，将对投标人所提问题的澄清，以书面形式通知所有购买招标文件的投标人。该澄清内容为招标文件的组成部分。</w:t>
      </w:r>
    </w:p>
    <w:p>
      <w:pPr>
        <w:pStyle w:val="6"/>
        <w:rPr>
          <w:rFonts w:hint="eastAsia" w:ascii="华文宋体" w:hAnsi="华文宋体" w:eastAsia="华文宋体"/>
          <w:color w:val="auto"/>
          <w:highlight w:val="none"/>
        </w:rPr>
      </w:pPr>
      <w:bookmarkStart w:id="289" w:name="_Toc183770492"/>
      <w:bookmarkStart w:id="290" w:name="_Toc12375860"/>
      <w:bookmarkStart w:id="291" w:name="_Toc30463"/>
      <w:bookmarkStart w:id="292" w:name="_Toc55504909"/>
      <w:bookmarkStart w:id="293" w:name="_Toc51965789"/>
      <w:bookmarkStart w:id="294" w:name="_Toc183772307"/>
      <w:bookmarkStart w:id="295" w:name="_Toc101107095"/>
      <w:bookmarkStart w:id="296" w:name="_Toc113285985"/>
      <w:bookmarkStart w:id="297" w:name="_Toc49284390"/>
      <w:bookmarkStart w:id="298" w:name="_Toc529528675"/>
      <w:bookmarkStart w:id="299" w:name="_Toc521674868"/>
      <w:r>
        <w:rPr>
          <w:rFonts w:hint="eastAsia" w:ascii="华文宋体" w:hAnsi="华文宋体" w:eastAsia="华文宋体"/>
          <w:color w:val="auto"/>
          <w:highlight w:val="none"/>
        </w:rPr>
        <w:t>1.11 分包</w:t>
      </w:r>
      <w:bookmarkEnd w:id="289"/>
      <w:bookmarkEnd w:id="290"/>
      <w:bookmarkEnd w:id="291"/>
      <w:bookmarkEnd w:id="292"/>
      <w:bookmarkEnd w:id="293"/>
      <w:bookmarkEnd w:id="294"/>
      <w:bookmarkEnd w:id="295"/>
      <w:bookmarkEnd w:id="296"/>
      <w:bookmarkEnd w:id="297"/>
      <w:bookmarkEnd w:id="298"/>
    </w:p>
    <w:p>
      <w:pPr>
        <w:ind w:firstLine="420" w:firstLineChars="200"/>
        <w:rPr>
          <w:color w:val="auto"/>
          <w:highlight w:val="none"/>
        </w:rPr>
      </w:pPr>
      <w:r>
        <w:rPr>
          <w:rFonts w:hint="eastAsia" w:ascii="宋体" w:hAnsi="宋体"/>
          <w:color w:val="auto"/>
          <w:szCs w:val="21"/>
          <w:highlight w:val="none"/>
        </w:rPr>
        <w:t>投标人拟在中标后将中标项目的部分非主体、非关键性工作进行分包的，应符合投标人须知前附表规定的分包内容、分包金额和接受分包的第三人资质要求等限制性条件。</w:t>
      </w:r>
    </w:p>
    <w:p>
      <w:pPr>
        <w:pStyle w:val="6"/>
        <w:rPr>
          <w:rFonts w:hint="eastAsia" w:ascii="华文宋体" w:hAnsi="华文宋体" w:eastAsia="华文宋体"/>
          <w:color w:val="auto"/>
          <w:highlight w:val="none"/>
        </w:rPr>
      </w:pPr>
      <w:bookmarkStart w:id="300" w:name="_Toc55504910"/>
      <w:bookmarkStart w:id="301" w:name="_Toc31008"/>
      <w:bookmarkStart w:id="302" w:name="_Toc113285986"/>
      <w:bookmarkStart w:id="303" w:name="_Toc101107096"/>
      <w:bookmarkStart w:id="304" w:name="_Toc51965790"/>
      <w:bookmarkStart w:id="305" w:name="_Toc183770493"/>
      <w:bookmarkStart w:id="306" w:name="_Toc529528676"/>
      <w:bookmarkStart w:id="307" w:name="_Toc12375861"/>
      <w:bookmarkStart w:id="308" w:name="_Toc183772308"/>
      <w:bookmarkStart w:id="309" w:name="_Toc49284391"/>
      <w:r>
        <w:rPr>
          <w:rFonts w:hint="eastAsia" w:ascii="华文宋体" w:hAnsi="华文宋体" w:eastAsia="华文宋体"/>
          <w:color w:val="auto"/>
          <w:highlight w:val="none"/>
        </w:rPr>
        <w:t>1.1</w:t>
      </w:r>
      <w:r>
        <w:rPr>
          <w:rFonts w:ascii="华文宋体" w:hAnsi="华文宋体" w:eastAsia="华文宋体"/>
          <w:color w:val="auto"/>
          <w:highlight w:val="none"/>
        </w:rPr>
        <w:t>2</w:t>
      </w:r>
      <w:r>
        <w:rPr>
          <w:rFonts w:hint="eastAsia" w:ascii="华文宋体" w:hAnsi="华文宋体" w:eastAsia="华文宋体"/>
          <w:color w:val="auto"/>
          <w:highlight w:val="none"/>
        </w:rPr>
        <w:t xml:space="preserve"> 偏离</w:t>
      </w:r>
      <w:bookmarkEnd w:id="299"/>
      <w:bookmarkEnd w:id="300"/>
      <w:bookmarkEnd w:id="301"/>
      <w:bookmarkEnd w:id="302"/>
      <w:bookmarkEnd w:id="303"/>
      <w:bookmarkEnd w:id="304"/>
      <w:bookmarkEnd w:id="305"/>
      <w:bookmarkEnd w:id="306"/>
      <w:bookmarkEnd w:id="307"/>
      <w:bookmarkEnd w:id="308"/>
      <w:bookmarkEnd w:id="309"/>
    </w:p>
    <w:p>
      <w:pPr>
        <w:spacing w:line="400" w:lineRule="exact"/>
        <w:ind w:firstLine="420" w:firstLineChars="200"/>
        <w:rPr>
          <w:color w:val="auto"/>
          <w:highlight w:val="none"/>
        </w:rPr>
      </w:pPr>
      <w:r>
        <w:rPr>
          <w:rFonts w:hint="eastAsia"/>
          <w:color w:val="auto"/>
          <w:highlight w:val="none"/>
        </w:rPr>
        <w:t>投标人须知前附表允许投标文件偏离招标文件某些要求的，偏离应当符合招标文件规定的偏离范围和幅度。</w:t>
      </w:r>
    </w:p>
    <w:p>
      <w:pPr>
        <w:pStyle w:val="5"/>
        <w:rPr>
          <w:rFonts w:hint="eastAsia" w:ascii="华文宋体" w:hAnsi="华文宋体" w:eastAsia="华文宋体"/>
          <w:color w:val="auto"/>
          <w:highlight w:val="none"/>
        </w:rPr>
      </w:pPr>
      <w:bookmarkStart w:id="310" w:name="_Toc152045542"/>
      <w:bookmarkStart w:id="311" w:name="_Toc246996187"/>
      <w:bookmarkStart w:id="312" w:name="_Toc152042318"/>
      <w:bookmarkStart w:id="313" w:name="_Toc144974510"/>
      <w:bookmarkStart w:id="314" w:name="_Toc179632560"/>
      <w:bookmarkStart w:id="315" w:name="_Toc19682"/>
      <w:bookmarkStart w:id="316" w:name="_Toc247085701"/>
      <w:bookmarkStart w:id="317" w:name="_Toc246996930"/>
      <w:r>
        <w:rPr>
          <w:rFonts w:hint="eastAsia" w:ascii="华文宋体" w:hAnsi="华文宋体" w:eastAsia="华文宋体"/>
          <w:color w:val="auto"/>
          <w:highlight w:val="none"/>
        </w:rPr>
        <w:t>2. 招标文件</w:t>
      </w:r>
      <w:bookmarkEnd w:id="310"/>
      <w:bookmarkEnd w:id="311"/>
      <w:bookmarkEnd w:id="312"/>
      <w:bookmarkEnd w:id="313"/>
      <w:bookmarkEnd w:id="314"/>
      <w:bookmarkEnd w:id="315"/>
      <w:bookmarkEnd w:id="316"/>
      <w:bookmarkEnd w:id="317"/>
    </w:p>
    <w:p>
      <w:pPr>
        <w:pStyle w:val="6"/>
        <w:rPr>
          <w:rFonts w:hint="eastAsia" w:ascii="华文宋体" w:hAnsi="华文宋体" w:eastAsia="华文宋体"/>
          <w:color w:val="auto"/>
          <w:highlight w:val="none"/>
        </w:rPr>
      </w:pPr>
      <w:bookmarkStart w:id="318" w:name="_Toc12375863"/>
      <w:bookmarkStart w:id="319" w:name="_Toc152045543"/>
      <w:bookmarkStart w:id="320" w:name="_Toc521674870"/>
      <w:bookmarkStart w:id="321" w:name="_Toc113285988"/>
      <w:bookmarkStart w:id="322" w:name="_Toc152042319"/>
      <w:bookmarkStart w:id="323" w:name="_Toc183770495"/>
      <w:bookmarkStart w:id="324" w:name="_Toc101107098"/>
      <w:bookmarkStart w:id="325" w:name="_Toc246996931"/>
      <w:bookmarkStart w:id="326" w:name="_Toc51965792"/>
      <w:bookmarkStart w:id="327" w:name="_Toc183772310"/>
      <w:bookmarkStart w:id="328" w:name="_Toc49284393"/>
      <w:bookmarkStart w:id="329" w:name="_Toc246996188"/>
      <w:bookmarkStart w:id="330" w:name="_Toc7962"/>
      <w:bookmarkStart w:id="331" w:name="_Toc55504912"/>
      <w:bookmarkStart w:id="332" w:name="_Toc247085702"/>
      <w:bookmarkStart w:id="333" w:name="_Toc179632561"/>
      <w:bookmarkStart w:id="334" w:name="_Toc529528678"/>
      <w:bookmarkStart w:id="335" w:name="_Toc144974511"/>
      <w:r>
        <w:rPr>
          <w:rFonts w:hint="eastAsia" w:ascii="华文宋体" w:hAnsi="华文宋体" w:eastAsia="华文宋体"/>
          <w:color w:val="auto"/>
          <w:highlight w:val="none"/>
        </w:rPr>
        <w:t>2.1 招标文件的组成</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spacing w:line="400" w:lineRule="exact"/>
        <w:rPr>
          <w:color w:val="auto"/>
          <w:highlight w:val="none"/>
        </w:rPr>
      </w:pPr>
      <w:r>
        <w:rPr>
          <w:rFonts w:hint="eastAsia"/>
          <w:color w:val="auto"/>
          <w:highlight w:val="none"/>
        </w:rPr>
        <w:t>　　2.1.1 本招标文件包括：</w:t>
      </w:r>
    </w:p>
    <w:p>
      <w:pPr>
        <w:spacing w:line="400" w:lineRule="exact"/>
        <w:ind w:firstLine="359" w:firstLineChars="171"/>
        <w:rPr>
          <w:color w:val="auto"/>
          <w:highlight w:val="none"/>
        </w:rPr>
      </w:pPr>
      <w:r>
        <w:rPr>
          <w:rFonts w:hint="eastAsia"/>
          <w:color w:val="auto"/>
          <w:highlight w:val="none"/>
        </w:rPr>
        <w:t>（1）招标公告；</w:t>
      </w:r>
    </w:p>
    <w:p>
      <w:pPr>
        <w:spacing w:line="400" w:lineRule="exact"/>
        <w:ind w:firstLine="359" w:firstLineChars="171"/>
        <w:rPr>
          <w:color w:val="auto"/>
          <w:highlight w:val="none"/>
        </w:rPr>
      </w:pPr>
      <w:r>
        <w:rPr>
          <w:rFonts w:hint="eastAsia"/>
          <w:color w:val="auto"/>
          <w:highlight w:val="none"/>
        </w:rPr>
        <w:t>（2）投标人须知；</w:t>
      </w:r>
    </w:p>
    <w:p>
      <w:pPr>
        <w:spacing w:line="400" w:lineRule="exact"/>
        <w:ind w:firstLine="359" w:firstLineChars="171"/>
        <w:rPr>
          <w:color w:val="auto"/>
          <w:highlight w:val="none"/>
        </w:rPr>
      </w:pPr>
      <w:r>
        <w:rPr>
          <w:rFonts w:hint="eastAsia"/>
          <w:color w:val="auto"/>
          <w:highlight w:val="none"/>
        </w:rPr>
        <w:t>（3）评标办法；</w:t>
      </w:r>
    </w:p>
    <w:p>
      <w:pPr>
        <w:spacing w:line="400" w:lineRule="exact"/>
        <w:ind w:firstLine="359" w:firstLineChars="171"/>
        <w:rPr>
          <w:color w:val="auto"/>
          <w:highlight w:val="none"/>
        </w:rPr>
      </w:pPr>
      <w:r>
        <w:rPr>
          <w:rFonts w:hint="eastAsia"/>
          <w:color w:val="auto"/>
          <w:highlight w:val="none"/>
        </w:rPr>
        <w:t>（4）合同条款及格式；</w:t>
      </w:r>
    </w:p>
    <w:p>
      <w:pPr>
        <w:spacing w:line="400" w:lineRule="exact"/>
        <w:ind w:firstLine="359" w:firstLineChars="171"/>
        <w:rPr>
          <w:color w:val="auto"/>
          <w:highlight w:val="none"/>
        </w:rPr>
      </w:pPr>
      <w:r>
        <w:rPr>
          <w:rFonts w:hint="eastAsia"/>
          <w:color w:val="auto"/>
          <w:highlight w:val="none"/>
        </w:rPr>
        <w:t xml:space="preserve">（5）工程量清单； </w:t>
      </w:r>
    </w:p>
    <w:p>
      <w:pPr>
        <w:spacing w:line="400" w:lineRule="exact"/>
        <w:ind w:firstLine="359" w:firstLineChars="171"/>
        <w:rPr>
          <w:color w:val="auto"/>
          <w:highlight w:val="none"/>
        </w:rPr>
      </w:pPr>
      <w:r>
        <w:rPr>
          <w:rFonts w:hint="eastAsia"/>
          <w:color w:val="auto"/>
          <w:highlight w:val="none"/>
        </w:rPr>
        <w:t>（6）图纸；</w:t>
      </w:r>
    </w:p>
    <w:p>
      <w:pPr>
        <w:spacing w:line="400" w:lineRule="exact"/>
        <w:ind w:firstLine="359" w:firstLineChars="171"/>
        <w:rPr>
          <w:color w:val="auto"/>
          <w:highlight w:val="none"/>
        </w:rPr>
      </w:pPr>
      <w:r>
        <w:rPr>
          <w:rFonts w:hint="eastAsia"/>
          <w:color w:val="auto"/>
          <w:highlight w:val="none"/>
        </w:rPr>
        <w:t xml:space="preserve">（7）技术标准和要求； </w:t>
      </w:r>
    </w:p>
    <w:p>
      <w:pPr>
        <w:spacing w:line="400" w:lineRule="exact"/>
        <w:ind w:firstLine="359" w:firstLineChars="171"/>
        <w:rPr>
          <w:color w:val="auto"/>
          <w:highlight w:val="none"/>
        </w:rPr>
      </w:pPr>
      <w:r>
        <w:rPr>
          <w:rFonts w:hint="eastAsia"/>
          <w:color w:val="auto"/>
          <w:highlight w:val="none"/>
        </w:rPr>
        <w:t>（8）投标文件格式；</w:t>
      </w:r>
    </w:p>
    <w:p>
      <w:pPr>
        <w:spacing w:line="400" w:lineRule="exact"/>
        <w:ind w:firstLine="359" w:firstLineChars="171"/>
        <w:rPr>
          <w:color w:val="auto"/>
          <w:highlight w:val="none"/>
        </w:rPr>
      </w:pPr>
      <w:r>
        <w:rPr>
          <w:rFonts w:hint="eastAsia"/>
          <w:color w:val="auto"/>
          <w:highlight w:val="none"/>
        </w:rPr>
        <w:t>（9）投标人须知前附表规定的其他材料。</w:t>
      </w:r>
    </w:p>
    <w:p>
      <w:pPr>
        <w:spacing w:line="400" w:lineRule="exact"/>
        <w:ind w:firstLine="420" w:firstLineChars="200"/>
        <w:rPr>
          <w:color w:val="auto"/>
          <w:highlight w:val="none"/>
        </w:rPr>
      </w:pPr>
      <w:r>
        <w:rPr>
          <w:rFonts w:hint="eastAsia"/>
          <w:color w:val="auto"/>
          <w:highlight w:val="none"/>
        </w:rPr>
        <w:t>2.1.2 根据本章第1.10款、第2.2款和第2.3款对招标文件所作的澄清、修改，构成招标文件的组成部分。</w:t>
      </w:r>
    </w:p>
    <w:p>
      <w:pPr>
        <w:pStyle w:val="6"/>
        <w:rPr>
          <w:rFonts w:hint="eastAsia" w:ascii="华文宋体" w:hAnsi="华文宋体" w:eastAsia="华文宋体"/>
          <w:color w:val="auto"/>
          <w:highlight w:val="none"/>
        </w:rPr>
      </w:pPr>
      <w:bookmarkStart w:id="336" w:name="_Toc101107099"/>
      <w:bookmarkStart w:id="337" w:name="_Toc246996932"/>
      <w:bookmarkStart w:id="338" w:name="_Toc521674871"/>
      <w:bookmarkStart w:id="339" w:name="_Toc27690"/>
      <w:bookmarkStart w:id="340" w:name="_Toc49284394"/>
      <w:bookmarkStart w:id="341" w:name="_Toc152042320"/>
      <w:bookmarkStart w:id="342" w:name="_Toc247085703"/>
      <w:bookmarkStart w:id="343" w:name="_Toc179632562"/>
      <w:bookmarkStart w:id="344" w:name="_Toc529528679"/>
      <w:bookmarkStart w:id="345" w:name="_Toc55504913"/>
      <w:bookmarkStart w:id="346" w:name="_Toc183772311"/>
      <w:bookmarkStart w:id="347" w:name="_Toc183770496"/>
      <w:bookmarkStart w:id="348" w:name="_Toc246996189"/>
      <w:bookmarkStart w:id="349" w:name="_Toc113285989"/>
      <w:bookmarkStart w:id="350" w:name="_Toc12375864"/>
      <w:bookmarkStart w:id="351" w:name="_Toc144974512"/>
      <w:bookmarkStart w:id="352" w:name="_Toc152045544"/>
      <w:bookmarkStart w:id="353" w:name="_Toc51965793"/>
      <w:r>
        <w:rPr>
          <w:rFonts w:hint="eastAsia" w:ascii="华文宋体" w:hAnsi="华文宋体" w:eastAsia="华文宋体"/>
          <w:color w:val="auto"/>
          <w:highlight w:val="none"/>
        </w:rPr>
        <w:t>2.2 招标文件的澄清</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hint="eastAsia" w:ascii="华文宋体" w:hAnsi="华文宋体" w:eastAsia="华文宋体"/>
          <w:color w:val="auto"/>
          <w:highlight w:val="none"/>
        </w:rPr>
        <w:t xml:space="preserve"> </w:t>
      </w:r>
    </w:p>
    <w:p>
      <w:pPr>
        <w:spacing w:line="400" w:lineRule="exact"/>
        <w:ind w:firstLine="420" w:firstLineChars="200"/>
        <w:rPr>
          <w:color w:val="auto"/>
          <w:highlight w:val="none"/>
        </w:rPr>
      </w:pPr>
      <w:r>
        <w:rPr>
          <w:rFonts w:hint="eastAsia"/>
          <w:color w:val="auto"/>
          <w:highlight w:val="none"/>
        </w:rPr>
        <w:t>2.2.1 投标人应仔细阅读和检查招标文件的全部内容。</w:t>
      </w:r>
      <w:r>
        <w:rPr>
          <w:rFonts w:hint="eastAsia" w:ascii="宋体" w:hAnsi="宋体"/>
          <w:color w:val="auto"/>
          <w:szCs w:val="21"/>
          <w:highlight w:val="none"/>
        </w:rPr>
        <w:t>如发现缺页或附件不全，应及时向招标人提出，以便补齐。</w:t>
      </w:r>
      <w:r>
        <w:rPr>
          <w:rFonts w:hint="eastAsia"/>
          <w:color w:val="auto"/>
          <w:highlight w:val="none"/>
        </w:rPr>
        <w:t>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hint="eastAsia" w:ascii="仿宋_GB2312" w:hAnsi="仿宋_GB2312" w:eastAsia="仿宋_GB2312"/>
          <w:color w:val="auto"/>
          <w:sz w:val="32"/>
          <w:szCs w:val="32"/>
          <w:highlight w:val="none"/>
        </w:rPr>
      </w:pPr>
      <w:r>
        <w:rPr>
          <w:rFonts w:hint="eastAsia"/>
          <w:color w:val="auto"/>
          <w:highlight w:val="none"/>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r>
        <w:rPr>
          <w:rFonts w:hint="eastAsia" w:ascii="仿宋_GB2312" w:hAnsi="仿宋_GB2312" w:eastAsia="仿宋_GB2312"/>
          <w:color w:val="auto"/>
          <w:sz w:val="32"/>
          <w:szCs w:val="32"/>
          <w:highlight w:val="none"/>
        </w:rPr>
        <w:t xml:space="preserve"> </w:t>
      </w:r>
    </w:p>
    <w:p>
      <w:pPr>
        <w:spacing w:line="400" w:lineRule="exact"/>
        <w:ind w:firstLine="420" w:firstLineChars="200"/>
        <w:rPr>
          <w:color w:val="auto"/>
          <w:highlight w:val="none"/>
        </w:rPr>
      </w:pPr>
      <w:r>
        <w:rPr>
          <w:rFonts w:hint="eastAsia"/>
          <w:color w:val="auto"/>
          <w:highlight w:val="none"/>
        </w:rPr>
        <w:t>2.2.3 投标人在收到澄清后，应在投标人须知前附表规定的时间内以书面形式通知招标人，确认已收到该澄清。</w:t>
      </w:r>
    </w:p>
    <w:p>
      <w:pPr>
        <w:pStyle w:val="6"/>
        <w:rPr>
          <w:rFonts w:hint="eastAsia" w:ascii="华文宋体" w:hAnsi="华文宋体" w:eastAsia="华文宋体"/>
          <w:color w:val="auto"/>
          <w:highlight w:val="none"/>
        </w:rPr>
      </w:pPr>
      <w:bookmarkStart w:id="354" w:name="_Toc113285990"/>
      <w:bookmarkStart w:id="355" w:name="_Toc30017"/>
      <w:bookmarkStart w:id="356" w:name="_Toc144974513"/>
      <w:bookmarkStart w:id="357" w:name="_Toc183770497"/>
      <w:bookmarkStart w:id="358" w:name="_Toc247085704"/>
      <w:bookmarkStart w:id="359" w:name="_Toc246996190"/>
      <w:bookmarkStart w:id="360" w:name="_Toc152045545"/>
      <w:bookmarkStart w:id="361" w:name="_Toc529528680"/>
      <w:bookmarkStart w:id="362" w:name="_Toc55504914"/>
      <w:bookmarkStart w:id="363" w:name="_Toc183772312"/>
      <w:bookmarkStart w:id="364" w:name="_Toc51965794"/>
      <w:bookmarkStart w:id="365" w:name="_Toc246996933"/>
      <w:bookmarkStart w:id="366" w:name="_Toc49284395"/>
      <w:bookmarkStart w:id="367" w:name="_Toc179632563"/>
      <w:bookmarkStart w:id="368" w:name="_Toc152042321"/>
      <w:bookmarkStart w:id="369" w:name="_Toc521674872"/>
      <w:bookmarkStart w:id="370" w:name="_Toc12375865"/>
      <w:bookmarkStart w:id="371" w:name="_Toc101107100"/>
      <w:r>
        <w:rPr>
          <w:rFonts w:hint="eastAsia" w:ascii="华文宋体" w:hAnsi="华文宋体" w:eastAsia="华文宋体"/>
          <w:color w:val="auto"/>
          <w:highlight w:val="none"/>
        </w:rPr>
        <w:t>2.3 招标文件的修改</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spacing w:line="400" w:lineRule="exact"/>
        <w:ind w:firstLine="420" w:firstLineChars="200"/>
        <w:rPr>
          <w:color w:val="auto"/>
          <w:highlight w:val="none"/>
        </w:rPr>
      </w:pPr>
      <w:r>
        <w:rPr>
          <w:rFonts w:hint="eastAsia"/>
          <w:color w:val="auto"/>
          <w:highlight w:val="none"/>
        </w:rPr>
        <w:t>2.3.1招标人可以书面形式修改招标文件，并通知所有已购买招标文件的投标人。但如果修改招标文件的时间距投标截止时间不足15天，并且修改内容影响投标文件编制的，将相应延长投标截止时间。</w:t>
      </w:r>
    </w:p>
    <w:p>
      <w:pPr>
        <w:spacing w:line="400" w:lineRule="exact"/>
        <w:ind w:firstLine="420" w:firstLineChars="200"/>
        <w:rPr>
          <w:color w:val="auto"/>
          <w:highlight w:val="none"/>
        </w:rPr>
      </w:pPr>
      <w:r>
        <w:rPr>
          <w:rFonts w:hint="eastAsia"/>
          <w:color w:val="auto"/>
          <w:highlight w:val="none"/>
        </w:rPr>
        <w:t>2.3.2 投标人收到修改内容后，应在投标人须知前附表规定的时间内以书面形式通知招标人，确认已收到该修改。</w:t>
      </w:r>
    </w:p>
    <w:p>
      <w:pPr>
        <w:pStyle w:val="6"/>
        <w:rPr>
          <w:rFonts w:hint="eastAsia" w:ascii="华文宋体" w:hAnsi="华文宋体" w:eastAsia="华文宋体"/>
          <w:color w:val="auto"/>
          <w:highlight w:val="none"/>
        </w:rPr>
      </w:pPr>
      <w:bookmarkStart w:id="372" w:name="_Toc529528681"/>
      <w:bookmarkStart w:id="373" w:name="_Toc101107101"/>
      <w:bookmarkStart w:id="374" w:name="_Toc49284396"/>
      <w:bookmarkStart w:id="375" w:name="_Toc55504915"/>
      <w:bookmarkStart w:id="376" w:name="_Toc113285991"/>
      <w:bookmarkStart w:id="377" w:name="_Toc521674873"/>
      <w:bookmarkStart w:id="378" w:name="_Toc51965795"/>
      <w:bookmarkStart w:id="379" w:name="_Toc183770498"/>
      <w:bookmarkStart w:id="380" w:name="_Toc12375866"/>
      <w:bookmarkStart w:id="381" w:name="_Toc5845"/>
      <w:bookmarkStart w:id="382" w:name="_Toc183772313"/>
      <w:r>
        <w:rPr>
          <w:rFonts w:hint="eastAsia" w:ascii="华文宋体" w:hAnsi="华文宋体" w:eastAsia="华文宋体"/>
          <w:color w:val="auto"/>
          <w:highlight w:val="none"/>
        </w:rPr>
        <w:t>2.</w:t>
      </w:r>
      <w:r>
        <w:rPr>
          <w:rFonts w:ascii="华文宋体" w:hAnsi="华文宋体" w:eastAsia="华文宋体"/>
          <w:color w:val="auto"/>
          <w:highlight w:val="none"/>
        </w:rPr>
        <w:t>4 招标文件的异议</w:t>
      </w:r>
      <w:bookmarkEnd w:id="372"/>
      <w:bookmarkEnd w:id="373"/>
      <w:bookmarkEnd w:id="374"/>
      <w:bookmarkEnd w:id="375"/>
      <w:bookmarkEnd w:id="376"/>
      <w:bookmarkEnd w:id="377"/>
      <w:bookmarkEnd w:id="378"/>
      <w:bookmarkEnd w:id="379"/>
      <w:bookmarkEnd w:id="380"/>
      <w:bookmarkEnd w:id="381"/>
      <w:bookmarkEnd w:id="382"/>
    </w:p>
    <w:p>
      <w:pPr>
        <w:spacing w:line="400" w:lineRule="exact"/>
        <w:ind w:firstLine="420" w:firstLineChars="200"/>
        <w:rPr>
          <w:color w:val="auto"/>
          <w:highlight w:val="none"/>
        </w:rPr>
      </w:pPr>
      <w:r>
        <w:rPr>
          <w:color w:val="auto"/>
          <w:highlight w:val="none"/>
        </w:rPr>
        <w:t>投标人或者其他利害关系人对招标文件有异议的，应当在投标截止时间10日前以书面形式提出。招标人将在收到异议之日起3日内作出答复；作出答复前，将暂停招标投标活动。</w:t>
      </w:r>
    </w:p>
    <w:p>
      <w:pPr>
        <w:pStyle w:val="5"/>
        <w:rPr>
          <w:rFonts w:hint="eastAsia" w:ascii="华文宋体" w:hAnsi="华文宋体" w:eastAsia="华文宋体"/>
          <w:color w:val="auto"/>
          <w:highlight w:val="none"/>
        </w:rPr>
      </w:pPr>
      <w:bookmarkStart w:id="383" w:name="_Toc179632564"/>
      <w:bookmarkStart w:id="384" w:name="_Toc4734"/>
      <w:bookmarkStart w:id="385" w:name="_Toc247085705"/>
      <w:bookmarkStart w:id="386" w:name="_Toc144974514"/>
      <w:bookmarkStart w:id="387" w:name="_Toc152042322"/>
      <w:bookmarkStart w:id="388" w:name="_Toc246996934"/>
      <w:bookmarkStart w:id="389" w:name="_Toc246996191"/>
      <w:bookmarkStart w:id="390" w:name="_Toc152045546"/>
      <w:r>
        <w:rPr>
          <w:rFonts w:hint="eastAsia" w:ascii="华文宋体" w:hAnsi="华文宋体" w:eastAsia="华文宋体"/>
          <w:color w:val="auto"/>
          <w:highlight w:val="none"/>
        </w:rPr>
        <w:t>3. 投标文件</w:t>
      </w:r>
      <w:bookmarkEnd w:id="383"/>
      <w:bookmarkEnd w:id="384"/>
      <w:bookmarkEnd w:id="385"/>
      <w:bookmarkEnd w:id="386"/>
      <w:bookmarkEnd w:id="387"/>
      <w:bookmarkEnd w:id="388"/>
      <w:bookmarkEnd w:id="389"/>
      <w:bookmarkEnd w:id="390"/>
    </w:p>
    <w:p>
      <w:pPr>
        <w:pStyle w:val="6"/>
        <w:rPr>
          <w:rFonts w:hint="eastAsia" w:ascii="华文宋体" w:hAnsi="华文宋体" w:eastAsia="华文宋体"/>
          <w:color w:val="auto"/>
          <w:highlight w:val="none"/>
        </w:rPr>
      </w:pPr>
      <w:bookmarkStart w:id="391" w:name="_Toc183772315"/>
      <w:bookmarkStart w:id="392" w:name="_Toc179632565"/>
      <w:bookmarkStart w:id="393" w:name="_Toc152045547"/>
      <w:bookmarkStart w:id="394" w:name="_Toc55504917"/>
      <w:bookmarkStart w:id="395" w:name="_Toc144974515"/>
      <w:bookmarkStart w:id="396" w:name="_Toc246996192"/>
      <w:bookmarkStart w:id="397" w:name="_Toc101107103"/>
      <w:bookmarkStart w:id="398" w:name="_Toc12375868"/>
      <w:bookmarkStart w:id="399" w:name="_Toc247085706"/>
      <w:bookmarkStart w:id="400" w:name="_Toc246996935"/>
      <w:bookmarkStart w:id="401" w:name="_Toc152042323"/>
      <w:bookmarkStart w:id="402" w:name="_Toc183770500"/>
      <w:bookmarkStart w:id="403" w:name="_Toc113285993"/>
      <w:bookmarkStart w:id="404" w:name="_Toc51965797"/>
      <w:bookmarkStart w:id="405" w:name="_Toc49284398"/>
      <w:bookmarkStart w:id="406" w:name="_Toc529528683"/>
      <w:bookmarkStart w:id="407" w:name="_Toc31107"/>
      <w:bookmarkStart w:id="408" w:name="_Toc521674875"/>
      <w:r>
        <w:rPr>
          <w:rFonts w:hint="eastAsia" w:ascii="华文宋体" w:hAnsi="华文宋体" w:eastAsia="华文宋体"/>
          <w:color w:val="auto"/>
          <w:highlight w:val="none"/>
        </w:rPr>
        <w:t>3.1 投标文件的组成</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400" w:lineRule="exact"/>
        <w:ind w:firstLine="420" w:firstLineChars="200"/>
        <w:rPr>
          <w:color w:val="auto"/>
          <w:szCs w:val="21"/>
          <w:highlight w:val="none"/>
        </w:rPr>
      </w:pPr>
      <w:r>
        <w:rPr>
          <w:rFonts w:ascii="宋体" w:hAnsi="宋体"/>
          <w:color w:val="auto"/>
          <w:szCs w:val="21"/>
          <w:highlight w:val="none"/>
        </w:rPr>
        <w:t>投标文件由</w:t>
      </w:r>
      <w:r>
        <w:rPr>
          <w:rFonts w:hint="eastAsia" w:ascii="宋体" w:hAnsi="宋体"/>
          <w:color w:val="auto"/>
          <w:szCs w:val="21"/>
          <w:highlight w:val="none"/>
        </w:rPr>
        <w:t>商务部分和技术部分两部分投标文件组成</w:t>
      </w:r>
      <w:r>
        <w:rPr>
          <w:rFonts w:hint="eastAsia" w:ascii="宋体" w:hAnsi="宋体"/>
          <w:b/>
          <w:color w:val="auto"/>
          <w:szCs w:val="21"/>
          <w:highlight w:val="none"/>
        </w:rPr>
        <w:t>，</w:t>
      </w:r>
      <w:r>
        <w:rPr>
          <w:rFonts w:hint="eastAsia" w:ascii="宋体" w:hAnsi="宋体"/>
          <w:color w:val="auto"/>
          <w:szCs w:val="21"/>
          <w:highlight w:val="none"/>
        </w:rPr>
        <w:t>分别编辑成商务部分、技术部分两个分册（其中</w:t>
      </w:r>
      <w:r>
        <w:rPr>
          <w:rFonts w:hint="eastAsia" w:ascii="宋体" w:hAnsi="宋体"/>
          <w:b/>
          <w:bCs/>
          <w:color w:val="auto"/>
          <w:szCs w:val="21"/>
          <w:highlight w:val="none"/>
        </w:rPr>
        <w:t>商务部分包括投标函、商务标、经济标</w:t>
      </w:r>
      <w:r>
        <w:rPr>
          <w:rFonts w:hint="eastAsia" w:ascii="宋体" w:hAnsi="宋体"/>
          <w:color w:val="auto"/>
          <w:szCs w:val="21"/>
          <w:highlight w:val="none"/>
        </w:rPr>
        <w:t>等内容）。</w:t>
      </w:r>
    </w:p>
    <w:p>
      <w:pPr>
        <w:spacing w:line="400" w:lineRule="exact"/>
        <w:ind w:firstLine="420" w:firstLineChars="200"/>
        <w:rPr>
          <w:color w:val="auto"/>
          <w:highlight w:val="none"/>
        </w:rPr>
      </w:pPr>
      <w:r>
        <w:rPr>
          <w:rFonts w:hint="eastAsia"/>
          <w:color w:val="auto"/>
          <w:highlight w:val="none"/>
        </w:rPr>
        <w:t>3.1.1商务部分分册</w:t>
      </w:r>
      <w:r>
        <w:rPr>
          <w:color w:val="auto"/>
          <w:highlight w:val="none"/>
        </w:rPr>
        <w:t>主要</w:t>
      </w:r>
      <w:r>
        <w:rPr>
          <w:rFonts w:hint="eastAsia"/>
          <w:color w:val="auto"/>
          <w:highlight w:val="none"/>
        </w:rPr>
        <w:t>包括但不限于下列内容：</w:t>
      </w:r>
    </w:p>
    <w:p>
      <w:pPr>
        <w:spacing w:line="400" w:lineRule="exact"/>
        <w:ind w:left="31" w:leftChars="15" w:firstLine="420" w:firstLineChars="200"/>
        <w:jc w:val="left"/>
        <w:rPr>
          <w:rFonts w:hint="eastAsia" w:ascii="宋体" w:hAnsi="宋体"/>
          <w:color w:val="auto"/>
          <w:szCs w:val="21"/>
          <w:highlight w:val="none"/>
        </w:rPr>
      </w:pPr>
      <w:r>
        <w:rPr>
          <w:rFonts w:hint="eastAsia" w:ascii="宋体" w:hAnsi="宋体"/>
          <w:color w:val="auto"/>
          <w:szCs w:val="21"/>
          <w:highlight w:val="none"/>
        </w:rPr>
        <w:t>评标要素索引表（商务部分）；</w:t>
      </w:r>
    </w:p>
    <w:p>
      <w:pPr>
        <w:spacing w:line="400" w:lineRule="exact"/>
        <w:ind w:left="31" w:leftChars="15" w:firstLine="420" w:firstLineChars="200"/>
        <w:jc w:val="left"/>
        <w:rPr>
          <w:color w:val="auto"/>
          <w:szCs w:val="21"/>
          <w:highlight w:val="none"/>
        </w:rPr>
      </w:pPr>
      <w:r>
        <w:rPr>
          <w:color w:val="auto"/>
          <w:szCs w:val="21"/>
          <w:highlight w:val="none"/>
        </w:rPr>
        <w:t>（1）投标函及投标函附录；</w:t>
      </w:r>
    </w:p>
    <w:p>
      <w:pPr>
        <w:spacing w:line="400" w:lineRule="exact"/>
        <w:ind w:left="31" w:leftChars="15" w:firstLine="420" w:firstLineChars="200"/>
        <w:jc w:val="left"/>
        <w:rPr>
          <w:color w:val="auto"/>
          <w:szCs w:val="21"/>
          <w:highlight w:val="none"/>
        </w:rPr>
      </w:pPr>
      <w:r>
        <w:rPr>
          <w:color w:val="auto"/>
          <w:szCs w:val="21"/>
          <w:highlight w:val="none"/>
        </w:rPr>
        <w:t>（2）</w:t>
      </w:r>
      <w:r>
        <w:rPr>
          <w:color w:val="auto"/>
          <w:highlight w:val="none"/>
        </w:rPr>
        <w:t>法定代表人身份证明书</w:t>
      </w:r>
      <w:r>
        <w:rPr>
          <w:color w:val="auto"/>
          <w:szCs w:val="21"/>
          <w:highlight w:val="none"/>
        </w:rPr>
        <w:t>；</w:t>
      </w:r>
    </w:p>
    <w:p>
      <w:pPr>
        <w:spacing w:line="400" w:lineRule="exact"/>
        <w:ind w:left="31" w:leftChars="15" w:firstLine="420" w:firstLineChars="200"/>
        <w:jc w:val="left"/>
        <w:rPr>
          <w:color w:val="auto"/>
          <w:szCs w:val="21"/>
          <w:highlight w:val="none"/>
        </w:rPr>
      </w:pPr>
      <w:r>
        <w:rPr>
          <w:color w:val="auto"/>
          <w:highlight w:val="none"/>
        </w:rPr>
        <w:t>（3）授权委托书；</w:t>
      </w:r>
    </w:p>
    <w:p>
      <w:pPr>
        <w:spacing w:line="400" w:lineRule="exact"/>
        <w:ind w:left="31" w:leftChars="15" w:firstLine="420" w:firstLineChars="200"/>
        <w:jc w:val="left"/>
        <w:rPr>
          <w:color w:val="auto"/>
          <w:szCs w:val="21"/>
          <w:highlight w:val="none"/>
        </w:rPr>
      </w:pPr>
      <w:r>
        <w:rPr>
          <w:color w:val="auto"/>
          <w:szCs w:val="21"/>
          <w:highlight w:val="none"/>
        </w:rPr>
        <w:t>（4）合同条款响应表；</w:t>
      </w:r>
    </w:p>
    <w:p>
      <w:pPr>
        <w:spacing w:line="400" w:lineRule="exact"/>
        <w:ind w:left="31" w:leftChars="15" w:firstLine="420" w:firstLineChars="200"/>
        <w:jc w:val="left"/>
        <w:rPr>
          <w:color w:val="auto"/>
          <w:szCs w:val="21"/>
          <w:highlight w:val="none"/>
        </w:rPr>
      </w:pPr>
      <w:r>
        <w:rPr>
          <w:color w:val="auto"/>
          <w:szCs w:val="21"/>
          <w:highlight w:val="none"/>
        </w:rPr>
        <w:t>（5）技术偏离表；</w:t>
      </w:r>
    </w:p>
    <w:p>
      <w:pPr>
        <w:spacing w:line="400" w:lineRule="exact"/>
        <w:ind w:left="31" w:leftChars="15" w:firstLine="420" w:firstLineChars="200"/>
        <w:jc w:val="left"/>
        <w:rPr>
          <w:color w:val="auto"/>
          <w:szCs w:val="21"/>
          <w:highlight w:val="none"/>
        </w:rPr>
      </w:pPr>
      <w:r>
        <w:rPr>
          <w:color w:val="auto"/>
          <w:szCs w:val="21"/>
          <w:highlight w:val="none"/>
        </w:rPr>
        <w:t>（6）投标保证金；</w:t>
      </w:r>
    </w:p>
    <w:p>
      <w:pPr>
        <w:spacing w:line="400" w:lineRule="exact"/>
        <w:ind w:left="31" w:leftChars="15" w:firstLine="420" w:firstLineChars="200"/>
        <w:jc w:val="left"/>
        <w:rPr>
          <w:color w:val="auto"/>
          <w:szCs w:val="21"/>
          <w:highlight w:val="none"/>
        </w:rPr>
      </w:pPr>
      <w:r>
        <w:rPr>
          <w:color w:val="auto"/>
          <w:szCs w:val="21"/>
          <w:highlight w:val="none"/>
        </w:rPr>
        <w:t>（7）资格审查资料（包括企业基本情况、财务情况、类似业绩情况、招标文件要求的相关承诺书等）；</w:t>
      </w:r>
    </w:p>
    <w:p>
      <w:pPr>
        <w:spacing w:line="400" w:lineRule="exact"/>
        <w:ind w:left="31" w:leftChars="15" w:firstLine="420" w:firstLineChars="200"/>
        <w:jc w:val="left"/>
        <w:rPr>
          <w:color w:val="auto"/>
          <w:szCs w:val="21"/>
          <w:highlight w:val="none"/>
        </w:rPr>
      </w:pPr>
      <w:r>
        <w:rPr>
          <w:color w:val="auto"/>
          <w:szCs w:val="21"/>
          <w:highlight w:val="none"/>
        </w:rPr>
        <w:t>（8）项目管理机构；</w:t>
      </w:r>
    </w:p>
    <w:p>
      <w:pPr>
        <w:spacing w:line="400" w:lineRule="exact"/>
        <w:ind w:left="31" w:leftChars="15" w:firstLine="420" w:firstLineChars="200"/>
        <w:jc w:val="left"/>
        <w:rPr>
          <w:color w:val="auto"/>
          <w:szCs w:val="21"/>
          <w:highlight w:val="none"/>
        </w:rPr>
      </w:pPr>
      <w:r>
        <w:rPr>
          <w:rFonts w:hint="eastAsia"/>
          <w:color w:val="auto"/>
          <w:szCs w:val="21"/>
          <w:highlight w:val="none"/>
        </w:rPr>
        <w:t>（9）投标人承诺书；</w:t>
      </w:r>
    </w:p>
    <w:p>
      <w:pPr>
        <w:spacing w:line="400" w:lineRule="exact"/>
        <w:ind w:left="31" w:leftChars="15" w:firstLine="420" w:firstLineChars="200"/>
        <w:jc w:val="left"/>
        <w:rPr>
          <w:color w:val="auto"/>
          <w:szCs w:val="21"/>
          <w:highlight w:val="none"/>
        </w:rPr>
      </w:pPr>
      <w:r>
        <w:rPr>
          <w:color w:val="auto"/>
          <w:szCs w:val="21"/>
          <w:highlight w:val="none"/>
        </w:rPr>
        <w:t>（</w:t>
      </w:r>
      <w:r>
        <w:rPr>
          <w:rFonts w:hint="eastAsia"/>
          <w:color w:val="auto"/>
          <w:szCs w:val="21"/>
          <w:highlight w:val="none"/>
        </w:rPr>
        <w:t>10</w:t>
      </w:r>
      <w:r>
        <w:rPr>
          <w:color w:val="auto"/>
          <w:szCs w:val="21"/>
          <w:highlight w:val="none"/>
        </w:rPr>
        <w:t>）中标候选人公示资料表；</w:t>
      </w:r>
    </w:p>
    <w:p>
      <w:pPr>
        <w:spacing w:line="400" w:lineRule="exact"/>
        <w:ind w:left="31" w:leftChars="15" w:firstLine="420" w:firstLineChars="200"/>
        <w:jc w:val="left"/>
        <w:rPr>
          <w:color w:val="auto"/>
          <w:szCs w:val="21"/>
          <w:highlight w:val="none"/>
        </w:rPr>
      </w:pPr>
      <w:r>
        <w:rPr>
          <w:color w:val="auto"/>
          <w:szCs w:val="21"/>
          <w:highlight w:val="none"/>
        </w:rPr>
        <w:t>（1</w:t>
      </w:r>
      <w:r>
        <w:rPr>
          <w:rFonts w:hint="eastAsia"/>
          <w:color w:val="auto"/>
          <w:szCs w:val="21"/>
          <w:highlight w:val="none"/>
        </w:rPr>
        <w:t>1</w:t>
      </w:r>
      <w:r>
        <w:rPr>
          <w:color w:val="auto"/>
          <w:szCs w:val="21"/>
          <w:highlight w:val="none"/>
        </w:rPr>
        <w:t>）</w:t>
      </w:r>
      <w:r>
        <w:rPr>
          <w:rFonts w:hint="eastAsia"/>
          <w:color w:val="auto"/>
          <w:highlight w:val="none"/>
        </w:rPr>
        <w:t>投标人认为应提供的其他商务资料</w:t>
      </w:r>
      <w:r>
        <w:rPr>
          <w:color w:val="auto"/>
          <w:szCs w:val="21"/>
          <w:highlight w:val="none"/>
        </w:rPr>
        <w:t>；</w:t>
      </w:r>
    </w:p>
    <w:p>
      <w:pPr>
        <w:spacing w:line="400" w:lineRule="exact"/>
        <w:ind w:left="31" w:leftChars="15" w:firstLine="420" w:firstLineChars="200"/>
        <w:jc w:val="left"/>
        <w:rPr>
          <w:color w:val="auto"/>
          <w:szCs w:val="21"/>
          <w:highlight w:val="none"/>
        </w:rPr>
      </w:pPr>
      <w:r>
        <w:rPr>
          <w:color w:val="auto"/>
          <w:szCs w:val="21"/>
          <w:highlight w:val="none"/>
        </w:rPr>
        <w:t>（1</w:t>
      </w:r>
      <w:r>
        <w:rPr>
          <w:rFonts w:hint="eastAsia"/>
          <w:color w:val="auto"/>
          <w:szCs w:val="21"/>
          <w:highlight w:val="none"/>
        </w:rPr>
        <w:t>2</w:t>
      </w:r>
      <w:r>
        <w:rPr>
          <w:color w:val="auto"/>
          <w:szCs w:val="21"/>
          <w:highlight w:val="none"/>
        </w:rPr>
        <w:t>）已标价工程量清单。</w:t>
      </w:r>
    </w:p>
    <w:p>
      <w:pP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投标人应对投标文件内容的真实性负责,如发现投标文件资质、业绩内容有虚假，经查实，将取消投标人的投标资格并按招标文件有关条款规定处理。</w:t>
      </w:r>
    </w:p>
    <w:p>
      <w:pPr>
        <w:spacing w:line="400" w:lineRule="exact"/>
        <w:ind w:firstLine="420" w:firstLineChars="200"/>
        <w:rPr>
          <w:color w:val="auto"/>
          <w:highlight w:val="none"/>
        </w:rPr>
      </w:pPr>
      <w:r>
        <w:rPr>
          <w:rFonts w:hint="eastAsia"/>
          <w:color w:val="auto"/>
          <w:highlight w:val="none"/>
        </w:rPr>
        <w:t>3.1.2技术部分分册</w:t>
      </w:r>
      <w:r>
        <w:rPr>
          <w:color w:val="auto"/>
          <w:highlight w:val="none"/>
        </w:rPr>
        <w:t>主要</w:t>
      </w:r>
      <w:r>
        <w:rPr>
          <w:rFonts w:hint="eastAsia"/>
          <w:color w:val="auto"/>
          <w:highlight w:val="none"/>
        </w:rPr>
        <w:t>包括但不限于下列内容：</w:t>
      </w:r>
    </w:p>
    <w:p>
      <w:pPr>
        <w:spacing w:line="400" w:lineRule="exact"/>
        <w:ind w:left="31" w:leftChars="15" w:firstLine="420" w:firstLineChars="200"/>
        <w:jc w:val="left"/>
        <w:rPr>
          <w:rFonts w:hint="eastAsia" w:ascii="宋体" w:hAnsi="宋体"/>
          <w:color w:val="auto"/>
          <w:szCs w:val="21"/>
          <w:highlight w:val="none"/>
        </w:rPr>
      </w:pPr>
      <w:r>
        <w:rPr>
          <w:rFonts w:hint="eastAsia" w:ascii="宋体" w:hAnsi="宋体"/>
          <w:color w:val="auto"/>
          <w:szCs w:val="21"/>
          <w:highlight w:val="none"/>
        </w:rPr>
        <w:t>评标要素索引表（技术部分）；</w:t>
      </w:r>
    </w:p>
    <w:p>
      <w:pPr>
        <w:spacing w:line="400" w:lineRule="exact"/>
        <w:ind w:left="31" w:leftChars="15" w:firstLine="420" w:firstLineChars="200"/>
        <w:jc w:val="left"/>
        <w:rPr>
          <w:color w:val="auto"/>
          <w:szCs w:val="21"/>
          <w:highlight w:val="none"/>
        </w:rPr>
      </w:pPr>
      <w:r>
        <w:rPr>
          <w:rFonts w:hint="eastAsia"/>
          <w:color w:val="auto"/>
          <w:szCs w:val="21"/>
          <w:highlight w:val="none"/>
        </w:rPr>
        <w:t>（1）</w:t>
      </w:r>
      <w:r>
        <w:rPr>
          <w:rFonts w:hint="eastAsia"/>
          <w:color w:val="auto"/>
          <w:highlight w:val="none"/>
        </w:rPr>
        <w:t>施工组织设计</w:t>
      </w:r>
      <w:r>
        <w:rPr>
          <w:rFonts w:hint="eastAsia"/>
          <w:color w:val="auto"/>
          <w:szCs w:val="21"/>
          <w:highlight w:val="none"/>
        </w:rPr>
        <w:t>；</w:t>
      </w:r>
    </w:p>
    <w:p>
      <w:pPr>
        <w:spacing w:line="400" w:lineRule="exact"/>
        <w:ind w:left="31" w:leftChars="15" w:firstLine="420" w:firstLineChars="200"/>
        <w:jc w:val="left"/>
        <w:rPr>
          <w:color w:val="auto"/>
          <w:szCs w:val="21"/>
          <w:highlight w:val="none"/>
        </w:rPr>
      </w:pPr>
      <w:r>
        <w:rPr>
          <w:rFonts w:hint="eastAsia"/>
          <w:color w:val="auto"/>
          <w:szCs w:val="21"/>
          <w:highlight w:val="none"/>
        </w:rPr>
        <w:t>（2）设备材料品牌选用承诺；</w:t>
      </w:r>
    </w:p>
    <w:p>
      <w:pPr>
        <w:spacing w:line="400" w:lineRule="exact"/>
        <w:ind w:left="31" w:leftChars="15" w:firstLine="420" w:firstLineChars="200"/>
        <w:jc w:val="left"/>
        <w:rPr>
          <w:color w:val="auto"/>
          <w:szCs w:val="21"/>
          <w:highlight w:val="none"/>
        </w:rPr>
      </w:pPr>
      <w:r>
        <w:rPr>
          <w:rFonts w:hint="eastAsia"/>
          <w:color w:val="auto"/>
          <w:szCs w:val="21"/>
          <w:highlight w:val="none"/>
        </w:rPr>
        <w:t>（3）</w:t>
      </w:r>
      <w:r>
        <w:rPr>
          <w:rFonts w:hint="eastAsia"/>
          <w:color w:val="auto"/>
          <w:highlight w:val="none"/>
        </w:rPr>
        <w:t>危险性较大的分部分项工程清单及超过一定规模的危险性较大的分部分项工程清单</w:t>
      </w:r>
      <w:r>
        <w:rPr>
          <w:rFonts w:hint="eastAsia"/>
          <w:color w:val="auto"/>
          <w:szCs w:val="21"/>
          <w:highlight w:val="none"/>
        </w:rPr>
        <w:t>；</w:t>
      </w:r>
    </w:p>
    <w:p>
      <w:pPr>
        <w:spacing w:line="400" w:lineRule="exact"/>
        <w:ind w:left="31" w:leftChars="15" w:firstLine="420" w:firstLineChars="200"/>
        <w:jc w:val="left"/>
        <w:rPr>
          <w:color w:val="auto"/>
          <w:szCs w:val="21"/>
          <w:highlight w:val="none"/>
        </w:rPr>
      </w:pPr>
      <w:r>
        <w:rPr>
          <w:rFonts w:hint="eastAsia"/>
          <w:color w:val="auto"/>
          <w:szCs w:val="21"/>
          <w:highlight w:val="none"/>
        </w:rPr>
        <w:t>（4）</w:t>
      </w:r>
      <w:r>
        <w:rPr>
          <w:rFonts w:hint="eastAsia"/>
          <w:color w:val="auto"/>
          <w:highlight w:val="none"/>
        </w:rPr>
        <w:t>投标人认为应提供的其他技术资料</w:t>
      </w:r>
      <w:r>
        <w:rPr>
          <w:rFonts w:hint="eastAsia"/>
          <w:color w:val="auto"/>
          <w:szCs w:val="21"/>
          <w:highlight w:val="none"/>
        </w:rPr>
        <w:t>。</w:t>
      </w:r>
    </w:p>
    <w:p>
      <w:pPr>
        <w:spacing w:line="400" w:lineRule="exact"/>
        <w:ind w:firstLine="420" w:firstLineChars="200"/>
        <w:rPr>
          <w:color w:val="auto"/>
          <w:highlight w:val="none"/>
        </w:rPr>
      </w:pPr>
      <w:r>
        <w:rPr>
          <w:rFonts w:hint="eastAsia"/>
          <w:color w:val="auto"/>
          <w:highlight w:val="none"/>
        </w:rPr>
        <w:t>3.1.3各投标人应各自根据各分册内容、按照方便翻查的原则自行编制目录。</w:t>
      </w:r>
    </w:p>
    <w:p>
      <w:pP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投标电子文件，包括用</w:t>
      </w:r>
      <w:r>
        <w:rPr>
          <w:rFonts w:ascii="宋体" w:hAnsi="宋体"/>
          <w:b/>
          <w:bCs/>
          <w:color w:val="auto"/>
          <w:szCs w:val="21"/>
          <w:highlight w:val="none"/>
        </w:rPr>
        <w:t xml:space="preserve">Microsoft </w:t>
      </w:r>
      <w:r>
        <w:rPr>
          <w:rFonts w:hint="eastAsia" w:ascii="宋体" w:hAnsi="宋体"/>
          <w:b/>
          <w:bCs/>
          <w:color w:val="auto"/>
          <w:szCs w:val="21"/>
          <w:highlight w:val="none"/>
        </w:rPr>
        <w:t xml:space="preserve"> word\</w:t>
      </w:r>
      <w:r>
        <w:rPr>
          <w:rFonts w:ascii="宋体" w:hAnsi="宋体"/>
          <w:b/>
          <w:bCs/>
          <w:color w:val="auto"/>
          <w:szCs w:val="21"/>
          <w:highlight w:val="none"/>
        </w:rPr>
        <w:t>Excel</w:t>
      </w:r>
      <w:r>
        <w:rPr>
          <w:rFonts w:hint="eastAsia" w:ascii="宋体" w:hAnsi="宋体"/>
          <w:b/>
          <w:bCs/>
          <w:color w:val="auto"/>
          <w:szCs w:val="21"/>
          <w:highlight w:val="none"/>
        </w:rPr>
        <w:t>软件或用AutoCAD软件制作的工程图纸。电子文件介质使用U盘，所有电子文件不能采用压缩处理。</w:t>
      </w:r>
    </w:p>
    <w:p>
      <w:pPr>
        <w:pStyle w:val="6"/>
        <w:rPr>
          <w:rFonts w:hint="eastAsia" w:ascii="华文宋体" w:hAnsi="华文宋体" w:eastAsia="华文宋体"/>
          <w:color w:val="auto"/>
          <w:highlight w:val="none"/>
        </w:rPr>
      </w:pPr>
      <w:bookmarkStart w:id="409" w:name="_Toc12375869"/>
      <w:bookmarkStart w:id="410" w:name="_Toc55504918"/>
      <w:bookmarkStart w:id="411" w:name="_Toc183772316"/>
      <w:bookmarkStart w:id="412" w:name="_Toc183770501"/>
      <w:bookmarkStart w:id="413" w:name="_Toc51965798"/>
      <w:bookmarkStart w:id="414" w:name="_Toc179632566"/>
      <w:bookmarkStart w:id="415" w:name="_Toc246996193"/>
      <w:bookmarkStart w:id="416" w:name="_Toc246996936"/>
      <w:bookmarkStart w:id="417" w:name="_Toc521674876"/>
      <w:bookmarkStart w:id="418" w:name="_Toc113285994"/>
      <w:bookmarkStart w:id="419" w:name="_Toc152042324"/>
      <w:bookmarkStart w:id="420" w:name="_Toc1251"/>
      <w:bookmarkStart w:id="421" w:name="_Toc152045548"/>
      <w:bookmarkStart w:id="422" w:name="_Toc144974516"/>
      <w:bookmarkStart w:id="423" w:name="_Toc49284399"/>
      <w:bookmarkStart w:id="424" w:name="_Toc247085707"/>
      <w:bookmarkStart w:id="425" w:name="_Toc529528684"/>
      <w:bookmarkStart w:id="426" w:name="_Toc101107104"/>
      <w:r>
        <w:rPr>
          <w:rFonts w:hint="eastAsia" w:ascii="华文宋体" w:hAnsi="华文宋体" w:eastAsia="华文宋体"/>
          <w:color w:val="auto"/>
          <w:highlight w:val="none"/>
        </w:rPr>
        <w:t>3.2 投标报价</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spacing w:line="400" w:lineRule="exact"/>
        <w:ind w:firstLine="420" w:firstLineChars="200"/>
        <w:rPr>
          <w:color w:val="auto"/>
          <w:highlight w:val="none"/>
        </w:rPr>
      </w:pPr>
      <w:r>
        <w:rPr>
          <w:rFonts w:hint="eastAsia"/>
          <w:color w:val="auto"/>
          <w:highlight w:val="none"/>
        </w:rPr>
        <w:t>3.2.1 投标人应按第五章“工程量清单”的要求填写相应表格。</w:t>
      </w:r>
    </w:p>
    <w:p>
      <w:pPr>
        <w:spacing w:line="400" w:lineRule="exact"/>
        <w:ind w:firstLine="420" w:firstLineChars="200"/>
        <w:rPr>
          <w:color w:val="auto"/>
          <w:highlight w:val="none"/>
        </w:rPr>
      </w:pPr>
      <w:r>
        <w:rPr>
          <w:rFonts w:hint="eastAsia"/>
          <w:color w:val="auto"/>
          <w:highlight w:val="none"/>
        </w:rPr>
        <w:t>3.2.2 投标人在投标截止时间前修改投标函中的投标报价总额，应同时修改“已标价工程量清单”中的相应报价，投标报价总额为各分项金额之和。此修改须符合本章第4.3款的有关要求。</w:t>
      </w:r>
      <w:bookmarkStart w:id="427" w:name="_Toc144974517"/>
      <w:bookmarkStart w:id="428" w:name="_Toc152042325"/>
      <w:bookmarkStart w:id="429" w:name="_Toc152045549"/>
      <w:bookmarkStart w:id="430" w:name="_Toc179632567"/>
    </w:p>
    <w:p>
      <w:pPr>
        <w:spacing w:line="400" w:lineRule="exact"/>
        <w:ind w:firstLine="420" w:firstLineChars="200"/>
        <w:rPr>
          <w:color w:val="auto"/>
          <w:highlight w:val="none"/>
        </w:rPr>
      </w:pPr>
      <w:r>
        <w:rPr>
          <w:rFonts w:hint="eastAsia"/>
          <w:color w:val="auto"/>
          <w:highlight w:val="none"/>
        </w:rPr>
        <w:t>3.2.3 招标人设有最高投标限价的，投标人的投标报价不得超过最高投标限价，最高投标限价或其计算方法在投标人须知前附表中载明。</w:t>
      </w:r>
    </w:p>
    <w:p>
      <w:pPr>
        <w:spacing w:line="400" w:lineRule="exact"/>
        <w:ind w:firstLine="420" w:firstLineChars="200"/>
        <w:rPr>
          <w:color w:val="auto"/>
          <w:highlight w:val="none"/>
        </w:rPr>
      </w:pPr>
      <w:r>
        <w:rPr>
          <w:rFonts w:hint="eastAsia"/>
          <w:color w:val="auto"/>
          <w:highlight w:val="none"/>
        </w:rPr>
        <w:t>3.2.4 投标报价编制依据</w:t>
      </w:r>
    </w:p>
    <w:p>
      <w:pPr>
        <w:spacing w:line="400" w:lineRule="exact"/>
        <w:ind w:firstLine="420" w:firstLineChars="200"/>
        <w:rPr>
          <w:color w:val="auto"/>
          <w:highlight w:val="none"/>
        </w:rPr>
      </w:pPr>
      <w:r>
        <w:rPr>
          <w:rFonts w:hint="eastAsia"/>
          <w:color w:val="auto"/>
          <w:highlight w:val="none"/>
        </w:rPr>
        <w:t>投标报价应以招标人提供的施工图纸、资料和说明、招标文件及其补充文件并结合勘查现场所确认的施工现场条件、投标人编制的施工组织设计、投标人企业自身实力以及一切可能影响标价的因素，参照或执行以下相关规定进行：</w:t>
      </w:r>
    </w:p>
    <w:p>
      <w:pPr>
        <w:spacing w:line="400" w:lineRule="exact"/>
        <w:ind w:firstLine="420" w:firstLineChars="200"/>
        <w:rPr>
          <w:color w:val="auto"/>
          <w:highlight w:val="none"/>
        </w:rPr>
      </w:pPr>
      <w:r>
        <w:rPr>
          <w:rFonts w:hint="eastAsia"/>
          <w:color w:val="auto"/>
          <w:highlight w:val="none"/>
        </w:rPr>
        <w:t>《建设工程工程量清单计价规范》（GB50500-2013）、《广东省房屋建筑与装饰工程综合定额（2018）》《广东省市政工程综合定额（2018）》《广东省通用安装工程综合定额（2018）》、《广东省园林绿化工程综合定额（2018）》《广东省建设工程施工机具台班费用编制规则（2018）》《广东省住房和城乡建设厅关于营业税改征增值税后调整广东省建设工程计价依据的通知》粤建市函〔2016〕1113号文、粤建标函〔2019〕819号以及项目所在地有关文件规定。</w:t>
      </w:r>
    </w:p>
    <w:p>
      <w:pPr>
        <w:spacing w:line="400" w:lineRule="exact"/>
        <w:ind w:firstLine="420" w:firstLineChars="200"/>
        <w:rPr>
          <w:color w:val="auto"/>
          <w:highlight w:val="none"/>
        </w:rPr>
      </w:pPr>
      <w:r>
        <w:rPr>
          <w:color w:val="auto"/>
          <w:highlight w:val="none"/>
        </w:rPr>
        <w:t>3.2.5投标人应先到工地踏勘以充分了解工地位置、周边情况、道路状况、储存空间、装卸限制及任何其他足以影响承包价的情况</w:t>
      </w:r>
      <w:r>
        <w:rPr>
          <w:rFonts w:hint="eastAsia"/>
          <w:bCs/>
          <w:color w:val="auto"/>
          <w:kern w:val="0"/>
          <w:szCs w:val="21"/>
          <w:highlight w:val="none"/>
        </w:rPr>
        <w:t>，</w:t>
      </w:r>
      <w:r>
        <w:rPr>
          <w:color w:val="auto"/>
          <w:highlight w:val="none"/>
        </w:rPr>
        <w:t>任何因忽视或误解工地情况而导致的索赔或工期延长申请将不被批准。本合同包含的所有风险、责任及投标人认为完成本招标文件规定的工程内容所需发生的一切其它费用，都由投标人自行确定并进入总报价。投标人的最终报价将被视为已充分了解了上述情况及招标文件所规定的工程内容并被视为投标人能够以该报价完成所有招标的内容。</w:t>
      </w:r>
    </w:p>
    <w:p>
      <w:pPr>
        <w:spacing w:line="400" w:lineRule="exact"/>
        <w:ind w:firstLine="420" w:firstLineChars="200"/>
        <w:rPr>
          <w:color w:val="auto"/>
          <w:highlight w:val="none"/>
        </w:rPr>
      </w:pPr>
      <w:r>
        <w:rPr>
          <w:color w:val="auto"/>
          <w:highlight w:val="none"/>
        </w:rPr>
        <w:t>3.2.</w:t>
      </w:r>
      <w:r>
        <w:rPr>
          <w:rFonts w:hint="eastAsia"/>
          <w:color w:val="auto"/>
          <w:highlight w:val="none"/>
        </w:rPr>
        <w:t>6关于检测、检验等费用</w:t>
      </w:r>
    </w:p>
    <w:p>
      <w:pPr>
        <w:spacing w:line="400" w:lineRule="exact"/>
        <w:ind w:firstLine="420" w:firstLineChars="200"/>
        <w:rPr>
          <w:color w:val="auto"/>
          <w:highlight w:val="none"/>
        </w:rPr>
      </w:pPr>
      <w:r>
        <w:rPr>
          <w:rFonts w:hint="eastAsia"/>
          <w:color w:val="auto"/>
          <w:highlight w:val="none"/>
        </w:rPr>
        <w:t>根据《建设工程质量检测管理办法》（2022年住房和城乡建设部令第57号）第十二条“委托方应当委托具有相应资质的检测机构开展建设工程质量检测业务。检测机构应当按照法律、法规和标准进行建设工程质量检测，并出具检测报告”和《广东省建设工程质量管理条例》（2014年广东省人大常委会公告第4号）第七条建设单位应当依法加强建设工程质量管理，承担下列质量义务：“（三）按照有关规定组织制定工程质量检测方案，委托具有相应资质的工程质量检测单位进行工程质量检测，见证或者委托监理单位见证取样送检、现场检测”的规定，中标后，由招标人委托具有相应资质的检测机构按上述管理办法所要求的检测范围进行有关检测。中标人无偿配合该第三方检测机构和招标人对上述内容的检测工作，并对检测不合格内容进行整改，直至最终通过检测为止，在整改过程中所产生的一切费用均由中标人承担，中标人不能另向招标人索取任何费用。</w:t>
      </w:r>
    </w:p>
    <w:p>
      <w:pPr>
        <w:spacing w:line="400" w:lineRule="exact"/>
        <w:ind w:firstLine="420" w:firstLineChars="200"/>
        <w:rPr>
          <w:color w:val="auto"/>
          <w:highlight w:val="none"/>
        </w:rPr>
      </w:pPr>
      <w:r>
        <w:rPr>
          <w:color w:val="auto"/>
          <w:highlight w:val="none"/>
        </w:rPr>
        <w:t>3.2.</w:t>
      </w:r>
      <w:r>
        <w:rPr>
          <w:rFonts w:hint="eastAsia"/>
          <w:color w:val="auto"/>
          <w:highlight w:val="none"/>
        </w:rPr>
        <w:t>7</w:t>
      </w:r>
      <w:r>
        <w:rPr>
          <w:color w:val="auto"/>
          <w:highlight w:val="none"/>
        </w:rPr>
        <w:t>投标报价时，投标单价、投标总价应考虑投标截止日期前的所有税费，投标人应按照当时当地的实际税费率进行报价，如投标人所报税费率高于实际标准，招标人将在工程结算时进行相应审减。如投标人所报税费率低于实际标准，招标人将在工程结算时不予增补，除非在招标后颁布了新的政策文件。</w:t>
      </w:r>
    </w:p>
    <w:p>
      <w:pPr>
        <w:spacing w:line="400" w:lineRule="exact"/>
        <w:ind w:firstLine="420" w:firstLineChars="200"/>
        <w:rPr>
          <w:color w:val="auto"/>
          <w:highlight w:val="none"/>
        </w:rPr>
      </w:pPr>
      <w:r>
        <w:rPr>
          <w:color w:val="auto"/>
          <w:highlight w:val="none"/>
        </w:rPr>
        <w:t>3.2.</w:t>
      </w:r>
      <w:r>
        <w:rPr>
          <w:rFonts w:hint="eastAsia"/>
          <w:color w:val="auto"/>
          <w:highlight w:val="none"/>
        </w:rPr>
        <w:t>8</w:t>
      </w:r>
      <w:r>
        <w:rPr>
          <w:color w:val="auto"/>
          <w:highlight w:val="none"/>
        </w:rPr>
        <w:t>投标价计算时其他考虑因素：</w:t>
      </w:r>
    </w:p>
    <w:p>
      <w:pPr>
        <w:spacing w:line="400" w:lineRule="exact"/>
        <w:ind w:firstLine="420" w:firstLineChars="200"/>
        <w:rPr>
          <w:color w:val="auto"/>
          <w:highlight w:val="none"/>
        </w:rPr>
      </w:pPr>
      <w:r>
        <w:rPr>
          <w:color w:val="auto"/>
          <w:highlight w:val="none"/>
        </w:rPr>
        <w:t>（1）按规定应缴纳的劳动保险金（包括但不限于社会保障费、意外伤害保险、</w:t>
      </w:r>
      <w:r>
        <w:rPr>
          <w:rFonts w:hint="eastAsia"/>
          <w:color w:val="auto"/>
          <w:highlight w:val="none"/>
        </w:rPr>
        <w:t>安全生产责任保险、</w:t>
      </w:r>
      <w:r>
        <w:rPr>
          <w:color w:val="auto"/>
          <w:highlight w:val="none"/>
        </w:rPr>
        <w:t>工伤保险等当时当地主管部门要求办理的所有保险金）须计入投标价，由招标人在工程款内扣除并负责向有关部门缴交，中标人须协助招标人办理有关手续；或由中标人按招标人要求直接向当地有关部门缴交。</w:t>
      </w:r>
    </w:p>
    <w:p>
      <w:pPr>
        <w:spacing w:line="400" w:lineRule="exact"/>
        <w:ind w:firstLine="420" w:firstLineChars="200"/>
        <w:rPr>
          <w:color w:val="auto"/>
          <w:highlight w:val="none"/>
        </w:rPr>
      </w:pPr>
      <w:r>
        <w:rPr>
          <w:color w:val="auto"/>
          <w:highlight w:val="none"/>
        </w:rPr>
        <w:t>（2）质量、安全监督费用须计入投标价（如有），由招标人在工程款内扣除并负责向有关部门缴交，或由中标人按招标人要求直接向当地质量、安全监督部门缴交。</w:t>
      </w:r>
    </w:p>
    <w:p>
      <w:pPr>
        <w:spacing w:line="400" w:lineRule="exact"/>
        <w:ind w:firstLine="420" w:firstLineChars="200"/>
        <w:rPr>
          <w:color w:val="auto"/>
          <w:highlight w:val="none"/>
        </w:rPr>
      </w:pPr>
      <w:r>
        <w:rPr>
          <w:color w:val="auto"/>
          <w:highlight w:val="none"/>
        </w:rPr>
        <w:t>（3）规费、税费、水电费含在标价中，包括但不仅限于：社会保险费、住房公积金、工程定额测定费、工程排污费、施工噪音排污费、防洪工程维护费</w:t>
      </w:r>
      <w:r>
        <w:rPr>
          <w:rFonts w:hint="eastAsia"/>
          <w:color w:val="auto"/>
          <w:highlight w:val="none"/>
        </w:rPr>
        <w:t>、</w:t>
      </w:r>
      <w:r>
        <w:rPr>
          <w:rFonts w:hint="eastAsia"/>
          <w:color w:val="auto"/>
          <w:szCs w:val="21"/>
          <w:highlight w:val="none"/>
        </w:rPr>
        <w:t>施工扬尘环境保护税</w:t>
      </w:r>
      <w:r>
        <w:rPr>
          <w:color w:val="auto"/>
          <w:highlight w:val="none"/>
        </w:rPr>
        <w:t>等。投标人应严格按照国家及地方有关收费标准报价，若因报价高于收费标准而导致工程结算时被审减，由投标人自行承担。</w:t>
      </w:r>
    </w:p>
    <w:p>
      <w:pPr>
        <w:spacing w:line="400" w:lineRule="exact"/>
        <w:ind w:firstLine="420" w:firstLineChars="200"/>
        <w:rPr>
          <w:color w:val="auto"/>
          <w:highlight w:val="none"/>
        </w:rPr>
      </w:pPr>
      <w:r>
        <w:rPr>
          <w:color w:val="auto"/>
          <w:highlight w:val="none"/>
        </w:rPr>
        <w:t>（4）投标人的报价包括但不仅限于完成该工程项目的人工费、材料费、机械费、排污费、综合管理费、不可预见费、利润、税金、措施费、技术措施费、赶工措施费、安全生产措施费、绿色施工防护措施费、临时设施费、大型机械进出场费及安拆费、保险费、总包管理及配合服务及管理费、风险费、政策性文件规费、建筑材料进场检验费、地方有关部门要求的等各种测试、检验试验、专家评估等费用。本项目含市场竞争和工程施工所有风险，如：施工机械设备设施因自然或人为因素造成破坏、丢失等风险；承包人应自行考虑及承担上述风险。</w:t>
      </w:r>
    </w:p>
    <w:p>
      <w:pPr>
        <w:spacing w:line="400" w:lineRule="exact"/>
        <w:ind w:firstLine="420" w:firstLineChars="200"/>
        <w:rPr>
          <w:color w:val="auto"/>
          <w:highlight w:val="none"/>
        </w:rPr>
      </w:pPr>
      <w:r>
        <w:rPr>
          <w:color w:val="auto"/>
          <w:highlight w:val="none"/>
        </w:rPr>
        <w:t>3.2.</w:t>
      </w:r>
      <w:r>
        <w:rPr>
          <w:rFonts w:hint="eastAsia"/>
          <w:color w:val="auto"/>
          <w:highlight w:val="none"/>
        </w:rPr>
        <w:t>9</w:t>
      </w:r>
      <w:r>
        <w:rPr>
          <w:color w:val="auto"/>
          <w:szCs w:val="21"/>
          <w:highlight w:val="none"/>
        </w:rPr>
        <w:t>中标人在选用设备材料品牌时必须取得招标人、监理工程师书面审核同意后方可实施，且以招标人、监理工程师书面审核的设备材料品牌为准。</w:t>
      </w:r>
    </w:p>
    <w:p>
      <w:pPr>
        <w:spacing w:line="400" w:lineRule="exact"/>
        <w:ind w:firstLine="420" w:firstLineChars="200"/>
        <w:rPr>
          <w:color w:val="auto"/>
          <w:highlight w:val="none"/>
        </w:rPr>
      </w:pPr>
      <w:r>
        <w:rPr>
          <w:rFonts w:hint="eastAsia"/>
          <w:color w:val="auto"/>
          <w:highlight w:val="none"/>
        </w:rPr>
        <w:t>3</w:t>
      </w:r>
      <w:r>
        <w:rPr>
          <w:color w:val="auto"/>
          <w:highlight w:val="none"/>
        </w:rPr>
        <w:t>.2.10本次招标不承诺低价者中标，坚决反对并抵制低报价、变相索赔，因此投标人应据实、全面、合理地进行报价。本工程投标设定投标最高限价。</w:t>
      </w:r>
    </w:p>
    <w:p>
      <w:pPr>
        <w:spacing w:line="400" w:lineRule="exact"/>
        <w:ind w:firstLine="420" w:firstLineChars="200"/>
        <w:rPr>
          <w:color w:val="auto"/>
          <w:highlight w:val="none"/>
        </w:rPr>
      </w:pPr>
      <w:r>
        <w:rPr>
          <w:color w:val="auto"/>
          <w:highlight w:val="none"/>
        </w:rPr>
        <w:t>3.2.11投标报价应包括因赶工措施、施工技术措施、加强管理措施而发生需增加的费用，如：排、降水措施，硬地化施工、临时围蔽、洗车槽、施工现场视频监控、考勤机等。</w:t>
      </w:r>
    </w:p>
    <w:p>
      <w:pPr>
        <w:spacing w:line="400" w:lineRule="exact"/>
        <w:ind w:firstLine="420" w:firstLineChars="200"/>
        <w:rPr>
          <w:color w:val="auto"/>
          <w:highlight w:val="none"/>
        </w:rPr>
      </w:pPr>
      <w:r>
        <w:rPr>
          <w:color w:val="auto"/>
          <w:highlight w:val="none"/>
        </w:rPr>
        <w:t>3.2.12各种取费的开项及计取标准不得超出政府造价管理部门的相关规定。</w:t>
      </w:r>
    </w:p>
    <w:p>
      <w:pPr>
        <w:widowControl/>
        <w:adjustRightInd w:val="0"/>
        <w:snapToGrid w:val="0"/>
        <w:spacing w:line="400" w:lineRule="exact"/>
        <w:ind w:firstLine="420" w:firstLineChars="200"/>
        <w:rPr>
          <w:color w:val="auto"/>
          <w:szCs w:val="21"/>
          <w:highlight w:val="none"/>
        </w:rPr>
      </w:pPr>
      <w:r>
        <w:rPr>
          <w:color w:val="auto"/>
          <w:szCs w:val="21"/>
          <w:highlight w:val="none"/>
        </w:rPr>
        <w:t>3.2.13</w:t>
      </w:r>
      <w:r>
        <w:rPr>
          <w:rFonts w:hint="eastAsia"/>
          <w:color w:val="auto"/>
          <w:szCs w:val="21"/>
          <w:highlight w:val="none"/>
        </w:rPr>
        <w:t>材料调差：不予调整。</w:t>
      </w:r>
    </w:p>
    <w:p>
      <w:pPr>
        <w:spacing w:line="400" w:lineRule="exact"/>
        <w:ind w:firstLine="420" w:firstLineChars="200"/>
        <w:rPr>
          <w:color w:val="auto"/>
          <w:highlight w:val="none"/>
        </w:rPr>
      </w:pPr>
      <w:r>
        <w:rPr>
          <w:color w:val="auto"/>
          <w:szCs w:val="21"/>
          <w:highlight w:val="none"/>
        </w:rPr>
        <w:t>3.2.1</w:t>
      </w:r>
      <w:r>
        <w:rPr>
          <w:rFonts w:hint="eastAsia"/>
          <w:color w:val="auto"/>
          <w:szCs w:val="21"/>
          <w:highlight w:val="none"/>
        </w:rPr>
        <w:t>4</w:t>
      </w:r>
      <w:r>
        <w:rPr>
          <w:color w:val="auto"/>
          <w:szCs w:val="21"/>
          <w:highlight w:val="none"/>
        </w:rPr>
        <w:t>投标报价均以人民币为单位,并保留小数点后两位数。</w:t>
      </w:r>
    </w:p>
    <w:p>
      <w:pPr>
        <w:pStyle w:val="6"/>
        <w:rPr>
          <w:rFonts w:hint="eastAsia" w:ascii="华文宋体" w:hAnsi="华文宋体" w:eastAsia="华文宋体"/>
          <w:color w:val="auto"/>
          <w:highlight w:val="none"/>
        </w:rPr>
      </w:pPr>
      <w:bookmarkStart w:id="431" w:name="_Toc246996194"/>
      <w:bookmarkStart w:id="432" w:name="_Toc113285995"/>
      <w:bookmarkStart w:id="433" w:name="_Toc55504919"/>
      <w:bookmarkStart w:id="434" w:name="_Toc30251"/>
      <w:bookmarkStart w:id="435" w:name="_Toc12375870"/>
      <w:bookmarkStart w:id="436" w:name="_Toc101107105"/>
      <w:bookmarkStart w:id="437" w:name="_Toc183772317"/>
      <w:bookmarkStart w:id="438" w:name="_Toc529528685"/>
      <w:bookmarkStart w:id="439" w:name="_Toc247085708"/>
      <w:bookmarkStart w:id="440" w:name="_Toc183770502"/>
      <w:bookmarkStart w:id="441" w:name="_Toc521674877"/>
      <w:bookmarkStart w:id="442" w:name="_Toc49284400"/>
      <w:bookmarkStart w:id="443" w:name="_Toc246996937"/>
      <w:bookmarkStart w:id="444" w:name="_Toc51965799"/>
      <w:r>
        <w:rPr>
          <w:rFonts w:hint="eastAsia" w:ascii="华文宋体" w:hAnsi="华文宋体" w:eastAsia="华文宋体"/>
          <w:color w:val="auto"/>
          <w:highlight w:val="none"/>
        </w:rPr>
        <w:t>3.3 投标有效期</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400" w:lineRule="exact"/>
        <w:ind w:firstLine="420" w:firstLineChars="200"/>
        <w:rPr>
          <w:color w:val="auto"/>
          <w:highlight w:val="none"/>
        </w:rPr>
      </w:pPr>
      <w:r>
        <w:rPr>
          <w:rFonts w:hint="eastAsia"/>
          <w:color w:val="auto"/>
          <w:highlight w:val="none"/>
        </w:rPr>
        <w:t>3.3.1 除投标人须知前附表另有规定外，投标有效期为120天。</w:t>
      </w:r>
    </w:p>
    <w:p>
      <w:pPr>
        <w:spacing w:line="400" w:lineRule="exact"/>
        <w:ind w:firstLine="420" w:firstLineChars="200"/>
        <w:rPr>
          <w:color w:val="auto"/>
          <w:highlight w:val="none"/>
        </w:rPr>
      </w:pPr>
      <w:r>
        <w:rPr>
          <w:rFonts w:hint="eastAsia"/>
          <w:color w:val="auto"/>
          <w:highlight w:val="none"/>
        </w:rPr>
        <w:t>3.3.2在投标有效期内，投标人撤销或修改其投标文件的，应承担招标文件和法律规定的责任。</w:t>
      </w:r>
    </w:p>
    <w:p>
      <w:pPr>
        <w:spacing w:line="400" w:lineRule="exact"/>
        <w:ind w:firstLine="420" w:firstLineChars="200"/>
        <w:rPr>
          <w:rFonts w:hint="eastAsia" w:ascii="楷体_GB2312" w:hAnsi="宋体" w:eastAsia="楷体_GB2312"/>
          <w:color w:val="auto"/>
          <w:szCs w:val="21"/>
          <w:highlight w:val="none"/>
        </w:rPr>
      </w:pPr>
      <w:r>
        <w:rPr>
          <w:rFonts w:hint="eastAsia"/>
          <w:color w:val="auto"/>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6"/>
        <w:rPr>
          <w:rFonts w:hint="eastAsia" w:ascii="华文宋体" w:hAnsi="华文宋体" w:eastAsia="华文宋体"/>
          <w:color w:val="auto"/>
          <w:highlight w:val="none"/>
        </w:rPr>
      </w:pPr>
      <w:bookmarkStart w:id="445" w:name="_Toc246996195"/>
      <w:bookmarkStart w:id="446" w:name="_Toc179632568"/>
      <w:bookmarkStart w:id="447" w:name="_Toc113285996"/>
      <w:bookmarkStart w:id="448" w:name="_Toc101107106"/>
      <w:bookmarkStart w:id="449" w:name="_Toc183772318"/>
      <w:bookmarkStart w:id="450" w:name="_Toc49284401"/>
      <w:bookmarkStart w:id="451" w:name="_Toc10763"/>
      <w:bookmarkStart w:id="452" w:name="_Toc12375871"/>
      <w:bookmarkStart w:id="453" w:name="_Toc144974518"/>
      <w:bookmarkStart w:id="454" w:name="_Toc521674878"/>
      <w:bookmarkStart w:id="455" w:name="_Toc529528686"/>
      <w:bookmarkStart w:id="456" w:name="_Toc247085709"/>
      <w:bookmarkStart w:id="457" w:name="_Toc55504920"/>
      <w:bookmarkStart w:id="458" w:name="_Toc152045550"/>
      <w:bookmarkStart w:id="459" w:name="_Toc183770503"/>
      <w:bookmarkStart w:id="460" w:name="_Toc51965800"/>
      <w:bookmarkStart w:id="461" w:name="_Toc152042326"/>
      <w:bookmarkStart w:id="462" w:name="_Toc246996938"/>
      <w:r>
        <w:rPr>
          <w:rFonts w:hint="eastAsia" w:ascii="华文宋体" w:hAnsi="华文宋体" w:eastAsia="华文宋体"/>
          <w:color w:val="auto"/>
          <w:highlight w:val="none"/>
        </w:rPr>
        <w:t>3.4 投标保证金</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pacing w:line="400" w:lineRule="exact"/>
        <w:ind w:firstLine="420" w:firstLineChars="200"/>
        <w:rPr>
          <w:color w:val="auto"/>
          <w:highlight w:val="none"/>
        </w:rPr>
      </w:pPr>
      <w:r>
        <w:rPr>
          <w:rFonts w:hint="eastAsia"/>
          <w:color w:val="auto"/>
          <w:highlight w:val="none"/>
        </w:rPr>
        <w:t>3.4.1 投标人须知前附表规定递交投标保证金的，投标人在递交投标文件的同时，应按投标人须知前附表规定的金额、担保形式和第八章“投标文件格式”规定的或者事先经过招标人认可的投标保证金格式递交投标保证金，并作为其投标文件的组成部分。</w:t>
      </w:r>
    </w:p>
    <w:p>
      <w:pPr>
        <w:spacing w:line="400" w:lineRule="exact"/>
        <w:ind w:firstLine="420" w:firstLineChars="200"/>
        <w:rPr>
          <w:color w:val="auto"/>
          <w:highlight w:val="none"/>
        </w:rPr>
      </w:pPr>
      <w:r>
        <w:rPr>
          <w:rFonts w:hint="eastAsia"/>
          <w:color w:val="auto"/>
          <w:highlight w:val="none"/>
        </w:rPr>
        <w:t>3.4.2 投标人不按本章第3.4.1项要求提交投标保证金的，评标委员会将否决其投标。</w:t>
      </w:r>
    </w:p>
    <w:p>
      <w:pPr>
        <w:spacing w:line="400" w:lineRule="exact"/>
        <w:ind w:firstLine="420" w:firstLineChars="200"/>
        <w:rPr>
          <w:color w:val="auto"/>
          <w:highlight w:val="none"/>
        </w:rPr>
      </w:pPr>
      <w:r>
        <w:rPr>
          <w:rFonts w:hint="eastAsia"/>
          <w:color w:val="auto"/>
          <w:highlight w:val="none"/>
        </w:rPr>
        <w:t>3.4.3 招标人与中标人签订合同后5日内，向未中标的投标人和中标人退还投标保证金及同期银行存款利息。</w:t>
      </w:r>
    </w:p>
    <w:p>
      <w:pPr>
        <w:spacing w:line="400" w:lineRule="exact"/>
        <w:ind w:firstLine="420" w:firstLineChars="200"/>
        <w:rPr>
          <w:color w:val="auto"/>
          <w:highlight w:val="none"/>
        </w:rPr>
      </w:pPr>
      <w:r>
        <w:rPr>
          <w:rFonts w:hint="eastAsia"/>
          <w:color w:val="auto"/>
          <w:highlight w:val="none"/>
        </w:rPr>
        <w:t xml:space="preserve">3.4.4 有下列情形之一的，投标保证金将不予退还： </w:t>
      </w:r>
    </w:p>
    <w:p>
      <w:pPr>
        <w:spacing w:line="400" w:lineRule="exact"/>
        <w:ind w:firstLine="718" w:firstLineChars="342"/>
        <w:rPr>
          <w:color w:val="auto"/>
          <w:highlight w:val="none"/>
        </w:rPr>
      </w:pPr>
      <w:r>
        <w:rPr>
          <w:rFonts w:hint="eastAsia"/>
          <w:color w:val="auto"/>
          <w:highlight w:val="none"/>
        </w:rPr>
        <w:t>（1）投标人在规定的投标有效期内撤销或修改其投标文件；</w:t>
      </w:r>
    </w:p>
    <w:p>
      <w:pPr>
        <w:spacing w:line="400" w:lineRule="exact"/>
        <w:ind w:firstLine="718" w:firstLineChars="342"/>
        <w:rPr>
          <w:color w:val="auto"/>
          <w:highlight w:val="none"/>
        </w:rPr>
      </w:pPr>
      <w:r>
        <w:rPr>
          <w:rFonts w:hint="eastAsia"/>
          <w:color w:val="auto"/>
          <w:highlight w:val="none"/>
        </w:rPr>
        <w:t>（2）中标人在收到中标通知书后，无正当理由拒签合同协议书或未按招标文件规定提交履约担保。</w:t>
      </w:r>
    </w:p>
    <w:p>
      <w:pPr>
        <w:pStyle w:val="6"/>
        <w:rPr>
          <w:rFonts w:hint="eastAsia" w:ascii="华文宋体" w:hAnsi="华文宋体" w:eastAsia="华文宋体"/>
          <w:color w:val="auto"/>
          <w:highlight w:val="none"/>
        </w:rPr>
      </w:pPr>
      <w:bookmarkStart w:id="463" w:name="_Toc152045552"/>
      <w:bookmarkStart w:id="464" w:name="_Toc51965801"/>
      <w:bookmarkStart w:id="465" w:name="_Toc29040"/>
      <w:bookmarkStart w:id="466" w:name="_Toc113285997"/>
      <w:bookmarkStart w:id="467" w:name="_Toc49284402"/>
      <w:bookmarkStart w:id="468" w:name="_Toc55504921"/>
      <w:bookmarkStart w:id="469" w:name="_Toc521674879"/>
      <w:bookmarkStart w:id="470" w:name="_Toc529528687"/>
      <w:bookmarkStart w:id="471" w:name="_Toc12375872"/>
      <w:bookmarkStart w:id="472" w:name="_Toc144974520"/>
      <w:bookmarkStart w:id="473" w:name="_Toc183772319"/>
      <w:bookmarkStart w:id="474" w:name="_Toc246996196"/>
      <w:bookmarkStart w:id="475" w:name="_Toc246996939"/>
      <w:bookmarkStart w:id="476" w:name="_Toc183770504"/>
      <w:bookmarkStart w:id="477" w:name="_Toc179632570"/>
      <w:bookmarkStart w:id="478" w:name="_Toc247085710"/>
      <w:bookmarkStart w:id="479" w:name="_Toc101107107"/>
      <w:bookmarkStart w:id="480" w:name="_Toc152042328"/>
      <w:r>
        <w:rPr>
          <w:rFonts w:hint="eastAsia" w:ascii="华文宋体" w:hAnsi="华文宋体" w:eastAsia="华文宋体"/>
          <w:color w:val="auto"/>
          <w:highlight w:val="none"/>
        </w:rPr>
        <w:t>3.5 资格审查资料</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spacing w:line="400" w:lineRule="exact"/>
        <w:ind w:firstLine="420" w:firstLineChars="200"/>
        <w:rPr>
          <w:color w:val="auto"/>
          <w:highlight w:val="none"/>
        </w:rPr>
      </w:pPr>
      <w:r>
        <w:rPr>
          <w:rFonts w:hint="eastAsia"/>
          <w:color w:val="auto"/>
          <w:highlight w:val="none"/>
        </w:rPr>
        <w:t>3.5.1 “投标人基本情况表”应附投标人营业执照及其年检合格的证明材料、资质证书副本和安全生产许可证等材料的扫描件。</w:t>
      </w:r>
    </w:p>
    <w:p>
      <w:pPr>
        <w:spacing w:line="400" w:lineRule="exact"/>
        <w:ind w:firstLine="420" w:firstLineChars="200"/>
        <w:rPr>
          <w:color w:val="auto"/>
          <w:highlight w:val="none"/>
        </w:rPr>
      </w:pPr>
      <w:r>
        <w:rPr>
          <w:rFonts w:hint="eastAsia"/>
          <w:color w:val="auto"/>
          <w:highlight w:val="none"/>
        </w:rPr>
        <w:t>3.5.2 “近年财务状况表”应附经会计师事务所或审计机构审计的财务会计报表，包括资产负债表、现金流量表、利润表和财务情况说明书等扫描件，具体年份要求见投标人须知前附表。</w:t>
      </w:r>
    </w:p>
    <w:p>
      <w:pPr>
        <w:spacing w:line="400" w:lineRule="exact"/>
        <w:ind w:firstLine="420" w:firstLineChars="200"/>
        <w:rPr>
          <w:color w:val="auto"/>
          <w:highlight w:val="none"/>
        </w:rPr>
      </w:pPr>
      <w:r>
        <w:rPr>
          <w:rFonts w:hint="eastAsia"/>
          <w:color w:val="auto"/>
          <w:highlight w:val="none"/>
        </w:rPr>
        <w:t>3.5.3 “近年完成的类似项目情况表”应附中标通知书和（或）合同协议书、工程接收证书（工程竣工验收证书）扫描件，具体年份要求见投标人须知前附表。每张表格只填写一个项目，并标明序号。</w:t>
      </w:r>
    </w:p>
    <w:p>
      <w:pPr>
        <w:spacing w:line="400" w:lineRule="exact"/>
        <w:ind w:firstLine="420" w:firstLineChars="200"/>
        <w:rPr>
          <w:color w:val="auto"/>
          <w:highlight w:val="none"/>
        </w:rPr>
      </w:pPr>
      <w:r>
        <w:rPr>
          <w:rFonts w:hint="eastAsia"/>
          <w:color w:val="auto"/>
          <w:highlight w:val="none"/>
        </w:rPr>
        <w:t>3.5.4 “正在施工和新承接的项目情况表”应附中标通知书和（或）合同协议书扫描件。每张表格只填写一个项目，并标明序号。</w:t>
      </w:r>
    </w:p>
    <w:p>
      <w:pPr>
        <w:pStyle w:val="6"/>
        <w:rPr>
          <w:rFonts w:hint="eastAsia" w:ascii="华文宋体" w:hAnsi="华文宋体" w:eastAsia="华文宋体"/>
          <w:color w:val="auto"/>
          <w:highlight w:val="none"/>
        </w:rPr>
      </w:pPr>
      <w:bookmarkStart w:id="481" w:name="_Toc521674880"/>
      <w:bookmarkStart w:id="482" w:name="_Toc183770505"/>
      <w:bookmarkStart w:id="483" w:name="_Toc113285998"/>
      <w:bookmarkStart w:id="484" w:name="_Toc17314"/>
      <w:bookmarkStart w:id="485" w:name="_Toc529528688"/>
      <w:bookmarkStart w:id="486" w:name="_Toc101107108"/>
      <w:bookmarkStart w:id="487" w:name="_Toc55504922"/>
      <w:bookmarkStart w:id="488" w:name="_Toc51965802"/>
      <w:bookmarkStart w:id="489" w:name="_Toc12375873"/>
      <w:bookmarkStart w:id="490" w:name="_Toc183772320"/>
      <w:bookmarkStart w:id="491" w:name="_Toc49284403"/>
      <w:bookmarkStart w:id="492" w:name="_Toc152045553"/>
      <w:bookmarkStart w:id="493" w:name="_Toc152042329"/>
      <w:bookmarkStart w:id="494" w:name="_Toc246996940"/>
      <w:bookmarkStart w:id="495" w:name="_Toc246996197"/>
      <w:bookmarkStart w:id="496" w:name="_Toc247085711"/>
      <w:bookmarkStart w:id="497" w:name="_Toc179632571"/>
      <w:bookmarkStart w:id="498" w:name="_Toc144974521"/>
      <w:r>
        <w:rPr>
          <w:rFonts w:hint="eastAsia" w:ascii="华文宋体" w:hAnsi="华文宋体" w:eastAsia="华文宋体"/>
          <w:color w:val="auto"/>
          <w:highlight w:val="none"/>
        </w:rPr>
        <w:t>3.6</w:t>
      </w:r>
      <w:r>
        <w:rPr>
          <w:rFonts w:ascii="华文宋体" w:hAnsi="华文宋体" w:eastAsia="华文宋体"/>
          <w:color w:val="auto"/>
          <w:highlight w:val="none"/>
        </w:rPr>
        <w:t xml:space="preserve"> </w:t>
      </w:r>
      <w:r>
        <w:rPr>
          <w:rFonts w:hint="eastAsia" w:ascii="华文宋体" w:hAnsi="华文宋体" w:eastAsia="华文宋体"/>
          <w:color w:val="auto"/>
          <w:highlight w:val="none"/>
        </w:rPr>
        <w:t>投标文件的编制</w:t>
      </w:r>
      <w:bookmarkEnd w:id="481"/>
      <w:bookmarkEnd w:id="482"/>
      <w:bookmarkEnd w:id="483"/>
      <w:bookmarkEnd w:id="484"/>
      <w:bookmarkEnd w:id="485"/>
      <w:bookmarkEnd w:id="486"/>
      <w:bookmarkEnd w:id="487"/>
      <w:bookmarkEnd w:id="488"/>
      <w:bookmarkEnd w:id="489"/>
      <w:bookmarkEnd w:id="490"/>
      <w:bookmarkEnd w:id="491"/>
    </w:p>
    <w:bookmarkEnd w:id="492"/>
    <w:bookmarkEnd w:id="493"/>
    <w:bookmarkEnd w:id="494"/>
    <w:bookmarkEnd w:id="495"/>
    <w:bookmarkEnd w:id="496"/>
    <w:bookmarkEnd w:id="497"/>
    <w:bookmarkEnd w:id="498"/>
    <w:p>
      <w:pPr>
        <w:spacing w:line="400" w:lineRule="exact"/>
        <w:ind w:firstLine="420" w:firstLineChars="200"/>
        <w:rPr>
          <w:color w:val="auto"/>
          <w:highlight w:val="none"/>
        </w:rPr>
      </w:pPr>
      <w:bookmarkStart w:id="499" w:name="_Toc179632573"/>
      <w:bookmarkStart w:id="500" w:name="_Toc246996942"/>
      <w:bookmarkStart w:id="501" w:name="_Toc247085713"/>
      <w:bookmarkStart w:id="502" w:name="_Toc246996199"/>
      <w:bookmarkStart w:id="503" w:name="_Toc152042331"/>
      <w:bookmarkStart w:id="504" w:name="_Toc152045555"/>
      <w:bookmarkStart w:id="505" w:name="_Toc144974523"/>
      <w:r>
        <w:rPr>
          <w:rFonts w:hint="eastAsia"/>
          <w:color w:val="auto"/>
          <w:highlight w:val="none"/>
        </w:rPr>
        <w:t>3.6.1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color w:val="auto"/>
          <w:szCs w:val="21"/>
          <w:highlight w:val="none"/>
        </w:rPr>
      </w:pPr>
      <w:r>
        <w:rPr>
          <w:rFonts w:hint="eastAsia"/>
          <w:color w:val="auto"/>
          <w:highlight w:val="none"/>
        </w:rPr>
        <w:t>3.6.2 投标文件应当对招标文件有关</w:t>
      </w:r>
      <w:r>
        <w:rPr>
          <w:rFonts w:hint="eastAsia"/>
          <w:color w:val="auto"/>
          <w:szCs w:val="21"/>
          <w:highlight w:val="none"/>
        </w:rPr>
        <w:t>工期、投标有效期、质量要求、技术标准和要求、招标范围等实质性内容作出响应。</w:t>
      </w:r>
    </w:p>
    <w:p>
      <w:pPr>
        <w:spacing w:line="400" w:lineRule="exact"/>
        <w:ind w:firstLine="420" w:firstLineChars="200"/>
        <w:rPr>
          <w:color w:val="auto"/>
          <w:highlight w:val="none"/>
        </w:rPr>
      </w:pPr>
      <w:r>
        <w:rPr>
          <w:rFonts w:hint="eastAsia"/>
          <w:color w:val="auto"/>
          <w:highlight w:val="none"/>
        </w:rPr>
        <w:t>3.6.3投标文件全部采用电子文档，除投标人须知前附表另有规定外，投标文件所附证书证件需为原件清晰扫描件，并采用单位数字证书，按照招标文件要求在相应位置加盖电子印章。取消在招标文件中采用个人数字证书和加盖个人电子印章要求，投标文件中需法定代表人、代理人签字或加盖电子印章的，应手签后扫描上传，对加盖个人电子印章不做要求。投标文件按招标文件要求加盖单位电子印章。具体要求见投标人须知前附表。</w:t>
      </w:r>
    </w:p>
    <w:p>
      <w:pPr>
        <w:pStyle w:val="5"/>
        <w:rPr>
          <w:rFonts w:hint="eastAsia" w:ascii="华文宋体" w:hAnsi="华文宋体" w:eastAsia="华文宋体"/>
          <w:color w:val="auto"/>
          <w:highlight w:val="none"/>
        </w:rPr>
      </w:pPr>
      <w:bookmarkStart w:id="506" w:name="_Toc8094"/>
      <w:r>
        <w:rPr>
          <w:rFonts w:hint="eastAsia" w:ascii="华文宋体" w:hAnsi="华文宋体" w:eastAsia="华文宋体"/>
          <w:color w:val="auto"/>
          <w:highlight w:val="none"/>
        </w:rPr>
        <w:t>4. 投标</w:t>
      </w:r>
      <w:bookmarkEnd w:id="499"/>
      <w:bookmarkEnd w:id="500"/>
      <w:bookmarkEnd w:id="501"/>
      <w:bookmarkEnd w:id="502"/>
      <w:bookmarkEnd w:id="503"/>
      <w:bookmarkEnd w:id="504"/>
      <w:bookmarkEnd w:id="505"/>
      <w:bookmarkEnd w:id="506"/>
    </w:p>
    <w:p>
      <w:pPr>
        <w:pStyle w:val="6"/>
        <w:rPr>
          <w:rFonts w:hint="eastAsia" w:ascii="华文宋体" w:hAnsi="华文宋体" w:eastAsia="华文宋体"/>
          <w:color w:val="auto"/>
          <w:highlight w:val="none"/>
        </w:rPr>
      </w:pPr>
      <w:bookmarkStart w:id="507" w:name="_Toc12375875"/>
      <w:bookmarkStart w:id="508" w:name="_Toc152045556"/>
      <w:bookmarkStart w:id="509" w:name="_Toc521674882"/>
      <w:bookmarkStart w:id="510" w:name="_Toc247085714"/>
      <w:bookmarkStart w:id="511" w:name="_Toc183772322"/>
      <w:bookmarkStart w:id="512" w:name="_Toc49284405"/>
      <w:bookmarkStart w:id="513" w:name="_Toc246996200"/>
      <w:bookmarkStart w:id="514" w:name="_Toc101107110"/>
      <w:bookmarkStart w:id="515" w:name="_Toc51965804"/>
      <w:bookmarkStart w:id="516" w:name="_Toc529528690"/>
      <w:bookmarkStart w:id="517" w:name="_Toc179632574"/>
      <w:bookmarkStart w:id="518" w:name="_Toc113286000"/>
      <w:bookmarkStart w:id="519" w:name="_Toc144974524"/>
      <w:bookmarkStart w:id="520" w:name="_Toc183770507"/>
      <w:bookmarkStart w:id="521" w:name="_Toc246996943"/>
      <w:bookmarkStart w:id="522" w:name="_Toc55504924"/>
      <w:bookmarkStart w:id="523" w:name="_Toc152042332"/>
      <w:bookmarkStart w:id="524" w:name="_Toc28898"/>
      <w:r>
        <w:rPr>
          <w:rFonts w:hint="eastAsia" w:ascii="华文宋体" w:hAnsi="华文宋体" w:eastAsia="华文宋体"/>
          <w:color w:val="auto"/>
          <w:highlight w:val="none"/>
        </w:rPr>
        <w:t>4.1 投标文件的密封和标记</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spacing w:line="420" w:lineRule="exact"/>
        <w:ind w:firstLine="420" w:firstLineChars="200"/>
        <w:rPr>
          <w:color w:val="auto"/>
          <w:highlight w:val="none"/>
        </w:rPr>
      </w:pPr>
      <w:bookmarkStart w:id="525" w:name="_Toc179632575"/>
      <w:bookmarkStart w:id="526" w:name="_Toc247085715"/>
      <w:bookmarkStart w:id="527" w:name="_Toc152045557"/>
      <w:bookmarkStart w:id="528" w:name="_Toc101107111"/>
      <w:bookmarkStart w:id="529" w:name="_Toc521674883"/>
      <w:bookmarkStart w:id="530" w:name="_Toc55504925"/>
      <w:bookmarkStart w:id="531" w:name="_Toc152042333"/>
      <w:bookmarkStart w:id="532" w:name="_Toc12375876"/>
      <w:bookmarkStart w:id="533" w:name="_Toc144974525"/>
      <w:bookmarkStart w:id="534" w:name="_Toc246996944"/>
      <w:bookmarkStart w:id="535" w:name="_Toc49284406"/>
      <w:bookmarkStart w:id="536" w:name="_Toc529528691"/>
      <w:bookmarkStart w:id="537" w:name="_Toc246996201"/>
      <w:bookmarkStart w:id="538" w:name="_Toc51965805"/>
      <w:r>
        <w:rPr>
          <w:color w:val="auto"/>
          <w:highlight w:val="none"/>
        </w:rPr>
        <w:t>4.1.1 投标人应当按照招标文件和电子招标投标交易平台的要求加密投标文件，具体要求见投标人须知前附表。</w:t>
      </w:r>
    </w:p>
    <w:p>
      <w:pPr>
        <w:spacing w:line="420" w:lineRule="exact"/>
        <w:ind w:firstLine="420" w:firstLineChars="200"/>
        <w:rPr>
          <w:color w:val="auto"/>
          <w:highlight w:val="none"/>
        </w:rPr>
      </w:pPr>
      <w:r>
        <w:rPr>
          <w:color w:val="auto"/>
          <w:highlight w:val="none"/>
        </w:rPr>
        <w:t>4.1.2 投标文件封套上应写明的内容见投标人须知前附表。</w:t>
      </w:r>
    </w:p>
    <w:p>
      <w:pPr>
        <w:spacing w:line="420" w:lineRule="exact"/>
        <w:ind w:firstLine="420" w:firstLineChars="200"/>
        <w:rPr>
          <w:color w:val="auto"/>
          <w:highlight w:val="none"/>
        </w:rPr>
      </w:pPr>
      <w:r>
        <w:rPr>
          <w:color w:val="auto"/>
          <w:highlight w:val="none"/>
        </w:rPr>
        <w:t>4.1.3 未按本章第4.1.1项要求</w:t>
      </w:r>
      <w:r>
        <w:rPr>
          <w:rFonts w:hint="eastAsia"/>
          <w:color w:val="auto"/>
          <w:highlight w:val="none"/>
        </w:rPr>
        <w:t>加密</w:t>
      </w:r>
      <w:r>
        <w:rPr>
          <w:color w:val="auto"/>
          <w:highlight w:val="none"/>
        </w:rPr>
        <w:t>的投标文件，招标人将予以拒收。</w:t>
      </w:r>
    </w:p>
    <w:p>
      <w:pPr>
        <w:pStyle w:val="6"/>
        <w:rPr>
          <w:rFonts w:hint="eastAsia" w:ascii="华文宋体" w:hAnsi="华文宋体" w:eastAsia="华文宋体"/>
          <w:color w:val="auto"/>
          <w:highlight w:val="none"/>
        </w:rPr>
      </w:pPr>
      <w:bookmarkStart w:id="539" w:name="_Toc183772323"/>
      <w:bookmarkStart w:id="540" w:name="_Toc113286001"/>
      <w:bookmarkStart w:id="541" w:name="_Toc183770508"/>
      <w:bookmarkStart w:id="542" w:name="_Toc30363"/>
      <w:r>
        <w:rPr>
          <w:rFonts w:hint="eastAsia" w:ascii="华文宋体" w:hAnsi="华文宋体" w:eastAsia="华文宋体"/>
          <w:color w:val="auto"/>
          <w:highlight w:val="none"/>
        </w:rPr>
        <w:t>4.2 投标文件的递交</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line="420" w:lineRule="exact"/>
        <w:ind w:firstLine="420" w:firstLineChars="200"/>
        <w:rPr>
          <w:color w:val="auto"/>
          <w:highlight w:val="none"/>
        </w:rPr>
      </w:pPr>
      <w:bookmarkStart w:id="543" w:name="_Toc55504926"/>
      <w:bookmarkStart w:id="544" w:name="_Toc101107112"/>
      <w:bookmarkStart w:id="545" w:name="_Toc152045558"/>
      <w:bookmarkStart w:id="546" w:name="_Toc144974526"/>
      <w:bookmarkStart w:id="547" w:name="_Toc49284407"/>
      <w:bookmarkStart w:id="548" w:name="_Toc152042334"/>
      <w:bookmarkStart w:id="549" w:name="_Toc179632576"/>
      <w:bookmarkStart w:id="550" w:name="_Toc246996202"/>
      <w:bookmarkStart w:id="551" w:name="_Toc247085716"/>
      <w:bookmarkStart w:id="552" w:name="_Toc12375877"/>
      <w:bookmarkStart w:id="553" w:name="_Toc246996945"/>
      <w:bookmarkStart w:id="554" w:name="_Toc51965806"/>
      <w:bookmarkStart w:id="555" w:name="_Toc521674884"/>
      <w:bookmarkStart w:id="556" w:name="_Toc529528692"/>
      <w:r>
        <w:rPr>
          <w:color w:val="auto"/>
          <w:highlight w:val="none"/>
        </w:rPr>
        <w:t>4.2.1 投标人应在投标人须知前附表规定的投标截止时间前递交投标文件。</w:t>
      </w:r>
    </w:p>
    <w:p>
      <w:pPr>
        <w:spacing w:line="420" w:lineRule="exact"/>
        <w:ind w:firstLine="420" w:firstLineChars="200"/>
        <w:rPr>
          <w:color w:val="auto"/>
          <w:highlight w:val="none"/>
        </w:rPr>
      </w:pPr>
      <w:r>
        <w:rPr>
          <w:color w:val="auto"/>
          <w:highlight w:val="none"/>
        </w:rPr>
        <w:t xml:space="preserve">4.2.2 </w:t>
      </w:r>
      <w:r>
        <w:rPr>
          <w:bCs/>
          <w:iCs/>
          <w:color w:val="auto"/>
          <w:highlight w:val="none"/>
        </w:rPr>
        <w:t>投标人通过下载招标文件的电子招标投标交易平台递交电子投标文件。</w:t>
      </w:r>
    </w:p>
    <w:p>
      <w:pPr>
        <w:spacing w:line="420" w:lineRule="exact"/>
        <w:ind w:firstLine="420" w:firstLineChars="200"/>
        <w:rPr>
          <w:color w:val="auto"/>
          <w:highlight w:val="none"/>
        </w:rPr>
      </w:pPr>
      <w:r>
        <w:rPr>
          <w:color w:val="auto"/>
          <w:highlight w:val="none"/>
        </w:rPr>
        <w:t>4.2.3 除投标人须知前附表另有规定外，投标人所递交的投标文件不予退还。</w:t>
      </w:r>
    </w:p>
    <w:p>
      <w:pPr>
        <w:spacing w:line="420" w:lineRule="exact"/>
        <w:ind w:firstLine="420" w:firstLineChars="200"/>
        <w:rPr>
          <w:color w:val="auto"/>
          <w:highlight w:val="none"/>
        </w:rPr>
      </w:pPr>
      <w:r>
        <w:rPr>
          <w:color w:val="auto"/>
          <w:highlight w:val="none"/>
        </w:rPr>
        <w:t>4.2.4 投标人完成电子投标文件上传后，</w:t>
      </w:r>
      <w:r>
        <w:rPr>
          <w:bCs/>
          <w:iCs/>
          <w:color w:val="auto"/>
          <w:highlight w:val="none"/>
        </w:rPr>
        <w:t>电子招标投标交易平台</w:t>
      </w:r>
      <w:r>
        <w:rPr>
          <w:color w:val="auto"/>
          <w:highlight w:val="none"/>
        </w:rPr>
        <w:t>即时向投标人发出递交回执通知。递交时间以递交回执通知载明的传输完成时间为准。</w:t>
      </w:r>
    </w:p>
    <w:p>
      <w:pPr>
        <w:spacing w:line="420" w:lineRule="exact"/>
        <w:ind w:firstLine="420" w:firstLineChars="200"/>
        <w:jc w:val="left"/>
        <w:rPr>
          <w:color w:val="auto"/>
          <w:highlight w:val="none"/>
        </w:rPr>
      </w:pPr>
      <w:r>
        <w:rPr>
          <w:color w:val="auto"/>
          <w:highlight w:val="none"/>
        </w:rPr>
        <w:t>4.2.5 逾期送达的投标文件，电子招标投标交易平台将予以拒收。</w:t>
      </w:r>
    </w:p>
    <w:p>
      <w:pPr>
        <w:pStyle w:val="6"/>
        <w:rPr>
          <w:rFonts w:hint="eastAsia" w:ascii="华文宋体" w:hAnsi="华文宋体" w:eastAsia="华文宋体"/>
          <w:color w:val="auto"/>
          <w:highlight w:val="none"/>
        </w:rPr>
      </w:pPr>
      <w:bookmarkStart w:id="557" w:name="_Toc113286002"/>
      <w:bookmarkStart w:id="558" w:name="_Toc183770509"/>
      <w:bookmarkStart w:id="559" w:name="_Toc15694"/>
      <w:bookmarkStart w:id="560" w:name="_Toc183772324"/>
      <w:r>
        <w:rPr>
          <w:rFonts w:hint="eastAsia" w:ascii="华文宋体" w:hAnsi="华文宋体" w:eastAsia="华文宋体"/>
          <w:color w:val="auto"/>
          <w:highlight w:val="none"/>
        </w:rPr>
        <w:t>4.3 投标文件的修改与撤回</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spacing w:line="400" w:lineRule="exact"/>
        <w:ind w:firstLine="420" w:firstLineChars="200"/>
        <w:rPr>
          <w:color w:val="auto"/>
          <w:highlight w:val="none"/>
        </w:rPr>
      </w:pPr>
      <w:r>
        <w:rPr>
          <w:rFonts w:hint="eastAsia"/>
          <w:color w:val="auto"/>
          <w:highlight w:val="none"/>
        </w:rPr>
        <w:t>4.3.1 在本章第</w:t>
      </w:r>
      <w:r>
        <w:rPr>
          <w:color w:val="auto"/>
          <w:highlight w:val="none"/>
        </w:rPr>
        <w:t>4</w:t>
      </w:r>
      <w:r>
        <w:rPr>
          <w:rFonts w:hint="eastAsia"/>
          <w:color w:val="auto"/>
          <w:highlight w:val="none"/>
        </w:rPr>
        <w:t>.2.</w:t>
      </w:r>
      <w:r>
        <w:rPr>
          <w:color w:val="auto"/>
          <w:highlight w:val="none"/>
        </w:rPr>
        <w:t>1</w:t>
      </w:r>
      <w:r>
        <w:rPr>
          <w:rFonts w:hint="eastAsia"/>
          <w:color w:val="auto"/>
          <w:highlight w:val="none"/>
        </w:rPr>
        <w:t>项规定的投标截止时间前，投标人可以修改或撤回已递交的投标文件，但应以书面形式通知招标人。</w:t>
      </w:r>
    </w:p>
    <w:p>
      <w:pPr>
        <w:spacing w:line="400" w:lineRule="exact"/>
        <w:ind w:firstLine="420" w:firstLineChars="200"/>
        <w:rPr>
          <w:color w:val="auto"/>
          <w:highlight w:val="none"/>
        </w:rPr>
      </w:pPr>
      <w:r>
        <w:rPr>
          <w:rFonts w:hint="eastAsia"/>
          <w:color w:val="auto"/>
          <w:highlight w:val="none"/>
        </w:rPr>
        <w:t>4.3.2 投标人修改或撤回已递交投标文件的书面通知应按照本章第3.6.3项的要求签字或盖章。招标人收到书面通知后，向投标人出具签收凭证。</w:t>
      </w:r>
    </w:p>
    <w:p>
      <w:pPr>
        <w:spacing w:line="400" w:lineRule="exact"/>
        <w:ind w:firstLine="420" w:firstLineChars="200"/>
        <w:rPr>
          <w:color w:val="auto"/>
          <w:highlight w:val="none"/>
        </w:rPr>
      </w:pPr>
      <w:r>
        <w:rPr>
          <w:rFonts w:hint="eastAsia"/>
          <w:color w:val="auto"/>
          <w:highlight w:val="none"/>
        </w:rPr>
        <w:t>4.3.3 投标人撤回投标文件的，招标人自收到投标人书面撤回通知之日起5日内退还已收取的投标保证金。</w:t>
      </w:r>
    </w:p>
    <w:p>
      <w:pPr>
        <w:spacing w:line="400" w:lineRule="exact"/>
        <w:ind w:firstLine="420" w:firstLineChars="200"/>
        <w:rPr>
          <w:color w:val="auto"/>
          <w:highlight w:val="none"/>
        </w:rPr>
      </w:pPr>
      <w:r>
        <w:rPr>
          <w:rFonts w:hint="eastAsia"/>
          <w:color w:val="auto"/>
          <w:highlight w:val="none"/>
        </w:rPr>
        <w:t>4.3.4 修改的内容为投标文件的组成部分。修改的投标文件应按照本章第3条、第4条规定进行编制、加密、标记和递交。</w:t>
      </w:r>
    </w:p>
    <w:p>
      <w:pPr>
        <w:pStyle w:val="5"/>
        <w:rPr>
          <w:rFonts w:hint="eastAsia" w:ascii="华文宋体" w:hAnsi="华文宋体" w:eastAsia="华文宋体"/>
          <w:color w:val="auto"/>
          <w:highlight w:val="none"/>
        </w:rPr>
      </w:pPr>
      <w:bookmarkStart w:id="561" w:name="_Toc247085717"/>
      <w:bookmarkStart w:id="562" w:name="_Toc246996203"/>
      <w:bookmarkStart w:id="563" w:name="_Toc21582"/>
      <w:bookmarkStart w:id="564" w:name="_Toc152042335"/>
      <w:bookmarkStart w:id="565" w:name="_Toc144974527"/>
      <w:bookmarkStart w:id="566" w:name="_Toc246996946"/>
      <w:bookmarkStart w:id="567" w:name="_Toc152045559"/>
      <w:bookmarkStart w:id="568" w:name="_Toc179632577"/>
      <w:r>
        <w:rPr>
          <w:rFonts w:hint="eastAsia" w:ascii="华文宋体" w:hAnsi="华文宋体" w:eastAsia="华文宋体"/>
          <w:color w:val="auto"/>
          <w:highlight w:val="none"/>
        </w:rPr>
        <w:t>5. 开标</w:t>
      </w:r>
      <w:bookmarkEnd w:id="561"/>
      <w:bookmarkEnd w:id="562"/>
      <w:bookmarkEnd w:id="563"/>
      <w:bookmarkEnd w:id="564"/>
      <w:bookmarkEnd w:id="565"/>
      <w:bookmarkEnd w:id="566"/>
      <w:bookmarkEnd w:id="567"/>
      <w:bookmarkEnd w:id="568"/>
    </w:p>
    <w:p>
      <w:pPr>
        <w:pStyle w:val="6"/>
        <w:rPr>
          <w:rFonts w:hint="eastAsia" w:ascii="华文宋体" w:hAnsi="华文宋体" w:eastAsia="华文宋体"/>
          <w:color w:val="auto"/>
          <w:highlight w:val="none"/>
        </w:rPr>
      </w:pPr>
      <w:bookmarkStart w:id="569" w:name="_Toc246996204"/>
      <w:bookmarkStart w:id="570" w:name="_Toc152045560"/>
      <w:bookmarkStart w:id="571" w:name="_Toc179632578"/>
      <w:bookmarkStart w:id="572" w:name="_Toc12375879"/>
      <w:bookmarkStart w:id="573" w:name="_Toc521674886"/>
      <w:bookmarkStart w:id="574" w:name="_Toc49284409"/>
      <w:bookmarkStart w:id="575" w:name="_Toc529528694"/>
      <w:bookmarkStart w:id="576" w:name="_Toc13811"/>
      <w:bookmarkStart w:id="577" w:name="_Toc55504928"/>
      <w:bookmarkStart w:id="578" w:name="_Toc183770511"/>
      <w:bookmarkStart w:id="579" w:name="_Toc113286004"/>
      <w:bookmarkStart w:id="580" w:name="_Toc247085718"/>
      <w:bookmarkStart w:id="581" w:name="_Toc101107114"/>
      <w:bookmarkStart w:id="582" w:name="_Toc51965808"/>
      <w:bookmarkStart w:id="583" w:name="_Toc144974528"/>
      <w:bookmarkStart w:id="584" w:name="_Toc183772326"/>
      <w:bookmarkStart w:id="585" w:name="_Toc246996947"/>
      <w:bookmarkStart w:id="586" w:name="_Toc152042336"/>
      <w:r>
        <w:rPr>
          <w:rFonts w:hint="eastAsia" w:ascii="华文宋体" w:hAnsi="华文宋体" w:eastAsia="华文宋体"/>
          <w:color w:val="auto"/>
          <w:highlight w:val="none"/>
        </w:rPr>
        <w:t>5.1 开标时间和地点</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spacing w:line="400" w:lineRule="exact"/>
        <w:ind w:firstLine="420" w:firstLineChars="200"/>
        <w:rPr>
          <w:color w:val="auto"/>
          <w:highlight w:val="none"/>
        </w:rPr>
      </w:pPr>
      <w:r>
        <w:rPr>
          <w:rFonts w:hint="eastAsia"/>
          <w:color w:val="auto"/>
          <w:highlight w:val="none"/>
        </w:rPr>
        <w:t>招标人在本章第</w:t>
      </w:r>
      <w:r>
        <w:rPr>
          <w:color w:val="auto"/>
          <w:highlight w:val="none"/>
        </w:rPr>
        <w:t>4</w:t>
      </w:r>
      <w:r>
        <w:rPr>
          <w:rFonts w:hint="eastAsia"/>
          <w:color w:val="auto"/>
          <w:highlight w:val="none"/>
        </w:rPr>
        <w:t>.2.</w:t>
      </w:r>
      <w:r>
        <w:rPr>
          <w:color w:val="auto"/>
          <w:highlight w:val="none"/>
        </w:rPr>
        <w:t>1</w:t>
      </w:r>
      <w:r>
        <w:rPr>
          <w:rFonts w:hint="eastAsia"/>
          <w:color w:val="auto"/>
          <w:highlight w:val="none"/>
        </w:rPr>
        <w:t>项规定的投标截止时间（开标时间）和投标人须知前附表规定的地点公开开标，并邀请所有投标人的法定代表人或其委托代理人准时参加。</w:t>
      </w:r>
    </w:p>
    <w:p>
      <w:pPr>
        <w:pStyle w:val="6"/>
        <w:rPr>
          <w:rFonts w:hint="eastAsia" w:ascii="华文宋体" w:hAnsi="华文宋体" w:eastAsia="华文宋体"/>
          <w:color w:val="auto"/>
          <w:highlight w:val="none"/>
        </w:rPr>
      </w:pPr>
      <w:bookmarkStart w:id="587" w:name="_Toc55504929"/>
      <w:bookmarkStart w:id="588" w:name="_Toc49284410"/>
      <w:bookmarkStart w:id="589" w:name="_Toc152045561"/>
      <w:bookmarkStart w:id="590" w:name="_Toc246996948"/>
      <w:bookmarkStart w:id="591" w:name="_Toc183772327"/>
      <w:bookmarkStart w:id="592" w:name="_Toc9544"/>
      <w:bookmarkStart w:id="593" w:name="_Toc529528695"/>
      <w:bookmarkStart w:id="594" w:name="_Toc183770512"/>
      <w:bookmarkStart w:id="595" w:name="_Toc521674887"/>
      <w:bookmarkStart w:id="596" w:name="_Toc113286005"/>
      <w:bookmarkStart w:id="597" w:name="_Toc101107115"/>
      <w:bookmarkStart w:id="598" w:name="_Toc246996205"/>
      <w:bookmarkStart w:id="599" w:name="_Toc12375880"/>
      <w:bookmarkStart w:id="600" w:name="_Toc51965809"/>
      <w:bookmarkStart w:id="601" w:name="_Toc144974529"/>
      <w:bookmarkStart w:id="602" w:name="_Toc179632579"/>
      <w:bookmarkStart w:id="603" w:name="_Toc152042337"/>
      <w:bookmarkStart w:id="604" w:name="_Toc247085719"/>
      <w:r>
        <w:rPr>
          <w:rFonts w:hint="eastAsia" w:ascii="华文宋体" w:hAnsi="华文宋体" w:eastAsia="华文宋体"/>
          <w:color w:val="auto"/>
          <w:highlight w:val="none"/>
        </w:rPr>
        <w:t>5.2 开标程序</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spacing w:line="400" w:lineRule="exact"/>
        <w:ind w:firstLine="420" w:firstLineChars="200"/>
        <w:rPr>
          <w:color w:val="auto"/>
          <w:szCs w:val="22"/>
          <w:highlight w:val="none"/>
        </w:rPr>
      </w:pPr>
      <w:bookmarkStart w:id="605" w:name="_Toc529528696"/>
      <w:bookmarkStart w:id="606" w:name="_Toc51965810"/>
      <w:bookmarkStart w:id="607" w:name="_Toc101107116"/>
      <w:bookmarkStart w:id="608" w:name="_Toc521674888"/>
      <w:bookmarkStart w:id="609" w:name="_Toc12375881"/>
      <w:bookmarkStart w:id="610" w:name="_Toc55504930"/>
      <w:bookmarkStart w:id="611" w:name="_Toc49284411"/>
      <w:r>
        <w:rPr>
          <w:rFonts w:hint="eastAsia"/>
          <w:color w:val="auto"/>
          <w:szCs w:val="22"/>
          <w:highlight w:val="none"/>
        </w:rPr>
        <w:t>主持人按下列程序进行开标：</w:t>
      </w:r>
    </w:p>
    <w:p>
      <w:pPr>
        <w:spacing w:line="400" w:lineRule="exact"/>
        <w:ind w:firstLine="420" w:firstLineChars="200"/>
        <w:rPr>
          <w:color w:val="auto"/>
          <w:szCs w:val="22"/>
          <w:highlight w:val="none"/>
        </w:rPr>
      </w:pPr>
      <w:r>
        <w:rPr>
          <w:rFonts w:hint="eastAsia"/>
          <w:color w:val="auto"/>
          <w:szCs w:val="22"/>
          <w:highlight w:val="none"/>
        </w:rPr>
        <w:t>（1）宣布开标纪律；</w:t>
      </w:r>
    </w:p>
    <w:p>
      <w:pPr>
        <w:spacing w:line="400" w:lineRule="exact"/>
        <w:ind w:firstLine="420" w:firstLineChars="200"/>
        <w:rPr>
          <w:color w:val="auto"/>
          <w:szCs w:val="22"/>
          <w:highlight w:val="none"/>
        </w:rPr>
      </w:pPr>
      <w:r>
        <w:rPr>
          <w:rFonts w:hint="eastAsia"/>
          <w:color w:val="auto"/>
          <w:szCs w:val="22"/>
          <w:highlight w:val="none"/>
        </w:rPr>
        <w:t>（2）公布在投标截止时间前递交投标文件的投标人名称；</w:t>
      </w:r>
    </w:p>
    <w:p>
      <w:pPr>
        <w:spacing w:line="400" w:lineRule="exact"/>
        <w:ind w:firstLine="420" w:firstLineChars="200"/>
        <w:rPr>
          <w:color w:val="auto"/>
          <w:szCs w:val="22"/>
          <w:highlight w:val="none"/>
        </w:rPr>
      </w:pPr>
      <w:r>
        <w:rPr>
          <w:rFonts w:hint="eastAsia"/>
          <w:color w:val="auto"/>
          <w:szCs w:val="22"/>
          <w:highlight w:val="none"/>
        </w:rPr>
        <w:t>（3）宣布开标人、唱标人、记录人、监标人等有关人员姓名；</w:t>
      </w:r>
    </w:p>
    <w:p>
      <w:pPr>
        <w:spacing w:line="400" w:lineRule="exact"/>
        <w:ind w:firstLine="420" w:firstLineChars="200"/>
        <w:rPr>
          <w:color w:val="auto"/>
          <w:szCs w:val="22"/>
          <w:highlight w:val="none"/>
        </w:rPr>
      </w:pPr>
      <w:r>
        <w:rPr>
          <w:rFonts w:hint="eastAsia"/>
          <w:color w:val="auto"/>
          <w:szCs w:val="22"/>
          <w:highlight w:val="none"/>
        </w:rPr>
        <w:t>（4）投标人通过电子招标投标交易平台对已递交的电子投标文件进行解密，公布招标项目名称、投标人名称、投标保证金的递交情况、投标报价、工期、质量标准及其他内容，并记录在案；</w:t>
      </w:r>
    </w:p>
    <w:p>
      <w:pPr>
        <w:spacing w:line="400" w:lineRule="exact"/>
        <w:ind w:firstLine="420" w:firstLineChars="200"/>
        <w:rPr>
          <w:color w:val="auto"/>
          <w:szCs w:val="22"/>
          <w:highlight w:val="none"/>
        </w:rPr>
      </w:pPr>
      <w:r>
        <w:rPr>
          <w:rFonts w:hint="eastAsia"/>
          <w:color w:val="auto"/>
          <w:szCs w:val="22"/>
          <w:highlight w:val="none"/>
        </w:rPr>
        <w:t>（5）投标人代表、招标人代表、监标人、记录人等有关人员使用本人的电子印章在开标记录上签字确认；</w:t>
      </w:r>
    </w:p>
    <w:p>
      <w:pPr>
        <w:spacing w:line="400" w:lineRule="exact"/>
        <w:ind w:firstLine="420" w:firstLineChars="200"/>
        <w:rPr>
          <w:color w:val="auto"/>
          <w:szCs w:val="22"/>
          <w:highlight w:val="none"/>
        </w:rPr>
      </w:pPr>
      <w:r>
        <w:rPr>
          <w:rFonts w:hint="eastAsia"/>
          <w:color w:val="auto"/>
          <w:szCs w:val="22"/>
          <w:highlight w:val="none"/>
        </w:rPr>
        <w:t>（6）开标结束。</w:t>
      </w:r>
    </w:p>
    <w:p>
      <w:pPr>
        <w:pStyle w:val="6"/>
        <w:rPr>
          <w:rFonts w:hint="eastAsia" w:ascii="华文宋体" w:hAnsi="华文宋体" w:eastAsia="华文宋体"/>
          <w:color w:val="auto"/>
          <w:highlight w:val="none"/>
        </w:rPr>
      </w:pPr>
      <w:bookmarkStart w:id="612" w:name="_Toc113286006"/>
      <w:bookmarkStart w:id="613" w:name="_Toc183770513"/>
      <w:bookmarkStart w:id="614" w:name="_Toc16879"/>
      <w:bookmarkStart w:id="615" w:name="_Toc183772328"/>
      <w:r>
        <w:rPr>
          <w:rFonts w:hint="eastAsia" w:ascii="华文宋体" w:hAnsi="华文宋体" w:eastAsia="华文宋体"/>
          <w:color w:val="auto"/>
          <w:highlight w:val="none"/>
        </w:rPr>
        <w:t>5.3 开标异议</w:t>
      </w:r>
      <w:bookmarkEnd w:id="605"/>
      <w:bookmarkEnd w:id="606"/>
      <w:bookmarkEnd w:id="607"/>
      <w:bookmarkEnd w:id="608"/>
      <w:bookmarkEnd w:id="609"/>
      <w:bookmarkEnd w:id="610"/>
      <w:bookmarkEnd w:id="611"/>
      <w:bookmarkEnd w:id="612"/>
      <w:bookmarkEnd w:id="613"/>
      <w:bookmarkEnd w:id="614"/>
      <w:bookmarkEnd w:id="615"/>
    </w:p>
    <w:p>
      <w:pPr>
        <w:spacing w:line="400" w:lineRule="exact"/>
        <w:ind w:firstLine="359" w:firstLineChars="171"/>
        <w:rPr>
          <w:color w:val="auto"/>
          <w:highlight w:val="none"/>
        </w:rPr>
      </w:pPr>
      <w:r>
        <w:rPr>
          <w:rFonts w:hint="eastAsia"/>
          <w:color w:val="auto"/>
          <w:highlight w:val="none"/>
        </w:rPr>
        <w:t>投标人对开标有异议的，应当在开标现场提出，招标人当场作出答复，并制作记录。</w:t>
      </w:r>
    </w:p>
    <w:p>
      <w:pPr>
        <w:pStyle w:val="5"/>
        <w:rPr>
          <w:rFonts w:hint="eastAsia" w:ascii="华文宋体" w:hAnsi="华文宋体" w:eastAsia="华文宋体"/>
          <w:color w:val="auto"/>
          <w:highlight w:val="none"/>
        </w:rPr>
      </w:pPr>
      <w:bookmarkStart w:id="616" w:name="_Toc246996206"/>
      <w:bookmarkStart w:id="617" w:name="_Toc179632580"/>
      <w:bookmarkStart w:id="618" w:name="_Toc152045562"/>
      <w:bookmarkStart w:id="619" w:name="_Toc247085720"/>
      <w:bookmarkStart w:id="620" w:name="_Toc144974530"/>
      <w:bookmarkStart w:id="621" w:name="_Toc246996949"/>
      <w:bookmarkStart w:id="622" w:name="_Toc152042338"/>
      <w:bookmarkStart w:id="623" w:name="_Toc30134"/>
      <w:r>
        <w:rPr>
          <w:rFonts w:hint="eastAsia" w:ascii="华文宋体" w:hAnsi="华文宋体" w:eastAsia="华文宋体"/>
          <w:color w:val="auto"/>
          <w:highlight w:val="none"/>
        </w:rPr>
        <w:t>6. 评标</w:t>
      </w:r>
      <w:bookmarkEnd w:id="616"/>
      <w:bookmarkEnd w:id="617"/>
      <w:bookmarkEnd w:id="618"/>
      <w:bookmarkEnd w:id="619"/>
      <w:bookmarkEnd w:id="620"/>
      <w:bookmarkEnd w:id="621"/>
      <w:bookmarkEnd w:id="622"/>
      <w:bookmarkEnd w:id="623"/>
    </w:p>
    <w:p>
      <w:pPr>
        <w:pStyle w:val="6"/>
        <w:rPr>
          <w:rFonts w:hint="eastAsia" w:ascii="华文宋体" w:hAnsi="华文宋体" w:eastAsia="华文宋体"/>
          <w:color w:val="auto"/>
          <w:highlight w:val="none"/>
        </w:rPr>
      </w:pPr>
      <w:bookmarkStart w:id="624" w:name="_Toc51965812"/>
      <w:bookmarkStart w:id="625" w:name="_Toc183770515"/>
      <w:bookmarkStart w:id="626" w:name="_Toc152042339"/>
      <w:bookmarkStart w:id="627" w:name="_Toc8220"/>
      <w:bookmarkStart w:id="628" w:name="_Toc113286008"/>
      <w:bookmarkStart w:id="629" w:name="_Toc152045563"/>
      <w:bookmarkStart w:id="630" w:name="_Toc55504932"/>
      <w:bookmarkStart w:id="631" w:name="_Toc183772330"/>
      <w:bookmarkStart w:id="632" w:name="_Toc246996207"/>
      <w:bookmarkStart w:id="633" w:name="_Toc521674890"/>
      <w:bookmarkStart w:id="634" w:name="_Toc49284413"/>
      <w:bookmarkStart w:id="635" w:name="_Toc247085721"/>
      <w:bookmarkStart w:id="636" w:name="_Toc12375883"/>
      <w:bookmarkStart w:id="637" w:name="_Toc246996950"/>
      <w:bookmarkStart w:id="638" w:name="_Toc144974531"/>
      <w:bookmarkStart w:id="639" w:name="_Toc179632581"/>
      <w:bookmarkStart w:id="640" w:name="_Toc529528698"/>
      <w:bookmarkStart w:id="641" w:name="_Toc101107118"/>
      <w:r>
        <w:rPr>
          <w:rFonts w:hint="eastAsia" w:ascii="华文宋体" w:hAnsi="华文宋体" w:eastAsia="华文宋体"/>
          <w:color w:val="auto"/>
          <w:highlight w:val="none"/>
        </w:rPr>
        <w:t>6.1 评标委员会</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spacing w:line="400" w:lineRule="exact"/>
        <w:ind w:firstLine="420" w:firstLineChars="200"/>
        <w:rPr>
          <w:color w:val="auto"/>
          <w:highlight w:val="none"/>
        </w:rPr>
      </w:pPr>
      <w:r>
        <w:rPr>
          <w:rFonts w:hint="eastAsia"/>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color w:val="auto"/>
          <w:highlight w:val="none"/>
        </w:rPr>
      </w:pPr>
      <w:r>
        <w:rPr>
          <w:rFonts w:hint="eastAsia"/>
          <w:color w:val="auto"/>
          <w:highlight w:val="none"/>
        </w:rPr>
        <w:t>6.1.2 评标委员会成员有下列情形之一的，应当回避：</w:t>
      </w:r>
    </w:p>
    <w:p>
      <w:pPr>
        <w:spacing w:line="400" w:lineRule="exact"/>
        <w:ind w:firstLine="359" w:firstLineChars="171"/>
        <w:rPr>
          <w:color w:val="auto"/>
          <w:highlight w:val="none"/>
        </w:rPr>
      </w:pPr>
      <w:r>
        <w:rPr>
          <w:rFonts w:hint="eastAsia"/>
          <w:color w:val="auto"/>
          <w:highlight w:val="none"/>
        </w:rPr>
        <w:t>（1）投标人或投标人主要负责人的近亲属；</w:t>
      </w:r>
    </w:p>
    <w:p>
      <w:pPr>
        <w:spacing w:line="400" w:lineRule="exact"/>
        <w:ind w:firstLine="359" w:firstLineChars="171"/>
        <w:rPr>
          <w:color w:val="auto"/>
          <w:highlight w:val="none"/>
        </w:rPr>
      </w:pPr>
      <w:r>
        <w:rPr>
          <w:rFonts w:hint="eastAsia"/>
          <w:color w:val="auto"/>
          <w:highlight w:val="none"/>
        </w:rPr>
        <w:t>（2）项目主管部门或者行政监督部门的人员；</w:t>
      </w:r>
    </w:p>
    <w:p>
      <w:pPr>
        <w:spacing w:line="400" w:lineRule="exact"/>
        <w:ind w:firstLine="359" w:firstLineChars="171"/>
        <w:rPr>
          <w:color w:val="auto"/>
          <w:highlight w:val="none"/>
        </w:rPr>
      </w:pPr>
      <w:r>
        <w:rPr>
          <w:rFonts w:hint="eastAsia"/>
          <w:color w:val="auto"/>
          <w:highlight w:val="none"/>
        </w:rPr>
        <w:t>（3）与投标人有经济利益关系；</w:t>
      </w:r>
    </w:p>
    <w:p>
      <w:pPr>
        <w:spacing w:line="400" w:lineRule="exact"/>
        <w:ind w:firstLine="359" w:firstLineChars="171"/>
        <w:rPr>
          <w:color w:val="auto"/>
          <w:highlight w:val="none"/>
        </w:rPr>
      </w:pPr>
      <w:r>
        <w:rPr>
          <w:rFonts w:hint="eastAsia"/>
          <w:color w:val="auto"/>
          <w:highlight w:val="none"/>
        </w:rPr>
        <w:t>（4）曾因在招标、评标以及其他与招标投标有关活动中从事违法行为而受过行政处罚或刑事处罚的；</w:t>
      </w:r>
    </w:p>
    <w:p>
      <w:pPr>
        <w:spacing w:line="400" w:lineRule="exact"/>
        <w:ind w:firstLine="359" w:firstLineChars="171"/>
        <w:rPr>
          <w:color w:val="auto"/>
          <w:highlight w:val="none"/>
        </w:rPr>
      </w:pPr>
      <w:r>
        <w:rPr>
          <w:rFonts w:hint="eastAsia"/>
          <w:color w:val="auto"/>
          <w:highlight w:val="none"/>
        </w:rPr>
        <w:t>（5）与投标人有其他利害关系。</w:t>
      </w:r>
    </w:p>
    <w:p>
      <w:pPr>
        <w:pStyle w:val="6"/>
        <w:rPr>
          <w:rFonts w:hint="eastAsia" w:ascii="华文宋体" w:hAnsi="华文宋体" w:eastAsia="华文宋体"/>
          <w:color w:val="auto"/>
          <w:highlight w:val="none"/>
        </w:rPr>
      </w:pPr>
      <w:bookmarkStart w:id="642" w:name="_Toc152045564"/>
      <w:bookmarkStart w:id="643" w:name="_Toc179632582"/>
      <w:bookmarkStart w:id="644" w:name="_Toc26342"/>
      <w:bookmarkStart w:id="645" w:name="_Toc113286009"/>
      <w:bookmarkStart w:id="646" w:name="_Toc12375884"/>
      <w:bookmarkStart w:id="647" w:name="_Toc247085722"/>
      <w:bookmarkStart w:id="648" w:name="_Toc246996208"/>
      <w:bookmarkStart w:id="649" w:name="_Toc101107119"/>
      <w:bookmarkStart w:id="650" w:name="_Toc529528699"/>
      <w:bookmarkStart w:id="651" w:name="_Toc49284414"/>
      <w:bookmarkStart w:id="652" w:name="_Toc183772331"/>
      <w:bookmarkStart w:id="653" w:name="_Toc144974532"/>
      <w:bookmarkStart w:id="654" w:name="_Toc51965813"/>
      <w:bookmarkStart w:id="655" w:name="_Toc183770516"/>
      <w:bookmarkStart w:id="656" w:name="_Toc55504933"/>
      <w:bookmarkStart w:id="657" w:name="_Toc521674891"/>
      <w:bookmarkStart w:id="658" w:name="_Toc246996951"/>
      <w:bookmarkStart w:id="659" w:name="_Toc152042340"/>
      <w:r>
        <w:rPr>
          <w:rFonts w:hint="eastAsia" w:ascii="华文宋体" w:hAnsi="华文宋体" w:eastAsia="华文宋体"/>
          <w:color w:val="auto"/>
          <w:highlight w:val="none"/>
        </w:rPr>
        <w:t>6.2 评标原则</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spacing w:line="400" w:lineRule="exact"/>
        <w:ind w:firstLine="420" w:firstLineChars="200"/>
        <w:rPr>
          <w:color w:val="auto"/>
          <w:highlight w:val="none"/>
        </w:rPr>
      </w:pPr>
      <w:r>
        <w:rPr>
          <w:rFonts w:hint="eastAsia"/>
          <w:color w:val="auto"/>
          <w:highlight w:val="none"/>
        </w:rPr>
        <w:t>评标活动遵循公平、公正、科学和择优的原则。</w:t>
      </w:r>
    </w:p>
    <w:p>
      <w:pPr>
        <w:pStyle w:val="6"/>
        <w:rPr>
          <w:rFonts w:hint="eastAsia" w:ascii="华文宋体" w:hAnsi="华文宋体" w:eastAsia="华文宋体"/>
          <w:color w:val="auto"/>
          <w:highlight w:val="none"/>
        </w:rPr>
      </w:pPr>
      <w:bookmarkStart w:id="660" w:name="_Toc55504934"/>
      <w:bookmarkStart w:id="661" w:name="_Toc144974533"/>
      <w:bookmarkStart w:id="662" w:name="_Toc113286010"/>
      <w:bookmarkStart w:id="663" w:name="_Toc529528700"/>
      <w:bookmarkStart w:id="664" w:name="_Toc101107120"/>
      <w:bookmarkStart w:id="665" w:name="_Toc183770517"/>
      <w:bookmarkStart w:id="666" w:name="_Toc246996952"/>
      <w:bookmarkStart w:id="667" w:name="_Toc247085723"/>
      <w:bookmarkStart w:id="668" w:name="_Toc183772332"/>
      <w:bookmarkStart w:id="669" w:name="_Toc179632583"/>
      <w:bookmarkStart w:id="670" w:name="_Toc152042341"/>
      <w:bookmarkStart w:id="671" w:name="_Toc12375885"/>
      <w:bookmarkStart w:id="672" w:name="_Toc51965814"/>
      <w:bookmarkStart w:id="673" w:name="_Toc152045565"/>
      <w:bookmarkStart w:id="674" w:name="_Toc246996209"/>
      <w:bookmarkStart w:id="675" w:name="_Toc15110"/>
      <w:bookmarkStart w:id="676" w:name="_Toc521674892"/>
      <w:bookmarkStart w:id="677" w:name="_Toc49284415"/>
      <w:r>
        <w:rPr>
          <w:rFonts w:hint="eastAsia" w:ascii="华文宋体" w:hAnsi="华文宋体" w:eastAsia="华文宋体"/>
          <w:color w:val="auto"/>
          <w:highlight w:val="none"/>
        </w:rPr>
        <w:t>6.3 评标</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spacing w:line="400" w:lineRule="exact"/>
        <w:ind w:firstLine="420" w:firstLineChars="200"/>
        <w:rPr>
          <w:color w:val="auto"/>
          <w:highlight w:val="none"/>
        </w:rPr>
      </w:pPr>
      <w:r>
        <w:rPr>
          <w:rFonts w:hint="eastAsia"/>
          <w:color w:val="auto"/>
          <w:highlight w:val="none"/>
        </w:rPr>
        <w:t>评标委员会按照第三章“评标办法”规定的方法、评审因素、标准和程序对投标文件进行评审。第三章“评标办法”没有规定的方法、评审因素和标准，不作为评标依据。</w:t>
      </w:r>
    </w:p>
    <w:p>
      <w:pPr>
        <w:pStyle w:val="5"/>
        <w:rPr>
          <w:rFonts w:hint="eastAsia" w:ascii="华文宋体" w:hAnsi="华文宋体" w:eastAsia="华文宋体"/>
          <w:color w:val="auto"/>
          <w:highlight w:val="none"/>
        </w:rPr>
      </w:pPr>
      <w:bookmarkStart w:id="678" w:name="_Toc247085724"/>
      <w:bookmarkStart w:id="679" w:name="_Toc152045566"/>
      <w:bookmarkStart w:id="680" w:name="_Toc246996953"/>
      <w:bookmarkStart w:id="681" w:name="_Toc152042342"/>
      <w:bookmarkStart w:id="682" w:name="_Toc246996210"/>
      <w:bookmarkStart w:id="683" w:name="_Toc144974534"/>
      <w:bookmarkStart w:id="684" w:name="_Toc5599"/>
      <w:bookmarkStart w:id="685" w:name="_Toc179632584"/>
      <w:r>
        <w:rPr>
          <w:rFonts w:hint="eastAsia" w:ascii="华文宋体" w:hAnsi="华文宋体" w:eastAsia="华文宋体"/>
          <w:color w:val="auto"/>
          <w:highlight w:val="none"/>
        </w:rPr>
        <w:t>7. 合同授予</w:t>
      </w:r>
      <w:bookmarkEnd w:id="678"/>
      <w:bookmarkEnd w:id="679"/>
      <w:bookmarkEnd w:id="680"/>
      <w:bookmarkEnd w:id="681"/>
      <w:bookmarkEnd w:id="682"/>
      <w:bookmarkEnd w:id="683"/>
      <w:bookmarkEnd w:id="684"/>
      <w:bookmarkEnd w:id="685"/>
    </w:p>
    <w:p>
      <w:pPr>
        <w:pStyle w:val="6"/>
        <w:rPr>
          <w:rFonts w:hint="eastAsia" w:ascii="华文宋体" w:hAnsi="华文宋体" w:eastAsia="华文宋体"/>
          <w:color w:val="auto"/>
          <w:highlight w:val="none"/>
        </w:rPr>
      </w:pPr>
      <w:bookmarkStart w:id="686" w:name="_Toc246996211"/>
      <w:bookmarkStart w:id="687" w:name="_Toc529528702"/>
      <w:bookmarkStart w:id="688" w:name="_Toc55504936"/>
      <w:bookmarkStart w:id="689" w:name="_Toc152042343"/>
      <w:bookmarkStart w:id="690" w:name="_Toc246996954"/>
      <w:bookmarkStart w:id="691" w:name="_Toc152045567"/>
      <w:bookmarkStart w:id="692" w:name="_Toc179632585"/>
      <w:bookmarkStart w:id="693" w:name="_Toc183772334"/>
      <w:bookmarkStart w:id="694" w:name="_Toc12375887"/>
      <w:bookmarkStart w:id="695" w:name="_Toc183770519"/>
      <w:bookmarkStart w:id="696" w:name="_Toc19861"/>
      <w:bookmarkStart w:id="697" w:name="_Toc49284417"/>
      <w:bookmarkStart w:id="698" w:name="_Toc521674894"/>
      <w:bookmarkStart w:id="699" w:name="_Toc101107122"/>
      <w:bookmarkStart w:id="700" w:name="_Toc51965816"/>
      <w:bookmarkStart w:id="701" w:name="_Toc144974535"/>
      <w:bookmarkStart w:id="702" w:name="_Toc247085725"/>
      <w:bookmarkStart w:id="703" w:name="_Toc113286012"/>
      <w:r>
        <w:rPr>
          <w:rFonts w:hint="eastAsia" w:ascii="华文宋体" w:hAnsi="华文宋体" w:eastAsia="华文宋体"/>
          <w:color w:val="auto"/>
          <w:highlight w:val="none"/>
        </w:rPr>
        <w:t>7.1 定标方式</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spacing w:line="400" w:lineRule="exact"/>
        <w:ind w:firstLine="420" w:firstLineChars="200"/>
        <w:rPr>
          <w:color w:val="auto"/>
          <w:highlight w:val="none"/>
        </w:rPr>
      </w:pPr>
      <w:r>
        <w:rPr>
          <w:rFonts w:hint="eastAsia"/>
          <w:color w:val="auto"/>
          <w:highlight w:val="none"/>
        </w:rPr>
        <w:t>除投标人须知前附表规定评标委员会直接确定中标人外，招标人依据评标委员会推荐的中标候选人确定中标人，评标委员会推荐中标候选人的人数见投标人须知前附表。</w:t>
      </w:r>
    </w:p>
    <w:p>
      <w:pPr>
        <w:pStyle w:val="6"/>
        <w:rPr>
          <w:rFonts w:hint="eastAsia" w:ascii="华文宋体" w:hAnsi="华文宋体" w:eastAsia="华文宋体"/>
          <w:color w:val="auto"/>
          <w:highlight w:val="none"/>
        </w:rPr>
      </w:pPr>
      <w:bookmarkStart w:id="704" w:name="_Toc12375888"/>
      <w:bookmarkStart w:id="705" w:name="_Toc183772335"/>
      <w:bookmarkStart w:id="706" w:name="_Toc55504937"/>
      <w:bookmarkStart w:id="707" w:name="_Toc101107123"/>
      <w:bookmarkStart w:id="708" w:name="_Toc521674895"/>
      <w:bookmarkStart w:id="709" w:name="_Toc51965817"/>
      <w:bookmarkStart w:id="710" w:name="_Toc529528703"/>
      <w:bookmarkStart w:id="711" w:name="_Toc9187"/>
      <w:bookmarkStart w:id="712" w:name="_Toc183770520"/>
      <w:bookmarkStart w:id="713" w:name="_Toc49284418"/>
      <w:bookmarkStart w:id="714" w:name="_Toc113286013"/>
      <w:r>
        <w:rPr>
          <w:rFonts w:hint="eastAsia" w:ascii="华文宋体" w:hAnsi="华文宋体" w:eastAsia="华文宋体"/>
          <w:color w:val="auto"/>
          <w:highlight w:val="none"/>
        </w:rPr>
        <w:t>7.2 中标候选人公示</w:t>
      </w:r>
      <w:bookmarkEnd w:id="704"/>
      <w:bookmarkEnd w:id="705"/>
      <w:bookmarkEnd w:id="706"/>
      <w:bookmarkEnd w:id="707"/>
      <w:bookmarkEnd w:id="708"/>
      <w:bookmarkEnd w:id="709"/>
      <w:bookmarkEnd w:id="710"/>
      <w:bookmarkEnd w:id="711"/>
      <w:bookmarkEnd w:id="712"/>
      <w:bookmarkEnd w:id="713"/>
      <w:bookmarkEnd w:id="714"/>
    </w:p>
    <w:p>
      <w:pPr>
        <w:spacing w:line="400" w:lineRule="exact"/>
        <w:ind w:firstLine="420" w:firstLineChars="200"/>
        <w:rPr>
          <w:color w:val="auto"/>
          <w:highlight w:val="none"/>
        </w:rPr>
      </w:pPr>
      <w:r>
        <w:rPr>
          <w:rFonts w:hint="eastAsia"/>
          <w:color w:val="auto"/>
          <w:highlight w:val="none"/>
        </w:rPr>
        <w:t>招标人在投标人须知前附表规定的媒介公示中标候选人。</w:t>
      </w:r>
    </w:p>
    <w:p>
      <w:pPr>
        <w:spacing w:line="400" w:lineRule="exact"/>
        <w:ind w:firstLine="420" w:firstLineChars="200"/>
        <w:rPr>
          <w:color w:val="auto"/>
          <w:highlight w:val="none"/>
        </w:rPr>
      </w:pPr>
      <w:r>
        <w:rPr>
          <w:color w:val="auto"/>
          <w:highlight w:val="none"/>
        </w:rPr>
        <w:t>投标人或者其他利</w:t>
      </w:r>
      <w:bookmarkStart w:id="715" w:name="_Toc300834982"/>
      <w:bookmarkStart w:id="716" w:name="_Toc369531549"/>
      <w:bookmarkStart w:id="717" w:name="_Toc30095"/>
      <w:bookmarkStart w:id="718" w:name="_Toc384308243"/>
      <w:bookmarkStart w:id="719" w:name="_Toc247513985"/>
      <w:bookmarkStart w:id="720" w:name="_Toc361508618"/>
      <w:bookmarkStart w:id="721" w:name="_Toc247527586"/>
      <w:bookmarkStart w:id="722" w:name="_Toc352691505"/>
      <w:r>
        <w:rPr>
          <w:color w:val="auto"/>
          <w:highlight w:val="none"/>
        </w:rPr>
        <w:t>害关系人对评标结</w:t>
      </w:r>
      <w:bookmarkEnd w:id="715"/>
      <w:bookmarkEnd w:id="716"/>
      <w:bookmarkEnd w:id="717"/>
      <w:bookmarkEnd w:id="718"/>
      <w:bookmarkEnd w:id="719"/>
      <w:bookmarkEnd w:id="720"/>
      <w:bookmarkEnd w:id="721"/>
      <w:bookmarkEnd w:id="722"/>
      <w:r>
        <w:rPr>
          <w:color w:val="auto"/>
          <w:highlight w:val="none"/>
        </w:rPr>
        <w:t>果有异议的，应当在中标候选人公示期间提出。招标人将在收到异议之日起3日内作出答复；作出答复前，将暂停招标投标活动。</w:t>
      </w:r>
    </w:p>
    <w:p>
      <w:pPr>
        <w:pStyle w:val="6"/>
        <w:rPr>
          <w:rFonts w:hint="eastAsia" w:ascii="华文宋体" w:hAnsi="华文宋体" w:eastAsia="华文宋体"/>
          <w:color w:val="auto"/>
          <w:highlight w:val="none"/>
        </w:rPr>
      </w:pPr>
      <w:bookmarkStart w:id="723" w:name="_Toc55504938"/>
      <w:bookmarkStart w:id="724" w:name="_Toc26134"/>
      <w:bookmarkStart w:id="725" w:name="_Toc183772336"/>
      <w:bookmarkStart w:id="726" w:name="_Toc49284419"/>
      <w:bookmarkStart w:id="727" w:name="_Toc183770521"/>
      <w:bookmarkStart w:id="728" w:name="_Toc51965818"/>
      <w:bookmarkStart w:id="729" w:name="_Toc529528704"/>
      <w:bookmarkStart w:id="730" w:name="_Toc521674896"/>
      <w:bookmarkStart w:id="731" w:name="_Toc113286014"/>
      <w:bookmarkStart w:id="732" w:name="_Toc101107124"/>
      <w:bookmarkStart w:id="733" w:name="_Toc12375889"/>
      <w:r>
        <w:rPr>
          <w:rFonts w:hint="eastAsia" w:ascii="华文宋体" w:hAnsi="华文宋体" w:eastAsia="华文宋体"/>
          <w:color w:val="auto"/>
          <w:highlight w:val="none"/>
        </w:rPr>
        <w:t>7.3 中标候选人履约能力审查</w:t>
      </w:r>
      <w:bookmarkEnd w:id="723"/>
      <w:bookmarkEnd w:id="724"/>
      <w:bookmarkEnd w:id="725"/>
      <w:bookmarkEnd w:id="726"/>
      <w:bookmarkEnd w:id="727"/>
      <w:bookmarkEnd w:id="728"/>
      <w:bookmarkEnd w:id="729"/>
      <w:bookmarkEnd w:id="730"/>
      <w:bookmarkEnd w:id="731"/>
      <w:bookmarkEnd w:id="732"/>
      <w:bookmarkEnd w:id="733"/>
    </w:p>
    <w:p>
      <w:pPr>
        <w:spacing w:line="400" w:lineRule="exact"/>
        <w:ind w:firstLine="420" w:firstLineChars="200"/>
        <w:rPr>
          <w:color w:val="auto"/>
          <w:highlight w:val="none"/>
        </w:rPr>
      </w:pPr>
      <w:r>
        <w:rPr>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6"/>
        <w:rPr>
          <w:rFonts w:hint="eastAsia" w:ascii="华文宋体" w:hAnsi="华文宋体" w:eastAsia="华文宋体"/>
          <w:color w:val="auto"/>
          <w:highlight w:val="none"/>
        </w:rPr>
      </w:pPr>
      <w:bookmarkStart w:id="734" w:name="_Toc183770522"/>
      <w:bookmarkStart w:id="735" w:name="_Toc521674897"/>
      <w:bookmarkStart w:id="736" w:name="_Toc51965819"/>
      <w:bookmarkStart w:id="737" w:name="_Toc49284420"/>
      <w:bookmarkStart w:id="738" w:name="_Toc529528705"/>
      <w:bookmarkStart w:id="739" w:name="_Toc152045568"/>
      <w:bookmarkStart w:id="740" w:name="_Toc144974536"/>
      <w:bookmarkStart w:id="741" w:name="_Toc246996955"/>
      <w:bookmarkStart w:id="742" w:name="_Toc55504939"/>
      <w:bookmarkStart w:id="743" w:name="_Toc101107125"/>
      <w:bookmarkStart w:id="744" w:name="_Toc22483"/>
      <w:bookmarkStart w:id="745" w:name="_Toc12375890"/>
      <w:bookmarkStart w:id="746" w:name="_Toc152042344"/>
      <w:bookmarkStart w:id="747" w:name="_Toc246996212"/>
      <w:bookmarkStart w:id="748" w:name="_Toc179632586"/>
      <w:bookmarkStart w:id="749" w:name="_Toc247085726"/>
      <w:bookmarkStart w:id="750" w:name="_Toc183772337"/>
      <w:bookmarkStart w:id="751" w:name="_Toc113286015"/>
      <w:r>
        <w:rPr>
          <w:rFonts w:hint="eastAsia" w:ascii="华文宋体" w:hAnsi="华文宋体" w:eastAsia="华文宋体"/>
          <w:color w:val="auto"/>
          <w:highlight w:val="none"/>
        </w:rPr>
        <w:t>7.</w:t>
      </w:r>
      <w:r>
        <w:rPr>
          <w:rFonts w:ascii="华文宋体" w:hAnsi="华文宋体" w:eastAsia="华文宋体"/>
          <w:color w:val="auto"/>
          <w:highlight w:val="none"/>
        </w:rPr>
        <w:t>4</w:t>
      </w:r>
      <w:r>
        <w:rPr>
          <w:rFonts w:hint="eastAsia" w:ascii="华文宋体" w:hAnsi="华文宋体" w:eastAsia="华文宋体"/>
          <w:color w:val="auto"/>
          <w:highlight w:val="none"/>
        </w:rPr>
        <w:t xml:space="preserve"> 中标通知</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spacing w:line="400" w:lineRule="exact"/>
        <w:ind w:firstLine="420" w:firstLineChars="200"/>
        <w:rPr>
          <w:color w:val="auto"/>
          <w:highlight w:val="none"/>
        </w:rPr>
      </w:pPr>
      <w:r>
        <w:rPr>
          <w:rFonts w:hint="eastAsia"/>
          <w:color w:val="auto"/>
          <w:highlight w:val="none"/>
        </w:rPr>
        <w:t>在本章第3.3款规定的投标有效期内，招标人以书面形式向中标人发出中标通知书，同时将中标结果通知未中标的投标人。</w:t>
      </w:r>
    </w:p>
    <w:p>
      <w:pPr>
        <w:pStyle w:val="6"/>
        <w:rPr>
          <w:rFonts w:hint="eastAsia" w:ascii="华文宋体" w:hAnsi="华文宋体" w:eastAsia="华文宋体"/>
          <w:color w:val="auto"/>
          <w:highlight w:val="none"/>
        </w:rPr>
      </w:pPr>
      <w:bookmarkStart w:id="752" w:name="_Toc246996956"/>
      <w:bookmarkStart w:id="753" w:name="_Toc113286016"/>
      <w:bookmarkStart w:id="754" w:name="_Toc179632587"/>
      <w:bookmarkStart w:id="755" w:name="_Toc144974537"/>
      <w:bookmarkStart w:id="756" w:name="_Toc101107126"/>
      <w:bookmarkStart w:id="757" w:name="_Toc247085727"/>
      <w:bookmarkStart w:id="758" w:name="_Toc183770523"/>
      <w:bookmarkStart w:id="759" w:name="_Toc651"/>
      <w:bookmarkStart w:id="760" w:name="_Toc12375891"/>
      <w:bookmarkStart w:id="761" w:name="_Toc521674898"/>
      <w:bookmarkStart w:id="762" w:name="_Toc49284421"/>
      <w:bookmarkStart w:id="763" w:name="_Toc246996213"/>
      <w:bookmarkStart w:id="764" w:name="_Toc183772338"/>
      <w:bookmarkStart w:id="765" w:name="_Toc152042345"/>
      <w:bookmarkStart w:id="766" w:name="_Toc51965820"/>
      <w:bookmarkStart w:id="767" w:name="_Toc529528706"/>
      <w:bookmarkStart w:id="768" w:name="_Toc55504940"/>
      <w:bookmarkStart w:id="769" w:name="_Toc152045569"/>
      <w:r>
        <w:rPr>
          <w:rFonts w:hint="eastAsia" w:ascii="华文宋体" w:hAnsi="华文宋体" w:eastAsia="华文宋体"/>
          <w:color w:val="auto"/>
          <w:highlight w:val="none"/>
        </w:rPr>
        <w:t>7.</w:t>
      </w:r>
      <w:r>
        <w:rPr>
          <w:rFonts w:ascii="华文宋体" w:hAnsi="华文宋体" w:eastAsia="华文宋体"/>
          <w:color w:val="auto"/>
          <w:highlight w:val="none"/>
        </w:rPr>
        <w:t>5</w:t>
      </w:r>
      <w:r>
        <w:rPr>
          <w:rFonts w:hint="eastAsia" w:ascii="华文宋体" w:hAnsi="华文宋体" w:eastAsia="华文宋体"/>
          <w:color w:val="auto"/>
          <w:highlight w:val="none"/>
        </w:rPr>
        <w:t xml:space="preserve"> 履约担保</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pPr>
        <w:spacing w:line="400" w:lineRule="exact"/>
        <w:ind w:firstLine="420" w:firstLineChars="200"/>
        <w:rPr>
          <w:color w:val="auto"/>
          <w:highlight w:val="none"/>
        </w:rPr>
      </w:pPr>
      <w:r>
        <w:rPr>
          <w:rFonts w:hint="eastAsia"/>
          <w:color w:val="auto"/>
          <w:highlight w:val="none"/>
        </w:rPr>
        <w:t>7.</w:t>
      </w:r>
      <w:r>
        <w:rPr>
          <w:color w:val="auto"/>
          <w:highlight w:val="none"/>
        </w:rPr>
        <w:t>5</w:t>
      </w:r>
      <w:r>
        <w:rPr>
          <w:rFonts w:hint="eastAsia"/>
          <w:color w:val="auto"/>
          <w:highlight w:val="none"/>
        </w:rPr>
        <w:t>.1在签订合同</w:t>
      </w:r>
      <w:r>
        <w:rPr>
          <w:rFonts w:hint="eastAsia"/>
          <w:b/>
          <w:bCs/>
          <w:color w:val="auto"/>
          <w:highlight w:val="none"/>
          <w:u w:val="single"/>
          <w:lang w:val="en-US" w:eastAsia="zh-CN"/>
        </w:rPr>
        <w:t>后七个工作日内</w:t>
      </w:r>
      <w:r>
        <w:rPr>
          <w:rFonts w:hint="eastAsia"/>
          <w:color w:val="auto"/>
          <w:highlight w:val="none"/>
        </w:rPr>
        <w:t>，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w:t>
      </w:r>
      <w:r>
        <w:rPr>
          <w:rFonts w:hint="eastAsia"/>
          <w:color w:val="auto"/>
          <w:highlight w:val="none"/>
          <w:lang w:eastAsia="zh-CN"/>
        </w:rPr>
        <w:t>3</w:t>
      </w:r>
      <w:r>
        <w:rPr>
          <w:rFonts w:hint="eastAsia"/>
          <w:color w:val="auto"/>
          <w:highlight w:val="none"/>
        </w:rPr>
        <w:t>%。</w:t>
      </w:r>
    </w:p>
    <w:p>
      <w:pPr>
        <w:spacing w:line="400" w:lineRule="exact"/>
        <w:ind w:firstLine="420" w:firstLineChars="200"/>
        <w:rPr>
          <w:color w:val="auto"/>
          <w:highlight w:val="none"/>
        </w:rPr>
      </w:pPr>
      <w:r>
        <w:rPr>
          <w:rFonts w:hint="eastAsia"/>
          <w:color w:val="auto"/>
          <w:highlight w:val="none"/>
        </w:rPr>
        <w:t>7.</w:t>
      </w:r>
      <w:r>
        <w:rPr>
          <w:color w:val="auto"/>
          <w:highlight w:val="none"/>
        </w:rPr>
        <w:t>5</w:t>
      </w:r>
      <w:r>
        <w:rPr>
          <w:rFonts w:hint="eastAsia"/>
          <w:color w:val="auto"/>
          <w:highlight w:val="none"/>
        </w:rPr>
        <w:t>.2 中标人不能按本章第7.</w:t>
      </w:r>
      <w:r>
        <w:rPr>
          <w:color w:val="auto"/>
          <w:highlight w:val="none"/>
        </w:rPr>
        <w:t>5</w:t>
      </w:r>
      <w:r>
        <w:rPr>
          <w:rFonts w:hint="eastAsia"/>
          <w:color w:val="auto"/>
          <w:highlight w:val="none"/>
        </w:rPr>
        <w:t>.1项要求提交履约担保的，视为放弃中标，其投标保证金不予退还，给招标人造成的损失超过投标保证金数额的，中标人还应当对超过部分予以赔偿。</w:t>
      </w:r>
    </w:p>
    <w:p>
      <w:pPr>
        <w:pStyle w:val="6"/>
        <w:rPr>
          <w:rFonts w:hint="eastAsia" w:ascii="华文宋体" w:hAnsi="华文宋体" w:eastAsia="华文宋体"/>
          <w:color w:val="auto"/>
          <w:highlight w:val="none"/>
        </w:rPr>
      </w:pPr>
      <w:bookmarkStart w:id="770" w:name="_Toc152042346"/>
      <w:bookmarkStart w:id="771" w:name="_Toc179632588"/>
      <w:bookmarkStart w:id="772" w:name="_Toc246996957"/>
      <w:bookmarkStart w:id="773" w:name="_Toc152045570"/>
      <w:bookmarkStart w:id="774" w:name="_Toc49284422"/>
      <w:bookmarkStart w:id="775" w:name="_Toc246996214"/>
      <w:bookmarkStart w:id="776" w:name="_Toc144974538"/>
      <w:bookmarkStart w:id="777" w:name="_Toc183772339"/>
      <w:bookmarkStart w:id="778" w:name="_Toc51965821"/>
      <w:bookmarkStart w:id="779" w:name="_Toc247085728"/>
      <w:bookmarkStart w:id="780" w:name="_Toc521674899"/>
      <w:bookmarkStart w:id="781" w:name="_Toc12375892"/>
      <w:bookmarkStart w:id="782" w:name="_Toc55504941"/>
      <w:bookmarkStart w:id="783" w:name="_Toc529528707"/>
      <w:bookmarkStart w:id="784" w:name="_Toc101107127"/>
      <w:bookmarkStart w:id="785" w:name="_Toc18373"/>
      <w:bookmarkStart w:id="786" w:name="_Toc183770524"/>
      <w:bookmarkStart w:id="787" w:name="_Toc113286017"/>
      <w:r>
        <w:rPr>
          <w:rFonts w:hint="eastAsia" w:ascii="华文宋体" w:hAnsi="华文宋体" w:eastAsia="华文宋体"/>
          <w:color w:val="auto"/>
          <w:highlight w:val="none"/>
        </w:rPr>
        <w:t>7.</w:t>
      </w:r>
      <w:r>
        <w:rPr>
          <w:rFonts w:ascii="华文宋体" w:hAnsi="华文宋体" w:eastAsia="华文宋体"/>
          <w:color w:val="auto"/>
          <w:highlight w:val="none"/>
        </w:rPr>
        <w:t>6</w:t>
      </w:r>
      <w:r>
        <w:rPr>
          <w:rFonts w:hint="eastAsia" w:ascii="华文宋体" w:hAnsi="华文宋体" w:eastAsia="华文宋体"/>
          <w:color w:val="auto"/>
          <w:highlight w:val="none"/>
        </w:rPr>
        <w:t xml:space="preserve"> 签订合同</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spacing w:line="400" w:lineRule="exact"/>
        <w:ind w:firstLine="420" w:firstLineChars="200"/>
        <w:rPr>
          <w:color w:val="auto"/>
          <w:highlight w:val="none"/>
        </w:rPr>
      </w:pPr>
      <w:r>
        <w:rPr>
          <w:rFonts w:hint="eastAsia"/>
          <w:color w:val="auto"/>
          <w:highlight w:val="none"/>
        </w:rPr>
        <w:t>7.</w:t>
      </w:r>
      <w:r>
        <w:rPr>
          <w:color w:val="auto"/>
          <w:highlight w:val="none"/>
        </w:rPr>
        <w:t>6</w:t>
      </w:r>
      <w:r>
        <w:rPr>
          <w:rFonts w:hint="eastAsia"/>
          <w:color w:val="auto"/>
          <w:highlight w:val="none"/>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color w:val="auto"/>
          <w:highlight w:val="none"/>
        </w:rPr>
      </w:pPr>
      <w:r>
        <w:rPr>
          <w:rFonts w:hint="eastAsia"/>
          <w:color w:val="auto"/>
          <w:highlight w:val="none"/>
        </w:rPr>
        <w:t>7.</w:t>
      </w:r>
      <w:r>
        <w:rPr>
          <w:color w:val="auto"/>
          <w:highlight w:val="none"/>
        </w:rPr>
        <w:t>6</w:t>
      </w:r>
      <w:r>
        <w:rPr>
          <w:rFonts w:hint="eastAsia"/>
          <w:color w:val="auto"/>
          <w:highlight w:val="none"/>
        </w:rPr>
        <w:t>.2 发出中标通知书后，招标人无正当理由拒签合同的，招标人向中标人退还投标保证金；给中标人造成损失的，还应当赔偿损失。</w:t>
      </w:r>
    </w:p>
    <w:p>
      <w:pPr>
        <w:pStyle w:val="5"/>
        <w:rPr>
          <w:rFonts w:hint="eastAsia" w:ascii="华文宋体" w:hAnsi="华文宋体" w:eastAsia="华文宋体"/>
          <w:color w:val="auto"/>
          <w:highlight w:val="none"/>
        </w:rPr>
      </w:pPr>
      <w:bookmarkStart w:id="788" w:name="_Toc6243"/>
      <w:r>
        <w:rPr>
          <w:rFonts w:hint="eastAsia" w:ascii="华文宋体" w:hAnsi="华文宋体" w:eastAsia="华文宋体"/>
          <w:color w:val="auto"/>
          <w:highlight w:val="none"/>
        </w:rPr>
        <w:t>8. 纪律和监督</w:t>
      </w:r>
      <w:bookmarkEnd w:id="788"/>
    </w:p>
    <w:p>
      <w:pPr>
        <w:pStyle w:val="6"/>
        <w:rPr>
          <w:rFonts w:hint="eastAsia" w:ascii="华文宋体" w:hAnsi="华文宋体" w:eastAsia="华文宋体"/>
          <w:color w:val="auto"/>
          <w:highlight w:val="none"/>
        </w:rPr>
      </w:pPr>
      <w:bookmarkStart w:id="789" w:name="_Toc144974543"/>
      <w:bookmarkStart w:id="790" w:name="_Toc101107129"/>
      <w:bookmarkStart w:id="791" w:name="_Toc55504943"/>
      <w:bookmarkStart w:id="792" w:name="_Toc152045575"/>
      <w:bookmarkStart w:id="793" w:name="_Toc113286019"/>
      <w:bookmarkStart w:id="794" w:name="_Toc49284424"/>
      <w:bookmarkStart w:id="795" w:name="_Toc12375894"/>
      <w:bookmarkStart w:id="796" w:name="_Toc246996962"/>
      <w:bookmarkStart w:id="797" w:name="_Toc13397"/>
      <w:bookmarkStart w:id="798" w:name="_Toc152042351"/>
      <w:bookmarkStart w:id="799" w:name="_Toc183770526"/>
      <w:bookmarkStart w:id="800" w:name="_Toc246996219"/>
      <w:bookmarkStart w:id="801" w:name="_Toc179632593"/>
      <w:bookmarkStart w:id="802" w:name="_Toc521674901"/>
      <w:bookmarkStart w:id="803" w:name="_Toc296590983"/>
      <w:bookmarkStart w:id="804" w:name="_Toc51965823"/>
      <w:bookmarkStart w:id="805" w:name="_Toc529528709"/>
      <w:bookmarkStart w:id="806" w:name="_Toc247085733"/>
      <w:bookmarkStart w:id="807" w:name="_Toc183772341"/>
      <w:r>
        <w:rPr>
          <w:rFonts w:hint="eastAsia" w:ascii="华文宋体" w:hAnsi="华文宋体" w:eastAsia="华文宋体"/>
          <w:color w:val="auto"/>
          <w:highlight w:val="none"/>
        </w:rPr>
        <w:t>8.1 对招标人的纪律要求</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spacing w:line="400" w:lineRule="exact"/>
        <w:ind w:firstLine="420" w:firstLineChars="20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pPr>
        <w:pStyle w:val="6"/>
        <w:rPr>
          <w:rFonts w:hint="eastAsia" w:ascii="华文宋体" w:hAnsi="华文宋体" w:eastAsia="华文宋体"/>
          <w:color w:val="auto"/>
          <w:highlight w:val="none"/>
        </w:rPr>
      </w:pPr>
      <w:bookmarkStart w:id="808" w:name="_Toc247085734"/>
      <w:bookmarkStart w:id="809" w:name="_Toc51965824"/>
      <w:bookmarkStart w:id="810" w:name="_Toc521674902"/>
      <w:bookmarkStart w:id="811" w:name="_Toc12375895"/>
      <w:bookmarkStart w:id="812" w:name="_Toc152045576"/>
      <w:bookmarkStart w:id="813" w:name="_Toc246996220"/>
      <w:bookmarkStart w:id="814" w:name="_Toc183772342"/>
      <w:bookmarkStart w:id="815" w:name="_Toc113286020"/>
      <w:bookmarkStart w:id="816" w:name="_Toc49284425"/>
      <w:bookmarkStart w:id="817" w:name="_Toc144974544"/>
      <w:bookmarkStart w:id="818" w:name="_Toc246996963"/>
      <w:bookmarkStart w:id="819" w:name="_Toc183770527"/>
      <w:bookmarkStart w:id="820" w:name="_Toc529528710"/>
      <w:bookmarkStart w:id="821" w:name="_Toc179632594"/>
      <w:bookmarkStart w:id="822" w:name="_Toc11019"/>
      <w:bookmarkStart w:id="823" w:name="_Toc152042352"/>
      <w:bookmarkStart w:id="824" w:name="_Toc101107130"/>
      <w:bookmarkStart w:id="825" w:name="_Toc55504944"/>
      <w:r>
        <w:rPr>
          <w:rFonts w:hint="eastAsia" w:ascii="华文宋体" w:hAnsi="华文宋体" w:eastAsia="华文宋体"/>
          <w:color w:val="auto"/>
          <w:highlight w:val="none"/>
        </w:rPr>
        <w:t>8.2 对投标人的纪律要求</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pPr>
        <w:spacing w:line="400" w:lineRule="exact"/>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rPr>
          <w:rFonts w:hint="eastAsia" w:ascii="华文宋体" w:hAnsi="华文宋体" w:eastAsia="华文宋体"/>
          <w:color w:val="auto"/>
          <w:highlight w:val="none"/>
        </w:rPr>
      </w:pPr>
      <w:bookmarkStart w:id="826" w:name="_Toc183772343"/>
      <w:bookmarkStart w:id="827" w:name="_Toc19319"/>
      <w:bookmarkStart w:id="828" w:name="_Toc51965825"/>
      <w:bookmarkStart w:id="829" w:name="_Toc113286021"/>
      <w:bookmarkStart w:id="830" w:name="_Toc521674903"/>
      <w:bookmarkStart w:id="831" w:name="_Toc49284426"/>
      <w:bookmarkStart w:id="832" w:name="_Toc246996964"/>
      <w:bookmarkStart w:id="833" w:name="_Toc12375896"/>
      <w:bookmarkStart w:id="834" w:name="_Toc247085735"/>
      <w:bookmarkStart w:id="835" w:name="_Toc179632595"/>
      <w:bookmarkStart w:id="836" w:name="_Toc529528711"/>
      <w:bookmarkStart w:id="837" w:name="_Toc101107131"/>
      <w:bookmarkStart w:id="838" w:name="_Toc144974545"/>
      <w:bookmarkStart w:id="839" w:name="_Toc152045577"/>
      <w:bookmarkStart w:id="840" w:name="_Toc55504945"/>
      <w:bookmarkStart w:id="841" w:name="_Toc246996221"/>
      <w:bookmarkStart w:id="842" w:name="_Toc183770528"/>
      <w:bookmarkStart w:id="843" w:name="_Toc152042353"/>
      <w:r>
        <w:rPr>
          <w:rFonts w:hint="eastAsia" w:ascii="华文宋体" w:hAnsi="华文宋体" w:eastAsia="华文宋体"/>
          <w:color w:val="auto"/>
          <w:highlight w:val="none"/>
        </w:rPr>
        <w:t>8.3 对评标委员会成员的纪律要求</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pPr>
        <w:spacing w:line="400" w:lineRule="exact"/>
        <w:ind w:firstLine="420" w:firstLineChars="200"/>
        <w:rPr>
          <w:color w:val="auto"/>
          <w:highlight w:val="none"/>
        </w:rPr>
      </w:pPr>
      <w:r>
        <w:rPr>
          <w:rFonts w:hint="eastAsia"/>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rPr>
          <w:rFonts w:hint="eastAsia" w:ascii="华文宋体" w:hAnsi="华文宋体" w:eastAsia="华文宋体"/>
          <w:color w:val="auto"/>
          <w:highlight w:val="none"/>
        </w:rPr>
      </w:pPr>
      <w:bookmarkStart w:id="844" w:name="_Toc28666"/>
      <w:bookmarkStart w:id="845" w:name="_Toc49284427"/>
      <w:bookmarkStart w:id="846" w:name="_Toc246996965"/>
      <w:bookmarkStart w:id="847" w:name="_Toc51965826"/>
      <w:bookmarkStart w:id="848" w:name="_Toc152045578"/>
      <w:bookmarkStart w:id="849" w:name="_Toc183770529"/>
      <w:bookmarkStart w:id="850" w:name="_Toc246996222"/>
      <w:bookmarkStart w:id="851" w:name="_Toc247085736"/>
      <w:bookmarkStart w:id="852" w:name="_Toc101107132"/>
      <w:bookmarkStart w:id="853" w:name="_Toc179632596"/>
      <w:bookmarkStart w:id="854" w:name="_Toc529528712"/>
      <w:bookmarkStart w:id="855" w:name="_Toc55504946"/>
      <w:bookmarkStart w:id="856" w:name="_Toc521674904"/>
      <w:bookmarkStart w:id="857" w:name="_Toc113286022"/>
      <w:bookmarkStart w:id="858" w:name="_Toc12375897"/>
      <w:bookmarkStart w:id="859" w:name="_Toc152042354"/>
      <w:bookmarkStart w:id="860" w:name="_Toc183772344"/>
      <w:bookmarkStart w:id="861" w:name="_Toc144974546"/>
      <w:r>
        <w:rPr>
          <w:rFonts w:hint="eastAsia" w:ascii="华文宋体" w:hAnsi="华文宋体" w:eastAsia="华文宋体"/>
          <w:color w:val="auto"/>
          <w:highlight w:val="none"/>
        </w:rPr>
        <w:t>8.4 对与评标活动有关的工作人员的纪律要求</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pPr>
        <w:spacing w:line="400" w:lineRule="exact"/>
        <w:ind w:firstLine="420" w:firstLineChars="200"/>
        <w:rPr>
          <w:color w:val="auto"/>
          <w:highlight w:val="none"/>
        </w:rPr>
      </w:pPr>
      <w:bookmarkStart w:id="862" w:name="_Toc152042355"/>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62"/>
    </w:p>
    <w:p>
      <w:pPr>
        <w:pStyle w:val="6"/>
        <w:rPr>
          <w:rFonts w:hint="eastAsia" w:ascii="华文宋体" w:hAnsi="华文宋体" w:eastAsia="华文宋体"/>
          <w:color w:val="auto"/>
          <w:highlight w:val="none"/>
        </w:rPr>
      </w:pPr>
      <w:bookmarkStart w:id="863" w:name="_Toc152045579"/>
      <w:bookmarkStart w:id="864" w:name="_Toc101107133"/>
      <w:bookmarkStart w:id="865" w:name="_Toc152042356"/>
      <w:bookmarkStart w:id="866" w:name="_Toc246996223"/>
      <w:bookmarkStart w:id="867" w:name="_Toc49284428"/>
      <w:bookmarkStart w:id="868" w:name="_Toc183772345"/>
      <w:bookmarkStart w:id="869" w:name="_Toc183770530"/>
      <w:bookmarkStart w:id="870" w:name="_Toc179632597"/>
      <w:bookmarkStart w:id="871" w:name="_Toc55504947"/>
      <w:bookmarkStart w:id="872" w:name="_Toc113286023"/>
      <w:bookmarkStart w:id="873" w:name="_Toc247085737"/>
      <w:bookmarkStart w:id="874" w:name="_Toc30415"/>
      <w:bookmarkStart w:id="875" w:name="_Toc529528713"/>
      <w:bookmarkStart w:id="876" w:name="_Toc51965827"/>
      <w:bookmarkStart w:id="877" w:name="_Toc246996966"/>
      <w:bookmarkStart w:id="878" w:name="_Toc521674905"/>
      <w:bookmarkStart w:id="879" w:name="_Toc12375898"/>
      <w:r>
        <w:rPr>
          <w:rFonts w:hint="eastAsia" w:ascii="华文宋体" w:hAnsi="华文宋体" w:eastAsia="华文宋体"/>
          <w:color w:val="auto"/>
          <w:highlight w:val="none"/>
        </w:rPr>
        <w:t>8.5 投诉</w:t>
      </w:r>
      <w:bookmarkEnd w:id="861"/>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pPr>
        <w:spacing w:line="400" w:lineRule="exact"/>
        <w:ind w:firstLine="420" w:firstLineChars="200"/>
        <w:rPr>
          <w:color w:val="auto"/>
          <w:highlight w:val="none"/>
        </w:rPr>
      </w:pPr>
      <w:bookmarkStart w:id="880" w:name="_Toc246996967"/>
      <w:bookmarkStart w:id="881" w:name="_Toc246996224"/>
      <w:bookmarkStart w:id="882" w:name="_Toc179632598"/>
      <w:bookmarkStart w:id="883" w:name="_Toc152042357"/>
      <w:bookmarkStart w:id="884" w:name="_Toc152045580"/>
      <w:bookmarkStart w:id="885" w:name="_Toc247085738"/>
      <w:bookmarkStart w:id="886" w:name="_Toc144974547"/>
      <w:r>
        <w:rPr>
          <w:color w:val="auto"/>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color w:val="auto"/>
          <w:highlight w:val="none"/>
        </w:rPr>
      </w:pPr>
      <w:r>
        <w:rPr>
          <w:color w:val="auto"/>
          <w:highlight w:val="none"/>
        </w:rPr>
        <w:t>8.5.2 投标人或者其他利害关系人对招标文件、开标和评标结果提出投诉的，应当按照投标人须知第2.4款、第5.3款和第7.2款的规定先向招标人提出异议。异议答复期间</w:t>
      </w:r>
      <w:bookmarkStart w:id="887" w:name="_Toc352691517"/>
      <w:bookmarkStart w:id="888" w:name="_Toc300834993"/>
      <w:bookmarkStart w:id="889" w:name="_Toc369531561"/>
      <w:bookmarkStart w:id="890" w:name="_Toc247513994"/>
      <w:bookmarkStart w:id="891" w:name="_Toc247527595"/>
      <w:bookmarkStart w:id="892" w:name="_Toc361508630"/>
      <w:bookmarkStart w:id="893" w:name="_Toc384308255"/>
      <w:bookmarkStart w:id="894" w:name="_Toc12776"/>
      <w:r>
        <w:rPr>
          <w:color w:val="auto"/>
          <w:highlight w:val="none"/>
        </w:rPr>
        <w:t>不计算在第8.5.</w:t>
      </w:r>
      <w:bookmarkEnd w:id="887"/>
      <w:bookmarkEnd w:id="888"/>
      <w:bookmarkEnd w:id="889"/>
      <w:bookmarkEnd w:id="890"/>
      <w:bookmarkEnd w:id="891"/>
      <w:bookmarkEnd w:id="892"/>
      <w:bookmarkEnd w:id="893"/>
      <w:bookmarkEnd w:id="894"/>
      <w:r>
        <w:rPr>
          <w:color w:val="auto"/>
          <w:highlight w:val="none"/>
        </w:rPr>
        <w:t>1项规定的期限内。</w:t>
      </w:r>
    </w:p>
    <w:p>
      <w:pPr>
        <w:pStyle w:val="5"/>
        <w:rPr>
          <w:rFonts w:hint="eastAsia" w:ascii="华文宋体" w:hAnsi="华文宋体" w:eastAsia="华文宋体"/>
          <w:color w:val="auto"/>
          <w:highlight w:val="none"/>
        </w:rPr>
      </w:pPr>
      <w:bookmarkStart w:id="895" w:name="_Toc13346"/>
      <w:r>
        <w:rPr>
          <w:rFonts w:hint="eastAsia" w:ascii="华文宋体" w:hAnsi="华文宋体" w:eastAsia="华文宋体"/>
          <w:color w:val="auto"/>
          <w:highlight w:val="none"/>
        </w:rPr>
        <w:t>9. 电子招标投标</w:t>
      </w:r>
      <w:bookmarkEnd w:id="880"/>
      <w:bookmarkEnd w:id="881"/>
      <w:bookmarkEnd w:id="882"/>
      <w:bookmarkEnd w:id="883"/>
      <w:bookmarkEnd w:id="884"/>
      <w:bookmarkEnd w:id="885"/>
      <w:bookmarkEnd w:id="886"/>
      <w:bookmarkEnd w:id="895"/>
    </w:p>
    <w:p>
      <w:pPr>
        <w:ind w:firstLine="420" w:firstLineChars="200"/>
        <w:rPr>
          <w:color w:val="auto"/>
          <w:highlight w:val="none"/>
        </w:rPr>
      </w:pPr>
      <w:r>
        <w:rPr>
          <w:rFonts w:hint="eastAsia"/>
          <w:color w:val="auto"/>
          <w:highlight w:val="none"/>
        </w:rPr>
        <w:t>采用电子招标投标，对投标文件的编制、密封和标记、递交、开标、评标等的具体要求，见投标人须知前附表。</w:t>
      </w:r>
    </w:p>
    <w:p>
      <w:pPr>
        <w:pStyle w:val="5"/>
        <w:rPr>
          <w:rFonts w:hint="eastAsia" w:ascii="华文宋体" w:hAnsi="华文宋体" w:eastAsia="华文宋体"/>
          <w:color w:val="auto"/>
          <w:highlight w:val="none"/>
        </w:rPr>
      </w:pPr>
      <w:bookmarkStart w:id="896" w:name="_Toc14816"/>
      <w:r>
        <w:rPr>
          <w:rFonts w:hint="eastAsia" w:ascii="华文宋体" w:hAnsi="华文宋体" w:eastAsia="华文宋体"/>
          <w:color w:val="auto"/>
          <w:highlight w:val="none"/>
        </w:rPr>
        <w:t>10．需要补充的其他内容</w:t>
      </w:r>
      <w:bookmarkEnd w:id="896"/>
    </w:p>
    <w:p>
      <w:pPr>
        <w:spacing w:line="400" w:lineRule="exact"/>
        <w:ind w:firstLine="420" w:firstLineChars="200"/>
        <w:rPr>
          <w:color w:val="auto"/>
          <w:highlight w:val="none"/>
        </w:rPr>
      </w:pPr>
      <w:r>
        <w:rPr>
          <w:rFonts w:hint="eastAsia"/>
          <w:color w:val="auto"/>
          <w:highlight w:val="none"/>
        </w:rPr>
        <w:t>需要补充的其他内容：见投标人须知前附表。</w:t>
      </w:r>
    </w:p>
    <w:p>
      <w:pPr>
        <w:spacing w:line="400" w:lineRule="exact"/>
        <w:rPr>
          <w:color w:val="auto"/>
          <w:highlight w:val="none"/>
        </w:rPr>
      </w:pPr>
    </w:p>
    <w:p>
      <w:pPr>
        <w:spacing w:line="400" w:lineRule="exact"/>
        <w:rPr>
          <w:color w:val="auto"/>
          <w:highlight w:val="none"/>
        </w:rPr>
      </w:pPr>
      <w:r>
        <w:rPr>
          <w:color w:val="auto"/>
          <w:highlight w:val="none"/>
        </w:rPr>
        <w:br w:type="page"/>
      </w:r>
    </w:p>
    <w:p>
      <w:pPr>
        <w:pStyle w:val="4"/>
        <w:jc w:val="center"/>
        <w:rPr>
          <w:color w:val="auto"/>
          <w:highlight w:val="none"/>
        </w:rPr>
      </w:pPr>
      <w:bookmarkStart w:id="897" w:name="_Toc246996984"/>
      <w:bookmarkStart w:id="898" w:name="_Toc247085756"/>
      <w:bookmarkStart w:id="899" w:name="_Toc144974565"/>
      <w:bookmarkStart w:id="900" w:name="_Toc179632616"/>
      <w:bookmarkStart w:id="901" w:name="_Toc246996241"/>
      <w:bookmarkStart w:id="902" w:name="_Toc152042375"/>
      <w:bookmarkStart w:id="903" w:name="_Toc152045598"/>
      <w:bookmarkStart w:id="904" w:name="_Toc5617"/>
      <w:r>
        <w:rPr>
          <w:rFonts w:hint="eastAsia"/>
          <w:color w:val="auto"/>
          <w:highlight w:val="none"/>
        </w:rPr>
        <w:t>第三章 评标办法（综合评估法）</w:t>
      </w:r>
      <w:bookmarkEnd w:id="897"/>
      <w:bookmarkEnd w:id="898"/>
      <w:bookmarkEnd w:id="899"/>
      <w:bookmarkEnd w:id="900"/>
      <w:bookmarkEnd w:id="901"/>
      <w:bookmarkEnd w:id="902"/>
      <w:bookmarkEnd w:id="903"/>
      <w:bookmarkEnd w:id="904"/>
    </w:p>
    <w:p>
      <w:pPr>
        <w:pStyle w:val="4"/>
        <w:jc w:val="left"/>
        <w:rPr>
          <w:color w:val="auto"/>
          <w:highlight w:val="none"/>
        </w:rPr>
      </w:pPr>
      <w:bookmarkStart w:id="905" w:name="_Toc246996242"/>
      <w:bookmarkStart w:id="906" w:name="_Toc247085757"/>
      <w:bookmarkStart w:id="907" w:name="_Toc179632617"/>
      <w:bookmarkStart w:id="908" w:name="_Toc152042376"/>
      <w:bookmarkStart w:id="909" w:name="_Toc144974566"/>
      <w:bookmarkStart w:id="910" w:name="_Toc152045599"/>
      <w:bookmarkStart w:id="911" w:name="_Toc246996985"/>
      <w:bookmarkStart w:id="912" w:name="_Toc1676"/>
      <w:r>
        <w:rPr>
          <w:rFonts w:hint="eastAsia"/>
          <w:color w:val="auto"/>
          <w:sz w:val="32"/>
          <w:szCs w:val="32"/>
          <w:highlight w:val="none"/>
        </w:rPr>
        <w:t>评标办法前附表</w:t>
      </w:r>
      <w:bookmarkEnd w:id="905"/>
      <w:bookmarkEnd w:id="906"/>
      <w:bookmarkEnd w:id="907"/>
      <w:bookmarkEnd w:id="908"/>
      <w:bookmarkEnd w:id="909"/>
      <w:bookmarkEnd w:id="910"/>
      <w:bookmarkEnd w:id="911"/>
      <w:bookmarkEnd w:id="912"/>
    </w:p>
    <w:tbl>
      <w:tblPr>
        <w:tblStyle w:val="74"/>
        <w:tblW w:w="9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559"/>
        <w:gridCol w:w="2273"/>
        <w:gridCol w:w="51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5" w:type="dxa"/>
            <w:gridSpan w:val="2"/>
            <w:tcBorders>
              <w:top w:val="single" w:color="auto" w:sz="4" w:space="0"/>
              <w:bottom w:val="single" w:color="auto" w:sz="4" w:space="0"/>
              <w:right w:val="single" w:color="auto" w:sz="4" w:space="0"/>
            </w:tcBorders>
            <w:vAlign w:val="center"/>
          </w:tcPr>
          <w:p>
            <w:pPr>
              <w:spacing w:line="440" w:lineRule="exact"/>
              <w:jc w:val="center"/>
              <w:rPr>
                <w:b/>
                <w:color w:val="auto"/>
                <w:szCs w:val="21"/>
                <w:highlight w:val="none"/>
              </w:rPr>
            </w:pPr>
            <w:r>
              <w:rPr>
                <w:b/>
                <w:color w:val="auto"/>
                <w:szCs w:val="21"/>
                <w:highlight w:val="none"/>
              </w:rPr>
              <w:t>条款号</w:t>
            </w: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szCs w:val="21"/>
                <w:highlight w:val="none"/>
              </w:rPr>
            </w:pPr>
            <w:r>
              <w:rPr>
                <w:b/>
                <w:color w:val="auto"/>
                <w:szCs w:val="21"/>
                <w:highlight w:val="none"/>
              </w:rPr>
              <w:t>评审因素</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szCs w:val="21"/>
                <w:highlight w:val="none"/>
              </w:rPr>
            </w:pPr>
            <w:r>
              <w:rPr>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1</w:t>
            </w:r>
          </w:p>
        </w:tc>
        <w:tc>
          <w:tcPr>
            <w:tcW w:w="1559" w:type="dxa"/>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评标办法</w:t>
            </w: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szCs w:val="21"/>
                <w:highlight w:val="none"/>
              </w:rPr>
            </w:pPr>
            <w:r>
              <w:rPr>
                <w:color w:val="auto"/>
                <w:highlight w:val="none"/>
              </w:rPr>
              <w:t>中标候选人排序方法</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color w:val="auto"/>
                <w:highlight w:val="none"/>
              </w:rPr>
            </w:pPr>
            <w:r>
              <w:rPr>
                <w:color w:val="auto"/>
                <w:highlight w:val="none"/>
              </w:rPr>
              <w:t>本次评标采用综合评估法。综合评分相等时，以投标报价低的优先；投标报价也相等的，以技术标得分高的优先；如果技术标得分也相等，则由评委通过记名投票表决（不得弃权），以“少数服从多数”的原则确定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restart"/>
            <w:tcBorders>
              <w:top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2.1.1</w:t>
            </w:r>
          </w:p>
        </w:tc>
        <w:tc>
          <w:tcPr>
            <w:tcW w:w="1559" w:type="dxa"/>
            <w:vMerge w:val="restart"/>
            <w:tcBorders>
              <w:top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形式评审标准</w:t>
            </w: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投标人名称</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szCs w:val="21"/>
                <w:highlight w:val="none"/>
              </w:rPr>
              <w:t>与营业执照、资质证书、安全生产许可证一致</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right w:val="single" w:color="auto" w:sz="4" w:space="0"/>
            </w:tcBorders>
            <w:vAlign w:val="center"/>
          </w:tcPr>
          <w:p>
            <w:pPr>
              <w:spacing w:line="440" w:lineRule="exact"/>
              <w:jc w:val="center"/>
              <w:rPr>
                <w:color w:val="auto"/>
                <w:szCs w:val="21"/>
                <w:highlight w:val="none"/>
              </w:rPr>
            </w:pPr>
          </w:p>
        </w:tc>
        <w:tc>
          <w:tcPr>
            <w:tcW w:w="1559" w:type="dxa"/>
            <w:vMerge w:val="continue"/>
            <w:tcBorders>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highlight w:val="none"/>
              </w:rPr>
              <w:t>投标函签字盖章</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szCs w:val="21"/>
                <w:highlight w:val="none"/>
              </w:rPr>
              <w:t>有法定代表人（或其委托代理人）、项目负责人、技术负责人签字并加盖单位公章。</w:t>
            </w:r>
            <w:r>
              <w:rPr>
                <w:color w:val="auto"/>
                <w:highlight w:val="none"/>
              </w:rPr>
              <w:t>由法定代表人签字的，应附法定代表人身份证明，由代理人签字的，应附授权委托书，身份证明或授权委托书应符合第八章“投标文件格式”的规定。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846" w:type="dxa"/>
            <w:vMerge w:val="continue"/>
            <w:tcBorders>
              <w:right w:val="single" w:color="auto" w:sz="4" w:space="0"/>
            </w:tcBorders>
            <w:vAlign w:val="center"/>
          </w:tcPr>
          <w:p>
            <w:pPr>
              <w:spacing w:line="440" w:lineRule="exact"/>
              <w:jc w:val="center"/>
              <w:rPr>
                <w:color w:val="auto"/>
                <w:szCs w:val="21"/>
                <w:highlight w:val="none"/>
              </w:rPr>
            </w:pPr>
          </w:p>
        </w:tc>
        <w:tc>
          <w:tcPr>
            <w:tcW w:w="1559" w:type="dxa"/>
            <w:vMerge w:val="continue"/>
            <w:tcBorders>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rFonts w:hint="eastAsia"/>
                <w:color w:val="auto"/>
                <w:highlight w:val="none"/>
              </w:rPr>
              <w:t>投标人机器码</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r>
              <w:rPr>
                <w:rFonts w:hint="eastAsia"/>
                <w:color w:val="auto"/>
                <w:highlight w:val="none"/>
              </w:rPr>
              <w:t>投标人与其他投标人加密打包投标文件电脑机器特征码一致的（以广州公共资源交易中心评标系统的检索信息为准）将被否决。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846" w:type="dxa"/>
            <w:vMerge w:val="continue"/>
            <w:tcBorders>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rFonts w:hint="eastAsia"/>
                <w:color w:val="auto"/>
                <w:szCs w:val="21"/>
                <w:highlight w:val="none"/>
              </w:rPr>
              <w:t>不存在视为串通投标的情形</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r>
              <w:rPr>
                <w:rFonts w:hint="eastAsia"/>
                <w:color w:val="auto"/>
                <w:szCs w:val="21"/>
                <w:highlight w:val="none"/>
              </w:rPr>
              <w:t>投标人之间不存在视为投标人相互串通投标的情形；投标人之间不存在《广东省实施&lt;中华人民共和国招标投标法&gt;》第十六条所禁止的情形。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restart"/>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2.1.2</w:t>
            </w:r>
          </w:p>
        </w:tc>
        <w:tc>
          <w:tcPr>
            <w:tcW w:w="1559" w:type="dxa"/>
            <w:vMerge w:val="restart"/>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资格评审标准</w:t>
            </w: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独立法人资格</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highlight w:val="none"/>
              </w:rPr>
              <w:t>符合第一章“招标公告”投标人资格要求第3.1项规定</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r>
              <w:rPr>
                <w:color w:val="auto"/>
                <w:szCs w:val="21"/>
                <w:highlight w:val="none"/>
              </w:rPr>
              <w:t>资质要求</w:t>
            </w:r>
          </w:p>
        </w:tc>
        <w:tc>
          <w:tcPr>
            <w:tcW w:w="5103" w:type="dxa"/>
            <w:tcBorders>
              <w:top w:val="single" w:color="auto" w:sz="4" w:space="0"/>
              <w:left w:val="single" w:color="auto" w:sz="4" w:space="0"/>
              <w:bottom w:val="single" w:color="auto" w:sz="4" w:space="0"/>
              <w:right w:val="single" w:color="auto" w:sz="4" w:space="0"/>
            </w:tcBorders>
          </w:tcPr>
          <w:p>
            <w:pPr>
              <w:spacing w:line="440" w:lineRule="exact"/>
              <w:rPr>
                <w:color w:val="auto"/>
                <w:szCs w:val="21"/>
                <w:highlight w:val="none"/>
              </w:rPr>
            </w:pPr>
            <w:r>
              <w:rPr>
                <w:color w:val="auto"/>
                <w:highlight w:val="none"/>
              </w:rPr>
              <w:t>符合第一章“招标公告”投标人资格要求第3.2项规定</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安全生产许可证</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highlight w:val="none"/>
              </w:rPr>
              <w:t>符合第一章“招标公告”投标人资格要求第3.3项规定</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项目负责人</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highlight w:val="none"/>
              </w:rPr>
              <w:t>符合第一章“招标公告”投标人资格要求第3.4项规定</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专职安全人员</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r>
              <w:rPr>
                <w:color w:val="auto"/>
                <w:highlight w:val="none"/>
              </w:rPr>
              <w:t>符合第一章“招标公告”投标人资格要求第3.5项规定</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bookmarkStart w:id="913" w:name="OLE_LINK10" w:colFirst="3" w:colLast="3"/>
          </w:p>
        </w:tc>
        <w:tc>
          <w:tcPr>
            <w:tcW w:w="1559"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其他要求</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highlight w:val="none"/>
              </w:rPr>
              <w:t>符合第一章“招标公告”投标人资格要求</w:t>
            </w:r>
            <w:r>
              <w:rPr>
                <w:color w:val="auto"/>
                <w:szCs w:val="21"/>
                <w:highlight w:val="none"/>
              </w:rPr>
              <w:t>第3.</w:t>
            </w:r>
            <w:r>
              <w:rPr>
                <w:rFonts w:hint="eastAsia"/>
                <w:color w:val="auto"/>
                <w:szCs w:val="21"/>
                <w:highlight w:val="none"/>
              </w:rPr>
              <w:t>6</w:t>
            </w:r>
            <w:r>
              <w:rPr>
                <w:color w:val="auto"/>
                <w:szCs w:val="21"/>
                <w:highlight w:val="none"/>
              </w:rPr>
              <w:t>项规定</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highlight w:val="none"/>
              </w:rPr>
              <w:t>联合体投标人</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r>
              <w:rPr>
                <w:color w:val="auto"/>
                <w:highlight w:val="none"/>
                <w:u w:val="none"/>
              </w:rPr>
              <w:t>符合第一章“招标公告”投标人资格要求</w:t>
            </w:r>
            <w:r>
              <w:rPr>
                <w:color w:val="auto"/>
                <w:szCs w:val="21"/>
                <w:highlight w:val="none"/>
                <w:u w:val="none"/>
              </w:rPr>
              <w:t>第3.</w:t>
            </w:r>
            <w:r>
              <w:rPr>
                <w:rFonts w:hint="eastAsia"/>
                <w:color w:val="auto"/>
                <w:szCs w:val="21"/>
                <w:highlight w:val="none"/>
                <w:u w:val="none"/>
                <w:lang w:val="en-US" w:eastAsia="zh-CN"/>
              </w:rPr>
              <w:t>7</w:t>
            </w:r>
            <w:r>
              <w:rPr>
                <w:color w:val="auto"/>
                <w:szCs w:val="21"/>
                <w:highlight w:val="none"/>
                <w:u w:val="none"/>
              </w:rPr>
              <w:t>项规定</w:t>
            </w:r>
            <w:r>
              <w:rPr>
                <w:rFonts w:hint="eastAsia"/>
                <w:color w:val="auto"/>
                <w:szCs w:val="21"/>
                <w:highlight w:val="none"/>
                <w:u w:val="none"/>
              </w:rPr>
              <w:t>。</w:t>
            </w:r>
          </w:p>
        </w:tc>
      </w:tr>
      <w:bookmarkEnd w:id="913"/>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846"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nil"/>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color w:val="auto"/>
                <w:highlight w:val="none"/>
              </w:rPr>
              <w:t>不存在禁止投标的情形</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r>
              <w:rPr>
                <w:color w:val="auto"/>
                <w:highlight w:val="none"/>
              </w:rPr>
              <w:t>不存在第二章“投标人须知”第1.4.3、1.4.4项规定的任何一种情形（提供书面声明，详见《投标函及投标函附录》）</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restart"/>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2.1.3</w:t>
            </w:r>
          </w:p>
        </w:tc>
        <w:tc>
          <w:tcPr>
            <w:tcW w:w="1559" w:type="dxa"/>
            <w:vMerge w:val="restart"/>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响应性评审</w:t>
            </w:r>
          </w:p>
          <w:p>
            <w:pPr>
              <w:spacing w:line="440" w:lineRule="exact"/>
              <w:jc w:val="center"/>
              <w:rPr>
                <w:color w:val="auto"/>
                <w:szCs w:val="21"/>
                <w:highlight w:val="none"/>
              </w:rPr>
            </w:pPr>
            <w:r>
              <w:rPr>
                <w:color w:val="auto"/>
                <w:szCs w:val="21"/>
                <w:highlight w:val="none"/>
              </w:rPr>
              <w:t>标准</w:t>
            </w: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投标报价</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szCs w:val="21"/>
                <w:highlight w:val="none"/>
              </w:rPr>
              <w:t>符合第二章“投标人须知”第3.2.3项规定且不低于</w:t>
            </w:r>
            <w:r>
              <w:rPr>
                <w:rFonts w:hint="eastAsia"/>
                <w:color w:val="auto"/>
                <w:szCs w:val="21"/>
                <w:highlight w:val="none"/>
              </w:rPr>
              <w:t>投标人</w:t>
            </w:r>
            <w:r>
              <w:rPr>
                <w:color w:val="auto"/>
                <w:szCs w:val="21"/>
                <w:highlight w:val="none"/>
              </w:rPr>
              <w:t>成本</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投标内容</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szCs w:val="21"/>
                <w:highlight w:val="none"/>
              </w:rPr>
              <w:t>符合第二章“投标人须知”第1.3.1项规定</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工期</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szCs w:val="21"/>
                <w:highlight w:val="none"/>
              </w:rPr>
              <w:t>符合第二章“投标人须知”第1.3.2项规定</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工程质量</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szCs w:val="21"/>
                <w:highlight w:val="none"/>
              </w:rPr>
              <w:t>符合第二章“投标人须知”第1.3.3项规定</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投标有效期</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szCs w:val="21"/>
                <w:highlight w:val="none"/>
              </w:rPr>
              <w:t>符合第二章“投标人须知”第3.3.1项规定</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投标保证金</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szCs w:val="21"/>
                <w:highlight w:val="none"/>
              </w:rPr>
              <w:t>符合第二章“投标人须知”第3.4.1项规定</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权利义务</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szCs w:val="21"/>
                <w:highlight w:val="none"/>
              </w:rPr>
              <w:t>符合第四章“合同条款及格式”实质性要求和条件</w:t>
            </w:r>
            <w:r>
              <w:rPr>
                <w:rFonts w:hint="eastAsia"/>
                <w:color w:val="auto"/>
                <w:highlight w:val="none"/>
              </w:rPr>
              <w:t>（根据《合同</w:t>
            </w:r>
            <w:r>
              <w:rPr>
                <w:color w:val="auto"/>
                <w:highlight w:val="none"/>
              </w:rPr>
              <w:t>条款响应表</w:t>
            </w:r>
            <w:r>
              <w:rPr>
                <w:rFonts w:hint="eastAsia"/>
                <w:color w:val="auto"/>
                <w:highlight w:val="none"/>
              </w:rPr>
              <w:t>》响应情况评审）。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已标价工程量清单</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szCs w:val="21"/>
                <w:highlight w:val="none"/>
              </w:rPr>
              <w:t>符合招标文件规定的范围及数量</w:t>
            </w:r>
            <w:r>
              <w:rPr>
                <w:rFonts w:hint="eastAsia"/>
                <w:color w:val="auto"/>
                <w:szCs w:val="21"/>
                <w:highlight w:val="none"/>
              </w:rPr>
              <w:t>，</w:t>
            </w:r>
            <w:r>
              <w:rPr>
                <w:rFonts w:hint="eastAsia" w:ascii="宋体" w:hAnsi="宋体" w:cs="宋体"/>
                <w:color w:val="auto"/>
                <w:szCs w:val="21"/>
                <w:highlight w:val="none"/>
              </w:rPr>
              <w:t>非竞争费用</w:t>
            </w:r>
            <w:r>
              <w:rPr>
                <w:rFonts w:hint="eastAsia"/>
                <w:color w:val="auto"/>
                <w:szCs w:val="21"/>
                <w:highlight w:val="none"/>
              </w:rPr>
              <w:t>按招标文件规定的金额填写。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1559" w:type="dxa"/>
            <w:vMerge w:val="continue"/>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技术标准和要求</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szCs w:val="21"/>
                <w:highlight w:val="none"/>
              </w:rPr>
              <w:t>符合第七章“</w:t>
            </w:r>
            <w:bookmarkStart w:id="914" w:name="OLE_LINK11"/>
            <w:r>
              <w:rPr>
                <w:color w:val="auto"/>
                <w:szCs w:val="21"/>
                <w:highlight w:val="none"/>
              </w:rPr>
              <w:t>技术标准和要求</w:t>
            </w:r>
            <w:bookmarkEnd w:id="914"/>
            <w:r>
              <w:rPr>
                <w:color w:val="auto"/>
                <w:szCs w:val="21"/>
                <w:highlight w:val="none"/>
              </w:rPr>
              <w:t>”实质性要求和条件</w:t>
            </w:r>
            <w:r>
              <w:rPr>
                <w:rFonts w:hint="eastAsia"/>
                <w:color w:val="auto"/>
                <w:highlight w:val="none"/>
              </w:rPr>
              <w:t>（根据《技术偏离</w:t>
            </w:r>
            <w:r>
              <w:rPr>
                <w:color w:val="auto"/>
                <w:highlight w:val="none"/>
              </w:rPr>
              <w:t>表</w:t>
            </w:r>
            <w:r>
              <w:rPr>
                <w:rFonts w:hint="eastAsia"/>
                <w:color w:val="auto"/>
                <w:highlight w:val="none"/>
              </w:rPr>
              <w:t>》响应情况评审）。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5" w:type="dxa"/>
            <w:gridSpan w:val="2"/>
            <w:tcBorders>
              <w:top w:val="single" w:color="auto" w:sz="4" w:space="0"/>
              <w:bottom w:val="single" w:color="auto" w:sz="4" w:space="0"/>
              <w:right w:val="single" w:color="auto" w:sz="4" w:space="0"/>
            </w:tcBorders>
            <w:vAlign w:val="center"/>
          </w:tcPr>
          <w:p>
            <w:pPr>
              <w:spacing w:line="440" w:lineRule="exact"/>
              <w:jc w:val="center"/>
              <w:rPr>
                <w:b/>
                <w:color w:val="auto"/>
                <w:szCs w:val="21"/>
                <w:highlight w:val="none"/>
              </w:rPr>
            </w:pPr>
            <w:r>
              <w:rPr>
                <w:b/>
                <w:color w:val="auto"/>
                <w:szCs w:val="21"/>
                <w:highlight w:val="none"/>
              </w:rPr>
              <w:t>条款号</w:t>
            </w: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b/>
                <w:bCs/>
                <w:color w:val="auto"/>
                <w:szCs w:val="21"/>
                <w:highlight w:val="none"/>
              </w:rPr>
              <w:t>条款内容</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szCs w:val="21"/>
                <w:highlight w:val="none"/>
              </w:rPr>
            </w:pPr>
            <w:r>
              <w:rPr>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5" w:type="dxa"/>
            <w:gridSpan w:val="2"/>
            <w:tcBorders>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2.2.1</w:t>
            </w: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分值构成</w:t>
            </w:r>
          </w:p>
          <w:p>
            <w:pPr>
              <w:spacing w:line="440" w:lineRule="exact"/>
              <w:jc w:val="center"/>
              <w:rPr>
                <w:color w:val="auto"/>
                <w:szCs w:val="21"/>
                <w:highlight w:val="none"/>
              </w:rPr>
            </w:pPr>
            <w:r>
              <w:rPr>
                <w:color w:val="auto"/>
                <w:szCs w:val="21"/>
                <w:highlight w:val="none"/>
              </w:rPr>
              <w:t>(总分100分)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color w:val="auto"/>
                <w:highlight w:val="none"/>
              </w:rPr>
              <w:t>投标人的总得分=</w:t>
            </w:r>
            <w:r>
              <w:rPr>
                <w:b/>
                <w:bCs/>
                <w:color w:val="auto"/>
                <w:highlight w:val="none"/>
              </w:rPr>
              <w:t>商务得分＋技术得分＋</w:t>
            </w:r>
            <w:r>
              <w:rPr>
                <w:rFonts w:hint="eastAsia"/>
                <w:b/>
                <w:bCs/>
                <w:color w:val="auto"/>
                <w:highlight w:val="none"/>
              </w:rPr>
              <w:t>投标</w:t>
            </w:r>
            <w:r>
              <w:rPr>
                <w:b/>
                <w:bCs/>
                <w:color w:val="auto"/>
                <w:highlight w:val="none"/>
              </w:rPr>
              <w:t>报价得分。</w:t>
            </w:r>
            <w:r>
              <w:rPr>
                <w:color w:val="auto"/>
                <w:highlight w:val="none"/>
              </w:rPr>
              <w:t>采用</w:t>
            </w:r>
            <w:r>
              <w:rPr>
                <w:b/>
                <w:bCs/>
                <w:color w:val="auto"/>
                <w:highlight w:val="none"/>
              </w:rPr>
              <w:t>百分制评分法</w:t>
            </w:r>
            <w:r>
              <w:rPr>
                <w:color w:val="auto"/>
                <w:highlight w:val="none"/>
              </w:rPr>
              <w:t>，主要对投标人的以下方面进行评议：</w:t>
            </w:r>
          </w:p>
          <w:p>
            <w:pPr>
              <w:spacing w:line="440" w:lineRule="exact"/>
              <w:rPr>
                <w:color w:val="auto"/>
                <w:szCs w:val="21"/>
                <w:highlight w:val="none"/>
              </w:rPr>
            </w:pPr>
            <w:r>
              <w:rPr>
                <w:color w:val="auto"/>
                <w:szCs w:val="21"/>
                <w:highlight w:val="none"/>
              </w:rPr>
              <w:t>商务部分：</w:t>
            </w:r>
            <w:r>
              <w:rPr>
                <w:rFonts w:hint="eastAsia"/>
                <w:color w:val="auto"/>
                <w:szCs w:val="21"/>
                <w:highlight w:val="none"/>
                <w:u w:val="single"/>
                <w:lang w:val="en-US" w:eastAsia="zh-CN"/>
              </w:rPr>
              <w:t>30</w:t>
            </w:r>
            <w:r>
              <w:rPr>
                <w:color w:val="auto"/>
                <w:szCs w:val="21"/>
                <w:highlight w:val="none"/>
              </w:rPr>
              <w:t>分</w:t>
            </w:r>
          </w:p>
          <w:p>
            <w:pPr>
              <w:spacing w:line="440" w:lineRule="exact"/>
              <w:rPr>
                <w:color w:val="auto"/>
                <w:szCs w:val="21"/>
                <w:highlight w:val="none"/>
              </w:rPr>
            </w:pPr>
            <w:r>
              <w:rPr>
                <w:color w:val="auto"/>
                <w:szCs w:val="21"/>
                <w:highlight w:val="none"/>
              </w:rPr>
              <w:t>技术部分：</w:t>
            </w:r>
            <w:r>
              <w:rPr>
                <w:rFonts w:hint="eastAsia"/>
                <w:color w:val="auto"/>
                <w:szCs w:val="21"/>
                <w:highlight w:val="none"/>
                <w:u w:val="single"/>
                <w:lang w:val="en-US" w:eastAsia="zh-CN"/>
              </w:rPr>
              <w:t>35</w:t>
            </w:r>
            <w:r>
              <w:rPr>
                <w:color w:val="auto"/>
                <w:szCs w:val="21"/>
                <w:highlight w:val="none"/>
              </w:rPr>
              <w:t>分</w:t>
            </w:r>
          </w:p>
          <w:p>
            <w:pPr>
              <w:spacing w:line="440" w:lineRule="exact"/>
              <w:rPr>
                <w:color w:val="auto"/>
                <w:szCs w:val="21"/>
                <w:highlight w:val="none"/>
              </w:rPr>
            </w:pPr>
            <w:r>
              <w:rPr>
                <w:color w:val="auto"/>
                <w:szCs w:val="21"/>
                <w:highlight w:val="none"/>
              </w:rPr>
              <w:t>投标报价：</w:t>
            </w:r>
            <w:r>
              <w:rPr>
                <w:rFonts w:hint="eastAsia"/>
                <w:color w:val="auto"/>
                <w:szCs w:val="21"/>
                <w:highlight w:val="none"/>
                <w:u w:val="single"/>
                <w:lang w:val="en-US" w:eastAsia="zh-CN"/>
              </w:rPr>
              <w:t>35</w:t>
            </w:r>
            <w:r>
              <w:rPr>
                <w:color w:val="auto"/>
                <w:szCs w:val="21"/>
                <w:highlight w:val="none"/>
              </w:rPr>
              <w:t>分</w:t>
            </w:r>
          </w:p>
          <w:p>
            <w:pPr>
              <w:spacing w:line="440" w:lineRule="exact"/>
              <w:rPr>
                <w:color w:val="auto"/>
                <w:szCs w:val="21"/>
                <w:highlight w:val="none"/>
              </w:rPr>
            </w:pPr>
            <w:r>
              <w:rPr>
                <w:color w:val="auto"/>
                <w:szCs w:val="21"/>
                <w:highlight w:val="none"/>
              </w:rPr>
              <w:t>其他评分因素：/。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5" w:type="dxa"/>
            <w:gridSpan w:val="2"/>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2.2.2</w:t>
            </w: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评标基准价计算方法</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b/>
                <w:color w:val="auto"/>
                <w:highlight w:val="none"/>
              </w:rPr>
            </w:pPr>
            <w:r>
              <w:rPr>
                <w:rFonts w:hint="eastAsia"/>
                <w:b/>
                <w:color w:val="auto"/>
                <w:highlight w:val="none"/>
              </w:rPr>
              <w:t>评标基准价为</w:t>
            </w:r>
            <w:r>
              <w:rPr>
                <w:rFonts w:hint="eastAsia"/>
                <w:b/>
                <w:color w:val="auto"/>
                <w:highlight w:val="none"/>
                <w:lang w:eastAsia="zh-CN"/>
              </w:rPr>
              <w:t>（</w:t>
            </w:r>
            <w:r>
              <w:rPr>
                <w:rFonts w:hint="eastAsia"/>
                <w:b/>
                <w:color w:val="auto"/>
                <w:highlight w:val="none"/>
                <w:lang w:val="en-US" w:eastAsia="zh-CN"/>
              </w:rPr>
              <w:t>P</w:t>
            </w:r>
            <w:r>
              <w:rPr>
                <w:rFonts w:hint="eastAsia"/>
                <w:b/>
                <w:color w:val="auto"/>
                <w:highlight w:val="none"/>
                <w:lang w:eastAsia="zh-CN"/>
              </w:rPr>
              <w:t>）</w:t>
            </w:r>
            <w:r>
              <w:rPr>
                <w:rFonts w:hint="eastAsia"/>
                <w:b/>
                <w:color w:val="auto"/>
                <w:highlight w:val="none"/>
              </w:rPr>
              <w:t>：</w:t>
            </w:r>
          </w:p>
          <w:p>
            <w:pPr>
              <w:spacing w:line="440" w:lineRule="exact"/>
              <w:rPr>
                <w:color w:val="auto"/>
                <w:highlight w:val="none"/>
              </w:rPr>
            </w:pPr>
            <w:r>
              <w:rPr>
                <w:rFonts w:hint="eastAsia" w:ascii="宋体" w:hAnsi="宋体" w:cs="宋体"/>
                <w:color w:val="auto"/>
                <w:highlight w:val="none"/>
              </w:rPr>
              <w:t>①</w:t>
            </w:r>
            <w:r>
              <w:rPr>
                <w:color w:val="auto"/>
                <w:highlight w:val="none"/>
              </w:rPr>
              <w:t>当有效投标人数大于等于6家（含6家）时，评标基准价P =（有效投标人报价总和-1个最高有效报价-1个最低有效报价）/（有效投标家数-2）</w:t>
            </w:r>
          </w:p>
          <w:p>
            <w:pPr>
              <w:spacing w:line="440" w:lineRule="exact"/>
              <w:rPr>
                <w:color w:val="auto"/>
                <w:szCs w:val="21"/>
                <w:highlight w:val="none"/>
              </w:rPr>
            </w:pPr>
            <w:r>
              <w:rPr>
                <w:rFonts w:hint="eastAsia" w:ascii="宋体" w:hAnsi="宋体" w:cs="宋体"/>
                <w:color w:val="auto"/>
                <w:highlight w:val="none"/>
              </w:rPr>
              <w:t>②</w:t>
            </w:r>
            <w:r>
              <w:rPr>
                <w:color w:val="auto"/>
                <w:highlight w:val="none"/>
              </w:rPr>
              <w:t>当有效投标人数小于6家（不含6家）时，评标基准价P =（有效投标人报价总和/有效投标家数）；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1" w:hRule="atLeast"/>
          <w:jc w:val="center"/>
        </w:trPr>
        <w:tc>
          <w:tcPr>
            <w:tcW w:w="2405" w:type="dxa"/>
            <w:gridSpan w:val="2"/>
            <w:tcBorders>
              <w:top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2.2.3</w:t>
            </w:r>
          </w:p>
        </w:tc>
        <w:tc>
          <w:tcPr>
            <w:tcW w:w="2273" w:type="dxa"/>
            <w:tcBorders>
              <w:top w:val="single" w:color="auto" w:sz="4" w:space="0"/>
              <w:left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投标报价的偏差率</w:t>
            </w:r>
          </w:p>
          <w:p>
            <w:pPr>
              <w:spacing w:line="440" w:lineRule="exact"/>
              <w:jc w:val="center"/>
              <w:rPr>
                <w:color w:val="auto"/>
                <w:szCs w:val="21"/>
                <w:highlight w:val="none"/>
              </w:rPr>
            </w:pPr>
            <w:r>
              <w:rPr>
                <w:color w:val="auto"/>
                <w:szCs w:val="21"/>
                <w:highlight w:val="none"/>
              </w:rPr>
              <w:t>计算公式</w:t>
            </w:r>
          </w:p>
        </w:tc>
        <w:tc>
          <w:tcPr>
            <w:tcW w:w="5103" w:type="dxa"/>
            <w:tcBorders>
              <w:top w:val="single" w:color="auto" w:sz="4" w:space="0"/>
              <w:left w:val="single" w:color="auto" w:sz="4" w:space="0"/>
              <w:right w:val="single" w:color="auto" w:sz="4" w:space="0"/>
            </w:tcBorders>
            <w:vAlign w:val="center"/>
          </w:tcPr>
          <w:p>
            <w:pPr>
              <w:spacing w:line="440" w:lineRule="exact"/>
              <w:rPr>
                <w:color w:val="auto"/>
                <w:highlight w:val="none"/>
              </w:rPr>
            </w:pPr>
            <w:r>
              <w:rPr>
                <w:color w:val="auto"/>
                <w:highlight w:val="none"/>
              </w:rPr>
              <w:t>偏差率=（投标报价-评标基准价）/评标基准价*100%</w:t>
            </w:r>
          </w:p>
          <w:p>
            <w:pPr>
              <w:spacing w:line="440" w:lineRule="exact"/>
              <w:rPr>
                <w:color w:val="auto"/>
                <w:szCs w:val="21"/>
                <w:highlight w:val="none"/>
              </w:rPr>
            </w:pPr>
            <w:r>
              <w:rPr>
                <w:color w:val="auto"/>
                <w:highlight w:val="none"/>
              </w:rPr>
              <w:t>偏差率四舍五入保留2位小数，所有不足1%的差价按插值法计算。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5" w:type="dxa"/>
            <w:gridSpan w:val="2"/>
            <w:tcBorders>
              <w:top w:val="nil"/>
              <w:bottom w:val="single" w:color="auto" w:sz="4" w:space="0"/>
              <w:right w:val="single" w:color="auto" w:sz="4" w:space="0"/>
            </w:tcBorders>
            <w:vAlign w:val="center"/>
          </w:tcPr>
          <w:p>
            <w:pPr>
              <w:spacing w:line="440" w:lineRule="exact"/>
              <w:jc w:val="center"/>
              <w:rPr>
                <w:color w:val="auto"/>
                <w:szCs w:val="21"/>
                <w:highlight w:val="none"/>
              </w:rPr>
            </w:pPr>
            <w:r>
              <w:rPr>
                <w:b/>
                <w:color w:val="auto"/>
                <w:szCs w:val="21"/>
                <w:highlight w:val="none"/>
              </w:rPr>
              <w:t>条款号</w:t>
            </w: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b/>
                <w:bCs/>
                <w:color w:val="auto"/>
                <w:szCs w:val="21"/>
                <w:highlight w:val="none"/>
              </w:rPr>
              <w:t>评分因素</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tcBorders>
              <w:top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2.2.4（1）</w:t>
            </w:r>
          </w:p>
        </w:tc>
        <w:tc>
          <w:tcPr>
            <w:tcW w:w="1559" w:type="dxa"/>
            <w:tcBorders>
              <w:top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商务部分评分标准（</w:t>
            </w:r>
            <w:r>
              <w:rPr>
                <w:rFonts w:hint="eastAsia"/>
                <w:color w:val="auto"/>
                <w:szCs w:val="21"/>
                <w:highlight w:val="none"/>
                <w:lang w:val="en-US" w:eastAsia="zh-CN"/>
              </w:rPr>
              <w:t>3</w:t>
            </w:r>
            <w:r>
              <w:rPr>
                <w:color w:val="auto"/>
                <w:szCs w:val="21"/>
                <w:highlight w:val="none"/>
              </w:rPr>
              <w:t>0分）</w:t>
            </w:r>
          </w:p>
        </w:tc>
        <w:tc>
          <w:tcPr>
            <w:tcW w:w="737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r>
              <w:rPr>
                <w:color w:val="auto"/>
                <w:highlight w:val="none"/>
              </w:rPr>
              <w:t>详见附表一：商务标评分表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jc w:val="center"/>
        </w:trPr>
        <w:tc>
          <w:tcPr>
            <w:tcW w:w="846" w:type="dxa"/>
            <w:tcBorders>
              <w:top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2.2.4</w:t>
            </w:r>
          </w:p>
          <w:p>
            <w:pPr>
              <w:spacing w:line="440" w:lineRule="exact"/>
              <w:jc w:val="center"/>
              <w:rPr>
                <w:color w:val="auto"/>
                <w:szCs w:val="21"/>
                <w:highlight w:val="none"/>
              </w:rPr>
            </w:pPr>
            <w:r>
              <w:rPr>
                <w:color w:val="auto"/>
                <w:szCs w:val="21"/>
                <w:highlight w:val="none"/>
              </w:rPr>
              <w:t>（2）</w:t>
            </w:r>
          </w:p>
        </w:tc>
        <w:tc>
          <w:tcPr>
            <w:tcW w:w="1559" w:type="dxa"/>
            <w:tcBorders>
              <w:top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技术部分评分标准（</w:t>
            </w:r>
            <w:r>
              <w:rPr>
                <w:rFonts w:hint="eastAsia"/>
                <w:color w:val="auto"/>
                <w:szCs w:val="21"/>
                <w:highlight w:val="none"/>
                <w:lang w:val="en-US" w:eastAsia="zh-CN"/>
              </w:rPr>
              <w:t>35</w:t>
            </w:r>
            <w:r>
              <w:rPr>
                <w:color w:val="auto"/>
                <w:szCs w:val="21"/>
                <w:highlight w:val="none"/>
              </w:rPr>
              <w:t>分）</w:t>
            </w:r>
          </w:p>
        </w:tc>
        <w:tc>
          <w:tcPr>
            <w:tcW w:w="737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bCs/>
                <w:color w:val="auto"/>
                <w:szCs w:val="21"/>
                <w:highlight w:val="none"/>
              </w:rPr>
            </w:pPr>
            <w:r>
              <w:rPr>
                <w:color w:val="auto"/>
                <w:highlight w:val="none"/>
              </w:rPr>
              <w:t>详见附表二：技术标评分表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3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2.2.4（3）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投标报价评分标准（</w:t>
            </w:r>
            <w:r>
              <w:rPr>
                <w:rFonts w:hint="eastAsia"/>
                <w:color w:val="auto"/>
                <w:szCs w:val="21"/>
                <w:highlight w:val="none"/>
                <w:lang w:val="en-US" w:eastAsia="zh-CN"/>
              </w:rPr>
              <w:t>35</w:t>
            </w:r>
            <w:r>
              <w:rPr>
                <w:color w:val="auto"/>
                <w:szCs w:val="21"/>
                <w:highlight w:val="none"/>
              </w:rPr>
              <w:t>分）</w:t>
            </w:r>
          </w:p>
        </w:tc>
        <w:tc>
          <w:tcPr>
            <w:tcW w:w="2273" w:type="dxa"/>
            <w:tcBorders>
              <w:top w:val="single" w:color="auto" w:sz="4" w:space="0"/>
              <w:left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计算方法</w:t>
            </w:r>
          </w:p>
        </w:tc>
        <w:tc>
          <w:tcPr>
            <w:tcW w:w="5103" w:type="dxa"/>
            <w:tcBorders>
              <w:top w:val="single" w:color="auto" w:sz="4" w:space="0"/>
              <w:left w:val="single" w:color="auto" w:sz="4" w:space="0"/>
              <w:right w:val="single" w:color="auto" w:sz="4" w:space="0"/>
            </w:tcBorders>
            <w:vAlign w:val="center"/>
          </w:tcPr>
          <w:p>
            <w:pPr>
              <w:spacing w:line="440" w:lineRule="exact"/>
              <w:rPr>
                <w:color w:val="auto"/>
                <w:szCs w:val="21"/>
                <w:highlight w:val="none"/>
              </w:rPr>
            </w:pPr>
            <w:r>
              <w:rPr>
                <w:rFonts w:hint="eastAsia"/>
                <w:b/>
                <w:bCs/>
                <w:color w:val="auto"/>
                <w:szCs w:val="21"/>
                <w:highlight w:val="none"/>
              </w:rPr>
              <w:t>报价得分</w:t>
            </w:r>
            <w:r>
              <w:rPr>
                <w:rFonts w:hint="eastAsia"/>
                <w:color w:val="auto"/>
                <w:szCs w:val="21"/>
                <w:highlight w:val="none"/>
              </w:rPr>
              <w:t>=</w:t>
            </w:r>
            <w:r>
              <w:rPr>
                <w:rFonts w:hint="eastAsia"/>
                <w:color w:val="auto"/>
                <w:szCs w:val="21"/>
                <w:highlight w:val="none"/>
                <w:lang w:val="en-US" w:eastAsia="zh-CN"/>
              </w:rPr>
              <w:t xml:space="preserve"> 35 </w:t>
            </w:r>
            <w:r>
              <w:rPr>
                <w:rFonts w:hint="eastAsia"/>
                <w:color w:val="auto"/>
                <w:szCs w:val="21"/>
                <w:highlight w:val="none"/>
              </w:rPr>
              <w:t>-︱偏差率︱×N×100。</w:t>
            </w:r>
          </w:p>
          <w:p>
            <w:pPr>
              <w:spacing w:line="440" w:lineRule="exact"/>
              <w:rPr>
                <w:b/>
                <w:bCs/>
                <w:color w:val="auto"/>
                <w:szCs w:val="21"/>
                <w:highlight w:val="none"/>
              </w:rPr>
            </w:pPr>
            <w:r>
              <w:rPr>
                <w:rFonts w:hint="eastAsia"/>
                <w:b/>
                <w:bCs/>
                <w:color w:val="auto"/>
                <w:szCs w:val="21"/>
                <w:highlight w:val="none"/>
                <w:lang w:val="en-US" w:eastAsia="zh-CN"/>
              </w:rPr>
              <w:t>1.</w:t>
            </w:r>
            <w:r>
              <w:rPr>
                <w:rFonts w:hint="eastAsia"/>
                <w:b/>
                <w:bCs/>
                <w:color w:val="auto"/>
                <w:szCs w:val="21"/>
                <w:highlight w:val="none"/>
              </w:rPr>
              <w:t>投标报价每高于评标基准价1%，扣1分，</w:t>
            </w:r>
            <w:r>
              <w:rPr>
                <w:rFonts w:hint="eastAsia"/>
                <w:b/>
                <w:bCs/>
                <w:color w:val="auto"/>
                <w:szCs w:val="21"/>
                <w:highlight w:val="none"/>
                <w:lang w:val="en-US" w:eastAsia="zh-CN"/>
              </w:rPr>
              <w:t>即</w:t>
            </w:r>
            <w:r>
              <w:rPr>
                <w:rFonts w:hint="eastAsia"/>
                <w:b/>
                <w:bCs/>
                <w:color w:val="auto"/>
                <w:szCs w:val="21"/>
                <w:highlight w:val="none"/>
              </w:rPr>
              <w:t>N=1；</w:t>
            </w:r>
          </w:p>
          <w:p>
            <w:pPr>
              <w:spacing w:line="440" w:lineRule="exact"/>
              <w:rPr>
                <w:b/>
                <w:bCs/>
                <w:color w:val="auto"/>
                <w:szCs w:val="21"/>
                <w:highlight w:val="none"/>
              </w:rPr>
            </w:pPr>
            <w:r>
              <w:rPr>
                <w:rFonts w:hint="eastAsia"/>
                <w:b/>
                <w:bCs/>
                <w:color w:val="auto"/>
                <w:szCs w:val="21"/>
                <w:highlight w:val="none"/>
                <w:lang w:val="en-US" w:eastAsia="zh-CN"/>
              </w:rPr>
              <w:t>2.</w:t>
            </w:r>
            <w:r>
              <w:rPr>
                <w:rFonts w:hint="eastAsia"/>
                <w:b/>
                <w:bCs/>
                <w:color w:val="auto"/>
                <w:szCs w:val="21"/>
                <w:highlight w:val="none"/>
              </w:rPr>
              <w:t>投标报价等于评标基准价，得满分</w:t>
            </w:r>
            <w:r>
              <w:rPr>
                <w:rFonts w:hint="eastAsia"/>
                <w:b/>
                <w:bCs/>
                <w:color w:val="auto"/>
                <w:szCs w:val="21"/>
                <w:highlight w:val="none"/>
                <w:lang w:val="en-US" w:eastAsia="zh-CN"/>
              </w:rPr>
              <w:t>35</w:t>
            </w:r>
            <w:r>
              <w:rPr>
                <w:rFonts w:hint="eastAsia"/>
                <w:b/>
                <w:bCs/>
                <w:color w:val="auto"/>
                <w:szCs w:val="21"/>
                <w:highlight w:val="none"/>
              </w:rPr>
              <w:t>分；</w:t>
            </w:r>
          </w:p>
          <w:p>
            <w:pPr>
              <w:spacing w:line="440" w:lineRule="exact"/>
              <w:rPr>
                <w:color w:val="auto"/>
                <w:szCs w:val="21"/>
                <w:highlight w:val="none"/>
              </w:rPr>
            </w:pPr>
            <w:r>
              <w:rPr>
                <w:rFonts w:hint="eastAsia"/>
                <w:b/>
                <w:bCs/>
                <w:color w:val="auto"/>
                <w:szCs w:val="21"/>
                <w:highlight w:val="none"/>
                <w:lang w:val="en-US" w:eastAsia="zh-CN"/>
              </w:rPr>
              <w:t>3.</w:t>
            </w:r>
            <w:r>
              <w:rPr>
                <w:rFonts w:hint="eastAsia"/>
                <w:b/>
                <w:bCs/>
                <w:color w:val="auto"/>
                <w:szCs w:val="21"/>
                <w:highlight w:val="none"/>
              </w:rPr>
              <w:t>投标报价每低于评标基准价1%，扣0.</w:t>
            </w:r>
            <w:r>
              <w:rPr>
                <w:rFonts w:hint="eastAsia"/>
                <w:b/>
                <w:bCs/>
                <w:color w:val="auto"/>
                <w:szCs w:val="21"/>
                <w:highlight w:val="none"/>
                <w:lang w:val="en-US" w:eastAsia="zh-CN"/>
              </w:rPr>
              <w:t>5</w:t>
            </w:r>
            <w:r>
              <w:rPr>
                <w:rFonts w:hint="eastAsia"/>
                <w:b/>
                <w:bCs/>
                <w:color w:val="auto"/>
                <w:szCs w:val="21"/>
                <w:highlight w:val="none"/>
              </w:rPr>
              <w:t>分，</w:t>
            </w:r>
            <w:r>
              <w:rPr>
                <w:rFonts w:hint="eastAsia"/>
                <w:b/>
                <w:bCs/>
                <w:color w:val="auto"/>
                <w:szCs w:val="21"/>
                <w:highlight w:val="none"/>
                <w:lang w:val="en-US" w:eastAsia="zh-CN"/>
              </w:rPr>
              <w:t>即</w:t>
            </w:r>
            <w:r>
              <w:rPr>
                <w:rFonts w:hint="eastAsia"/>
                <w:b/>
                <w:bCs/>
                <w:color w:val="auto"/>
                <w:szCs w:val="21"/>
                <w:highlight w:val="none"/>
              </w:rPr>
              <w:t>N=</w:t>
            </w:r>
            <w:r>
              <w:rPr>
                <w:rFonts w:hint="eastAsia"/>
                <w:b/>
                <w:bCs/>
                <w:color w:val="auto"/>
                <w:szCs w:val="21"/>
                <w:highlight w:val="none"/>
                <w:lang w:val="en-US" w:eastAsia="zh-CN"/>
              </w:rPr>
              <w:t>0.5</w:t>
            </w:r>
            <w:r>
              <w:rPr>
                <w:rFonts w:hint="eastAsia"/>
                <w:color w:val="auto"/>
                <w:szCs w:val="21"/>
                <w:highlight w:val="none"/>
              </w:rPr>
              <w:t xml:space="preserve">；                                                                       </w:t>
            </w:r>
          </w:p>
          <w:p>
            <w:pPr>
              <w:spacing w:line="440" w:lineRule="exact"/>
              <w:rPr>
                <w:color w:val="auto"/>
                <w:szCs w:val="21"/>
                <w:highlight w:val="none"/>
              </w:rPr>
            </w:pPr>
            <w:r>
              <w:rPr>
                <w:rFonts w:hint="eastAsia"/>
                <w:color w:val="auto"/>
                <w:szCs w:val="21"/>
                <w:highlight w:val="none"/>
              </w:rPr>
              <w:t>计算评分出现中间值按插值法计算，计算结果保留二位小数，第三位四舍五入。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6"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r>
              <w:rPr>
                <w:color w:val="auto"/>
                <w:szCs w:val="21"/>
                <w:highlight w:val="none"/>
              </w:rPr>
              <w:t>2.2.4（4）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其他因素评分标准</w:t>
            </w:r>
          </w:p>
        </w:tc>
        <w:tc>
          <w:tcPr>
            <w:tcW w:w="22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宋体"/>
                <w:color w:val="auto"/>
                <w:szCs w:val="21"/>
                <w:highlight w:val="none"/>
                <w:lang w:eastAsia="zh-CN"/>
              </w:rPr>
            </w:pPr>
            <w:bookmarkStart w:id="915" w:name="OLE_LINK12"/>
            <w:r>
              <w:rPr>
                <w:rFonts w:hint="eastAsia"/>
                <w:color w:val="auto"/>
                <w:szCs w:val="21"/>
                <w:highlight w:val="none"/>
                <w:lang w:val="en-US" w:eastAsia="zh-CN"/>
              </w:rPr>
              <w:t>无</w:t>
            </w:r>
            <w:bookmarkEnd w:id="915"/>
          </w:p>
        </w:tc>
        <w:tc>
          <w:tcPr>
            <w:tcW w:w="51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rFonts w:hint="eastAsia"/>
                <w:color w:val="auto"/>
                <w:szCs w:val="21"/>
                <w:highlight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color w:val="auto"/>
                <w:szCs w:val="21"/>
                <w:highlight w:val="none"/>
              </w:rPr>
              <w:t>说明</w:t>
            </w:r>
          </w:p>
        </w:tc>
        <w:tc>
          <w:tcPr>
            <w:tcW w:w="89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color w:val="auto"/>
                <w:szCs w:val="21"/>
                <w:highlight w:val="none"/>
              </w:rPr>
            </w:pPr>
            <w:r>
              <w:rPr>
                <w:color w:val="auto"/>
                <w:szCs w:val="21"/>
                <w:highlight w:val="none"/>
              </w:rPr>
              <w:t>1、评分分值计算保留小数点后两位，小数点后第三位“四舍五入”。</w:t>
            </w:r>
          </w:p>
          <w:p>
            <w:pPr>
              <w:spacing w:line="440" w:lineRule="exact"/>
              <w:jc w:val="left"/>
              <w:rPr>
                <w:color w:val="auto"/>
                <w:szCs w:val="21"/>
                <w:highlight w:val="none"/>
              </w:rPr>
            </w:pPr>
            <w:r>
              <w:rPr>
                <w:color w:val="auto"/>
                <w:szCs w:val="21"/>
                <w:highlight w:val="none"/>
              </w:rPr>
              <w:t>2、下列情形之一的，视为投标人相互串通投标，做无效标处理</w:t>
            </w:r>
            <w:r>
              <w:rPr>
                <w:rFonts w:hint="eastAsia"/>
                <w:color w:val="auto"/>
                <w:szCs w:val="21"/>
                <w:highlight w:val="none"/>
              </w:rPr>
              <w:t>：</w:t>
            </w:r>
          </w:p>
          <w:p>
            <w:pPr>
              <w:spacing w:line="440" w:lineRule="exact"/>
              <w:jc w:val="left"/>
              <w:rPr>
                <w:color w:val="auto"/>
                <w:szCs w:val="21"/>
                <w:highlight w:val="none"/>
              </w:rPr>
            </w:pPr>
            <w:r>
              <w:rPr>
                <w:color w:val="auto"/>
                <w:szCs w:val="21"/>
                <w:highlight w:val="none"/>
              </w:rPr>
              <w:t xml:space="preserve">A) </w:t>
            </w:r>
            <w:r>
              <w:rPr>
                <w:rFonts w:hint="eastAsia"/>
                <w:color w:val="auto"/>
                <w:szCs w:val="21"/>
                <w:highlight w:val="none"/>
              </w:rPr>
              <w:t>不同投标人的投标文件由同一单位或者个人编制；</w:t>
            </w:r>
          </w:p>
          <w:p>
            <w:pPr>
              <w:spacing w:line="440" w:lineRule="exact"/>
              <w:jc w:val="left"/>
              <w:rPr>
                <w:color w:val="auto"/>
                <w:szCs w:val="21"/>
                <w:highlight w:val="none"/>
              </w:rPr>
            </w:pPr>
            <w:r>
              <w:rPr>
                <w:color w:val="auto"/>
                <w:szCs w:val="21"/>
                <w:highlight w:val="none"/>
              </w:rPr>
              <w:t>B</w:t>
            </w:r>
            <w:r>
              <w:rPr>
                <w:rFonts w:hint="eastAsia"/>
                <w:color w:val="auto"/>
                <w:szCs w:val="21"/>
                <w:highlight w:val="none"/>
              </w:rPr>
              <w:t>)</w:t>
            </w:r>
            <w:r>
              <w:rPr>
                <w:color w:val="auto"/>
                <w:szCs w:val="21"/>
                <w:highlight w:val="none"/>
              </w:rPr>
              <w:t xml:space="preserve"> </w:t>
            </w:r>
            <w:r>
              <w:rPr>
                <w:rFonts w:hint="eastAsia"/>
                <w:color w:val="auto"/>
                <w:szCs w:val="21"/>
                <w:highlight w:val="none"/>
              </w:rPr>
              <w:t>不同投标人委托同一单位或者个人办理投标事宜；</w:t>
            </w:r>
          </w:p>
          <w:p>
            <w:pPr>
              <w:spacing w:line="440" w:lineRule="exact"/>
              <w:jc w:val="left"/>
              <w:rPr>
                <w:color w:val="auto"/>
                <w:szCs w:val="21"/>
                <w:highlight w:val="none"/>
              </w:rPr>
            </w:pPr>
            <w:r>
              <w:rPr>
                <w:color w:val="auto"/>
                <w:szCs w:val="21"/>
                <w:highlight w:val="none"/>
              </w:rPr>
              <w:t>C</w:t>
            </w:r>
            <w:r>
              <w:rPr>
                <w:rFonts w:hint="eastAsia"/>
                <w:color w:val="auto"/>
                <w:szCs w:val="21"/>
                <w:highlight w:val="none"/>
              </w:rPr>
              <w:t>)</w:t>
            </w:r>
            <w:r>
              <w:rPr>
                <w:color w:val="auto"/>
                <w:szCs w:val="21"/>
                <w:highlight w:val="none"/>
              </w:rPr>
              <w:t xml:space="preserve"> </w:t>
            </w:r>
            <w:r>
              <w:rPr>
                <w:rFonts w:hint="eastAsia"/>
                <w:color w:val="auto"/>
                <w:szCs w:val="21"/>
                <w:highlight w:val="none"/>
              </w:rPr>
              <w:t>不同投标人的投标文件载明的项目管理成员为同一人；</w:t>
            </w:r>
          </w:p>
          <w:p>
            <w:pPr>
              <w:spacing w:line="440" w:lineRule="exact"/>
              <w:jc w:val="left"/>
              <w:rPr>
                <w:color w:val="auto"/>
                <w:szCs w:val="21"/>
                <w:highlight w:val="none"/>
              </w:rPr>
            </w:pPr>
            <w:r>
              <w:rPr>
                <w:color w:val="auto"/>
                <w:szCs w:val="21"/>
                <w:highlight w:val="none"/>
              </w:rPr>
              <w:t>D</w:t>
            </w:r>
            <w:r>
              <w:rPr>
                <w:rFonts w:hint="eastAsia"/>
                <w:color w:val="auto"/>
                <w:szCs w:val="21"/>
                <w:highlight w:val="none"/>
              </w:rPr>
              <w:t>)</w:t>
            </w:r>
            <w:r>
              <w:rPr>
                <w:color w:val="auto"/>
                <w:szCs w:val="21"/>
                <w:highlight w:val="none"/>
              </w:rPr>
              <w:t xml:space="preserve"> </w:t>
            </w:r>
            <w:r>
              <w:rPr>
                <w:rFonts w:hint="eastAsia"/>
                <w:color w:val="auto"/>
                <w:szCs w:val="21"/>
                <w:highlight w:val="none"/>
              </w:rPr>
              <w:t>不同投标人的投标文件异常一致或者投标报价呈规律性差异；</w:t>
            </w:r>
          </w:p>
          <w:p>
            <w:pPr>
              <w:spacing w:line="440" w:lineRule="exact"/>
              <w:jc w:val="left"/>
              <w:rPr>
                <w:color w:val="auto"/>
                <w:szCs w:val="21"/>
                <w:highlight w:val="none"/>
              </w:rPr>
            </w:pPr>
            <w:r>
              <w:rPr>
                <w:color w:val="auto"/>
                <w:szCs w:val="21"/>
                <w:highlight w:val="none"/>
              </w:rPr>
              <w:t>E</w:t>
            </w:r>
            <w:r>
              <w:rPr>
                <w:rFonts w:hint="eastAsia"/>
                <w:color w:val="auto"/>
                <w:szCs w:val="21"/>
                <w:highlight w:val="none"/>
              </w:rPr>
              <w:t>)</w:t>
            </w:r>
            <w:r>
              <w:rPr>
                <w:color w:val="auto"/>
                <w:szCs w:val="21"/>
                <w:highlight w:val="none"/>
              </w:rPr>
              <w:t xml:space="preserve"> </w:t>
            </w:r>
            <w:r>
              <w:rPr>
                <w:rFonts w:hint="eastAsia"/>
                <w:color w:val="auto"/>
                <w:szCs w:val="21"/>
                <w:highlight w:val="none"/>
              </w:rPr>
              <w:t>不同投标人的投标文件相互混装；</w:t>
            </w:r>
          </w:p>
          <w:p>
            <w:pPr>
              <w:spacing w:line="440" w:lineRule="exact"/>
              <w:jc w:val="left"/>
              <w:rPr>
                <w:color w:val="auto"/>
                <w:szCs w:val="21"/>
                <w:highlight w:val="none"/>
              </w:rPr>
            </w:pPr>
            <w:r>
              <w:rPr>
                <w:color w:val="auto"/>
                <w:szCs w:val="21"/>
                <w:highlight w:val="none"/>
              </w:rPr>
              <w:t>F</w:t>
            </w:r>
            <w:r>
              <w:rPr>
                <w:rFonts w:hint="eastAsia"/>
                <w:color w:val="auto"/>
                <w:szCs w:val="21"/>
                <w:highlight w:val="none"/>
              </w:rPr>
              <w:t>)</w:t>
            </w:r>
            <w:r>
              <w:rPr>
                <w:color w:val="auto"/>
                <w:szCs w:val="21"/>
                <w:highlight w:val="none"/>
              </w:rPr>
              <w:t xml:space="preserve"> </w:t>
            </w:r>
            <w:r>
              <w:rPr>
                <w:rFonts w:hint="eastAsia"/>
                <w:color w:val="auto"/>
                <w:szCs w:val="21"/>
                <w:highlight w:val="none"/>
              </w:rPr>
              <w:t>不同投标人的投标保证金从同一单位或者个人的账户转出。</w:t>
            </w:r>
          </w:p>
          <w:p>
            <w:pPr>
              <w:spacing w:line="440" w:lineRule="exact"/>
              <w:jc w:val="left"/>
              <w:rPr>
                <w:color w:val="auto"/>
                <w:szCs w:val="21"/>
                <w:highlight w:val="none"/>
              </w:rPr>
            </w:pPr>
            <w:r>
              <w:rPr>
                <w:rFonts w:hint="eastAsia"/>
                <w:color w:val="auto"/>
                <w:szCs w:val="21"/>
                <w:highlight w:val="none"/>
              </w:rPr>
              <w:t>3</w:t>
            </w:r>
            <w:r>
              <w:rPr>
                <w:color w:val="auto"/>
                <w:szCs w:val="21"/>
                <w:highlight w:val="none"/>
              </w:rPr>
              <w:t>、</w:t>
            </w:r>
            <w:r>
              <w:rPr>
                <w:rFonts w:ascii="Calibri" w:hAnsi="Calibri"/>
                <w:color w:val="auto"/>
                <w:highlight w:val="none"/>
              </w:rPr>
              <w:t>投标人之间不得有下列情形：</w:t>
            </w:r>
          </w:p>
          <w:p>
            <w:pPr>
              <w:spacing w:line="440" w:lineRule="exact"/>
              <w:jc w:val="left"/>
              <w:rPr>
                <w:color w:val="auto"/>
                <w:szCs w:val="21"/>
                <w:highlight w:val="none"/>
              </w:rPr>
            </w:pPr>
            <w:r>
              <w:rPr>
                <w:color w:val="auto"/>
                <w:szCs w:val="21"/>
                <w:highlight w:val="none"/>
              </w:rPr>
              <w:t>A) 不同投标人编制的投标文件的实质性内容存在两处以上细节错误一致；</w:t>
            </w:r>
          </w:p>
          <w:p>
            <w:pPr>
              <w:spacing w:line="440" w:lineRule="exact"/>
              <w:jc w:val="left"/>
              <w:rPr>
                <w:color w:val="auto"/>
                <w:szCs w:val="21"/>
                <w:highlight w:val="none"/>
              </w:rPr>
            </w:pPr>
            <w:r>
              <w:rPr>
                <w:color w:val="auto"/>
                <w:szCs w:val="21"/>
                <w:highlight w:val="none"/>
              </w:rPr>
              <w:t>B) 不同投标人的投标文件由同一电子设备编制、打包加密或者上传，不同投标人的投标文件由同一投标人的电子设备打印、复印；</w:t>
            </w:r>
          </w:p>
          <w:p>
            <w:pPr>
              <w:spacing w:line="440" w:lineRule="exact"/>
              <w:jc w:val="left"/>
              <w:rPr>
                <w:color w:val="auto"/>
                <w:szCs w:val="21"/>
                <w:highlight w:val="none"/>
              </w:rPr>
            </w:pPr>
            <w:r>
              <w:rPr>
                <w:color w:val="auto"/>
                <w:szCs w:val="21"/>
                <w:highlight w:val="none"/>
              </w:rPr>
              <w:t>C) 不同投标人的投标文件由同一投标人送达或者分发；</w:t>
            </w:r>
          </w:p>
          <w:p>
            <w:pPr>
              <w:spacing w:line="440" w:lineRule="exact"/>
              <w:jc w:val="left"/>
              <w:rPr>
                <w:color w:val="auto"/>
                <w:szCs w:val="21"/>
                <w:highlight w:val="none"/>
              </w:rPr>
            </w:pPr>
            <w:r>
              <w:rPr>
                <w:color w:val="auto"/>
                <w:szCs w:val="21"/>
                <w:highlight w:val="none"/>
              </w:rPr>
              <w:t>D) 参加投标活动的人员为同一标段其他投标人的在职人员；</w:t>
            </w:r>
          </w:p>
          <w:p>
            <w:pPr>
              <w:spacing w:line="440" w:lineRule="exact"/>
              <w:jc w:val="left"/>
              <w:rPr>
                <w:color w:val="auto"/>
                <w:szCs w:val="21"/>
                <w:highlight w:val="none"/>
              </w:rPr>
            </w:pPr>
            <w:r>
              <w:rPr>
                <w:color w:val="auto"/>
                <w:szCs w:val="21"/>
                <w:highlight w:val="none"/>
              </w:rPr>
              <w:t>E) 不同投标人的投标保证金从投标人各自的基本账户转出，但是，所需资金来自同一单位或者个人账户；</w:t>
            </w:r>
          </w:p>
          <w:p>
            <w:pPr>
              <w:spacing w:line="440" w:lineRule="exact"/>
              <w:jc w:val="left"/>
              <w:rPr>
                <w:color w:val="auto"/>
                <w:szCs w:val="21"/>
                <w:highlight w:val="none"/>
              </w:rPr>
            </w:pPr>
            <w:r>
              <w:rPr>
                <w:color w:val="auto"/>
                <w:szCs w:val="21"/>
                <w:highlight w:val="none"/>
              </w:rPr>
              <w:t>F) 法律、行政法规规定的其他禁止情形。</w:t>
            </w:r>
          </w:p>
          <w:p>
            <w:pPr>
              <w:spacing w:line="440" w:lineRule="exact"/>
              <w:jc w:val="left"/>
              <w:rPr>
                <w:color w:val="auto"/>
                <w:szCs w:val="21"/>
                <w:highlight w:val="none"/>
              </w:rPr>
            </w:pPr>
            <w:r>
              <w:rPr>
                <w:rFonts w:hint="eastAsia"/>
                <w:color w:val="auto"/>
                <w:szCs w:val="21"/>
                <w:highlight w:val="none"/>
              </w:rPr>
              <w:t>4</w:t>
            </w:r>
            <w:r>
              <w:rPr>
                <w:color w:val="auto"/>
                <w:szCs w:val="21"/>
                <w:highlight w:val="none"/>
              </w:rPr>
              <w:t>、未集中载明的否决投标条款，评标时不予认可。</w:t>
            </w:r>
          </w:p>
          <w:p>
            <w:pPr>
              <w:spacing w:line="440" w:lineRule="exact"/>
              <w:jc w:val="left"/>
              <w:rPr>
                <w:color w:val="auto"/>
                <w:szCs w:val="21"/>
                <w:highlight w:val="none"/>
              </w:rPr>
            </w:pPr>
            <w:r>
              <w:rPr>
                <w:rFonts w:hint="eastAsia"/>
                <w:color w:val="auto"/>
                <w:szCs w:val="21"/>
                <w:highlight w:val="none"/>
              </w:rPr>
              <w:t>5、投标人如在本项目中存在串通投标、弄虚作假、行贿等情形且在评标过程中未被发现的，该投标不改变本项目评标结果及排序，但其中标无效。招标人按照《中华人民共和国招标投标法实施条例》第五十五条的规定依次确定中标人或重新招标。</w:t>
            </w:r>
          </w:p>
          <w:p>
            <w:pPr>
              <w:spacing w:line="440" w:lineRule="exact"/>
              <w:jc w:val="left"/>
              <w:rPr>
                <w:color w:val="auto"/>
                <w:szCs w:val="21"/>
                <w:highlight w:val="none"/>
              </w:rPr>
            </w:pPr>
            <w:r>
              <w:rPr>
                <w:rFonts w:hint="eastAsia"/>
                <w:color w:val="auto"/>
                <w:highlight w:val="none"/>
              </w:rPr>
              <w:t>6、在投标截止时间前递交投标文件的投标人少于</w:t>
            </w:r>
            <w:r>
              <w:rPr>
                <w:color w:val="auto"/>
                <w:highlight w:val="none"/>
              </w:rPr>
              <w:t>3</w:t>
            </w:r>
            <w:r>
              <w:rPr>
                <w:rFonts w:hint="eastAsia"/>
                <w:color w:val="auto"/>
                <w:highlight w:val="none"/>
              </w:rPr>
              <w:t>家，或通过初步评审的投标人少于</w:t>
            </w:r>
            <w:r>
              <w:rPr>
                <w:color w:val="auto"/>
                <w:highlight w:val="none"/>
              </w:rPr>
              <w:t>3</w:t>
            </w:r>
            <w:r>
              <w:rPr>
                <w:rFonts w:hint="eastAsia"/>
                <w:color w:val="auto"/>
                <w:highlight w:val="none"/>
              </w:rPr>
              <w:t>家使得投标明显缺乏竞争性，评标委员会否决所有投标时为招标失败，招标人应当重新组织招标。</w:t>
            </w:r>
          </w:p>
        </w:tc>
      </w:tr>
    </w:tbl>
    <w:p>
      <w:pPr>
        <w:spacing w:line="400" w:lineRule="exact"/>
        <w:rPr>
          <w:color w:val="auto"/>
          <w:highlight w:val="none"/>
        </w:rPr>
      </w:pPr>
      <w:r>
        <w:rPr>
          <w:color w:val="auto"/>
          <w:highlight w:val="none"/>
        </w:rPr>
        <w:br w:type="page"/>
      </w:r>
    </w:p>
    <w:p>
      <w:pPr>
        <w:pStyle w:val="5"/>
        <w:rPr>
          <w:rFonts w:hint="eastAsia" w:ascii="华文宋体" w:hAnsi="华文宋体" w:eastAsia="华文宋体"/>
          <w:color w:val="auto"/>
          <w:highlight w:val="none"/>
        </w:rPr>
      </w:pPr>
      <w:bookmarkStart w:id="916" w:name="_Toc152045600"/>
      <w:bookmarkStart w:id="917" w:name="_Toc179632618"/>
      <w:bookmarkStart w:id="918" w:name="_Toc247085758"/>
      <w:bookmarkStart w:id="919" w:name="_Toc246996986"/>
      <w:bookmarkStart w:id="920" w:name="_Toc144974567"/>
      <w:bookmarkStart w:id="921" w:name="_Toc152042377"/>
      <w:bookmarkStart w:id="922" w:name="_Toc67"/>
      <w:bookmarkStart w:id="923" w:name="_Toc246996243"/>
      <w:r>
        <w:rPr>
          <w:rFonts w:hint="eastAsia" w:ascii="华文宋体" w:hAnsi="华文宋体" w:eastAsia="华文宋体"/>
          <w:color w:val="auto"/>
          <w:highlight w:val="none"/>
        </w:rPr>
        <w:t>1. 评标方法</w:t>
      </w:r>
      <w:bookmarkEnd w:id="916"/>
      <w:bookmarkEnd w:id="917"/>
      <w:bookmarkEnd w:id="918"/>
      <w:bookmarkEnd w:id="919"/>
      <w:bookmarkEnd w:id="920"/>
      <w:bookmarkEnd w:id="921"/>
      <w:bookmarkEnd w:id="922"/>
      <w:bookmarkEnd w:id="923"/>
    </w:p>
    <w:p>
      <w:pPr>
        <w:spacing w:line="400" w:lineRule="exact"/>
        <w:ind w:firstLine="420" w:firstLineChars="200"/>
        <w:rPr>
          <w:color w:val="auto"/>
          <w:highlight w:val="none"/>
        </w:rPr>
      </w:pPr>
      <w:r>
        <w:rPr>
          <w:rFonts w:hint="eastAsia"/>
          <w:color w:val="auto"/>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color w:val="auto"/>
          <w:highlight w:val="none"/>
        </w:rPr>
        <w:t>按照评标办法前附表的规定确定中标候选人顺序</w:t>
      </w:r>
      <w:r>
        <w:rPr>
          <w:rFonts w:hint="eastAsia"/>
          <w:color w:val="auto"/>
          <w:highlight w:val="none"/>
        </w:rPr>
        <w:t>。</w:t>
      </w:r>
    </w:p>
    <w:p>
      <w:pPr>
        <w:pStyle w:val="5"/>
        <w:rPr>
          <w:rFonts w:hint="eastAsia" w:ascii="华文宋体" w:hAnsi="华文宋体" w:eastAsia="华文宋体"/>
          <w:color w:val="auto"/>
          <w:highlight w:val="none"/>
        </w:rPr>
      </w:pPr>
      <w:bookmarkStart w:id="924" w:name="_Toc179632619"/>
      <w:bookmarkStart w:id="925" w:name="_Toc152042378"/>
      <w:bookmarkStart w:id="926" w:name="_Toc246996244"/>
      <w:bookmarkStart w:id="927" w:name="_Toc247085759"/>
      <w:bookmarkStart w:id="928" w:name="_Toc25274"/>
      <w:bookmarkStart w:id="929" w:name="_Toc246996987"/>
      <w:bookmarkStart w:id="930" w:name="_Toc144974568"/>
      <w:bookmarkStart w:id="931" w:name="_Toc152045601"/>
      <w:r>
        <w:rPr>
          <w:rFonts w:hint="eastAsia" w:ascii="华文宋体" w:hAnsi="华文宋体" w:eastAsia="华文宋体"/>
          <w:color w:val="auto"/>
          <w:highlight w:val="none"/>
        </w:rPr>
        <w:t>2. 评审标准</w:t>
      </w:r>
      <w:bookmarkEnd w:id="924"/>
      <w:bookmarkEnd w:id="925"/>
      <w:bookmarkEnd w:id="926"/>
      <w:bookmarkEnd w:id="927"/>
      <w:bookmarkEnd w:id="928"/>
      <w:bookmarkEnd w:id="929"/>
      <w:bookmarkEnd w:id="930"/>
      <w:bookmarkEnd w:id="931"/>
    </w:p>
    <w:p>
      <w:pPr>
        <w:pStyle w:val="6"/>
        <w:rPr>
          <w:rFonts w:hint="eastAsia" w:ascii="华文宋体" w:hAnsi="华文宋体" w:eastAsia="华文宋体"/>
          <w:color w:val="auto"/>
          <w:highlight w:val="none"/>
        </w:rPr>
      </w:pPr>
      <w:bookmarkStart w:id="932" w:name="_Toc144974569"/>
      <w:bookmarkStart w:id="933" w:name="_Toc521674912"/>
      <w:bookmarkStart w:id="934" w:name="_Toc152045602"/>
      <w:bookmarkStart w:id="935" w:name="_Toc101107140"/>
      <w:bookmarkStart w:id="936" w:name="_Toc113286030"/>
      <w:bookmarkStart w:id="937" w:name="_Toc246996988"/>
      <w:bookmarkStart w:id="938" w:name="_Toc247085760"/>
      <w:bookmarkStart w:id="939" w:name="_Toc30192"/>
      <w:bookmarkStart w:id="940" w:name="_Toc246996245"/>
      <w:bookmarkStart w:id="941" w:name="_Toc12375905"/>
      <w:bookmarkStart w:id="942" w:name="_Toc49284435"/>
      <w:bookmarkStart w:id="943" w:name="_Toc529528720"/>
      <w:bookmarkStart w:id="944" w:name="_Toc152042379"/>
      <w:bookmarkStart w:id="945" w:name="_Toc51965834"/>
      <w:bookmarkStart w:id="946" w:name="_Toc183772352"/>
      <w:bookmarkStart w:id="947" w:name="_Toc183770537"/>
      <w:bookmarkStart w:id="948" w:name="_Toc179632620"/>
      <w:bookmarkStart w:id="949" w:name="_Toc55504954"/>
      <w:r>
        <w:rPr>
          <w:rFonts w:hint="eastAsia" w:ascii="华文宋体" w:hAnsi="华文宋体" w:eastAsia="华文宋体"/>
          <w:color w:val="auto"/>
          <w:highlight w:val="none"/>
        </w:rPr>
        <w:t>2.1 初步评审标准</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spacing w:line="400" w:lineRule="exact"/>
        <w:ind w:firstLine="420" w:firstLineChars="200"/>
        <w:rPr>
          <w:color w:val="auto"/>
          <w:highlight w:val="none"/>
        </w:rPr>
      </w:pPr>
      <w:r>
        <w:rPr>
          <w:rFonts w:hint="eastAsia"/>
          <w:color w:val="auto"/>
          <w:highlight w:val="none"/>
        </w:rPr>
        <w:t>2.1.1 形式评审标准：见评标办法前附表。</w:t>
      </w:r>
    </w:p>
    <w:p>
      <w:pPr>
        <w:spacing w:line="400" w:lineRule="exact"/>
        <w:ind w:firstLine="420" w:firstLineChars="200"/>
        <w:rPr>
          <w:color w:val="auto"/>
          <w:highlight w:val="none"/>
        </w:rPr>
      </w:pPr>
      <w:r>
        <w:rPr>
          <w:rFonts w:hint="eastAsia"/>
          <w:color w:val="auto"/>
          <w:highlight w:val="none"/>
        </w:rPr>
        <w:t>2.1.2 资格评审标准：见评标办法前附表。</w:t>
      </w:r>
    </w:p>
    <w:p>
      <w:pPr>
        <w:spacing w:line="400" w:lineRule="exact"/>
        <w:ind w:firstLine="420" w:firstLineChars="200"/>
        <w:rPr>
          <w:color w:val="auto"/>
          <w:highlight w:val="none"/>
        </w:rPr>
      </w:pPr>
      <w:r>
        <w:rPr>
          <w:rFonts w:hint="eastAsia"/>
          <w:color w:val="auto"/>
          <w:highlight w:val="none"/>
        </w:rPr>
        <w:t>2.1.3 响应性评审标准：见评标办法前附表。</w:t>
      </w:r>
    </w:p>
    <w:p>
      <w:pPr>
        <w:pStyle w:val="6"/>
        <w:rPr>
          <w:rFonts w:hint="eastAsia" w:ascii="华文宋体" w:hAnsi="华文宋体" w:eastAsia="华文宋体"/>
          <w:color w:val="auto"/>
          <w:highlight w:val="none"/>
        </w:rPr>
      </w:pPr>
      <w:bookmarkStart w:id="950" w:name="_Toc247085761"/>
      <w:bookmarkStart w:id="951" w:name="_Toc246996246"/>
      <w:bookmarkStart w:id="952" w:name="_Toc152042380"/>
      <w:bookmarkStart w:id="953" w:name="_Toc152045603"/>
      <w:bookmarkStart w:id="954" w:name="_Toc183772353"/>
      <w:bookmarkStart w:id="955" w:name="_Toc55504955"/>
      <w:bookmarkStart w:id="956" w:name="_Toc179632621"/>
      <w:bookmarkStart w:id="957" w:name="_Toc101107141"/>
      <w:bookmarkStart w:id="958" w:name="_Toc51965835"/>
      <w:bookmarkStart w:id="959" w:name="_Toc183770538"/>
      <w:bookmarkStart w:id="960" w:name="_Toc12375906"/>
      <w:bookmarkStart w:id="961" w:name="_Toc529528721"/>
      <w:bookmarkStart w:id="962" w:name="_Toc144974570"/>
      <w:bookmarkStart w:id="963" w:name="_Toc246996989"/>
      <w:bookmarkStart w:id="964" w:name="_Toc521674913"/>
      <w:bookmarkStart w:id="965" w:name="_Toc113286031"/>
      <w:bookmarkStart w:id="966" w:name="_Toc20519"/>
      <w:bookmarkStart w:id="967" w:name="_Toc49284436"/>
      <w:r>
        <w:rPr>
          <w:rFonts w:hint="eastAsia" w:ascii="华文宋体" w:hAnsi="华文宋体" w:eastAsia="华文宋体"/>
          <w:color w:val="auto"/>
          <w:highlight w:val="none"/>
        </w:rPr>
        <w:t>2.2 分值构成与评分标准</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pPr>
        <w:spacing w:line="400" w:lineRule="exact"/>
        <w:ind w:firstLine="420" w:firstLineChars="200"/>
        <w:rPr>
          <w:color w:val="auto"/>
          <w:highlight w:val="none"/>
        </w:rPr>
      </w:pPr>
      <w:r>
        <w:rPr>
          <w:rFonts w:hint="eastAsia"/>
          <w:color w:val="auto"/>
          <w:highlight w:val="none"/>
        </w:rPr>
        <w:t>2.2.1 分值构成</w:t>
      </w:r>
    </w:p>
    <w:p>
      <w:pPr>
        <w:spacing w:line="400" w:lineRule="exact"/>
        <w:ind w:firstLine="718" w:firstLineChars="342"/>
        <w:rPr>
          <w:color w:val="auto"/>
          <w:highlight w:val="none"/>
        </w:rPr>
      </w:pPr>
      <w:r>
        <w:rPr>
          <w:rFonts w:hint="eastAsia"/>
          <w:color w:val="auto"/>
          <w:highlight w:val="none"/>
        </w:rPr>
        <w:t>（1）</w:t>
      </w:r>
      <w:r>
        <w:rPr>
          <w:rFonts w:hint="eastAsia"/>
          <w:color w:val="auto"/>
          <w:szCs w:val="21"/>
          <w:highlight w:val="none"/>
        </w:rPr>
        <w:t>商务部分</w:t>
      </w:r>
      <w:r>
        <w:rPr>
          <w:rFonts w:hint="eastAsia"/>
          <w:color w:val="auto"/>
          <w:highlight w:val="none"/>
        </w:rPr>
        <w:t>：见评标办法前附表；</w:t>
      </w:r>
    </w:p>
    <w:p>
      <w:pPr>
        <w:spacing w:line="400" w:lineRule="exact"/>
        <w:ind w:firstLine="718" w:firstLineChars="342"/>
        <w:rPr>
          <w:color w:val="auto"/>
          <w:highlight w:val="none"/>
        </w:rPr>
      </w:pPr>
      <w:r>
        <w:rPr>
          <w:rFonts w:hint="eastAsia"/>
          <w:color w:val="auto"/>
          <w:highlight w:val="none"/>
        </w:rPr>
        <w:t>（2）</w:t>
      </w:r>
      <w:r>
        <w:rPr>
          <w:rFonts w:hint="eastAsia"/>
          <w:color w:val="auto"/>
          <w:szCs w:val="21"/>
          <w:highlight w:val="none"/>
        </w:rPr>
        <w:t>技术部分</w:t>
      </w:r>
      <w:r>
        <w:rPr>
          <w:rFonts w:hint="eastAsia"/>
          <w:color w:val="auto"/>
          <w:highlight w:val="none"/>
        </w:rPr>
        <w:t>：见评标办法前附表；</w:t>
      </w:r>
    </w:p>
    <w:p>
      <w:pPr>
        <w:spacing w:line="400" w:lineRule="exact"/>
        <w:ind w:firstLine="718" w:firstLineChars="342"/>
        <w:rPr>
          <w:color w:val="auto"/>
          <w:highlight w:val="none"/>
        </w:rPr>
      </w:pPr>
      <w:r>
        <w:rPr>
          <w:rFonts w:hint="eastAsia"/>
          <w:color w:val="auto"/>
          <w:highlight w:val="none"/>
        </w:rPr>
        <w:t>（3）投标报价：见评标办法前附表；</w:t>
      </w:r>
    </w:p>
    <w:p>
      <w:pPr>
        <w:spacing w:line="400" w:lineRule="exact"/>
        <w:ind w:firstLine="718" w:firstLineChars="342"/>
        <w:rPr>
          <w:color w:val="auto"/>
          <w:highlight w:val="none"/>
        </w:rPr>
      </w:pPr>
      <w:r>
        <w:rPr>
          <w:rFonts w:hint="eastAsia"/>
          <w:color w:val="auto"/>
          <w:highlight w:val="none"/>
        </w:rPr>
        <w:t>（4）其他评分因素：见评标办法前附表。</w:t>
      </w:r>
    </w:p>
    <w:p>
      <w:pPr>
        <w:spacing w:line="400" w:lineRule="exact"/>
        <w:ind w:firstLine="420" w:firstLineChars="200"/>
        <w:rPr>
          <w:color w:val="auto"/>
          <w:highlight w:val="none"/>
        </w:rPr>
      </w:pPr>
      <w:r>
        <w:rPr>
          <w:rFonts w:hint="eastAsia"/>
          <w:color w:val="auto"/>
          <w:highlight w:val="none"/>
        </w:rPr>
        <w:t>2.2.2 评标基准价计算</w:t>
      </w:r>
    </w:p>
    <w:p>
      <w:pPr>
        <w:spacing w:line="400" w:lineRule="exact"/>
        <w:ind w:firstLine="840" w:firstLineChars="400"/>
        <w:rPr>
          <w:color w:val="auto"/>
          <w:highlight w:val="none"/>
        </w:rPr>
      </w:pPr>
      <w:r>
        <w:rPr>
          <w:rFonts w:hint="eastAsia"/>
          <w:color w:val="auto"/>
          <w:highlight w:val="none"/>
        </w:rPr>
        <w:t>评标基准价计算方法：见评标办法前附表。</w:t>
      </w:r>
    </w:p>
    <w:p>
      <w:pPr>
        <w:spacing w:line="400" w:lineRule="exact"/>
        <w:ind w:firstLine="420" w:firstLineChars="200"/>
        <w:rPr>
          <w:color w:val="auto"/>
          <w:highlight w:val="none"/>
        </w:rPr>
      </w:pPr>
      <w:r>
        <w:rPr>
          <w:rFonts w:hint="eastAsia"/>
          <w:color w:val="auto"/>
          <w:highlight w:val="none"/>
        </w:rPr>
        <w:t>2.2.3 投标报价的偏差率计算</w:t>
      </w:r>
    </w:p>
    <w:p>
      <w:pPr>
        <w:spacing w:line="400" w:lineRule="exact"/>
        <w:ind w:firstLine="840" w:firstLineChars="400"/>
        <w:rPr>
          <w:color w:val="auto"/>
          <w:highlight w:val="none"/>
        </w:rPr>
      </w:pPr>
      <w:r>
        <w:rPr>
          <w:rFonts w:hint="eastAsia"/>
          <w:color w:val="auto"/>
          <w:highlight w:val="none"/>
        </w:rPr>
        <w:t>投标报价的偏差率计算公式：见评标办法前附表。</w:t>
      </w:r>
    </w:p>
    <w:p>
      <w:pPr>
        <w:spacing w:line="400" w:lineRule="exact"/>
        <w:ind w:firstLine="420" w:firstLineChars="200"/>
        <w:rPr>
          <w:color w:val="auto"/>
          <w:highlight w:val="none"/>
        </w:rPr>
      </w:pPr>
      <w:r>
        <w:rPr>
          <w:rFonts w:hint="eastAsia"/>
          <w:color w:val="auto"/>
          <w:highlight w:val="none"/>
        </w:rPr>
        <w:t>2.2.4 评分标准</w:t>
      </w:r>
    </w:p>
    <w:p>
      <w:pPr>
        <w:spacing w:line="400" w:lineRule="exact"/>
        <w:ind w:firstLine="718" w:firstLineChars="342"/>
        <w:rPr>
          <w:color w:val="auto"/>
          <w:highlight w:val="none"/>
        </w:rPr>
      </w:pPr>
      <w:r>
        <w:rPr>
          <w:rFonts w:hint="eastAsia"/>
          <w:color w:val="auto"/>
          <w:highlight w:val="none"/>
        </w:rPr>
        <w:t>（1）</w:t>
      </w:r>
      <w:r>
        <w:rPr>
          <w:rFonts w:hint="eastAsia"/>
          <w:color w:val="auto"/>
          <w:szCs w:val="21"/>
          <w:highlight w:val="none"/>
        </w:rPr>
        <w:t>商务部分</w:t>
      </w:r>
      <w:r>
        <w:rPr>
          <w:rFonts w:hint="eastAsia"/>
          <w:color w:val="auto"/>
          <w:highlight w:val="none"/>
        </w:rPr>
        <w:t>评分标准：见评标办法前附表；</w:t>
      </w:r>
    </w:p>
    <w:p>
      <w:pPr>
        <w:spacing w:line="400" w:lineRule="exact"/>
        <w:ind w:firstLine="718" w:firstLineChars="342"/>
        <w:rPr>
          <w:color w:val="auto"/>
          <w:highlight w:val="none"/>
        </w:rPr>
      </w:pPr>
      <w:r>
        <w:rPr>
          <w:rFonts w:hint="eastAsia"/>
          <w:color w:val="auto"/>
          <w:highlight w:val="none"/>
        </w:rPr>
        <w:t>（2）</w:t>
      </w:r>
      <w:r>
        <w:rPr>
          <w:rFonts w:hint="eastAsia"/>
          <w:color w:val="auto"/>
          <w:szCs w:val="21"/>
          <w:highlight w:val="none"/>
        </w:rPr>
        <w:t>技术部分</w:t>
      </w:r>
      <w:r>
        <w:rPr>
          <w:rFonts w:hint="eastAsia"/>
          <w:color w:val="auto"/>
          <w:highlight w:val="none"/>
        </w:rPr>
        <w:t>评分标准：见评标办法前附表；</w:t>
      </w:r>
    </w:p>
    <w:p>
      <w:pPr>
        <w:spacing w:line="400" w:lineRule="exact"/>
        <w:ind w:firstLine="718" w:firstLineChars="342"/>
        <w:rPr>
          <w:color w:val="auto"/>
          <w:highlight w:val="none"/>
        </w:rPr>
      </w:pPr>
      <w:r>
        <w:rPr>
          <w:rFonts w:hint="eastAsia"/>
          <w:color w:val="auto"/>
          <w:highlight w:val="none"/>
        </w:rPr>
        <w:t>（3）投标报价评分标准：见评标办法前附表；</w:t>
      </w:r>
    </w:p>
    <w:p>
      <w:pPr>
        <w:spacing w:line="400" w:lineRule="exact"/>
        <w:ind w:firstLine="718" w:firstLineChars="342"/>
        <w:rPr>
          <w:color w:val="auto"/>
          <w:highlight w:val="none"/>
        </w:rPr>
      </w:pPr>
      <w:r>
        <w:rPr>
          <w:rFonts w:hint="eastAsia"/>
          <w:color w:val="auto"/>
          <w:highlight w:val="none"/>
        </w:rPr>
        <w:t>（4）其他因素评分标准：见评标办法前附表。</w:t>
      </w:r>
    </w:p>
    <w:p>
      <w:pPr>
        <w:pStyle w:val="5"/>
        <w:rPr>
          <w:rFonts w:hint="eastAsia" w:ascii="华文宋体" w:hAnsi="华文宋体" w:eastAsia="华文宋体"/>
          <w:color w:val="auto"/>
          <w:highlight w:val="none"/>
        </w:rPr>
      </w:pPr>
      <w:bookmarkStart w:id="968" w:name="_Toc152045604"/>
      <w:bookmarkStart w:id="969" w:name="_Toc31464"/>
      <w:bookmarkStart w:id="970" w:name="_Toc246996990"/>
      <w:bookmarkStart w:id="971" w:name="_Toc144974571"/>
      <w:bookmarkStart w:id="972" w:name="_Toc152042381"/>
      <w:bookmarkStart w:id="973" w:name="_Toc247085762"/>
      <w:bookmarkStart w:id="974" w:name="_Toc246996247"/>
      <w:bookmarkStart w:id="975" w:name="_Toc179632622"/>
      <w:r>
        <w:rPr>
          <w:rFonts w:hint="eastAsia" w:ascii="华文宋体" w:hAnsi="华文宋体" w:eastAsia="华文宋体"/>
          <w:color w:val="auto"/>
          <w:highlight w:val="none"/>
        </w:rPr>
        <w:t>3. 评标程序</w:t>
      </w:r>
      <w:bookmarkEnd w:id="968"/>
      <w:bookmarkEnd w:id="969"/>
      <w:bookmarkEnd w:id="970"/>
      <w:bookmarkEnd w:id="971"/>
      <w:bookmarkEnd w:id="972"/>
      <w:bookmarkEnd w:id="973"/>
      <w:bookmarkEnd w:id="974"/>
      <w:bookmarkEnd w:id="975"/>
    </w:p>
    <w:p>
      <w:pPr>
        <w:pStyle w:val="6"/>
        <w:rPr>
          <w:rFonts w:hint="eastAsia" w:ascii="华文宋体" w:hAnsi="华文宋体" w:eastAsia="华文宋体"/>
          <w:color w:val="auto"/>
          <w:highlight w:val="none"/>
        </w:rPr>
      </w:pPr>
      <w:bookmarkStart w:id="976" w:name="_Toc113286033"/>
      <w:bookmarkStart w:id="977" w:name="_Toc55504957"/>
      <w:bookmarkStart w:id="978" w:name="_Toc529528723"/>
      <w:bookmarkStart w:id="979" w:name="_Toc246996248"/>
      <w:bookmarkStart w:id="980" w:name="_Toc152045605"/>
      <w:bookmarkStart w:id="981" w:name="_Toc152042382"/>
      <w:bookmarkStart w:id="982" w:name="_Toc12194"/>
      <w:bookmarkStart w:id="983" w:name="_Toc183772355"/>
      <w:bookmarkStart w:id="984" w:name="_Toc179632623"/>
      <w:bookmarkStart w:id="985" w:name="_Toc521674915"/>
      <w:bookmarkStart w:id="986" w:name="_Toc247085763"/>
      <w:bookmarkStart w:id="987" w:name="_Toc144974572"/>
      <w:bookmarkStart w:id="988" w:name="_Toc49284438"/>
      <w:bookmarkStart w:id="989" w:name="_Toc51965837"/>
      <w:bookmarkStart w:id="990" w:name="_Toc12375908"/>
      <w:bookmarkStart w:id="991" w:name="_Toc183770540"/>
      <w:bookmarkStart w:id="992" w:name="_Toc101107143"/>
      <w:bookmarkStart w:id="993" w:name="_Toc246996991"/>
      <w:r>
        <w:rPr>
          <w:rFonts w:hint="eastAsia" w:ascii="华文宋体" w:hAnsi="华文宋体" w:eastAsia="华文宋体"/>
          <w:color w:val="auto"/>
          <w:highlight w:val="none"/>
        </w:rPr>
        <w:t>3.1 初步评审</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pPr>
        <w:spacing w:line="400" w:lineRule="exact"/>
        <w:ind w:firstLine="420" w:firstLineChars="200"/>
        <w:rPr>
          <w:color w:val="auto"/>
          <w:highlight w:val="none"/>
        </w:rPr>
      </w:pPr>
      <w:r>
        <w:rPr>
          <w:rFonts w:hint="eastAsia"/>
          <w:color w:val="auto"/>
          <w:highlight w:val="none"/>
        </w:rPr>
        <w:t>3.1.1 评标委员会可以要求投标人提交第二章“投标人须知”第3.5.1项至第3.5.4项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color w:val="auto"/>
          <w:highlight w:val="none"/>
        </w:rPr>
      </w:pPr>
      <w:r>
        <w:rPr>
          <w:rFonts w:hint="eastAsia"/>
          <w:color w:val="auto"/>
          <w:highlight w:val="none"/>
        </w:rPr>
        <w:t>3.1.2 投标人有以下情形之一的，评标委员会应当否决其投标：</w:t>
      </w:r>
    </w:p>
    <w:p>
      <w:pPr>
        <w:spacing w:line="400" w:lineRule="exact"/>
        <w:ind w:firstLine="718" w:firstLineChars="342"/>
        <w:rPr>
          <w:color w:val="auto"/>
          <w:highlight w:val="none"/>
        </w:rPr>
      </w:pPr>
      <w:r>
        <w:rPr>
          <w:rFonts w:hint="eastAsia"/>
          <w:color w:val="auto"/>
          <w:highlight w:val="none"/>
        </w:rPr>
        <w:t>（1）第二章“投标人须知”第1.4.2项、第1.4.3项规定的任何一种情形的；</w:t>
      </w:r>
    </w:p>
    <w:p>
      <w:pPr>
        <w:spacing w:line="400" w:lineRule="exact"/>
        <w:ind w:firstLine="718" w:firstLineChars="342"/>
        <w:rPr>
          <w:color w:val="auto"/>
          <w:highlight w:val="none"/>
        </w:rPr>
      </w:pPr>
      <w:r>
        <w:rPr>
          <w:rFonts w:hint="eastAsia"/>
          <w:color w:val="auto"/>
          <w:highlight w:val="none"/>
        </w:rPr>
        <w:t>（2）串通投标或弄虚作假或有其他违法行为的；</w:t>
      </w:r>
    </w:p>
    <w:p>
      <w:pPr>
        <w:spacing w:line="400" w:lineRule="exact"/>
        <w:ind w:firstLine="718" w:firstLineChars="342"/>
        <w:rPr>
          <w:color w:val="auto"/>
          <w:highlight w:val="none"/>
        </w:rPr>
      </w:pPr>
      <w:r>
        <w:rPr>
          <w:rFonts w:hint="eastAsia"/>
          <w:color w:val="auto"/>
          <w:highlight w:val="none"/>
        </w:rPr>
        <w:t>（3）不按评标委员会要求澄清、说明或补正的。</w:t>
      </w:r>
    </w:p>
    <w:p>
      <w:pPr>
        <w:spacing w:line="400" w:lineRule="exact"/>
        <w:ind w:firstLine="420" w:firstLineChars="200"/>
        <w:rPr>
          <w:color w:val="auto"/>
          <w:highlight w:val="none"/>
        </w:rPr>
      </w:pPr>
      <w:r>
        <w:rPr>
          <w:rFonts w:hint="eastAsia"/>
          <w:color w:val="auto"/>
          <w:highlight w:val="none"/>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color w:val="auto"/>
          <w:highlight w:val="none"/>
        </w:rPr>
      </w:pPr>
      <w:bookmarkStart w:id="994" w:name="_Toc152042383"/>
      <w:r>
        <w:rPr>
          <w:rFonts w:hint="eastAsia"/>
          <w:color w:val="auto"/>
          <w:highlight w:val="none"/>
        </w:rPr>
        <w:t>（1）投标文件中的大写金额与小写金额不一致的，以大写金额为准；</w:t>
      </w:r>
      <w:bookmarkEnd w:id="994"/>
    </w:p>
    <w:p>
      <w:pPr>
        <w:spacing w:line="400" w:lineRule="exact"/>
        <w:ind w:firstLine="718" w:firstLineChars="342"/>
        <w:rPr>
          <w:color w:val="auto"/>
          <w:highlight w:val="none"/>
        </w:rPr>
      </w:pPr>
      <w:r>
        <w:rPr>
          <w:rFonts w:hint="eastAsia"/>
          <w:color w:val="auto"/>
          <w:highlight w:val="none"/>
        </w:rPr>
        <w:t>（2）总价金额与依据单价计算出的结果不一致的，以单价金额为准修正总价，但单价金额小数点有明显错误的除外。</w:t>
      </w:r>
    </w:p>
    <w:p>
      <w:pPr>
        <w:pStyle w:val="6"/>
        <w:rPr>
          <w:rFonts w:hint="eastAsia" w:ascii="华文宋体" w:hAnsi="华文宋体" w:eastAsia="华文宋体"/>
          <w:color w:val="auto"/>
          <w:highlight w:val="none"/>
        </w:rPr>
      </w:pPr>
      <w:bookmarkStart w:id="995" w:name="_Toc152045606"/>
      <w:bookmarkStart w:id="996" w:name="_Toc113286034"/>
      <w:bookmarkStart w:id="997" w:name="_Toc521674916"/>
      <w:bookmarkStart w:id="998" w:name="_Toc51965838"/>
      <w:bookmarkStart w:id="999" w:name="_Toc183772356"/>
      <w:bookmarkStart w:id="1000" w:name="_Toc179632624"/>
      <w:bookmarkStart w:id="1001" w:name="_Toc246996992"/>
      <w:bookmarkStart w:id="1002" w:name="_Toc12375909"/>
      <w:bookmarkStart w:id="1003" w:name="_Toc101107144"/>
      <w:bookmarkStart w:id="1004" w:name="_Toc152042384"/>
      <w:bookmarkStart w:id="1005" w:name="_Toc3825"/>
      <w:bookmarkStart w:id="1006" w:name="_Toc529528724"/>
      <w:bookmarkStart w:id="1007" w:name="_Toc246996249"/>
      <w:bookmarkStart w:id="1008" w:name="_Toc49284439"/>
      <w:bookmarkStart w:id="1009" w:name="_Toc144974573"/>
      <w:bookmarkStart w:id="1010" w:name="_Toc247085764"/>
      <w:bookmarkStart w:id="1011" w:name="_Toc183770541"/>
      <w:bookmarkStart w:id="1012" w:name="_Toc55504958"/>
      <w:r>
        <w:rPr>
          <w:rFonts w:hint="eastAsia" w:ascii="华文宋体" w:hAnsi="华文宋体" w:eastAsia="华文宋体"/>
          <w:color w:val="auto"/>
          <w:highlight w:val="none"/>
        </w:rPr>
        <w:t>3.2 详细评审</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pPr>
        <w:spacing w:line="400" w:lineRule="exact"/>
        <w:ind w:firstLine="420" w:firstLineChars="200"/>
        <w:rPr>
          <w:color w:val="auto"/>
          <w:highlight w:val="none"/>
        </w:rPr>
      </w:pPr>
      <w:r>
        <w:rPr>
          <w:rFonts w:hint="eastAsia"/>
          <w:color w:val="auto"/>
          <w:highlight w:val="none"/>
        </w:rPr>
        <w:t>3.2.1 评标委员会按本章第2.2款规定的量化因素和分值进行打分，并计算出综合评估得分。</w:t>
      </w:r>
    </w:p>
    <w:p>
      <w:pPr>
        <w:spacing w:line="400" w:lineRule="exact"/>
        <w:ind w:firstLine="718" w:firstLineChars="342"/>
        <w:rPr>
          <w:color w:val="auto"/>
          <w:highlight w:val="none"/>
        </w:rPr>
      </w:pPr>
      <w:r>
        <w:rPr>
          <w:rFonts w:hint="eastAsia"/>
          <w:color w:val="auto"/>
          <w:highlight w:val="none"/>
        </w:rPr>
        <w:t>（1）按本章第2.2.4（1）目规定的评审因素和分值对</w:t>
      </w:r>
      <w:r>
        <w:rPr>
          <w:rFonts w:hint="eastAsia"/>
          <w:color w:val="auto"/>
          <w:szCs w:val="21"/>
          <w:highlight w:val="none"/>
        </w:rPr>
        <w:t>商务部分</w:t>
      </w:r>
      <w:r>
        <w:rPr>
          <w:rFonts w:hint="eastAsia"/>
          <w:color w:val="auto"/>
          <w:highlight w:val="none"/>
        </w:rPr>
        <w:t>计算出得分A；</w:t>
      </w:r>
    </w:p>
    <w:p>
      <w:pPr>
        <w:spacing w:line="400" w:lineRule="exact"/>
        <w:ind w:firstLine="718" w:firstLineChars="342"/>
        <w:rPr>
          <w:color w:val="auto"/>
          <w:highlight w:val="none"/>
        </w:rPr>
      </w:pPr>
      <w:r>
        <w:rPr>
          <w:rFonts w:hint="eastAsia"/>
          <w:color w:val="auto"/>
          <w:highlight w:val="none"/>
        </w:rPr>
        <w:t>（2）按本章第2.2.4（2）目规定的评审因素和分值对</w:t>
      </w:r>
      <w:r>
        <w:rPr>
          <w:rFonts w:hint="eastAsia"/>
          <w:color w:val="auto"/>
          <w:szCs w:val="21"/>
          <w:highlight w:val="none"/>
        </w:rPr>
        <w:t>技术部分</w:t>
      </w:r>
      <w:r>
        <w:rPr>
          <w:rFonts w:hint="eastAsia"/>
          <w:color w:val="auto"/>
          <w:highlight w:val="none"/>
        </w:rPr>
        <w:t>计算出得分B；</w:t>
      </w:r>
    </w:p>
    <w:p>
      <w:pPr>
        <w:spacing w:line="400" w:lineRule="exact"/>
        <w:ind w:firstLine="718" w:firstLineChars="342"/>
        <w:rPr>
          <w:color w:val="auto"/>
          <w:highlight w:val="none"/>
        </w:rPr>
      </w:pPr>
      <w:r>
        <w:rPr>
          <w:rFonts w:hint="eastAsia"/>
          <w:color w:val="auto"/>
          <w:highlight w:val="none"/>
        </w:rPr>
        <w:t>（3）按本章第2.2.4（3）目规定的评审因素和分值对投标报价计算出得分C；</w:t>
      </w:r>
    </w:p>
    <w:p>
      <w:pPr>
        <w:spacing w:line="400" w:lineRule="exact"/>
        <w:ind w:firstLine="718" w:firstLineChars="342"/>
        <w:rPr>
          <w:color w:val="auto"/>
          <w:highlight w:val="none"/>
        </w:rPr>
      </w:pPr>
      <w:r>
        <w:rPr>
          <w:rFonts w:hint="eastAsia"/>
          <w:color w:val="auto"/>
          <w:highlight w:val="none"/>
        </w:rPr>
        <w:t>（4）按本章第2.2.4（4）目规定的评审因素和分值对其他部分计算出得分D。</w:t>
      </w:r>
    </w:p>
    <w:p>
      <w:pPr>
        <w:spacing w:line="400" w:lineRule="exact"/>
        <w:ind w:firstLine="420" w:firstLineChars="200"/>
        <w:rPr>
          <w:color w:val="auto"/>
          <w:highlight w:val="none"/>
        </w:rPr>
      </w:pPr>
      <w:r>
        <w:rPr>
          <w:rFonts w:hint="eastAsia"/>
          <w:color w:val="auto"/>
          <w:highlight w:val="none"/>
        </w:rPr>
        <w:t>3.2.2 评分分值计算保留小数点后两位，小数点后第三位“四舍五入”。</w:t>
      </w:r>
    </w:p>
    <w:p>
      <w:pPr>
        <w:spacing w:line="400" w:lineRule="exact"/>
        <w:ind w:firstLine="420" w:firstLineChars="200"/>
        <w:rPr>
          <w:color w:val="auto"/>
          <w:highlight w:val="none"/>
        </w:rPr>
      </w:pPr>
      <w:r>
        <w:rPr>
          <w:rFonts w:hint="eastAsia"/>
          <w:color w:val="auto"/>
          <w:highlight w:val="none"/>
        </w:rPr>
        <w:t>3.2.3 投标人得分=A+B+C+D。</w:t>
      </w:r>
    </w:p>
    <w:p>
      <w:pPr>
        <w:spacing w:line="400" w:lineRule="exact"/>
        <w:ind w:firstLine="420" w:firstLineChars="200"/>
        <w:rPr>
          <w:color w:val="auto"/>
          <w:highlight w:val="none"/>
        </w:rPr>
      </w:pPr>
      <w:r>
        <w:rPr>
          <w:rFonts w:hint="eastAsia"/>
          <w:color w:val="auto"/>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pStyle w:val="6"/>
        <w:rPr>
          <w:rFonts w:hint="eastAsia" w:ascii="华文宋体" w:hAnsi="华文宋体" w:eastAsia="华文宋体"/>
          <w:color w:val="auto"/>
          <w:highlight w:val="none"/>
        </w:rPr>
      </w:pPr>
      <w:bookmarkStart w:id="1013" w:name="_Toc144974575"/>
      <w:bookmarkStart w:id="1014" w:name="_Toc183772357"/>
      <w:bookmarkStart w:id="1015" w:name="_Toc55504959"/>
      <w:bookmarkStart w:id="1016" w:name="_Toc152045607"/>
      <w:bookmarkStart w:id="1017" w:name="_Toc246996993"/>
      <w:bookmarkStart w:id="1018" w:name="_Toc101107145"/>
      <w:bookmarkStart w:id="1019" w:name="_Toc247085765"/>
      <w:bookmarkStart w:id="1020" w:name="_Toc529528725"/>
      <w:bookmarkStart w:id="1021" w:name="_Toc183770542"/>
      <w:bookmarkStart w:id="1022" w:name="_Toc51965839"/>
      <w:bookmarkStart w:id="1023" w:name="_Toc152042385"/>
      <w:bookmarkStart w:id="1024" w:name="_Toc12375910"/>
      <w:bookmarkStart w:id="1025" w:name="_Toc521674917"/>
      <w:bookmarkStart w:id="1026" w:name="_Toc49284440"/>
      <w:bookmarkStart w:id="1027" w:name="_Toc179632625"/>
      <w:bookmarkStart w:id="1028" w:name="_Toc246996250"/>
      <w:bookmarkStart w:id="1029" w:name="_Toc25412"/>
      <w:bookmarkStart w:id="1030" w:name="_Toc113286035"/>
      <w:r>
        <w:rPr>
          <w:rFonts w:hint="eastAsia" w:ascii="华文宋体" w:hAnsi="华文宋体" w:eastAsia="华文宋体"/>
          <w:color w:val="auto"/>
          <w:highlight w:val="none"/>
        </w:rPr>
        <w:t>3.3 投标文件的澄清</w:t>
      </w:r>
      <w:bookmarkEnd w:id="1013"/>
      <w:r>
        <w:rPr>
          <w:rFonts w:hint="eastAsia" w:ascii="华文宋体" w:hAnsi="华文宋体" w:eastAsia="华文宋体"/>
          <w:color w:val="auto"/>
          <w:highlight w:val="none"/>
        </w:rPr>
        <w:t>和补正</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pPr>
        <w:spacing w:line="400" w:lineRule="exact"/>
        <w:ind w:firstLine="420" w:firstLineChars="200"/>
        <w:rPr>
          <w:color w:val="auto"/>
          <w:highlight w:val="none"/>
        </w:rPr>
      </w:pPr>
      <w:r>
        <w:rPr>
          <w:rFonts w:hint="eastAsia"/>
          <w:color w:val="auto"/>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color w:val="auto"/>
          <w:highlight w:val="none"/>
        </w:rPr>
      </w:pPr>
      <w:r>
        <w:rPr>
          <w:rFonts w:hint="eastAsia"/>
          <w:color w:val="auto"/>
          <w:highlight w:val="none"/>
        </w:rPr>
        <w:t>3.3.2 澄清、说明和补正不得改变投标文件的实质性内容。投标人的书面澄清、说明和补正属于投标文件的组成部分。</w:t>
      </w:r>
    </w:p>
    <w:p>
      <w:pPr>
        <w:spacing w:line="400" w:lineRule="exact"/>
        <w:ind w:firstLine="420" w:firstLineChars="200"/>
        <w:rPr>
          <w:color w:val="auto"/>
          <w:highlight w:val="none"/>
        </w:rPr>
      </w:pPr>
      <w:r>
        <w:rPr>
          <w:rFonts w:hint="eastAsia"/>
          <w:color w:val="auto"/>
          <w:highlight w:val="none"/>
        </w:rPr>
        <w:t>3.3.3 评标委员会对投标人提交的澄清、说明或补正有疑问的，可以要求投标人进一步澄清、说明或补正，直至满足评标委员会的要求。</w:t>
      </w:r>
    </w:p>
    <w:p>
      <w:pPr>
        <w:pStyle w:val="6"/>
        <w:rPr>
          <w:rFonts w:hint="eastAsia" w:ascii="华文宋体" w:hAnsi="华文宋体" w:eastAsia="华文宋体"/>
          <w:color w:val="auto"/>
          <w:highlight w:val="none"/>
        </w:rPr>
      </w:pPr>
      <w:bookmarkStart w:id="1031" w:name="_Toc152042386"/>
      <w:bookmarkStart w:id="1032" w:name="_Toc246996994"/>
      <w:bookmarkStart w:id="1033" w:name="_Toc183770543"/>
      <w:bookmarkStart w:id="1034" w:name="_Toc179632626"/>
      <w:bookmarkStart w:id="1035" w:name="_Toc144974576"/>
      <w:bookmarkStart w:id="1036" w:name="_Toc113286036"/>
      <w:bookmarkStart w:id="1037" w:name="_Toc101107146"/>
      <w:bookmarkStart w:id="1038" w:name="_Toc3964"/>
      <w:bookmarkStart w:id="1039" w:name="_Toc246996251"/>
      <w:bookmarkStart w:id="1040" w:name="_Toc521674918"/>
      <w:bookmarkStart w:id="1041" w:name="_Toc152045608"/>
      <w:bookmarkStart w:id="1042" w:name="_Toc12375911"/>
      <w:bookmarkStart w:id="1043" w:name="_Toc247085766"/>
      <w:bookmarkStart w:id="1044" w:name="_Toc55504960"/>
      <w:bookmarkStart w:id="1045" w:name="_Toc49284441"/>
      <w:bookmarkStart w:id="1046" w:name="_Toc529528726"/>
      <w:bookmarkStart w:id="1047" w:name="_Toc51965840"/>
      <w:bookmarkStart w:id="1048" w:name="_Toc183772358"/>
      <w:r>
        <w:rPr>
          <w:rFonts w:hint="eastAsia" w:ascii="华文宋体" w:hAnsi="华文宋体" w:eastAsia="华文宋体"/>
          <w:color w:val="auto"/>
          <w:highlight w:val="none"/>
        </w:rPr>
        <w:t>3.4 评标结果</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pPr>
        <w:spacing w:line="400" w:lineRule="exact"/>
        <w:ind w:firstLine="420" w:firstLineChars="200"/>
        <w:rPr>
          <w:color w:val="auto"/>
          <w:highlight w:val="none"/>
        </w:rPr>
      </w:pPr>
      <w:r>
        <w:rPr>
          <w:rFonts w:hint="eastAsia"/>
          <w:color w:val="auto"/>
          <w:highlight w:val="none"/>
        </w:rPr>
        <w:t>3.4.1除第二章“投标人须知”前附表授权直接确定中标人外，评标委员会按照得分由高到低的顺序推荐中标候选人。</w:t>
      </w:r>
    </w:p>
    <w:p>
      <w:pPr>
        <w:spacing w:line="400" w:lineRule="exact"/>
        <w:ind w:firstLine="420" w:firstLineChars="200"/>
        <w:rPr>
          <w:color w:val="auto"/>
          <w:highlight w:val="none"/>
        </w:rPr>
      </w:pPr>
      <w:r>
        <w:rPr>
          <w:rFonts w:hint="eastAsia"/>
          <w:color w:val="auto"/>
          <w:highlight w:val="none"/>
        </w:rPr>
        <w:t>3.4.2 评标委员会完成评标后，应当向招标人提交书面评标报告。</w:t>
      </w:r>
    </w:p>
    <w:p>
      <w:pPr>
        <w:spacing w:line="400" w:lineRule="exact"/>
        <w:rPr>
          <w:rFonts w:hint="eastAsia" w:ascii="楷体_GB2312" w:hAnsi="宋体" w:eastAsia="楷体_GB2312"/>
          <w:color w:val="auto"/>
          <w:szCs w:val="21"/>
          <w:highlight w:val="none"/>
        </w:rPr>
      </w:pPr>
    </w:p>
    <w:p>
      <w:pPr>
        <w:spacing w:line="400" w:lineRule="exact"/>
        <w:rPr>
          <w:rFonts w:hint="eastAsia" w:ascii="楷体_GB2312" w:hAnsi="宋体" w:eastAsia="楷体_GB2312"/>
          <w:color w:val="auto"/>
          <w:szCs w:val="21"/>
          <w:highlight w:val="none"/>
        </w:rPr>
        <w:sectPr>
          <w:headerReference r:id="rId6" w:type="default"/>
          <w:footerReference r:id="rId7" w:type="default"/>
          <w:pgSz w:w="11906" w:h="16838"/>
          <w:pgMar w:top="1440" w:right="1559" w:bottom="1440" w:left="1559" w:header="851" w:footer="992" w:gutter="0"/>
          <w:pgNumType w:fmt="numberInDash" w:start="1"/>
          <w:cols w:space="720" w:num="1"/>
          <w:docGrid w:type="lines" w:linePitch="312" w:charSpace="0"/>
        </w:sectPr>
      </w:pPr>
    </w:p>
    <w:p>
      <w:pPr>
        <w:spacing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附表一：商务标评分表（</w:t>
      </w:r>
      <w:r>
        <w:rPr>
          <w:rFonts w:hint="eastAsia" w:ascii="宋体" w:hAnsi="宋体"/>
          <w:b/>
          <w:color w:val="auto"/>
          <w:sz w:val="32"/>
          <w:szCs w:val="32"/>
          <w:highlight w:val="none"/>
          <w:lang w:val="en-US" w:eastAsia="zh-CN"/>
        </w:rPr>
        <w:t>30</w:t>
      </w:r>
      <w:r>
        <w:rPr>
          <w:rFonts w:ascii="宋体" w:hAnsi="宋体"/>
          <w:b/>
          <w:color w:val="auto"/>
          <w:sz w:val="32"/>
          <w:szCs w:val="32"/>
          <w:highlight w:val="none"/>
        </w:rPr>
        <w:t>分</w:t>
      </w:r>
      <w:r>
        <w:rPr>
          <w:rFonts w:hint="eastAsia" w:ascii="宋体" w:hAnsi="宋体"/>
          <w:b/>
          <w:color w:val="auto"/>
          <w:sz w:val="32"/>
          <w:szCs w:val="32"/>
          <w:highlight w:val="none"/>
        </w:rPr>
        <w:t>）</w:t>
      </w:r>
    </w:p>
    <w:tbl>
      <w:tblPr>
        <w:tblStyle w:val="74"/>
        <w:tblpPr w:leftFromText="180" w:rightFromText="180" w:vertAnchor="text" w:horzAnchor="page" w:tblpX="1315" w:tblpY="602"/>
        <w:tblOverlap w:val="never"/>
        <w:tblW w:w="14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99"/>
        <w:gridCol w:w="908"/>
        <w:gridCol w:w="735"/>
        <w:gridCol w:w="4365"/>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trPr>
        <w:tc>
          <w:tcPr>
            <w:tcW w:w="900" w:type="dxa"/>
            <w:vAlign w:val="center"/>
          </w:tcPr>
          <w:p>
            <w:pPr>
              <w:adjustRightInd w:val="0"/>
              <w:snapToGrid w:val="0"/>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1599" w:type="dxa"/>
            <w:vAlign w:val="center"/>
          </w:tcPr>
          <w:p>
            <w:pPr>
              <w:adjustRightInd w:val="0"/>
              <w:snapToGrid w:val="0"/>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评审项目</w:t>
            </w:r>
          </w:p>
        </w:tc>
        <w:tc>
          <w:tcPr>
            <w:tcW w:w="908" w:type="dxa"/>
            <w:vAlign w:val="center"/>
          </w:tcPr>
          <w:p>
            <w:pPr>
              <w:adjustRightInd w:val="0"/>
              <w:snapToGrid w:val="0"/>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评审分项</w:t>
            </w:r>
          </w:p>
        </w:tc>
        <w:tc>
          <w:tcPr>
            <w:tcW w:w="735" w:type="dxa"/>
            <w:vAlign w:val="center"/>
          </w:tcPr>
          <w:p>
            <w:pPr>
              <w:adjustRightInd w:val="0"/>
              <w:snapToGrid w:val="0"/>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标准分</w:t>
            </w:r>
          </w:p>
        </w:tc>
        <w:tc>
          <w:tcPr>
            <w:tcW w:w="4365" w:type="dxa"/>
            <w:vAlign w:val="center"/>
          </w:tcPr>
          <w:p>
            <w:pPr>
              <w:adjustRightInd w:val="0"/>
              <w:snapToGrid w:val="0"/>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评分标准</w:t>
            </w:r>
          </w:p>
        </w:tc>
        <w:tc>
          <w:tcPr>
            <w:tcW w:w="5936" w:type="dxa"/>
            <w:vAlign w:val="center"/>
          </w:tcPr>
          <w:p>
            <w:pPr>
              <w:adjustRightInd w:val="0"/>
              <w:snapToGrid w:val="0"/>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8" w:hRule="atLeast"/>
        </w:trPr>
        <w:tc>
          <w:tcPr>
            <w:tcW w:w="900" w:type="dxa"/>
            <w:vMerge w:val="restart"/>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599" w:type="dxa"/>
            <w:vMerge w:val="restart"/>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企业资信</w:t>
            </w:r>
          </w:p>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tc>
        <w:tc>
          <w:tcPr>
            <w:tcW w:w="908" w:type="dxa"/>
            <w:vAlign w:val="center"/>
          </w:tcPr>
          <w:p>
            <w:pPr>
              <w:snapToGrid w:val="0"/>
              <w:spacing w:line="36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风险承受能力</w:t>
            </w:r>
          </w:p>
        </w:tc>
        <w:tc>
          <w:tcPr>
            <w:tcW w:w="735" w:type="dxa"/>
            <w:vAlign w:val="center"/>
          </w:tcPr>
          <w:p>
            <w:pPr>
              <w:snapToGrid w:val="0"/>
              <w:spacing w:line="360" w:lineRule="exact"/>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3</w:t>
            </w:r>
          </w:p>
        </w:tc>
        <w:tc>
          <w:tcPr>
            <w:tcW w:w="4365" w:type="dxa"/>
            <w:vAlign w:val="center"/>
          </w:tcPr>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投标人近三年（2021年至2023年）盈利情况：</w:t>
            </w:r>
          </w:p>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三年均盈利得</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p>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有任意两年盈利得2分；</w:t>
            </w:r>
          </w:p>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仅一年盈利得1分；</w:t>
            </w:r>
          </w:p>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本项最高得4分，未提供相应经审计的财务报表或其他情况的得0分。</w:t>
            </w:r>
          </w:p>
        </w:tc>
        <w:tc>
          <w:tcPr>
            <w:tcW w:w="5936" w:type="dxa"/>
            <w:vAlign w:val="center"/>
          </w:tcPr>
          <w:p>
            <w:pPr>
              <w:snapToGrid w:val="0"/>
              <w:spacing w:line="36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不提供或不符合上述条件的不得分。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900"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1599"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908"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纳税信用等级</w:t>
            </w:r>
          </w:p>
        </w:tc>
        <w:tc>
          <w:tcPr>
            <w:tcW w:w="735"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4365" w:type="dxa"/>
            <w:vAlign w:val="center"/>
          </w:tcPr>
          <w:p>
            <w:pPr>
              <w:adjustRightInd w:val="0"/>
              <w:snapToGrid w:val="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投标人2021年至2024年</w:t>
            </w:r>
            <w:r>
              <w:rPr>
                <w:rFonts w:hint="eastAsia" w:asciiTheme="minorEastAsia" w:hAnsiTheme="minorEastAsia" w:eastAsiaTheme="minorEastAsia"/>
                <w:color w:val="auto"/>
                <w:szCs w:val="21"/>
                <w:highlight w:val="none"/>
              </w:rPr>
              <w:t>获得纳税信用等级A级称号情况：</w:t>
            </w:r>
          </w:p>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连续2年及以上获得的得</w:t>
            </w:r>
            <w:r>
              <w:rPr>
                <w:rFonts w:hint="eastAsia" w:asciiTheme="minorEastAsia" w:hAnsiTheme="minorEastAsia" w:eastAsiaTheme="minorEastAsia"/>
                <w:color w:val="auto"/>
                <w:kern w:val="0"/>
                <w:szCs w:val="21"/>
                <w:highlight w:val="none"/>
              </w:rPr>
              <w:t>2</w:t>
            </w:r>
            <w:r>
              <w:rPr>
                <w:rFonts w:hint="eastAsia" w:asciiTheme="minorEastAsia" w:hAnsiTheme="minorEastAsia" w:eastAsiaTheme="minorEastAsia"/>
                <w:color w:val="auto"/>
                <w:szCs w:val="21"/>
                <w:highlight w:val="none"/>
              </w:rPr>
              <w:t>分；</w:t>
            </w:r>
          </w:p>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仅1年获得的得1分。</w:t>
            </w:r>
          </w:p>
          <w:p>
            <w:pPr>
              <w:adjustRightInd w:val="0"/>
              <w:snapToGrid w:val="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不符合上述条件或不提供证明材料，不计分。</w:t>
            </w:r>
          </w:p>
        </w:tc>
        <w:tc>
          <w:tcPr>
            <w:tcW w:w="5936" w:type="dxa"/>
            <w:vAlign w:val="center"/>
          </w:tcPr>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须提供纳税信用等级证书扫描件或相关网页查询截图证明</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1599"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908"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类似项目业绩</w:t>
            </w:r>
          </w:p>
        </w:tc>
        <w:tc>
          <w:tcPr>
            <w:tcW w:w="735" w:type="dxa"/>
            <w:vAlign w:val="center"/>
          </w:tcPr>
          <w:p>
            <w:pPr>
              <w:adjustRightInd w:val="0"/>
              <w:snapToGrid w:val="0"/>
              <w:jc w:val="center"/>
              <w:rPr>
                <w:rFonts w:hint="eastAsia" w:cs="宋体" w:asciiTheme="minorEastAsia" w:hAnsiTheme="minorEastAsia" w:eastAsiaTheme="minorEastAsia"/>
                <w:color w:val="auto"/>
                <w:kern w:val="0"/>
                <w:szCs w:val="21"/>
                <w:highlight w:val="none"/>
                <w:lang w:eastAsia="zh-CN"/>
              </w:rPr>
            </w:pPr>
            <w:r>
              <w:rPr>
                <w:rFonts w:hint="default" w:cs="宋体" w:asciiTheme="minorEastAsia" w:hAnsiTheme="minorEastAsia" w:eastAsiaTheme="minorEastAsia"/>
                <w:color w:val="auto"/>
                <w:kern w:val="0"/>
                <w:szCs w:val="21"/>
                <w:highlight w:val="none"/>
                <w:lang w:val="en-US"/>
              </w:rPr>
              <w:t>6</w:t>
            </w:r>
          </w:p>
        </w:tc>
        <w:tc>
          <w:tcPr>
            <w:tcW w:w="4365" w:type="dxa"/>
            <w:vAlign w:val="center"/>
          </w:tcPr>
          <w:p>
            <w:pPr>
              <w:pStyle w:val="2"/>
              <w:adjustRightInd w:val="0"/>
              <w:snapToGrid w:val="0"/>
              <w:rPr>
                <w:color w:val="auto"/>
                <w:szCs w:val="21"/>
                <w:highlight w:val="none"/>
              </w:rPr>
            </w:pPr>
            <w:r>
              <w:rPr>
                <w:rFonts w:hint="eastAsia" w:asciiTheme="minorEastAsia" w:hAnsiTheme="minorEastAsia" w:eastAsiaTheme="minorEastAsia"/>
                <w:color w:val="auto"/>
                <w:kern w:val="0"/>
                <w:szCs w:val="21"/>
                <w:highlight w:val="none"/>
              </w:rPr>
              <w:t>投标人自2020年1月1日至投标截止时间前，完成过质量合格的单项合同金额不少于</w:t>
            </w:r>
            <w:r>
              <w:rPr>
                <w:rFonts w:hint="eastAsia" w:eastAsiaTheme="minorEastAsia"/>
                <w:color w:val="auto"/>
                <w:highlight w:val="none"/>
                <w:lang w:val="en-US" w:eastAsia="zh-CN"/>
              </w:rPr>
              <w:t>500</w:t>
            </w:r>
            <w:r>
              <w:rPr>
                <w:rFonts w:hint="eastAsia" w:asciiTheme="minorEastAsia" w:hAnsiTheme="minorEastAsia" w:eastAsiaTheme="minorEastAsia"/>
                <w:color w:val="auto"/>
                <w:kern w:val="0"/>
                <w:szCs w:val="21"/>
                <w:highlight w:val="none"/>
              </w:rPr>
              <w:t>万元的建筑装修装饰工程业绩，每项得</w:t>
            </w:r>
            <w:r>
              <w:rPr>
                <w:rFonts w:hint="default" w:asciiTheme="minorEastAsia" w:hAnsiTheme="minorEastAsia" w:eastAsiaTheme="minorEastAsia"/>
                <w:color w:val="auto"/>
                <w:kern w:val="0"/>
                <w:szCs w:val="21"/>
                <w:highlight w:val="none"/>
                <w:lang w:val="en-US"/>
              </w:rPr>
              <w:t>2</w:t>
            </w:r>
            <w:r>
              <w:rPr>
                <w:rFonts w:hint="eastAsia" w:asciiTheme="minorEastAsia" w:hAnsiTheme="minorEastAsia" w:eastAsiaTheme="minorEastAsia"/>
                <w:color w:val="auto"/>
                <w:kern w:val="0"/>
                <w:szCs w:val="21"/>
                <w:highlight w:val="none"/>
              </w:rPr>
              <w:t>分，本项最高得</w:t>
            </w:r>
            <w:r>
              <w:rPr>
                <w:rFonts w:hint="default" w:asciiTheme="minorEastAsia" w:hAnsiTheme="minorEastAsia" w:eastAsiaTheme="minorEastAsia"/>
                <w:color w:val="auto"/>
                <w:kern w:val="0"/>
                <w:szCs w:val="21"/>
                <w:highlight w:val="none"/>
                <w:lang w:val="en-US"/>
              </w:rPr>
              <w:t>6</w:t>
            </w:r>
            <w:r>
              <w:rPr>
                <w:rFonts w:hint="eastAsia" w:asciiTheme="minorEastAsia" w:hAnsiTheme="minorEastAsia" w:eastAsiaTheme="minorEastAsia"/>
                <w:color w:val="auto"/>
                <w:kern w:val="0"/>
                <w:szCs w:val="21"/>
                <w:highlight w:val="none"/>
              </w:rPr>
              <w:t>分。</w:t>
            </w:r>
          </w:p>
        </w:tc>
        <w:tc>
          <w:tcPr>
            <w:tcW w:w="5936" w:type="dxa"/>
            <w:vAlign w:val="center"/>
          </w:tcPr>
          <w:p>
            <w:pPr>
              <w:widowControl/>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（1）业绩需同时提供施工合同关键页、竣工验收资料或业主方证明扫描件；</w:t>
            </w:r>
          </w:p>
          <w:p>
            <w:pPr>
              <w:widowControl/>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（2）完成时间以</w:t>
            </w:r>
            <w:r>
              <w:rPr>
                <w:rFonts w:hint="eastAsia" w:asciiTheme="minorEastAsia" w:hAnsiTheme="minorEastAsia" w:eastAsiaTheme="minorEastAsia"/>
                <w:color w:val="auto"/>
                <w:szCs w:val="21"/>
                <w:highlight w:val="none"/>
                <w:lang w:val="en-US" w:eastAsia="zh-CN"/>
              </w:rPr>
              <w:t>有效的</w:t>
            </w:r>
            <w:r>
              <w:rPr>
                <w:rFonts w:hint="eastAsia" w:asciiTheme="minorEastAsia" w:hAnsiTheme="minorEastAsia" w:eastAsiaTheme="minorEastAsia"/>
                <w:color w:val="auto"/>
                <w:szCs w:val="21"/>
                <w:highlight w:val="none"/>
              </w:rPr>
              <w:t>竣工验收资料记录时间为准或业主方证明时间为准；</w:t>
            </w:r>
          </w:p>
          <w:p>
            <w:pPr>
              <w:widowControl/>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单独发包的建筑装修装饰工程：业绩金额以中标通知书（如有）为准，中标通知书上没有金额或免招标的，以施工合同（不含补充合同）为准。如中标通知书与施工合同均不能单独体现建筑装修装饰工程金额，投标人须提供载明建筑装修装饰工程业绩金额的相关证明材料；</w:t>
            </w:r>
          </w:p>
          <w:p>
            <w:pPr>
              <w:widowControl/>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（4）总承包依法分包建筑装修装饰工程：业绩金额以分包合同中约定的合同金额为准；</w:t>
            </w:r>
          </w:p>
          <w:p>
            <w:pPr>
              <w:widowControl/>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施工总承包（含装饰装修工程）工程：投标人需提供子分部工程质量验收记录或业主证明扫描件证明该施工总承包工程业绩中装饰装修工程为投标人完成，业绩金额以总承包施工合同载明的装饰装修工程金额为准，如施工合同不能单独体现装饰装修工程金额，投标人需提供载明装饰装修工程金额的相关证明材料；</w:t>
            </w:r>
          </w:p>
          <w:p>
            <w:pPr>
              <w:widowControl/>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以联合体形式完成的装饰装修工程业绩：投标人需提供联合体协议书或子分部工程质量验收记录或业主证明扫描件证明该联合体业绩中的装饰装修工程为投标人完成；业绩金额以合同载明的装饰装修工程金额为准，如合同不能单独体现装饰装修工程金额，投标人需提供载明装饰装修工程金额的相关证明材料。</w:t>
            </w:r>
          </w:p>
          <w:p>
            <w:pPr>
              <w:widowControl/>
              <w:rPr>
                <w:rFonts w:hint="default" w:eastAsiaTheme="minor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1599"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908" w:type="dxa"/>
            <w:vAlign w:val="center"/>
          </w:tcPr>
          <w:p>
            <w:pPr>
              <w:adjustRightInd w:val="0"/>
              <w:snapToGrid w:val="0"/>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获奖</w:t>
            </w:r>
          </w:p>
          <w:p>
            <w:pPr>
              <w:adjustRightInd w:val="0"/>
              <w:snapToGrid w:val="0"/>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情况</w:t>
            </w:r>
          </w:p>
        </w:tc>
        <w:tc>
          <w:tcPr>
            <w:tcW w:w="735" w:type="dxa"/>
            <w:vAlign w:val="center"/>
          </w:tcPr>
          <w:p>
            <w:pPr>
              <w:adjustRightInd w:val="0"/>
              <w:snapToGrid w:val="0"/>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lang w:val="en-US" w:eastAsia="zh-CN"/>
              </w:rPr>
              <w:t>5</w:t>
            </w:r>
          </w:p>
        </w:tc>
        <w:tc>
          <w:tcPr>
            <w:tcW w:w="4365" w:type="dxa"/>
            <w:vAlign w:val="center"/>
          </w:tcPr>
          <w:p>
            <w:pPr>
              <w:adjustRightInd w:val="0"/>
              <w:snapToGrid w:val="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自2020年1月1日至投标截止时间前，投标人承接过的建筑工程施工项目获奖情况：</w:t>
            </w:r>
          </w:p>
          <w:p>
            <w:pPr>
              <w:adjustRightInd w:val="0"/>
              <w:snapToGrid w:val="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①获得过国家级工程质量奖项的，每项得1.5分；</w:t>
            </w:r>
          </w:p>
          <w:p>
            <w:pPr>
              <w:adjustRightInd w:val="0"/>
              <w:snapToGrid w:val="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②获得过省级工程质量奖项的，每项得</w:t>
            </w:r>
            <w:r>
              <w:rPr>
                <w:rFonts w:hint="eastAsia" w:asciiTheme="minorEastAsia" w:hAnsiTheme="minorEastAsia" w:eastAsiaTheme="minorEastAsia"/>
                <w:color w:val="auto"/>
                <w:kern w:val="0"/>
                <w:szCs w:val="21"/>
                <w:highlight w:val="none"/>
                <w:lang w:val="en-US" w:eastAsia="zh-CN"/>
              </w:rPr>
              <w:t>1</w:t>
            </w:r>
            <w:r>
              <w:rPr>
                <w:rFonts w:hint="eastAsia" w:asciiTheme="minorEastAsia" w:hAnsiTheme="minorEastAsia" w:eastAsiaTheme="minorEastAsia"/>
                <w:color w:val="auto"/>
                <w:kern w:val="0"/>
                <w:szCs w:val="21"/>
                <w:highlight w:val="none"/>
              </w:rPr>
              <w:t>分；</w:t>
            </w:r>
            <w:r>
              <w:rPr>
                <w:rFonts w:hint="eastAsia" w:cs="Times New Roman" w:asciiTheme="minorEastAsia" w:hAnsiTheme="minorEastAsia" w:eastAsiaTheme="minorEastAsia"/>
                <w:color w:val="auto"/>
                <w:kern w:val="0"/>
                <w:szCs w:val="21"/>
                <w:highlight w:val="none"/>
              </w:rPr>
              <w:t>③</w:t>
            </w:r>
            <w:r>
              <w:rPr>
                <w:rFonts w:hint="eastAsia" w:asciiTheme="minorEastAsia" w:hAnsiTheme="minorEastAsia" w:eastAsiaTheme="minorEastAsia"/>
                <w:color w:val="auto"/>
                <w:kern w:val="0"/>
                <w:szCs w:val="21"/>
                <w:highlight w:val="none"/>
              </w:rPr>
              <w:t>获得过</w:t>
            </w:r>
            <w:r>
              <w:rPr>
                <w:rFonts w:hint="eastAsia" w:asciiTheme="minorEastAsia" w:hAnsiTheme="minorEastAsia" w:eastAsiaTheme="minorEastAsia"/>
                <w:color w:val="auto"/>
                <w:kern w:val="0"/>
                <w:szCs w:val="21"/>
                <w:highlight w:val="none"/>
                <w:lang w:val="en-US" w:eastAsia="zh-CN"/>
              </w:rPr>
              <w:t>市</w:t>
            </w:r>
            <w:r>
              <w:rPr>
                <w:rFonts w:hint="eastAsia" w:asciiTheme="minorEastAsia" w:hAnsiTheme="minorEastAsia" w:eastAsiaTheme="minorEastAsia"/>
                <w:color w:val="auto"/>
                <w:kern w:val="0"/>
                <w:szCs w:val="21"/>
                <w:highlight w:val="none"/>
              </w:rPr>
              <w:t>级工程质量奖项的，每项得</w:t>
            </w:r>
            <w:r>
              <w:rPr>
                <w:rFonts w:hint="eastAsia" w:asciiTheme="minorEastAsia" w:hAnsiTheme="minorEastAsia" w:eastAsiaTheme="minorEastAsia"/>
                <w:color w:val="auto"/>
                <w:kern w:val="0"/>
                <w:szCs w:val="21"/>
                <w:highlight w:val="none"/>
                <w:lang w:val="en-US" w:eastAsia="zh-CN"/>
              </w:rPr>
              <w:t>0.5</w:t>
            </w:r>
            <w:r>
              <w:rPr>
                <w:rFonts w:hint="eastAsia" w:asciiTheme="minorEastAsia" w:hAnsiTheme="minorEastAsia" w:eastAsiaTheme="minorEastAsia"/>
                <w:color w:val="auto"/>
                <w:kern w:val="0"/>
                <w:szCs w:val="21"/>
                <w:highlight w:val="none"/>
              </w:rPr>
              <w:t>分；</w:t>
            </w:r>
          </w:p>
          <w:p>
            <w:pPr>
              <w:adjustRightInd w:val="0"/>
              <w:snapToGrid w:val="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不符合上述条件或不提供证明材料，不计分。</w:t>
            </w:r>
          </w:p>
          <w:p>
            <w:pPr>
              <w:pStyle w:val="2"/>
              <w:adjustRightInd w:val="0"/>
              <w:snapToGrid w:val="0"/>
              <w:rPr>
                <w:rFonts w:hint="default" w:asciiTheme="minorEastAsia" w:hAnsiTheme="minorEastAsia" w:eastAsiaTheme="minorEastAsia"/>
                <w:color w:val="auto"/>
                <w:kern w:val="0"/>
                <w:szCs w:val="21"/>
                <w:highlight w:val="none"/>
                <w:lang w:val="en-US" w:eastAsia="zh-CN"/>
              </w:rPr>
            </w:pPr>
            <w:r>
              <w:rPr>
                <w:rFonts w:hint="eastAsia" w:asciiTheme="minorEastAsia" w:hAnsiTheme="minorEastAsia" w:eastAsiaTheme="minorEastAsia"/>
                <w:color w:val="auto"/>
                <w:kern w:val="0"/>
                <w:szCs w:val="21"/>
                <w:highlight w:val="none"/>
              </w:rPr>
              <w:t>以上累计得分不超5分。</w:t>
            </w:r>
          </w:p>
        </w:tc>
        <w:tc>
          <w:tcPr>
            <w:tcW w:w="5936" w:type="dxa"/>
            <w:vAlign w:val="center"/>
          </w:tcPr>
          <w:p>
            <w:pPr>
              <w:widowControl/>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kern w:val="0"/>
                <w:szCs w:val="21"/>
                <w:highlight w:val="none"/>
              </w:rPr>
              <w:t>奖项只计算承建单位，获奖时间以获奖证书颁发时间为准。同一个项目获得不同奖项的只计得分最高的奖项。所获奖项以后附表格《质量奖》为准，非附表中所列明奖项，不予认可。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0" w:type="dxa"/>
            <w:vMerge w:val="restart"/>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599" w:type="dxa"/>
            <w:vMerge w:val="restart"/>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项目管理组织机构（8分）</w:t>
            </w:r>
          </w:p>
        </w:tc>
        <w:tc>
          <w:tcPr>
            <w:tcW w:w="908"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项目负责人</w:t>
            </w:r>
          </w:p>
        </w:tc>
        <w:tc>
          <w:tcPr>
            <w:tcW w:w="735"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4365" w:type="dxa"/>
            <w:vAlign w:val="center"/>
          </w:tcPr>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具有建筑工程类</w:t>
            </w:r>
            <w:r>
              <w:rPr>
                <w:rFonts w:hint="eastAsia" w:asciiTheme="minorEastAsia" w:hAnsiTheme="minorEastAsia" w:eastAsiaTheme="minorEastAsia"/>
                <w:color w:val="auto"/>
                <w:szCs w:val="21"/>
                <w:highlight w:val="none"/>
                <w:lang w:val="en-US" w:eastAsia="zh-CN"/>
              </w:rPr>
              <w:t>高级</w:t>
            </w:r>
            <w:r>
              <w:rPr>
                <w:rFonts w:hint="eastAsia" w:asciiTheme="minorEastAsia" w:hAnsiTheme="minorEastAsia" w:eastAsiaTheme="minorEastAsia"/>
                <w:color w:val="auto"/>
                <w:szCs w:val="21"/>
                <w:highlight w:val="none"/>
              </w:rPr>
              <w:t>工程师职称的得2分。</w:t>
            </w:r>
          </w:p>
        </w:tc>
        <w:tc>
          <w:tcPr>
            <w:tcW w:w="5936" w:type="dxa"/>
            <w:vMerge w:val="restart"/>
            <w:vAlign w:val="center"/>
          </w:tcPr>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（1）项目管理组织机构人员提供注册证书（如有要求）、执业</w:t>
            </w:r>
            <w:r>
              <w:rPr>
                <w:rFonts w:hint="eastAsia" w:asciiTheme="minorEastAsia" w:hAnsiTheme="minorEastAsia" w:eastAsiaTheme="minorEastAsia"/>
                <w:color w:val="auto"/>
                <w:kern w:val="0"/>
                <w:szCs w:val="21"/>
                <w:highlight w:val="none"/>
              </w:rPr>
              <w:t>资格</w:t>
            </w:r>
            <w:r>
              <w:rPr>
                <w:rFonts w:hint="eastAsia" w:asciiTheme="minorEastAsia" w:hAnsiTheme="minorEastAsia" w:eastAsiaTheme="minorEastAsia"/>
                <w:color w:val="auto"/>
                <w:szCs w:val="21"/>
                <w:highlight w:val="none"/>
              </w:rPr>
              <w:t>证（如有要求）及由社保机构出具的在投标单位缴纳社保的证明材料，</w:t>
            </w:r>
            <w:bookmarkStart w:id="1049" w:name="OLE_LINK22"/>
            <w:r>
              <w:rPr>
                <w:rFonts w:hint="eastAsia" w:asciiTheme="minorEastAsia" w:hAnsiTheme="minorEastAsia" w:eastAsiaTheme="minorEastAsia"/>
                <w:color w:val="auto"/>
                <w:szCs w:val="21"/>
                <w:highlight w:val="none"/>
              </w:rPr>
              <w:t>社保时段为投标文件递交截止日前半年时间内连续不少于3个月</w:t>
            </w:r>
            <w:bookmarkEnd w:id="1049"/>
            <w:r>
              <w:rPr>
                <w:rFonts w:hint="eastAsia" w:asciiTheme="minorEastAsia" w:hAnsiTheme="minorEastAsia" w:eastAsiaTheme="minorEastAsia"/>
                <w:color w:val="auto"/>
                <w:szCs w:val="21"/>
                <w:highlight w:val="none"/>
              </w:rPr>
              <w:t>。</w:t>
            </w:r>
          </w:p>
          <w:p>
            <w:pPr>
              <w:pStyle w:val="2"/>
              <w:adjustRightInd w:val="0"/>
              <w:snapToGrid w:val="0"/>
              <w:rPr>
                <w:rFonts w:hint="eastAsia" w:asciiTheme="minorEastAsia" w:hAnsiTheme="minorEastAsia" w:eastAsiaTheme="minorEastAsia"/>
                <w:color w:val="auto"/>
                <w:szCs w:val="21"/>
                <w:highlight w:val="none"/>
              </w:rPr>
            </w:pPr>
            <w:r>
              <w:rPr>
                <w:rFonts w:hint="eastAsia"/>
                <w:color w:val="auto"/>
                <w:highlight w:val="none"/>
              </w:rPr>
              <w:t>（</w:t>
            </w:r>
            <w:r>
              <w:rPr>
                <w:color w:val="auto"/>
                <w:highlight w:val="none"/>
              </w:rPr>
              <w:t>2</w:t>
            </w:r>
            <w:r>
              <w:rPr>
                <w:rFonts w:hint="eastAsia"/>
                <w:color w:val="auto"/>
                <w:highlight w:val="none"/>
              </w:rPr>
              <w:t>）</w:t>
            </w:r>
            <w:r>
              <w:rPr>
                <w:rFonts w:hint="eastAsia" w:cs="宋体"/>
                <w:color w:val="auto"/>
                <w:szCs w:val="21"/>
                <w:highlight w:val="none"/>
              </w:rPr>
              <w:t>“建筑工程类”技术职称是指包含建筑施工管理、建筑施工、建筑工程、土木工程、工程管理、建筑工程造价、建筑生产技术管理、建筑机械、安全工程等工程项目建设所涉及的相关专业的技术职称。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00"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1599"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908"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技术负责人</w:t>
            </w:r>
          </w:p>
        </w:tc>
        <w:tc>
          <w:tcPr>
            <w:tcW w:w="735"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4365" w:type="dxa"/>
            <w:vAlign w:val="center"/>
          </w:tcPr>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具有建筑工程类</w:t>
            </w:r>
            <w:r>
              <w:rPr>
                <w:rFonts w:hint="eastAsia" w:asciiTheme="minorEastAsia" w:hAnsiTheme="minorEastAsia" w:eastAsiaTheme="minorEastAsia"/>
                <w:color w:val="auto"/>
                <w:szCs w:val="21"/>
                <w:highlight w:val="none"/>
                <w:lang w:val="en-US" w:eastAsia="zh-CN"/>
              </w:rPr>
              <w:t>中</w:t>
            </w:r>
            <w:r>
              <w:rPr>
                <w:rFonts w:hint="eastAsia" w:asciiTheme="minorEastAsia" w:hAnsiTheme="minorEastAsia" w:eastAsiaTheme="minorEastAsia"/>
                <w:color w:val="auto"/>
                <w:szCs w:val="21"/>
                <w:highlight w:val="none"/>
              </w:rPr>
              <w:t>级工程师或以上职称的得2分。</w:t>
            </w:r>
          </w:p>
        </w:tc>
        <w:tc>
          <w:tcPr>
            <w:tcW w:w="5936" w:type="dxa"/>
            <w:vMerge w:val="continue"/>
            <w:vAlign w:val="center"/>
          </w:tcPr>
          <w:p>
            <w:pPr>
              <w:adjustRightInd w:val="0"/>
              <w:snapToGrid w:val="0"/>
              <w:rPr>
                <w:rFonts w:hint="eastAsia"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00"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1599"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908"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安全员</w:t>
            </w:r>
          </w:p>
        </w:tc>
        <w:tc>
          <w:tcPr>
            <w:tcW w:w="735"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4365" w:type="dxa"/>
            <w:vAlign w:val="center"/>
          </w:tcPr>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安全员2名：具有安全生产考核合格证（C类）或建筑施工企业专职安全生产管理人员安全生产考核合格证书（C3），</w:t>
            </w:r>
            <w:r>
              <w:rPr>
                <w:rFonts w:hint="eastAsia"/>
                <w:color w:val="auto"/>
                <w:szCs w:val="21"/>
                <w:highlight w:val="none"/>
              </w:rPr>
              <w:t>每名得1分，</w:t>
            </w:r>
            <w:r>
              <w:rPr>
                <w:rFonts w:hint="eastAsia" w:asciiTheme="minorEastAsia" w:hAnsiTheme="minorEastAsia" w:eastAsiaTheme="minorEastAsia"/>
                <w:color w:val="auto"/>
                <w:szCs w:val="21"/>
                <w:highlight w:val="none"/>
              </w:rPr>
              <w:t>本项最高得2分。</w:t>
            </w:r>
          </w:p>
        </w:tc>
        <w:tc>
          <w:tcPr>
            <w:tcW w:w="5936" w:type="dxa"/>
            <w:vMerge w:val="continue"/>
            <w:vAlign w:val="center"/>
          </w:tcPr>
          <w:p>
            <w:pPr>
              <w:adjustRightInd w:val="0"/>
              <w:snapToGrid w:val="0"/>
              <w:rPr>
                <w:rFonts w:hint="eastAsia"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00"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1599"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908"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施工员</w:t>
            </w:r>
          </w:p>
        </w:tc>
        <w:tc>
          <w:tcPr>
            <w:tcW w:w="735"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365" w:type="dxa"/>
            <w:vAlign w:val="center"/>
          </w:tcPr>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施工员1名：具有施工员证，得1分。本项最高得1分。</w:t>
            </w:r>
          </w:p>
        </w:tc>
        <w:tc>
          <w:tcPr>
            <w:tcW w:w="5936" w:type="dxa"/>
            <w:vMerge w:val="continue"/>
            <w:vAlign w:val="center"/>
          </w:tcPr>
          <w:p>
            <w:pPr>
              <w:adjustRightInd w:val="0"/>
              <w:snapToGrid w:val="0"/>
              <w:rPr>
                <w:rFonts w:hint="eastAsia"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00"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1599" w:type="dxa"/>
            <w:vMerge w:val="continue"/>
            <w:vAlign w:val="center"/>
          </w:tcPr>
          <w:p>
            <w:pPr>
              <w:adjustRightInd w:val="0"/>
              <w:snapToGrid w:val="0"/>
              <w:jc w:val="center"/>
              <w:rPr>
                <w:rFonts w:hint="eastAsia" w:asciiTheme="minorEastAsia" w:hAnsiTheme="minorEastAsia" w:eastAsiaTheme="minorEastAsia"/>
                <w:color w:val="auto"/>
                <w:szCs w:val="21"/>
                <w:highlight w:val="none"/>
              </w:rPr>
            </w:pPr>
          </w:p>
        </w:tc>
        <w:tc>
          <w:tcPr>
            <w:tcW w:w="908"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质量员</w:t>
            </w:r>
          </w:p>
        </w:tc>
        <w:tc>
          <w:tcPr>
            <w:tcW w:w="735" w:type="dxa"/>
            <w:vAlign w:val="center"/>
          </w:tcPr>
          <w:p>
            <w:pPr>
              <w:adjustRightInd w:val="0"/>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4365" w:type="dxa"/>
            <w:vAlign w:val="center"/>
          </w:tcPr>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质量员2名：具有质量员证，每名得0.5分，本项最高得1分。</w:t>
            </w:r>
          </w:p>
        </w:tc>
        <w:tc>
          <w:tcPr>
            <w:tcW w:w="5936" w:type="dxa"/>
            <w:vMerge w:val="continue"/>
            <w:vAlign w:val="center"/>
          </w:tcPr>
          <w:p>
            <w:pPr>
              <w:adjustRightInd w:val="0"/>
              <w:snapToGrid w:val="0"/>
              <w:rPr>
                <w:rFonts w:hint="eastAsia"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00" w:type="dxa"/>
            <w:vAlign w:val="center"/>
          </w:tcPr>
          <w:p>
            <w:pPr>
              <w:adjustRightInd w:val="0"/>
              <w:snapToGrid w:val="0"/>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p>
        </w:tc>
        <w:tc>
          <w:tcPr>
            <w:tcW w:w="1599" w:type="dxa"/>
            <w:vAlign w:val="center"/>
          </w:tcPr>
          <w:p>
            <w:pPr>
              <w:adjustRightInd w:val="0"/>
              <w:snapToGrid w:val="0"/>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施工能力</w:t>
            </w:r>
          </w:p>
          <w:p>
            <w:pPr>
              <w:adjustRightInd w:val="0"/>
              <w:snapToGrid w:val="0"/>
              <w:ind w:firstLine="210" w:firstLineChars="100"/>
              <w:jc w:val="both"/>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（6分）</w:t>
            </w:r>
          </w:p>
        </w:tc>
        <w:tc>
          <w:tcPr>
            <w:tcW w:w="908" w:type="dxa"/>
            <w:vAlign w:val="center"/>
          </w:tcPr>
          <w:p>
            <w:pPr>
              <w:adjustRightInd w:val="0"/>
              <w:snapToGrid w:val="0"/>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团队实力</w:t>
            </w:r>
          </w:p>
        </w:tc>
        <w:tc>
          <w:tcPr>
            <w:tcW w:w="735" w:type="dxa"/>
            <w:vAlign w:val="center"/>
          </w:tcPr>
          <w:p>
            <w:pPr>
              <w:adjustRightInd w:val="0"/>
              <w:snapToGrid w:val="0"/>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w:t>
            </w:r>
          </w:p>
        </w:tc>
        <w:tc>
          <w:tcPr>
            <w:tcW w:w="4365" w:type="dxa"/>
            <w:vAlign w:val="center"/>
          </w:tcPr>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投标人提供的成员应具有：1、焊机与热切割作业证书，2、电工作业高压电工作业证书，3、电工作业低压电工作业证书，4、电工作业电力电缆作业证书，5、电工作业电气试验作业证书，6、高空作业证书；每个计</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 xml:space="preserve"> 分，满分</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分，其他或未提供的不得分。</w:t>
            </w:r>
          </w:p>
        </w:tc>
        <w:tc>
          <w:tcPr>
            <w:tcW w:w="5936" w:type="dxa"/>
            <w:vAlign w:val="center"/>
          </w:tcPr>
          <w:p>
            <w:pPr>
              <w:adjustRightInd w:val="0"/>
              <w:snapToGrid w:val="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注：同一人具有多个证书的不累计计分。提供社保时段为投标文件递交截止日前半年时间内连续不少于3个月</w:t>
            </w:r>
            <w:r>
              <w:rPr>
                <w:rFonts w:hint="eastAsia" w:asciiTheme="minorEastAsia" w:hAnsiTheme="minorEastAsia" w:eastAsiaTheme="minorEastAsia"/>
                <w:color w:val="auto"/>
                <w:szCs w:val="21"/>
                <w:highlight w:val="none"/>
                <w:lang w:val="en-US" w:eastAsia="zh-CN"/>
              </w:rPr>
              <w:t>的社保</w:t>
            </w:r>
            <w:r>
              <w:rPr>
                <w:rFonts w:hint="eastAsia" w:asciiTheme="minorEastAsia" w:hAnsiTheme="minorEastAsia" w:eastAsiaTheme="minorEastAsia"/>
                <w:color w:val="auto"/>
                <w:szCs w:val="21"/>
                <w:highlight w:val="none"/>
              </w:rPr>
              <w:t>证明材料、人员名单（格式自拟）、对应证书的扫描件（或电子证书）。</w:t>
            </w:r>
          </w:p>
        </w:tc>
      </w:tr>
    </w:tbl>
    <w:p>
      <w:pPr>
        <w:tabs>
          <w:tab w:val="left" w:pos="1260"/>
        </w:tabs>
        <w:snapToGrid w:val="0"/>
        <w:spacing w:line="240" w:lineRule="atLeast"/>
        <w:rPr>
          <w:rFonts w:hint="eastAsia" w:ascii="宋体" w:hAnsi="宋体"/>
          <w:color w:val="auto"/>
          <w:szCs w:val="21"/>
          <w:highlight w:val="none"/>
        </w:rPr>
      </w:pPr>
      <w:r>
        <w:rPr>
          <w:rFonts w:hint="eastAsia" w:ascii="宋体" w:hAnsi="宋体"/>
          <w:color w:val="auto"/>
          <w:szCs w:val="21"/>
          <w:highlight w:val="none"/>
        </w:rPr>
        <w:t>注：</w:t>
      </w:r>
    </w:p>
    <w:p>
      <w:pPr>
        <w:spacing w:line="240" w:lineRule="atLeast"/>
        <w:jc w:val="left"/>
        <w:rPr>
          <w:rFonts w:hint="eastAsia" w:ascii="宋体" w:hAnsi="宋体"/>
          <w:color w:val="auto"/>
          <w:szCs w:val="21"/>
          <w:highlight w:val="none"/>
        </w:rPr>
      </w:pPr>
      <w:r>
        <w:rPr>
          <w:rFonts w:hint="eastAsia" w:ascii="宋体" w:hAnsi="宋体"/>
          <w:color w:val="auto"/>
          <w:szCs w:val="21"/>
          <w:highlight w:val="none"/>
        </w:rPr>
        <w:t>1、商务得分为</w:t>
      </w:r>
      <w:r>
        <w:rPr>
          <w:rFonts w:hint="eastAsia" w:ascii="宋体" w:hAnsi="宋体"/>
          <w:b/>
          <w:bCs/>
          <w:color w:val="auto"/>
          <w:szCs w:val="21"/>
          <w:highlight w:val="none"/>
        </w:rPr>
        <w:t>所有评委按照“商务标评分表”评分（总分）的算术平均值</w:t>
      </w:r>
      <w:r>
        <w:rPr>
          <w:rFonts w:hint="eastAsia" w:ascii="宋体" w:hAnsi="宋体"/>
          <w:color w:val="auto"/>
          <w:szCs w:val="21"/>
          <w:highlight w:val="none"/>
        </w:rPr>
        <w:t>（分数出现小数点，保留小数点后2位，从小数点后第3位四舍五入）。</w:t>
      </w:r>
    </w:p>
    <w:p>
      <w:pPr>
        <w:widowControl/>
        <w:snapToGrid w:val="0"/>
        <w:spacing w:after="200" w:line="220" w:lineRule="atLeast"/>
        <w:outlineLvl w:val="4"/>
        <w:rPr>
          <w:rFonts w:hint="eastAsia" w:ascii="宋体" w:hAnsi="宋体"/>
          <w:color w:val="auto"/>
          <w:szCs w:val="21"/>
          <w:highlight w:val="none"/>
        </w:rPr>
      </w:pPr>
      <w:bookmarkStart w:id="1050" w:name="_Toc20331"/>
      <w:r>
        <w:rPr>
          <w:rFonts w:hint="eastAsia" w:ascii="宋体" w:hAnsi="宋体"/>
          <w:color w:val="auto"/>
          <w:szCs w:val="21"/>
          <w:highlight w:val="none"/>
        </w:rPr>
        <w:t>2、在投标文件有效期内，招标人有需要的，投标人应提交上述业绩资料原件核对，包括但不限于中标通知书、合同、竣工验收资料、发票、往来函件等合同执行过程中的一切资料，投标人须积极配合。一旦发现投标人存在弄虚作假骗取中标的情形，将取消其中标候选人及中标人的资格，其投标保证金不予退还。</w:t>
      </w:r>
      <w:bookmarkEnd w:id="1050"/>
    </w:p>
    <w:p>
      <w:pPr>
        <w:widowControl/>
        <w:snapToGrid/>
        <w:spacing w:after="0" w:line="240" w:lineRule="auto"/>
        <w:outlineLvl w:val="9"/>
        <w:rPr>
          <w:rFonts w:hint="eastAsia" w:ascii="宋体" w:hAnsi="宋体"/>
          <w:color w:val="auto"/>
          <w:szCs w:val="21"/>
          <w:highlight w:val="none"/>
        </w:rPr>
      </w:pPr>
      <w:r>
        <w:rPr>
          <w:rFonts w:hint="eastAsia" w:ascii="宋体" w:hAnsi="宋体"/>
          <w:color w:val="auto"/>
          <w:szCs w:val="21"/>
          <w:highlight w:val="none"/>
        </w:rPr>
        <w:br w:type="page"/>
      </w:r>
    </w:p>
    <w:p>
      <w:pPr>
        <w:widowControl/>
        <w:snapToGrid w:val="0"/>
        <w:spacing w:after="200" w:line="220" w:lineRule="atLeast"/>
        <w:outlineLvl w:val="4"/>
        <w:rPr>
          <w:rFonts w:hint="eastAsia"/>
          <w:color w:val="auto"/>
          <w:highlight w:val="none"/>
        </w:rPr>
      </w:pPr>
      <w:bookmarkStart w:id="1051" w:name="_Toc16707"/>
      <w:r>
        <w:rPr>
          <w:rFonts w:hint="eastAsia" w:ascii="宋体" w:hAnsi="宋体"/>
          <w:b/>
          <w:color w:val="auto"/>
          <w:sz w:val="24"/>
          <w:highlight w:val="none"/>
          <w:lang w:val="en-US" w:eastAsia="zh-CN"/>
        </w:rPr>
        <w:t>3、</w:t>
      </w:r>
      <w:r>
        <w:rPr>
          <w:rFonts w:hint="eastAsia" w:ascii="宋体" w:hAnsi="宋体"/>
          <w:b/>
          <w:color w:val="auto"/>
          <w:sz w:val="24"/>
          <w:highlight w:val="none"/>
        </w:rPr>
        <w:t>附表</w:t>
      </w:r>
      <w:r>
        <w:rPr>
          <w:rFonts w:hint="eastAsia" w:ascii="宋体" w:hAnsi="宋体"/>
          <w:b/>
          <w:color w:val="auto"/>
          <w:sz w:val="24"/>
          <w:highlight w:val="none"/>
          <w:lang w:eastAsia="zh-CN"/>
        </w:rPr>
        <w:t>，</w:t>
      </w:r>
      <w:bookmarkStart w:id="1052" w:name="OLE_LINK21"/>
      <w:r>
        <w:rPr>
          <w:rFonts w:hint="eastAsia"/>
          <w:color w:val="auto"/>
          <w:highlight w:val="none"/>
        </w:rPr>
        <w:t>质量奖</w:t>
      </w:r>
      <w:bookmarkEnd w:id="1052"/>
      <w:r>
        <w:rPr>
          <w:rFonts w:hint="eastAsia"/>
          <w:color w:val="auto"/>
          <w:highlight w:val="none"/>
        </w:rPr>
        <w:t>：</w:t>
      </w:r>
      <w:bookmarkEnd w:id="1051"/>
    </w:p>
    <w:tbl>
      <w:tblPr>
        <w:tblStyle w:val="74"/>
        <w:tblW w:w="10472" w:type="dxa"/>
        <w:jc w:val="center"/>
        <w:tblLayout w:type="fixed"/>
        <w:tblCellMar>
          <w:top w:w="0" w:type="dxa"/>
          <w:left w:w="10" w:type="dxa"/>
          <w:bottom w:w="0" w:type="dxa"/>
          <w:right w:w="10" w:type="dxa"/>
        </w:tblCellMar>
      </w:tblPr>
      <w:tblGrid>
        <w:gridCol w:w="3653"/>
        <w:gridCol w:w="3146"/>
        <w:gridCol w:w="3673"/>
      </w:tblGrid>
      <w:tr>
        <w:tblPrEx>
          <w:tblCellMar>
            <w:top w:w="0" w:type="dxa"/>
            <w:left w:w="10" w:type="dxa"/>
            <w:bottom w:w="0" w:type="dxa"/>
            <w:right w:w="10" w:type="dxa"/>
          </w:tblCellMar>
        </w:tblPrEx>
        <w:trPr>
          <w:trHeight w:val="461" w:hRule="exact"/>
          <w:jc w:val="center"/>
        </w:trPr>
        <w:tc>
          <w:tcPr>
            <w:tcW w:w="10472" w:type="dxa"/>
            <w:gridSpan w:val="3"/>
            <w:tcBorders>
              <w:top w:val="single" w:color="auto" w:sz="4" w:space="0"/>
              <w:left w:val="single" w:color="auto" w:sz="4" w:space="0"/>
              <w:right w:val="single" w:color="auto" w:sz="4" w:space="0"/>
            </w:tcBorders>
            <w:shd w:val="clear" w:color="auto" w:fill="FFFFFF"/>
            <w:noWrap/>
          </w:tcPr>
          <w:p>
            <w:pPr>
              <w:pStyle w:val="608"/>
              <w:spacing w:before="80" w:line="240" w:lineRule="auto"/>
              <w:jc w:val="left"/>
              <w:rPr>
                <w:color w:val="auto"/>
                <w:highlight w:val="none"/>
              </w:rPr>
            </w:pPr>
            <w:r>
              <w:rPr>
                <w:b/>
                <w:bCs/>
                <w:color w:val="auto"/>
                <w:highlight w:val="none"/>
              </w:rPr>
              <w:t>国家奖</w:t>
            </w:r>
          </w:p>
        </w:tc>
      </w:tr>
      <w:tr>
        <w:tblPrEx>
          <w:tblCellMar>
            <w:top w:w="0" w:type="dxa"/>
            <w:left w:w="10" w:type="dxa"/>
            <w:bottom w:w="0" w:type="dxa"/>
            <w:right w:w="10" w:type="dxa"/>
          </w:tblCellMar>
        </w:tblPrEx>
        <w:trPr>
          <w:trHeight w:val="446" w:hRule="exact"/>
          <w:jc w:val="center"/>
        </w:trPr>
        <w:tc>
          <w:tcPr>
            <w:tcW w:w="3653"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中国建设工程鲁班奖</w:t>
            </w:r>
          </w:p>
        </w:tc>
        <w:tc>
          <w:tcPr>
            <w:tcW w:w="3146"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国家优质工程奖</w:t>
            </w:r>
          </w:p>
        </w:tc>
        <w:tc>
          <w:tcPr>
            <w:tcW w:w="3673" w:type="dxa"/>
            <w:tcBorders>
              <w:top w:val="single" w:color="auto" w:sz="4" w:space="0"/>
              <w:left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中国土木工程</w:t>
            </w:r>
            <w:r>
              <w:rPr>
                <w:rFonts w:hint="eastAsia"/>
                <w:color w:val="auto"/>
                <w:highlight w:val="none"/>
                <w:lang w:eastAsia="zh-CN"/>
              </w:rPr>
              <w:t>詹</w:t>
            </w:r>
            <w:r>
              <w:rPr>
                <w:color w:val="auto"/>
                <w:highlight w:val="none"/>
              </w:rPr>
              <w:t>天佑奖</w:t>
            </w:r>
          </w:p>
        </w:tc>
      </w:tr>
      <w:tr>
        <w:tblPrEx>
          <w:tblCellMar>
            <w:top w:w="0" w:type="dxa"/>
            <w:left w:w="10" w:type="dxa"/>
            <w:bottom w:w="0" w:type="dxa"/>
            <w:right w:w="10" w:type="dxa"/>
          </w:tblCellMar>
        </w:tblPrEx>
        <w:trPr>
          <w:trHeight w:val="446" w:hRule="exact"/>
          <w:jc w:val="center"/>
        </w:trPr>
        <w:tc>
          <w:tcPr>
            <w:tcW w:w="3653"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国家优质工程金质奖</w:t>
            </w:r>
          </w:p>
        </w:tc>
        <w:tc>
          <w:tcPr>
            <w:tcW w:w="3146"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全国市政金杯示范工程</w:t>
            </w:r>
          </w:p>
        </w:tc>
        <w:tc>
          <w:tcPr>
            <w:tcW w:w="3673" w:type="dxa"/>
            <w:tcBorders>
              <w:top w:val="single" w:color="auto" w:sz="4" w:space="0"/>
              <w:left w:val="single" w:color="auto" w:sz="4" w:space="0"/>
              <w:right w:val="single" w:color="auto" w:sz="4" w:space="0"/>
            </w:tcBorders>
            <w:shd w:val="clear" w:color="auto" w:fill="FFFFFF"/>
            <w:noWrap/>
          </w:tcPr>
          <w:p>
            <w:pPr>
              <w:rPr>
                <w:color w:val="auto"/>
                <w:sz w:val="10"/>
                <w:szCs w:val="10"/>
                <w:highlight w:val="none"/>
              </w:rPr>
            </w:pPr>
          </w:p>
        </w:tc>
      </w:tr>
      <w:tr>
        <w:tblPrEx>
          <w:tblCellMar>
            <w:top w:w="0" w:type="dxa"/>
            <w:left w:w="10" w:type="dxa"/>
            <w:bottom w:w="0" w:type="dxa"/>
            <w:right w:w="10" w:type="dxa"/>
          </w:tblCellMar>
        </w:tblPrEx>
        <w:trPr>
          <w:trHeight w:val="439" w:hRule="exact"/>
          <w:jc w:val="center"/>
        </w:trPr>
        <w:tc>
          <w:tcPr>
            <w:tcW w:w="10472" w:type="dxa"/>
            <w:gridSpan w:val="3"/>
            <w:tcBorders>
              <w:top w:val="single" w:color="auto" w:sz="4" w:space="0"/>
              <w:left w:val="single" w:color="auto" w:sz="4" w:space="0"/>
              <w:right w:val="single" w:color="auto" w:sz="4" w:space="0"/>
            </w:tcBorders>
            <w:shd w:val="clear" w:color="auto" w:fill="FFFFFF"/>
            <w:noWrap/>
          </w:tcPr>
          <w:p>
            <w:pPr>
              <w:pStyle w:val="608"/>
              <w:spacing w:line="240" w:lineRule="auto"/>
              <w:jc w:val="left"/>
              <w:rPr>
                <w:color w:val="auto"/>
                <w:highlight w:val="none"/>
              </w:rPr>
            </w:pPr>
            <w:r>
              <w:rPr>
                <w:b/>
                <w:bCs/>
                <w:color w:val="auto"/>
                <w:highlight w:val="none"/>
              </w:rPr>
              <w:t>省奖</w:t>
            </w:r>
          </w:p>
        </w:tc>
      </w:tr>
      <w:tr>
        <w:tblPrEx>
          <w:tblCellMar>
            <w:top w:w="0" w:type="dxa"/>
            <w:left w:w="10" w:type="dxa"/>
            <w:bottom w:w="0" w:type="dxa"/>
            <w:right w:w="10" w:type="dxa"/>
          </w:tblCellMar>
        </w:tblPrEx>
        <w:trPr>
          <w:trHeight w:val="439" w:hRule="exact"/>
          <w:jc w:val="center"/>
        </w:trPr>
        <w:tc>
          <w:tcPr>
            <w:tcW w:w="3653" w:type="dxa"/>
            <w:tcBorders>
              <w:top w:val="single" w:color="auto" w:sz="4" w:space="0"/>
              <w:left w:val="single" w:color="auto" w:sz="4" w:space="0"/>
              <w:bottom w:val="single" w:color="auto" w:sz="4" w:space="0"/>
            </w:tcBorders>
            <w:shd w:val="clear" w:color="auto" w:fill="FFFFFF"/>
            <w:noWrap/>
          </w:tcPr>
          <w:p>
            <w:pPr>
              <w:pStyle w:val="608"/>
              <w:spacing w:line="240" w:lineRule="auto"/>
              <w:jc w:val="left"/>
              <w:rPr>
                <w:color w:val="auto"/>
                <w:highlight w:val="none"/>
              </w:rPr>
            </w:pPr>
            <w:r>
              <w:rPr>
                <w:color w:val="auto"/>
                <w:highlight w:val="none"/>
              </w:rPr>
              <w:t>长城杯（北京）</w:t>
            </w:r>
          </w:p>
        </w:tc>
        <w:tc>
          <w:tcPr>
            <w:tcW w:w="3146" w:type="dxa"/>
            <w:tcBorders>
              <w:top w:val="single" w:color="auto" w:sz="4" w:space="0"/>
              <w:left w:val="single" w:color="auto" w:sz="4" w:space="0"/>
              <w:bottom w:val="single" w:color="auto" w:sz="4" w:space="0"/>
            </w:tcBorders>
            <w:shd w:val="clear" w:color="auto" w:fill="FFFFFF"/>
            <w:noWrap/>
          </w:tcPr>
          <w:p>
            <w:pPr>
              <w:pStyle w:val="608"/>
              <w:spacing w:line="240" w:lineRule="auto"/>
              <w:jc w:val="left"/>
              <w:rPr>
                <w:color w:val="auto"/>
                <w:highlight w:val="none"/>
              </w:rPr>
            </w:pPr>
            <w:r>
              <w:rPr>
                <w:color w:val="auto"/>
                <w:highlight w:val="none"/>
              </w:rPr>
              <w:t>阿房宫奖（陕西）</w:t>
            </w:r>
          </w:p>
        </w:tc>
        <w:tc>
          <w:tcPr>
            <w:tcW w:w="3673" w:type="dxa"/>
            <w:tcBorders>
              <w:top w:val="single" w:color="auto" w:sz="4" w:space="0"/>
              <w:left w:val="single" w:color="auto" w:sz="4" w:space="0"/>
              <w:bottom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钱江杯（浙江）</w:t>
            </w:r>
          </w:p>
        </w:tc>
      </w:tr>
      <w:tr>
        <w:tblPrEx>
          <w:tblCellMar>
            <w:top w:w="0" w:type="dxa"/>
            <w:left w:w="10" w:type="dxa"/>
            <w:bottom w:w="0" w:type="dxa"/>
            <w:right w:w="10" w:type="dxa"/>
          </w:tblCellMar>
        </w:tblPrEx>
        <w:trPr>
          <w:trHeight w:val="446" w:hRule="exact"/>
          <w:jc w:val="center"/>
        </w:trPr>
        <w:tc>
          <w:tcPr>
            <w:tcW w:w="3653" w:type="dxa"/>
            <w:tcBorders>
              <w:top w:val="single" w:color="auto" w:sz="4" w:space="0"/>
              <w:left w:val="single" w:color="auto" w:sz="4" w:space="0"/>
              <w:bottom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白玉兰杯（上海）</w:t>
            </w:r>
          </w:p>
        </w:tc>
        <w:tc>
          <w:tcPr>
            <w:tcW w:w="3146" w:type="dxa"/>
            <w:tcBorders>
              <w:top w:val="single" w:color="auto" w:sz="4" w:space="0"/>
              <w:left w:val="single" w:color="auto" w:sz="4" w:space="0"/>
              <w:bottom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西夏杯（宁夏）</w:t>
            </w:r>
          </w:p>
        </w:tc>
        <w:tc>
          <w:tcPr>
            <w:tcW w:w="3673" w:type="dxa"/>
            <w:tcBorders>
              <w:top w:val="single" w:color="auto" w:sz="4" w:space="0"/>
              <w:left w:val="single" w:color="auto" w:sz="4" w:space="0"/>
              <w:bottom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杜鹃花杯（江西）</w:t>
            </w:r>
          </w:p>
        </w:tc>
      </w:tr>
      <w:tr>
        <w:tblPrEx>
          <w:tblCellMar>
            <w:top w:w="0" w:type="dxa"/>
            <w:left w:w="10" w:type="dxa"/>
            <w:bottom w:w="0" w:type="dxa"/>
            <w:right w:w="10" w:type="dxa"/>
          </w:tblCellMar>
        </w:tblPrEx>
        <w:trPr>
          <w:trHeight w:val="439" w:hRule="exact"/>
          <w:jc w:val="center"/>
        </w:trPr>
        <w:tc>
          <w:tcPr>
            <w:tcW w:w="3653" w:type="dxa"/>
            <w:tcBorders>
              <w:top w:val="single" w:color="auto" w:sz="4" w:space="0"/>
              <w:left w:val="single" w:color="auto" w:sz="4" w:space="0"/>
              <w:bottom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海河杯（天津）</w:t>
            </w:r>
          </w:p>
        </w:tc>
        <w:tc>
          <w:tcPr>
            <w:tcW w:w="3146" w:type="dxa"/>
            <w:tcBorders>
              <w:top w:val="single" w:color="auto" w:sz="4" w:space="0"/>
              <w:left w:val="single" w:color="auto" w:sz="4" w:space="0"/>
              <w:bottom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飞天奖（甘肃）</w:t>
            </w:r>
          </w:p>
        </w:tc>
        <w:tc>
          <w:tcPr>
            <w:tcW w:w="3673" w:type="dxa"/>
            <w:tcBorders>
              <w:top w:val="single" w:color="auto" w:sz="4" w:space="0"/>
              <w:left w:val="single" w:color="auto" w:sz="4" w:space="0"/>
              <w:bottom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楚天杯（湖北）</w:t>
            </w:r>
          </w:p>
        </w:tc>
      </w:tr>
      <w:tr>
        <w:tblPrEx>
          <w:tblCellMar>
            <w:top w:w="0" w:type="dxa"/>
            <w:left w:w="10" w:type="dxa"/>
            <w:bottom w:w="0" w:type="dxa"/>
            <w:right w:w="10" w:type="dxa"/>
          </w:tblCellMar>
        </w:tblPrEx>
        <w:trPr>
          <w:trHeight w:val="446" w:hRule="exact"/>
          <w:jc w:val="center"/>
        </w:trPr>
        <w:tc>
          <w:tcPr>
            <w:tcW w:w="3653"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巴渝杯（重庆）</w:t>
            </w:r>
          </w:p>
        </w:tc>
        <w:tc>
          <w:tcPr>
            <w:tcW w:w="3146"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江河源杯（青海）</w:t>
            </w:r>
          </w:p>
        </w:tc>
        <w:tc>
          <w:tcPr>
            <w:tcW w:w="3673" w:type="dxa"/>
            <w:tcBorders>
              <w:top w:val="single" w:color="auto" w:sz="4" w:space="0"/>
              <w:left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芙蓉奖（湖南）</w:t>
            </w:r>
          </w:p>
        </w:tc>
      </w:tr>
      <w:tr>
        <w:tblPrEx>
          <w:tblCellMar>
            <w:top w:w="0" w:type="dxa"/>
            <w:left w:w="10" w:type="dxa"/>
            <w:bottom w:w="0" w:type="dxa"/>
            <w:right w:w="10" w:type="dxa"/>
          </w:tblCellMar>
        </w:tblPrEx>
        <w:trPr>
          <w:trHeight w:val="439" w:hRule="exact"/>
          <w:jc w:val="center"/>
        </w:trPr>
        <w:tc>
          <w:tcPr>
            <w:tcW w:w="3653"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龙江杯（黑龙江）</w:t>
            </w:r>
          </w:p>
        </w:tc>
        <w:tc>
          <w:tcPr>
            <w:tcW w:w="3146"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天山奖（新疆）</w:t>
            </w:r>
          </w:p>
        </w:tc>
        <w:tc>
          <w:tcPr>
            <w:tcW w:w="3673" w:type="dxa"/>
            <w:tcBorders>
              <w:top w:val="single" w:color="auto" w:sz="4" w:space="0"/>
              <w:left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天府杯（四川）</w:t>
            </w:r>
          </w:p>
        </w:tc>
      </w:tr>
      <w:tr>
        <w:tblPrEx>
          <w:tblCellMar>
            <w:top w:w="0" w:type="dxa"/>
            <w:left w:w="10" w:type="dxa"/>
            <w:bottom w:w="0" w:type="dxa"/>
            <w:right w:w="10" w:type="dxa"/>
          </w:tblCellMar>
        </w:tblPrEx>
        <w:trPr>
          <w:trHeight w:val="446" w:hRule="exact"/>
          <w:jc w:val="center"/>
        </w:trPr>
        <w:tc>
          <w:tcPr>
            <w:tcW w:w="3653"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长白山杯（吉林）</w:t>
            </w:r>
          </w:p>
        </w:tc>
        <w:tc>
          <w:tcPr>
            <w:tcW w:w="3146"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雪莲杯（西藏）</w:t>
            </w:r>
          </w:p>
        </w:tc>
        <w:tc>
          <w:tcPr>
            <w:tcW w:w="3673" w:type="dxa"/>
            <w:tcBorders>
              <w:top w:val="single" w:color="auto" w:sz="4" w:space="0"/>
              <w:left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云南省优质工程（云南）</w:t>
            </w:r>
          </w:p>
        </w:tc>
      </w:tr>
      <w:tr>
        <w:tblPrEx>
          <w:tblCellMar>
            <w:top w:w="0" w:type="dxa"/>
            <w:left w:w="10" w:type="dxa"/>
            <w:bottom w:w="0" w:type="dxa"/>
            <w:right w:w="10" w:type="dxa"/>
          </w:tblCellMar>
        </w:tblPrEx>
        <w:trPr>
          <w:trHeight w:val="439" w:hRule="exact"/>
          <w:jc w:val="center"/>
        </w:trPr>
        <w:tc>
          <w:tcPr>
            <w:tcW w:w="3653"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世纪杯（辽宁）</w:t>
            </w:r>
          </w:p>
        </w:tc>
        <w:tc>
          <w:tcPr>
            <w:tcW w:w="3146"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安济杯（河北）</w:t>
            </w:r>
          </w:p>
        </w:tc>
        <w:tc>
          <w:tcPr>
            <w:tcW w:w="3673" w:type="dxa"/>
            <w:tcBorders>
              <w:top w:val="single" w:color="auto" w:sz="4" w:space="0"/>
              <w:left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黄果树杯（贵州）</w:t>
            </w:r>
          </w:p>
        </w:tc>
      </w:tr>
      <w:tr>
        <w:tblPrEx>
          <w:tblCellMar>
            <w:top w:w="0" w:type="dxa"/>
            <w:left w:w="10" w:type="dxa"/>
            <w:bottom w:w="0" w:type="dxa"/>
            <w:right w:w="10" w:type="dxa"/>
          </w:tblCellMar>
        </w:tblPrEx>
        <w:trPr>
          <w:trHeight w:val="446" w:hRule="exact"/>
          <w:jc w:val="center"/>
        </w:trPr>
        <w:tc>
          <w:tcPr>
            <w:tcW w:w="3653"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草原杯（内蒙古）</w:t>
            </w:r>
          </w:p>
        </w:tc>
        <w:tc>
          <w:tcPr>
            <w:tcW w:w="3146"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中州杯（河南）</w:t>
            </w:r>
          </w:p>
        </w:tc>
        <w:tc>
          <w:tcPr>
            <w:tcW w:w="3673" w:type="dxa"/>
            <w:tcBorders>
              <w:top w:val="single" w:color="auto" w:sz="4" w:space="0"/>
              <w:left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金匠奖（广东）</w:t>
            </w:r>
          </w:p>
        </w:tc>
      </w:tr>
      <w:tr>
        <w:tblPrEx>
          <w:tblCellMar>
            <w:top w:w="0" w:type="dxa"/>
            <w:left w:w="10" w:type="dxa"/>
            <w:bottom w:w="0" w:type="dxa"/>
            <w:right w:w="10" w:type="dxa"/>
          </w:tblCellMar>
        </w:tblPrEx>
        <w:trPr>
          <w:trHeight w:val="629" w:hRule="exact"/>
          <w:jc w:val="center"/>
        </w:trPr>
        <w:tc>
          <w:tcPr>
            <w:tcW w:w="3653"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汾水杯（山西）</w:t>
            </w:r>
          </w:p>
        </w:tc>
        <w:tc>
          <w:tcPr>
            <w:tcW w:w="3146"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扬子杯（江苏）</w:t>
            </w:r>
          </w:p>
        </w:tc>
        <w:tc>
          <w:tcPr>
            <w:tcW w:w="3673" w:type="dxa"/>
            <w:tcBorders>
              <w:top w:val="single" w:color="auto" w:sz="4" w:space="0"/>
              <w:left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广西</w:t>
            </w:r>
            <w:r>
              <w:rPr>
                <w:rFonts w:hint="eastAsia"/>
                <w:color w:val="auto"/>
                <w:highlight w:val="none"/>
                <w:lang w:eastAsia="zh-CN"/>
              </w:rPr>
              <w:t>建设工程“真武阁杯”奖</w:t>
            </w:r>
            <w:r>
              <w:rPr>
                <w:color w:val="auto"/>
                <w:highlight w:val="none"/>
              </w:rPr>
              <w:t>（广西）</w:t>
            </w:r>
          </w:p>
        </w:tc>
      </w:tr>
      <w:tr>
        <w:tblPrEx>
          <w:tblCellMar>
            <w:top w:w="0" w:type="dxa"/>
            <w:left w:w="10" w:type="dxa"/>
            <w:bottom w:w="0" w:type="dxa"/>
            <w:right w:w="10" w:type="dxa"/>
          </w:tblCellMar>
        </w:tblPrEx>
        <w:trPr>
          <w:trHeight w:val="439" w:hRule="exact"/>
          <w:jc w:val="center"/>
        </w:trPr>
        <w:tc>
          <w:tcPr>
            <w:tcW w:w="3653"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绿岛杯（海南）</w:t>
            </w:r>
          </w:p>
        </w:tc>
        <w:tc>
          <w:tcPr>
            <w:tcW w:w="3146" w:type="dxa"/>
            <w:tcBorders>
              <w:top w:val="single" w:color="auto" w:sz="4" w:space="0"/>
              <w:left w:val="single" w:color="auto" w:sz="4" w:space="0"/>
            </w:tcBorders>
            <w:shd w:val="clear" w:color="auto" w:fill="FFFFFF"/>
            <w:noWrap/>
          </w:tcPr>
          <w:p>
            <w:pPr>
              <w:pStyle w:val="608"/>
              <w:spacing w:line="240" w:lineRule="auto"/>
              <w:jc w:val="left"/>
              <w:rPr>
                <w:color w:val="auto"/>
                <w:highlight w:val="none"/>
              </w:rPr>
            </w:pPr>
            <w:r>
              <w:rPr>
                <w:color w:val="auto"/>
                <w:highlight w:val="none"/>
              </w:rPr>
              <w:t>省级样板工程、样板工地</w:t>
            </w:r>
          </w:p>
        </w:tc>
        <w:tc>
          <w:tcPr>
            <w:tcW w:w="3673" w:type="dxa"/>
            <w:tcBorders>
              <w:top w:val="single" w:color="auto" w:sz="4" w:space="0"/>
              <w:left w:val="single" w:color="auto" w:sz="4" w:space="0"/>
              <w:right w:val="single" w:color="auto" w:sz="4" w:space="0"/>
            </w:tcBorders>
            <w:shd w:val="clear" w:color="auto" w:fill="FFFFFF"/>
            <w:noWrap/>
          </w:tcPr>
          <w:p>
            <w:pPr>
              <w:pStyle w:val="608"/>
              <w:spacing w:line="240" w:lineRule="auto"/>
              <w:jc w:val="left"/>
              <w:rPr>
                <w:color w:val="auto"/>
                <w:highlight w:val="none"/>
              </w:rPr>
            </w:pPr>
            <w:r>
              <w:rPr>
                <w:color w:val="auto"/>
                <w:highlight w:val="none"/>
              </w:rPr>
              <w:t>省级双优</w:t>
            </w:r>
          </w:p>
        </w:tc>
      </w:tr>
      <w:tr>
        <w:tblPrEx>
          <w:tblCellMar>
            <w:top w:w="0" w:type="dxa"/>
            <w:left w:w="10" w:type="dxa"/>
            <w:bottom w:w="0" w:type="dxa"/>
            <w:right w:w="10" w:type="dxa"/>
          </w:tblCellMar>
        </w:tblPrEx>
        <w:trPr>
          <w:trHeight w:val="446" w:hRule="exact"/>
          <w:jc w:val="center"/>
        </w:trPr>
        <w:tc>
          <w:tcPr>
            <w:tcW w:w="10472" w:type="dxa"/>
            <w:gridSpan w:val="3"/>
            <w:tcBorders>
              <w:top w:val="single" w:color="auto" w:sz="4" w:space="0"/>
              <w:left w:val="single" w:color="auto" w:sz="4" w:space="0"/>
              <w:right w:val="single" w:color="auto" w:sz="4" w:space="0"/>
            </w:tcBorders>
            <w:shd w:val="clear" w:color="auto" w:fill="FFFFFF"/>
            <w:noWrap/>
          </w:tcPr>
          <w:p>
            <w:pPr>
              <w:pStyle w:val="608"/>
              <w:spacing w:line="240" w:lineRule="auto"/>
              <w:jc w:val="left"/>
              <w:rPr>
                <w:color w:val="auto"/>
                <w:highlight w:val="none"/>
              </w:rPr>
            </w:pPr>
            <w:r>
              <w:rPr>
                <w:b/>
                <w:bCs/>
                <w:color w:val="auto"/>
                <w:highlight w:val="none"/>
              </w:rPr>
              <w:t>市奖</w:t>
            </w:r>
          </w:p>
        </w:tc>
      </w:tr>
      <w:tr>
        <w:tblPrEx>
          <w:tblCellMar>
            <w:top w:w="0" w:type="dxa"/>
            <w:left w:w="10" w:type="dxa"/>
            <w:bottom w:w="0" w:type="dxa"/>
            <w:right w:w="10" w:type="dxa"/>
          </w:tblCellMar>
        </w:tblPrEx>
        <w:trPr>
          <w:trHeight w:val="468" w:hRule="exact"/>
          <w:jc w:val="center"/>
        </w:trPr>
        <w:tc>
          <w:tcPr>
            <w:tcW w:w="3653" w:type="dxa"/>
            <w:tcBorders>
              <w:top w:val="single" w:color="auto" w:sz="4" w:space="0"/>
              <w:left w:val="single" w:color="auto" w:sz="4" w:space="0"/>
              <w:bottom w:val="single" w:color="auto" w:sz="4" w:space="0"/>
            </w:tcBorders>
            <w:shd w:val="clear" w:color="auto" w:fill="FFFFFF"/>
            <w:noWrap/>
          </w:tcPr>
          <w:p>
            <w:pPr>
              <w:pStyle w:val="608"/>
              <w:spacing w:line="240" w:lineRule="auto"/>
              <w:jc w:val="left"/>
              <w:rPr>
                <w:color w:val="auto"/>
                <w:highlight w:val="none"/>
              </w:rPr>
            </w:pPr>
            <w:r>
              <w:rPr>
                <w:color w:val="auto"/>
                <w:highlight w:val="none"/>
              </w:rPr>
              <w:t>市级优良样板工程</w:t>
            </w:r>
          </w:p>
        </w:tc>
        <w:tc>
          <w:tcPr>
            <w:tcW w:w="3146" w:type="dxa"/>
            <w:tcBorders>
              <w:top w:val="single" w:color="auto" w:sz="4" w:space="0"/>
              <w:left w:val="single" w:color="auto" w:sz="4" w:space="0"/>
              <w:bottom w:val="single" w:color="auto" w:sz="4" w:space="0"/>
            </w:tcBorders>
            <w:shd w:val="clear" w:color="auto" w:fill="FFFFFF"/>
            <w:noWrap/>
          </w:tcPr>
          <w:p>
            <w:pPr>
              <w:pStyle w:val="608"/>
              <w:spacing w:line="240" w:lineRule="auto"/>
              <w:jc w:val="left"/>
              <w:rPr>
                <w:color w:val="auto"/>
                <w:highlight w:val="none"/>
              </w:rPr>
            </w:pPr>
            <w:r>
              <w:rPr>
                <w:color w:val="auto"/>
                <w:highlight w:val="none"/>
              </w:rPr>
              <w:t>市级双优工地</w:t>
            </w:r>
          </w:p>
        </w:tc>
        <w:tc>
          <w:tcPr>
            <w:tcW w:w="3673" w:type="dxa"/>
            <w:tcBorders>
              <w:top w:val="single" w:color="auto" w:sz="4" w:space="0"/>
              <w:left w:val="single" w:color="auto" w:sz="4" w:space="0"/>
              <w:bottom w:val="single" w:color="auto" w:sz="4" w:space="0"/>
              <w:right w:val="single" w:color="auto" w:sz="4" w:space="0"/>
            </w:tcBorders>
            <w:shd w:val="clear" w:color="auto" w:fill="FFFFFF"/>
            <w:noWrap/>
          </w:tcPr>
          <w:p>
            <w:pPr>
              <w:rPr>
                <w:color w:val="auto"/>
                <w:sz w:val="10"/>
                <w:szCs w:val="10"/>
                <w:highlight w:val="none"/>
              </w:rPr>
            </w:pPr>
          </w:p>
        </w:tc>
      </w:tr>
      <w:tr>
        <w:tblPrEx>
          <w:tblCellMar>
            <w:top w:w="0" w:type="dxa"/>
            <w:left w:w="10" w:type="dxa"/>
            <w:bottom w:w="0" w:type="dxa"/>
            <w:right w:w="10" w:type="dxa"/>
          </w:tblCellMar>
        </w:tblPrEx>
        <w:trPr>
          <w:trHeight w:val="658" w:hRule="exact"/>
          <w:jc w:val="center"/>
        </w:trPr>
        <w:tc>
          <w:tcPr>
            <w:tcW w:w="10472" w:type="dxa"/>
            <w:gridSpan w:val="3"/>
            <w:tcBorders>
              <w:top w:val="single" w:color="auto" w:sz="4" w:space="0"/>
              <w:left w:val="single" w:color="auto" w:sz="4" w:space="0"/>
              <w:bottom w:val="single" w:color="auto" w:sz="4" w:space="0"/>
              <w:right w:val="single" w:color="auto" w:sz="4" w:space="0"/>
            </w:tcBorders>
            <w:shd w:val="clear" w:color="auto" w:fill="FFFFFF"/>
            <w:noWrap/>
          </w:tcPr>
          <w:p>
            <w:pPr>
              <w:rPr>
                <w:color w:val="auto"/>
                <w:sz w:val="10"/>
                <w:szCs w:val="10"/>
                <w:highlight w:val="none"/>
              </w:rPr>
            </w:pPr>
            <w:r>
              <w:rPr>
                <w:rFonts w:hint="eastAsia" w:ascii="宋体" w:hAnsi="宋体" w:cs="宋体"/>
                <w:color w:val="auto"/>
                <w:sz w:val="20"/>
                <w:highlight w:val="none"/>
                <w:lang w:val="zh-TW" w:eastAsia="zh-TW" w:bidi="zh-TW"/>
              </w:rPr>
              <w:t>本表所述奖项如变更奖项名称或用另一奖项取代，需提供奖项颁发地建设行政主管部门（地级审以上） 的证明文件。</w:t>
            </w:r>
          </w:p>
        </w:tc>
      </w:tr>
    </w:tbl>
    <w:p>
      <w:pPr>
        <w:pStyle w:val="2"/>
        <w:rPr>
          <w:rFonts w:hint="eastAsia" w:ascii="宋体" w:hAnsi="宋体"/>
          <w:color w:val="auto"/>
          <w:szCs w:val="21"/>
          <w:highlight w:val="none"/>
        </w:rPr>
      </w:pPr>
    </w:p>
    <w:p>
      <w:pPr>
        <w:spacing w:line="360" w:lineRule="exact"/>
        <w:jc w:val="left"/>
        <w:rPr>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附表二：技术标评分表（</w:t>
      </w:r>
      <w:r>
        <w:rPr>
          <w:rFonts w:hint="eastAsia" w:ascii="宋体" w:hAnsi="宋体"/>
          <w:b/>
          <w:color w:val="auto"/>
          <w:sz w:val="32"/>
          <w:szCs w:val="32"/>
          <w:highlight w:val="none"/>
          <w:lang w:val="en-US" w:eastAsia="zh-CN"/>
        </w:rPr>
        <w:t>35</w:t>
      </w:r>
      <w:r>
        <w:rPr>
          <w:rFonts w:ascii="宋体" w:hAnsi="宋体"/>
          <w:b/>
          <w:color w:val="auto"/>
          <w:sz w:val="32"/>
          <w:szCs w:val="32"/>
          <w:highlight w:val="none"/>
        </w:rPr>
        <w:t>分</w:t>
      </w:r>
      <w:r>
        <w:rPr>
          <w:rFonts w:hint="eastAsia" w:ascii="宋体" w:hAnsi="宋体"/>
          <w:b/>
          <w:color w:val="auto"/>
          <w:sz w:val="32"/>
          <w:szCs w:val="32"/>
          <w:highlight w:val="none"/>
        </w:rPr>
        <w:t>）</w:t>
      </w:r>
    </w:p>
    <w:tbl>
      <w:tblPr>
        <w:tblStyle w:val="74"/>
        <w:tblW w:w="13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992"/>
        <w:gridCol w:w="9151"/>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46" w:type="dxa"/>
            <w:vAlign w:val="center"/>
          </w:tcPr>
          <w:p>
            <w:pPr>
              <w:widowControl/>
              <w:spacing w:line="360" w:lineRule="exact"/>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序号</w:t>
            </w:r>
          </w:p>
        </w:tc>
        <w:tc>
          <w:tcPr>
            <w:tcW w:w="2268" w:type="dxa"/>
            <w:vAlign w:val="center"/>
          </w:tcPr>
          <w:p>
            <w:pPr>
              <w:widowControl/>
              <w:spacing w:line="360" w:lineRule="exact"/>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评审分项</w:t>
            </w:r>
          </w:p>
        </w:tc>
        <w:tc>
          <w:tcPr>
            <w:tcW w:w="992" w:type="dxa"/>
            <w:vAlign w:val="center"/>
          </w:tcPr>
          <w:p>
            <w:pPr>
              <w:widowControl/>
              <w:spacing w:line="360" w:lineRule="exact"/>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标准分</w:t>
            </w:r>
          </w:p>
        </w:tc>
        <w:tc>
          <w:tcPr>
            <w:tcW w:w="9151" w:type="dxa"/>
            <w:vAlign w:val="center"/>
          </w:tcPr>
          <w:p>
            <w:pPr>
              <w:widowControl/>
              <w:spacing w:line="360" w:lineRule="exact"/>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评分标准</w:t>
            </w:r>
          </w:p>
        </w:tc>
        <w:tc>
          <w:tcPr>
            <w:tcW w:w="695" w:type="dxa"/>
            <w:vAlign w:val="center"/>
          </w:tcPr>
          <w:p>
            <w:pPr>
              <w:widowControl/>
              <w:spacing w:line="360" w:lineRule="exact"/>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46" w:type="dxa"/>
            <w:vAlign w:val="center"/>
          </w:tcPr>
          <w:p>
            <w:pPr>
              <w:spacing w:line="360" w:lineRule="exact"/>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p>
        </w:tc>
        <w:tc>
          <w:tcPr>
            <w:tcW w:w="2268" w:type="dxa"/>
            <w:vAlign w:val="center"/>
          </w:tcPr>
          <w:p>
            <w:pPr>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施工组织设计内容完整性和编制水平</w:t>
            </w:r>
          </w:p>
        </w:tc>
        <w:tc>
          <w:tcPr>
            <w:tcW w:w="992"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5</w:t>
            </w:r>
          </w:p>
        </w:tc>
        <w:tc>
          <w:tcPr>
            <w:tcW w:w="9151" w:type="dxa"/>
            <w:vAlign w:val="center"/>
          </w:tcPr>
          <w:p>
            <w:pP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根据投标人施工组织设计内容是否完整、编制思路清晰、层次清楚，内容是否严谨全面，是否有指导性、针对性、可操作性进行评审。</w:t>
            </w:r>
          </w:p>
          <w:p>
            <w:pPr>
              <w:jc w:val="left"/>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优得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-1</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差</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[1-0]</w:t>
            </w:r>
            <w:r>
              <w:rPr>
                <w:rFonts w:asciiTheme="minorEastAsia" w:hAnsiTheme="minorEastAsia" w:eastAsiaTheme="minorEastAsia"/>
                <w:color w:val="auto"/>
                <w:szCs w:val="21"/>
                <w:highlight w:val="none"/>
              </w:rPr>
              <w:t>分。</w:t>
            </w:r>
          </w:p>
        </w:tc>
        <w:tc>
          <w:tcPr>
            <w:tcW w:w="695"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46"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p>
        </w:tc>
        <w:tc>
          <w:tcPr>
            <w:tcW w:w="2268" w:type="dxa"/>
            <w:vAlign w:val="center"/>
          </w:tcPr>
          <w:p>
            <w:pPr>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工期、进度计划与措施</w:t>
            </w:r>
          </w:p>
        </w:tc>
        <w:tc>
          <w:tcPr>
            <w:tcW w:w="992"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4</w:t>
            </w:r>
          </w:p>
        </w:tc>
        <w:tc>
          <w:tcPr>
            <w:tcW w:w="9151" w:type="dxa"/>
            <w:vAlign w:val="center"/>
          </w:tcPr>
          <w:p>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进度控制措施得当</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提供进度计划图</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，对本项目的工期重要性理解透彻，对地形地貌特征、重点工序、天气、关键设备、环境等问题有切实可行的应对或应急方案，计划科学合理，可操作性高。</w:t>
            </w:r>
          </w:p>
          <w:p>
            <w:pPr>
              <w:rPr>
                <w:rFonts w:hint="eastAsia" w:asciiTheme="minorEastAsia" w:hAnsiTheme="minorEastAsia" w:eastAsiaTheme="minorEastAsia"/>
                <w:color w:val="auto"/>
                <w:szCs w:val="21"/>
                <w:highlight w:val="none"/>
              </w:rPr>
            </w:pPr>
            <w:bookmarkStart w:id="1053" w:name="OLE_LINK23"/>
            <w:r>
              <w:rPr>
                <w:rFonts w:hint="eastAsia" w:asciiTheme="minorEastAsia" w:hAnsiTheme="minorEastAsia" w:eastAsiaTheme="minorEastAsia"/>
                <w:color w:val="auto"/>
                <w:szCs w:val="21"/>
                <w:highlight w:val="none"/>
                <w:lang w:eastAsia="zh-CN"/>
              </w:rPr>
              <w:t>优得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差</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分。</w:t>
            </w:r>
            <w:bookmarkEnd w:id="1053"/>
          </w:p>
        </w:tc>
        <w:tc>
          <w:tcPr>
            <w:tcW w:w="695"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46" w:type="dxa"/>
            <w:vAlign w:val="center"/>
          </w:tcPr>
          <w:p>
            <w:pPr>
              <w:spacing w:line="360" w:lineRule="exact"/>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p>
        </w:tc>
        <w:tc>
          <w:tcPr>
            <w:tcW w:w="2268" w:type="dxa"/>
            <w:vAlign w:val="center"/>
          </w:tcPr>
          <w:p>
            <w:pPr>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质量管理水平及保证措施</w:t>
            </w:r>
          </w:p>
        </w:tc>
        <w:tc>
          <w:tcPr>
            <w:tcW w:w="992"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4</w:t>
            </w:r>
          </w:p>
        </w:tc>
        <w:tc>
          <w:tcPr>
            <w:tcW w:w="9151" w:type="dxa"/>
            <w:vAlign w:val="center"/>
          </w:tcPr>
          <w:p>
            <w:pP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对本项目质量控制有透彻的认识，对施工过程中可能发生的各种质量问题有深刻的认识和合理的预见，并有相应的应对措施，应对措施应科学、充分，</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能有效处理各种突发问题的。</w:t>
            </w:r>
          </w:p>
          <w:p>
            <w:pPr>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优得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差</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分。</w:t>
            </w:r>
          </w:p>
        </w:tc>
        <w:tc>
          <w:tcPr>
            <w:tcW w:w="695"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46"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w:t>
            </w:r>
          </w:p>
        </w:tc>
        <w:tc>
          <w:tcPr>
            <w:tcW w:w="2268" w:type="dxa"/>
            <w:vAlign w:val="center"/>
          </w:tcPr>
          <w:p>
            <w:pPr>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机械设备投入计划及检测设备</w:t>
            </w:r>
          </w:p>
        </w:tc>
        <w:tc>
          <w:tcPr>
            <w:tcW w:w="992"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4</w:t>
            </w:r>
          </w:p>
        </w:tc>
        <w:tc>
          <w:tcPr>
            <w:tcW w:w="9151" w:type="dxa"/>
            <w:vAlign w:val="center"/>
          </w:tcPr>
          <w:p>
            <w:pP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根据本工程的特点编制机械设备投入计划，确保满足施工要求，投入保证措施明确、具体、可行。</w:t>
            </w:r>
          </w:p>
          <w:p>
            <w:pPr>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优得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差</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分。</w:t>
            </w:r>
          </w:p>
        </w:tc>
        <w:tc>
          <w:tcPr>
            <w:tcW w:w="695" w:type="dxa"/>
            <w:vAlign w:val="center"/>
          </w:tcPr>
          <w:p>
            <w:pPr>
              <w:widowControl/>
              <w:spacing w:line="360" w:lineRule="exact"/>
              <w:jc w:val="center"/>
              <w:rPr>
                <w:rFonts w:hint="eastAsia"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46" w:type="dxa"/>
            <w:vAlign w:val="center"/>
          </w:tcPr>
          <w:p>
            <w:pPr>
              <w:spacing w:line="360" w:lineRule="exact"/>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w:t>
            </w:r>
          </w:p>
        </w:tc>
        <w:tc>
          <w:tcPr>
            <w:tcW w:w="2268" w:type="dxa"/>
            <w:vAlign w:val="center"/>
          </w:tcPr>
          <w:p>
            <w:pPr>
              <w:keepNex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安全管理体系及保证措施</w:t>
            </w:r>
          </w:p>
        </w:tc>
        <w:tc>
          <w:tcPr>
            <w:tcW w:w="992"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4</w:t>
            </w:r>
          </w:p>
        </w:tc>
        <w:tc>
          <w:tcPr>
            <w:tcW w:w="9151" w:type="dxa"/>
            <w:vAlign w:val="center"/>
          </w:tcPr>
          <w:p>
            <w:pPr>
              <w:keepNex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根据本工程的特点，从安全生产管理体系、施工人员安全培训、现场安全生产管理等方面提出详细的安全生产保证措施。</w:t>
            </w:r>
          </w:p>
          <w:p>
            <w:pPr>
              <w:keepNext/>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优得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差</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分。</w:t>
            </w:r>
          </w:p>
        </w:tc>
        <w:tc>
          <w:tcPr>
            <w:tcW w:w="695"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46"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w:t>
            </w:r>
          </w:p>
        </w:tc>
        <w:tc>
          <w:tcPr>
            <w:tcW w:w="2268" w:type="dxa"/>
            <w:vAlign w:val="center"/>
          </w:tcPr>
          <w:p>
            <w:pPr>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环境保护管理体系及保证措施</w:t>
            </w:r>
          </w:p>
        </w:tc>
        <w:tc>
          <w:tcPr>
            <w:tcW w:w="992"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4</w:t>
            </w:r>
          </w:p>
        </w:tc>
        <w:tc>
          <w:tcPr>
            <w:tcW w:w="9151" w:type="dxa"/>
            <w:vAlign w:val="center"/>
          </w:tcPr>
          <w:p>
            <w:pP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对本项目的环保及文明施工等工作有独到的见解，能制定科学的措施，施工做到符合环保的要求，对文明施工有相应的措施，能创造良好的施工环境。</w:t>
            </w:r>
          </w:p>
          <w:p>
            <w:pPr>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优得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差</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分。</w:t>
            </w:r>
          </w:p>
        </w:tc>
        <w:tc>
          <w:tcPr>
            <w:tcW w:w="695"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w:t>
            </w:r>
          </w:p>
        </w:tc>
        <w:tc>
          <w:tcPr>
            <w:tcW w:w="2268" w:type="dxa"/>
            <w:vAlign w:val="center"/>
          </w:tcPr>
          <w:p>
            <w:pPr>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深化设计</w:t>
            </w:r>
          </w:p>
        </w:tc>
        <w:tc>
          <w:tcPr>
            <w:tcW w:w="992"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7</w:t>
            </w:r>
          </w:p>
        </w:tc>
        <w:tc>
          <w:tcPr>
            <w:tcW w:w="9151" w:type="dxa"/>
            <w:vAlign w:val="center"/>
          </w:tcPr>
          <w:p>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对主楼（一、五-八层、其它楼层的过道及电梯前厅、西侧卫生间）、副楼（一层、二层），能够根据设计图的设计理念和材料出具实际场景设计效果图，每提供1张符合的设计效果图得0.5分，本项最高得</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tc>
        <w:tc>
          <w:tcPr>
            <w:tcW w:w="695"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w:t>
            </w:r>
          </w:p>
        </w:tc>
        <w:tc>
          <w:tcPr>
            <w:tcW w:w="2268" w:type="dxa"/>
            <w:vAlign w:val="center"/>
          </w:tcPr>
          <w:p>
            <w:pPr>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资源配备计划</w:t>
            </w:r>
          </w:p>
        </w:tc>
        <w:tc>
          <w:tcPr>
            <w:tcW w:w="992"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3</w:t>
            </w:r>
          </w:p>
        </w:tc>
        <w:tc>
          <w:tcPr>
            <w:tcW w:w="9151" w:type="dxa"/>
            <w:vAlign w:val="center"/>
          </w:tcPr>
          <w:p>
            <w:pP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根据投标人劳动力、材料、机械设备等配备计划是否完善合理、科学性进行评审。</w:t>
            </w:r>
          </w:p>
          <w:p>
            <w:pPr>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优得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差</w:t>
            </w:r>
            <w:r>
              <w:rPr>
                <w:rFonts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w:t>
            </w:r>
          </w:p>
        </w:tc>
        <w:tc>
          <w:tcPr>
            <w:tcW w:w="695" w:type="dxa"/>
            <w:vAlign w:val="center"/>
          </w:tcPr>
          <w:p>
            <w:pPr>
              <w:widowControl/>
              <w:spacing w:line="360" w:lineRule="exact"/>
              <w:jc w:val="center"/>
              <w:rPr>
                <w:rFonts w:hint="eastAsia" w:cs="宋体" w:asciiTheme="minorEastAsia" w:hAnsiTheme="minorEastAsia" w:eastAsiaTheme="minorEastAsia"/>
                <w:color w:val="auto"/>
                <w:kern w:val="0"/>
                <w:szCs w:val="21"/>
                <w:highlight w:val="none"/>
              </w:rPr>
            </w:pPr>
          </w:p>
        </w:tc>
      </w:tr>
    </w:tbl>
    <w:p>
      <w:pPr>
        <w:tabs>
          <w:tab w:val="left" w:pos="1155"/>
          <w:tab w:val="left" w:pos="1260"/>
        </w:tabs>
        <w:snapToGrid w:val="0"/>
        <w:rPr>
          <w:rFonts w:hint="eastAsia" w:ascii="宋体" w:hAnsi="宋体"/>
          <w:color w:val="auto"/>
          <w:szCs w:val="21"/>
          <w:highlight w:val="none"/>
        </w:rPr>
      </w:pPr>
    </w:p>
    <w:p>
      <w:pPr>
        <w:tabs>
          <w:tab w:val="left" w:pos="1155"/>
          <w:tab w:val="left" w:pos="1260"/>
        </w:tabs>
        <w:snapToGrid w:val="0"/>
        <w:rPr>
          <w:rFonts w:hint="eastAsia" w:ascii="宋体" w:hAnsi="宋体"/>
          <w:color w:val="auto"/>
          <w:szCs w:val="21"/>
          <w:highlight w:val="none"/>
        </w:rPr>
      </w:pPr>
      <w:r>
        <w:rPr>
          <w:rFonts w:hint="eastAsia" w:ascii="宋体" w:hAnsi="宋体"/>
          <w:color w:val="auto"/>
          <w:szCs w:val="21"/>
          <w:highlight w:val="none"/>
        </w:rPr>
        <w:t>注：</w:t>
      </w:r>
    </w:p>
    <w:p>
      <w:pPr>
        <w:tabs>
          <w:tab w:val="left" w:pos="1155"/>
          <w:tab w:val="left" w:pos="1260"/>
        </w:tabs>
        <w:snapToGrid w:val="0"/>
        <w:rPr>
          <w:rFonts w:hint="eastAsia" w:ascii="宋体" w:hAnsi="宋体"/>
          <w:color w:val="auto"/>
          <w:szCs w:val="21"/>
          <w:highlight w:val="none"/>
        </w:rPr>
      </w:pPr>
      <w:r>
        <w:rPr>
          <w:rFonts w:hint="eastAsia" w:ascii="宋体" w:hAnsi="宋体"/>
          <w:color w:val="auto"/>
          <w:szCs w:val="21"/>
          <w:highlight w:val="none"/>
        </w:rPr>
        <w:t>1、技术评分标准由各评委按“技术标评分表”独立打分，将各评委的评分（总分）去掉一个最高分和一个最低分后计取算术平均分作为该投标人的最终得分（分数出现小数点，保留小数点后2位，从小数点后第3位四舍五入）。</w:t>
      </w:r>
    </w:p>
    <w:p>
      <w:pPr>
        <w:tabs>
          <w:tab w:val="left" w:pos="1155"/>
          <w:tab w:val="left" w:pos="1260"/>
        </w:tabs>
        <w:snapToGrid w:val="0"/>
        <w:spacing w:line="360" w:lineRule="auto"/>
        <w:rPr>
          <w:rFonts w:hint="eastAsia"/>
          <w:b w:val="0"/>
          <w:bCs w:val="0"/>
          <w:color w:val="auto"/>
          <w:szCs w:val="21"/>
          <w:highlight w:val="none"/>
          <w:lang w:eastAsia="zh-CN"/>
        </w:rPr>
      </w:pPr>
      <w:r>
        <w:rPr>
          <w:rFonts w:hint="eastAsia"/>
          <w:b w:val="0"/>
          <w:bCs w:val="0"/>
          <w:color w:val="auto"/>
          <w:szCs w:val="21"/>
          <w:highlight w:val="none"/>
          <w:lang w:val="en-US" w:eastAsia="zh-CN"/>
        </w:rPr>
        <w:t>2、</w:t>
      </w:r>
      <w:r>
        <w:rPr>
          <w:rFonts w:hint="eastAsia"/>
          <w:b w:val="0"/>
          <w:bCs w:val="0"/>
          <w:color w:val="auto"/>
          <w:szCs w:val="21"/>
          <w:highlight w:val="none"/>
        </w:rPr>
        <w:t>“[”和“]”的数值表示包含在所在区间内，“（”和“）”表示不包含所在区间内</w:t>
      </w:r>
      <w:r>
        <w:rPr>
          <w:rFonts w:hint="eastAsia"/>
          <w:b w:val="0"/>
          <w:bCs w:val="0"/>
          <w:color w:val="auto"/>
          <w:szCs w:val="21"/>
          <w:highlight w:val="none"/>
          <w:lang w:eastAsia="zh-CN"/>
        </w:rPr>
        <w:t>。</w:t>
      </w:r>
    </w:p>
    <w:p>
      <w:pPr>
        <w:rPr>
          <w:rFonts w:hint="eastAsia" w:ascii="宋体" w:hAnsi="宋体"/>
          <w:color w:val="auto"/>
          <w:szCs w:val="21"/>
          <w:highlight w:val="none"/>
        </w:rPr>
        <w:sectPr>
          <w:footerReference r:id="rId10" w:type="first"/>
          <w:headerReference r:id="rId8" w:type="default"/>
          <w:footerReference r:id="rId9" w:type="default"/>
          <w:pgSz w:w="16838" w:h="11906" w:orient="landscape"/>
          <w:pgMar w:top="1276" w:right="1418" w:bottom="1418" w:left="1418" w:header="851" w:footer="992" w:gutter="0"/>
          <w:pgNumType w:fmt="numberInDash"/>
          <w:cols w:space="720" w:num="1"/>
          <w:docGrid w:type="lines" w:linePitch="312" w:charSpace="0"/>
        </w:sectPr>
      </w:pPr>
      <w:r>
        <w:rPr>
          <w:rFonts w:hint="eastAsia"/>
          <w:b w:val="0"/>
          <w:bCs w:val="0"/>
          <w:color w:val="auto"/>
          <w:szCs w:val="21"/>
          <w:highlight w:val="none"/>
          <w:lang w:eastAsia="zh-CN"/>
        </w:rPr>
        <w:br w:type="page"/>
      </w:r>
    </w:p>
    <w:p>
      <w:pPr>
        <w:rPr>
          <w:rFonts w:hint="eastAsia" w:ascii="宋体" w:hAnsi="宋体"/>
          <w:color w:val="auto"/>
          <w:szCs w:val="21"/>
          <w:highlight w:val="none"/>
        </w:rPr>
      </w:pPr>
    </w:p>
    <w:p>
      <w:pPr>
        <w:pStyle w:val="4"/>
        <w:jc w:val="center"/>
        <w:rPr>
          <w:color w:val="auto"/>
          <w:highlight w:val="none"/>
        </w:rPr>
      </w:pPr>
      <w:bookmarkStart w:id="1054" w:name="_Toc179632627"/>
      <w:bookmarkStart w:id="1055" w:name="_Toc246996995"/>
      <w:bookmarkStart w:id="1056" w:name="_Toc152045609"/>
      <w:bookmarkStart w:id="1057" w:name="_Toc144974577"/>
      <w:bookmarkStart w:id="1058" w:name="_Toc246996252"/>
      <w:bookmarkStart w:id="1059" w:name="_Toc6269"/>
      <w:bookmarkStart w:id="1060" w:name="_Toc152042387"/>
      <w:bookmarkStart w:id="1061" w:name="_Toc247085767"/>
      <w:r>
        <w:rPr>
          <w:rFonts w:hint="eastAsia"/>
          <w:color w:val="auto"/>
          <w:highlight w:val="none"/>
        </w:rPr>
        <w:t>第四章  合同条款及格式</w:t>
      </w:r>
      <w:bookmarkEnd w:id="1054"/>
      <w:bookmarkEnd w:id="1055"/>
      <w:bookmarkEnd w:id="1056"/>
      <w:bookmarkEnd w:id="1057"/>
      <w:bookmarkEnd w:id="1058"/>
      <w:bookmarkEnd w:id="1059"/>
      <w:bookmarkEnd w:id="1060"/>
      <w:bookmarkEnd w:id="1061"/>
    </w:p>
    <w:p>
      <w:pPr>
        <w:numPr>
          <w:ilvl w:val="0"/>
          <w:numId w:val="0"/>
        </w:numPr>
        <w:jc w:val="center"/>
        <w:rPr>
          <w:rFonts w:hint="eastAsia"/>
          <w:color w:val="auto"/>
          <w:highlight w:val="none"/>
        </w:rPr>
      </w:pPr>
      <w:r>
        <w:rPr>
          <w:rFonts w:hint="eastAsia"/>
          <w:color w:val="auto"/>
          <w:highlight w:val="none"/>
        </w:rPr>
        <w:t>（另册）</w:t>
      </w:r>
    </w:p>
    <w:p>
      <w:pPr>
        <w:numPr>
          <w:ilvl w:val="0"/>
          <w:numId w:val="0"/>
        </w:numPr>
        <w:rPr>
          <w:rFonts w:hint="eastAsia"/>
          <w:color w:val="auto"/>
          <w:highlight w:val="none"/>
        </w:rPr>
      </w:pPr>
      <w:r>
        <w:rPr>
          <w:rFonts w:hint="eastAsia"/>
          <w:color w:val="auto"/>
          <w:highlight w:val="none"/>
        </w:rPr>
        <w:br w:type="page"/>
      </w:r>
    </w:p>
    <w:p>
      <w:pPr>
        <w:pStyle w:val="37"/>
        <w:rPr>
          <w:color w:val="auto"/>
          <w:highlight w:val="none"/>
        </w:rPr>
      </w:pPr>
    </w:p>
    <w:p>
      <w:pPr>
        <w:pStyle w:val="4"/>
        <w:jc w:val="center"/>
        <w:rPr>
          <w:color w:val="auto"/>
          <w:highlight w:val="none"/>
        </w:rPr>
      </w:pPr>
      <w:bookmarkStart w:id="1062" w:name="_Toc246997083"/>
      <w:bookmarkStart w:id="1063" w:name="_Toc179632789"/>
      <w:bookmarkStart w:id="1064" w:name="_Toc152042554"/>
      <w:bookmarkStart w:id="1065" w:name="_Toc1913"/>
      <w:bookmarkStart w:id="1066" w:name="_Toc247085855"/>
      <w:bookmarkStart w:id="1067" w:name="_Toc152045772"/>
      <w:bookmarkStart w:id="1068" w:name="_Toc246996340"/>
      <w:bookmarkStart w:id="1069" w:name="_Toc144974834"/>
      <w:r>
        <w:rPr>
          <w:rFonts w:hint="eastAsia"/>
          <w:color w:val="auto"/>
          <w:highlight w:val="none"/>
        </w:rPr>
        <w:t>第五章  工程量清单</w:t>
      </w:r>
      <w:bookmarkEnd w:id="1062"/>
      <w:bookmarkEnd w:id="1063"/>
      <w:bookmarkEnd w:id="1064"/>
      <w:bookmarkEnd w:id="1065"/>
      <w:bookmarkEnd w:id="1066"/>
      <w:bookmarkEnd w:id="1067"/>
      <w:bookmarkEnd w:id="1068"/>
      <w:bookmarkEnd w:id="1069"/>
    </w:p>
    <w:p>
      <w:pPr>
        <w:spacing w:line="480" w:lineRule="exact"/>
        <w:jc w:val="center"/>
        <w:rPr>
          <w:color w:val="auto"/>
          <w:sz w:val="28"/>
          <w:szCs w:val="28"/>
          <w:highlight w:val="none"/>
        </w:rPr>
      </w:pPr>
      <w:r>
        <w:rPr>
          <w:rFonts w:hint="eastAsia"/>
          <w:color w:val="auto"/>
          <w:sz w:val="28"/>
          <w:szCs w:val="28"/>
          <w:highlight w:val="none"/>
        </w:rPr>
        <w:t>（另册）</w:t>
      </w:r>
    </w:p>
    <w:p>
      <w:pPr>
        <w:spacing w:line="480" w:lineRule="exact"/>
        <w:rPr>
          <w:color w:val="auto"/>
          <w:sz w:val="24"/>
          <w:highlight w:val="none"/>
        </w:rPr>
      </w:pPr>
    </w:p>
    <w:p>
      <w:pPr>
        <w:jc w:val="center"/>
        <w:rPr>
          <w:color w:val="auto"/>
          <w:sz w:val="28"/>
          <w:szCs w:val="28"/>
          <w:highlight w:val="none"/>
        </w:rPr>
      </w:pPr>
    </w:p>
    <w:p>
      <w:pPr>
        <w:pStyle w:val="4"/>
        <w:jc w:val="center"/>
        <w:rPr>
          <w:color w:val="auto"/>
          <w:highlight w:val="none"/>
        </w:rPr>
      </w:pPr>
      <w:bookmarkStart w:id="1070" w:name="_Toc247096438"/>
      <w:bookmarkStart w:id="1071" w:name="_Toc152042571"/>
      <w:bookmarkStart w:id="1072" w:name="_Toc152045782"/>
      <w:bookmarkStart w:id="1073" w:name="_Toc179632800"/>
      <w:bookmarkStart w:id="1074" w:name="_Toc246997093"/>
      <w:bookmarkStart w:id="1075" w:name="_Toc144974851"/>
      <w:bookmarkStart w:id="1076" w:name="_Toc246996350"/>
      <w:bookmarkStart w:id="1077" w:name="_Toc247085866"/>
      <w:r>
        <w:rPr>
          <w:color w:val="auto"/>
          <w:highlight w:val="none"/>
        </w:rPr>
        <w:br w:type="page"/>
      </w:r>
      <w:bookmarkStart w:id="1078" w:name="_Toc11192"/>
      <w:r>
        <w:rPr>
          <w:rFonts w:hint="eastAsia"/>
          <w:color w:val="auto"/>
          <w:highlight w:val="none"/>
        </w:rPr>
        <w:t>第六章  图  纸</w:t>
      </w:r>
      <w:bookmarkEnd w:id="1070"/>
      <w:bookmarkEnd w:id="1071"/>
      <w:bookmarkEnd w:id="1072"/>
      <w:bookmarkEnd w:id="1073"/>
      <w:bookmarkEnd w:id="1074"/>
      <w:bookmarkEnd w:id="1075"/>
      <w:bookmarkEnd w:id="1076"/>
      <w:bookmarkEnd w:id="1077"/>
      <w:bookmarkEnd w:id="1078"/>
    </w:p>
    <w:p>
      <w:pPr>
        <w:jc w:val="center"/>
        <w:rPr>
          <w:color w:val="auto"/>
          <w:sz w:val="28"/>
          <w:szCs w:val="28"/>
          <w:highlight w:val="none"/>
        </w:rPr>
      </w:pPr>
      <w:r>
        <w:rPr>
          <w:rFonts w:hint="eastAsia"/>
          <w:color w:val="auto"/>
          <w:sz w:val="28"/>
          <w:szCs w:val="28"/>
          <w:highlight w:val="none"/>
        </w:rPr>
        <w:t>（另册）</w:t>
      </w:r>
    </w:p>
    <w:p>
      <w:pPr>
        <w:rPr>
          <w:color w:val="auto"/>
          <w:highlight w:val="none"/>
        </w:rPr>
      </w:pPr>
    </w:p>
    <w:p>
      <w:pPr>
        <w:topLinePunct/>
        <w:spacing w:line="440" w:lineRule="exact"/>
        <w:rPr>
          <w:color w:val="auto"/>
          <w:highlight w:val="none"/>
        </w:rPr>
      </w:pPr>
    </w:p>
    <w:p>
      <w:pPr>
        <w:topLinePunct/>
        <w:spacing w:line="440" w:lineRule="exact"/>
        <w:jc w:val="center"/>
        <w:rPr>
          <w:color w:val="auto"/>
          <w:highlight w:val="none"/>
        </w:rPr>
      </w:pPr>
      <w:r>
        <w:rPr>
          <w:color w:val="auto"/>
          <w:highlight w:val="none"/>
        </w:rPr>
        <w:br w:type="page"/>
      </w:r>
      <w:bookmarkStart w:id="1079" w:name="_Toc152045785"/>
      <w:bookmarkStart w:id="1080" w:name="_Toc152042574"/>
      <w:bookmarkStart w:id="1081" w:name="_Toc144974854"/>
    </w:p>
    <w:p>
      <w:pPr>
        <w:pStyle w:val="4"/>
        <w:jc w:val="center"/>
        <w:rPr>
          <w:color w:val="auto"/>
          <w:highlight w:val="none"/>
        </w:rPr>
      </w:pPr>
      <w:bookmarkStart w:id="1082" w:name="_Toc15829"/>
      <w:bookmarkStart w:id="1083" w:name="_Toc246997096"/>
      <w:bookmarkStart w:id="1084" w:name="_Toc246996353"/>
      <w:bookmarkStart w:id="1085" w:name="_Toc247085870"/>
      <w:bookmarkStart w:id="1086" w:name="_Toc179632804"/>
      <w:r>
        <w:rPr>
          <w:rFonts w:hint="eastAsia"/>
          <w:color w:val="auto"/>
          <w:highlight w:val="none"/>
        </w:rPr>
        <w:t>第七章  技术标准和要求</w:t>
      </w:r>
      <w:bookmarkEnd w:id="1082"/>
    </w:p>
    <w:bookmarkEnd w:id="1079"/>
    <w:bookmarkEnd w:id="1080"/>
    <w:bookmarkEnd w:id="1081"/>
    <w:bookmarkEnd w:id="1083"/>
    <w:bookmarkEnd w:id="1084"/>
    <w:bookmarkEnd w:id="1085"/>
    <w:bookmarkEnd w:id="1086"/>
    <w:p>
      <w:pPr>
        <w:snapToGrid w:val="0"/>
        <w:spacing w:line="360" w:lineRule="auto"/>
        <w:rPr>
          <w:rFonts w:hint="eastAsia" w:ascii="宋体" w:hAnsi="宋体" w:eastAsia="宋体" w:cs="宋体"/>
          <w:b/>
          <w:bCs/>
          <w:color w:val="auto"/>
          <w:szCs w:val="20"/>
          <w:highlight w:val="none"/>
        </w:rPr>
      </w:pPr>
      <w:bookmarkStart w:id="1087" w:name="_Toc144974855"/>
      <w:bookmarkStart w:id="1088" w:name="_Toc152045786"/>
      <w:bookmarkStart w:id="1089" w:name="_Toc179632806"/>
      <w:bookmarkStart w:id="1090" w:name="_Toc246996354"/>
      <w:bookmarkStart w:id="1091" w:name="_Toc246997097"/>
      <w:bookmarkStart w:id="1092" w:name="_Toc247085872"/>
      <w:bookmarkStart w:id="1093" w:name="_Toc152042575"/>
      <w:r>
        <w:rPr>
          <w:rFonts w:hint="eastAsia" w:ascii="宋体" w:hAnsi="宋体" w:eastAsia="宋体" w:cs="宋体"/>
          <w:b/>
          <w:bCs/>
          <w:color w:val="auto"/>
          <w:szCs w:val="20"/>
          <w:highlight w:val="none"/>
        </w:rPr>
        <w:t>说明：</w:t>
      </w:r>
    </w:p>
    <w:p>
      <w:pPr>
        <w:numPr>
          <w:ilvl w:val="0"/>
          <w:numId w:val="4"/>
        </w:numPr>
        <w:tabs>
          <w:tab w:val="left" w:pos="426"/>
        </w:tabs>
        <w:snapToGrid w:val="0"/>
        <w:spacing w:line="360" w:lineRule="auto"/>
        <w:ind w:left="426" w:hanging="426"/>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投标人须对本项目为单位的工程及服务进行整体投标，任何只对其中一部分内容进行的投标都被视为无效投标。</w:t>
      </w:r>
    </w:p>
    <w:p>
      <w:pPr>
        <w:numPr>
          <w:ilvl w:val="0"/>
          <w:numId w:val="4"/>
        </w:numPr>
        <w:tabs>
          <w:tab w:val="left" w:pos="426"/>
        </w:tabs>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技术标准和要求条款为实质性条款，投标人如有任何一条负偏离则导致投标无效。</w:t>
      </w:r>
    </w:p>
    <w:tbl>
      <w:tblPr>
        <w:tblStyle w:val="7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3402"/>
        <w:gridCol w:w="26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962" w:type="dxa"/>
            <w:tcBorders>
              <w:top w:val="single" w:color="auto" w:sz="12" w:space="0"/>
              <w:bottom w:val="double" w:color="auto" w:sz="4" w:space="0"/>
            </w:tcBorders>
            <w:shd w:val="clear" w:color="auto" w:fill="EEECE1"/>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项目内容</w:t>
            </w:r>
          </w:p>
        </w:tc>
        <w:tc>
          <w:tcPr>
            <w:tcW w:w="3402" w:type="dxa"/>
            <w:tcBorders>
              <w:top w:val="single" w:color="auto" w:sz="12" w:space="0"/>
              <w:bottom w:val="double" w:color="auto" w:sz="4" w:space="0"/>
            </w:tcBorders>
            <w:shd w:val="clear" w:color="auto" w:fill="EEECE1"/>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工期</w:t>
            </w:r>
          </w:p>
        </w:tc>
        <w:tc>
          <w:tcPr>
            <w:tcW w:w="2676" w:type="dxa"/>
            <w:tcBorders>
              <w:top w:val="single" w:color="auto" w:sz="12" w:space="0"/>
              <w:bottom w:val="double" w:color="auto" w:sz="4" w:space="0"/>
            </w:tcBorders>
            <w:shd w:val="clear" w:color="auto" w:fill="EEECE1"/>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2962" w:type="dxa"/>
            <w:tcBorders>
              <w:top w:val="single" w:color="auto" w:sz="4" w:space="0"/>
            </w:tcBorders>
            <w:vAlign w:val="center"/>
          </w:tcPr>
          <w:p>
            <w:pPr>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天禾（华南）农资储备物流基地项目供销农服中心及副楼装修工程施工专业承包</w:t>
            </w:r>
          </w:p>
        </w:tc>
        <w:tc>
          <w:tcPr>
            <w:tcW w:w="3402" w:type="dxa"/>
            <w:tcBorders>
              <w:top w:val="single" w:color="auto" w:sz="4" w:space="0"/>
            </w:tcBorders>
            <w:vAlign w:val="center"/>
          </w:tcPr>
          <w:p>
            <w:pPr>
              <w:pStyle w:val="609"/>
              <w:spacing w:line="440" w:lineRule="exact"/>
              <w:ind w:firstLine="120"/>
              <w:rPr>
                <w:rFonts w:hint="eastAsia" w:ascii="宋体" w:hAnsi="宋体" w:eastAsia="宋体" w:cs="宋体"/>
                <w:snapToGrid/>
                <w:color w:val="auto"/>
                <w:spacing w:val="0"/>
                <w:kern w:val="2"/>
                <w:sz w:val="21"/>
                <w:szCs w:val="24"/>
                <w:highlight w:val="none"/>
                <w:lang w:val="en-US"/>
              </w:rPr>
            </w:pPr>
            <w:r>
              <w:rPr>
                <w:rFonts w:hint="eastAsia" w:ascii="宋体" w:hAnsi="宋体" w:cs="宋体"/>
                <w:bCs/>
                <w:color w:val="auto"/>
                <w:sz w:val="24"/>
                <w:szCs w:val="24"/>
                <w:highlight w:val="none"/>
                <w:lang w:val="en-US" w:eastAsia="zh-CN"/>
              </w:rPr>
              <w:t>120天</w:t>
            </w:r>
          </w:p>
        </w:tc>
        <w:tc>
          <w:tcPr>
            <w:tcW w:w="2676" w:type="dxa"/>
            <w:tcBorders>
              <w:top w:val="single" w:color="auto" w:sz="4" w:space="0"/>
            </w:tcBorders>
            <w:vAlign w:val="center"/>
          </w:tcPr>
          <w:p>
            <w:pPr>
              <w:pStyle w:val="609"/>
              <w:spacing w:line="240" w:lineRule="auto"/>
              <w:ind w:firstLine="105" w:firstLineChars="50"/>
              <w:rPr>
                <w:rFonts w:hint="eastAsia" w:ascii="宋体" w:hAnsi="宋体" w:eastAsia="宋体" w:cs="宋体"/>
                <w:snapToGrid/>
                <w:color w:val="auto"/>
                <w:spacing w:val="0"/>
                <w:kern w:val="2"/>
                <w:sz w:val="21"/>
                <w:szCs w:val="24"/>
                <w:highlight w:val="none"/>
                <w:lang w:val="en-US" w:eastAsia="zh-CN"/>
              </w:rPr>
            </w:pPr>
            <w:r>
              <w:rPr>
                <w:rFonts w:hint="eastAsia" w:ascii="宋体" w:hAnsi="宋体" w:eastAsia="宋体" w:cs="宋体"/>
                <w:snapToGrid/>
                <w:color w:val="auto"/>
                <w:spacing w:val="0"/>
                <w:kern w:val="2"/>
                <w:sz w:val="21"/>
                <w:szCs w:val="24"/>
                <w:highlight w:val="none"/>
                <w:lang w:val="en-US" w:eastAsia="zh-CN"/>
              </w:rPr>
              <w:t>837.711607万元</w:t>
            </w:r>
          </w:p>
        </w:tc>
      </w:tr>
    </w:tbl>
    <w:p>
      <w:pPr>
        <w:pStyle w:val="5"/>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sz w:val="28"/>
          <w:szCs w:val="28"/>
          <w:highlight w:val="none"/>
        </w:rPr>
      </w:pPr>
      <w:bookmarkStart w:id="1094" w:name="_Toc21408"/>
      <w:bookmarkStart w:id="1095" w:name="_Toc508206576"/>
      <w:r>
        <w:rPr>
          <w:rFonts w:hint="eastAsia" w:ascii="宋体" w:hAnsi="宋体" w:eastAsia="宋体" w:cs="宋体"/>
          <w:color w:val="auto"/>
          <w:sz w:val="28"/>
          <w:szCs w:val="28"/>
          <w:highlight w:val="none"/>
        </w:rPr>
        <w:t>一、项目背景</w:t>
      </w:r>
      <w:bookmarkEnd w:id="1094"/>
      <w:bookmarkEnd w:id="109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目前，农资子项目总承包单位按毛胚交付本办公楼主要区域，需另行委托装修工程单位开展装修施工。根据股份公司驻淇部门/单位(钾肥部、粤联、氮肥部、嘉业物流、湛江分公司、中加公司)及租赁单位(天湛冷链、湛江天润)的使用需求，从节约建设成本及公司整体形象出发，由专业装修设计单位进行了规划及布局，现启动</w:t>
      </w:r>
      <w:r>
        <w:rPr>
          <w:rFonts w:hint="eastAsia" w:ascii="宋体" w:hAnsi="宋体" w:eastAsia="宋体" w:cs="宋体"/>
          <w:color w:val="auto"/>
          <w:szCs w:val="21"/>
          <w:highlight w:val="none"/>
          <w:lang w:eastAsia="zh-CN"/>
        </w:rPr>
        <w:t>天禾（华南）农资储备物流基地项目供销农服中心及副楼装修工程施工专业承包</w:t>
      </w:r>
      <w:r>
        <w:rPr>
          <w:rFonts w:hint="eastAsia" w:ascii="宋体" w:hAnsi="宋体" w:eastAsia="宋体" w:cs="宋体"/>
          <w:color w:val="auto"/>
          <w:szCs w:val="21"/>
          <w:highlight w:val="none"/>
        </w:rPr>
        <w:t>。</w:t>
      </w:r>
    </w:p>
    <w:p>
      <w:pPr>
        <w:pStyle w:val="5"/>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sz w:val="28"/>
          <w:szCs w:val="28"/>
          <w:highlight w:val="none"/>
        </w:rPr>
      </w:pPr>
      <w:bookmarkStart w:id="1096" w:name="_Toc508206578"/>
      <w:bookmarkStart w:id="1097" w:name="_Toc5070"/>
      <w:r>
        <w:rPr>
          <w:rFonts w:hint="eastAsia" w:ascii="宋体" w:hAnsi="宋体" w:eastAsia="宋体" w:cs="宋体"/>
          <w:color w:val="auto"/>
          <w:sz w:val="28"/>
          <w:szCs w:val="28"/>
          <w:highlight w:val="none"/>
        </w:rPr>
        <w:t>三、工程要求</w:t>
      </w:r>
      <w:bookmarkEnd w:id="1096"/>
      <w:bookmarkEnd w:id="1097"/>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sz w:val="24"/>
          <w:szCs w:val="24"/>
          <w:highlight w:val="none"/>
        </w:rPr>
      </w:pPr>
      <w:bookmarkStart w:id="1098" w:name="_Toc508206579"/>
      <w:bookmarkStart w:id="1099" w:name="_Toc23754"/>
      <w:r>
        <w:rPr>
          <w:rFonts w:hint="eastAsia"/>
          <w:color w:val="auto"/>
          <w:sz w:val="24"/>
          <w:szCs w:val="24"/>
          <w:highlight w:val="none"/>
        </w:rPr>
        <w:t>（一）工期要求</w:t>
      </w:r>
      <w:bookmarkEnd w:id="1098"/>
      <w:bookmarkEnd w:id="109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1.开工时间</w:t>
      </w:r>
      <w:r>
        <w:rPr>
          <w:rFonts w:hint="eastAsia" w:ascii="宋体" w:hAnsi="宋体" w:eastAsia="宋体" w:cs="宋体"/>
          <w:color w:val="auto"/>
          <w:szCs w:val="21"/>
          <w:highlight w:val="none"/>
          <w:lang w:val="en-US" w:eastAsia="zh-CN"/>
        </w:rPr>
        <w:t>开工令时间</w:t>
      </w:r>
      <w:r>
        <w:rPr>
          <w:rFonts w:hint="eastAsia" w:ascii="宋体" w:hAnsi="宋体" w:eastAsia="宋体" w:cs="宋体"/>
          <w:color w:val="auto"/>
          <w:szCs w:val="21"/>
          <w:highlight w:val="none"/>
        </w:rPr>
        <w:t>为准，工期</w:t>
      </w:r>
      <w:r>
        <w:rPr>
          <w:rFonts w:hint="eastAsia" w:ascii="宋体" w:hAnsi="宋体" w:cs="宋体"/>
          <w:color w:val="auto"/>
          <w:szCs w:val="21"/>
          <w:highlight w:val="none"/>
          <w:lang w:val="en-US" w:eastAsia="zh-CN"/>
        </w:rPr>
        <w:t>120</w:t>
      </w:r>
      <w:r>
        <w:rPr>
          <w:rFonts w:hint="eastAsia" w:ascii="宋体" w:hAnsi="宋体" w:eastAsia="宋体" w:cs="宋体"/>
          <w:color w:val="auto"/>
          <w:szCs w:val="21"/>
          <w:highlight w:val="none"/>
        </w:rPr>
        <w:t>日历天。中标人在收到</w:t>
      </w:r>
      <w:r>
        <w:rPr>
          <w:rFonts w:hint="eastAsia" w:ascii="宋体" w:hAnsi="宋体" w:eastAsia="宋体" w:cs="宋体"/>
          <w:color w:val="auto"/>
          <w:szCs w:val="21"/>
          <w:highlight w:val="none"/>
          <w:lang w:val="en-US" w:eastAsia="zh-CN"/>
        </w:rPr>
        <w:t>开工令后</w:t>
      </w:r>
      <w:r>
        <w:rPr>
          <w:rFonts w:hint="eastAsia" w:ascii="宋体" w:hAnsi="宋体" w:eastAsia="宋体" w:cs="宋体"/>
          <w:color w:val="auto"/>
          <w:szCs w:val="21"/>
          <w:highlight w:val="none"/>
        </w:rPr>
        <w:t>必须组织人力、机械等进入施工场地，做好施工准备工作，若延期超过</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天仍未开工的，招标人有权解除合同。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必须采取一切有效措施保证如期竣工。如不能按批准的计划完成任务，招标人有权划分未完工程量给第三方承包，费用由招标人在投标人合同价款中扣除并直接支付给第三方，投标人必须无条件服从。</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3.节点工期：</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在进场前3个日历天内必须提交本项目的施工总进度计划报招标人、监理单位审核，经招标人或监理单位审核通过的总进度计划所包含的各子项工作内容的完成时间均视为节点工期，如因投标人原因导致节点工期出现滞后情况的，招标人将按合同约定对</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进行处罚。</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sz w:val="24"/>
          <w:szCs w:val="24"/>
          <w:highlight w:val="none"/>
        </w:rPr>
      </w:pPr>
      <w:bookmarkStart w:id="1100" w:name="_Toc31409"/>
      <w:bookmarkStart w:id="1101" w:name="_Toc508206580"/>
      <w:r>
        <w:rPr>
          <w:rFonts w:hint="eastAsia"/>
          <w:color w:val="auto"/>
          <w:sz w:val="24"/>
          <w:szCs w:val="24"/>
          <w:highlight w:val="none"/>
        </w:rPr>
        <w:t>（二）项目管理团队要求</w:t>
      </w:r>
      <w:bookmarkEnd w:id="1100"/>
      <w:bookmarkEnd w:id="1101"/>
    </w:p>
    <w:p>
      <w:pPr>
        <w:tabs>
          <w:tab w:val="left" w:pos="540"/>
          <w:tab w:val="left" w:pos="704"/>
        </w:tabs>
        <w:spacing w:line="360" w:lineRule="auto"/>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负责本工程的项目经理、技术人员及施工人员须具备相应的资格证书（如项目经理执业证书、安全员证、施工人员特种作业操作证等），</w:t>
      </w:r>
      <w:r>
        <w:rPr>
          <w:rFonts w:hint="eastAsia" w:ascii="宋体" w:hAnsi="宋体" w:eastAsia="宋体" w:cs="宋体"/>
          <w:b/>
          <w:bCs/>
          <w:color w:val="auto"/>
          <w:sz w:val="21"/>
          <w:szCs w:val="21"/>
          <w:highlight w:val="none"/>
        </w:rPr>
        <w:t>须提供《项目经理、技术人员及施工人员具备相应的资格证书承诺函》（格式自拟）</w:t>
      </w:r>
      <w:r>
        <w:rPr>
          <w:rFonts w:hint="eastAsia" w:ascii="宋体" w:hAnsi="宋体" w:eastAsia="宋体" w:cs="宋体"/>
          <w:color w:val="auto"/>
          <w:sz w:val="21"/>
          <w:szCs w:val="21"/>
          <w:highlight w:val="none"/>
        </w:rPr>
        <w:t>。</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投标人必须作出承诺，投标承诺人员与必须与驻场人员一致，未经招标人同意不得擅自更换投标承诺人员，更换需征得招标人同意，并同意招标合同的相应罚款。</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sz w:val="24"/>
          <w:szCs w:val="24"/>
          <w:highlight w:val="none"/>
        </w:rPr>
      </w:pPr>
      <w:bookmarkStart w:id="1102" w:name="_Toc508206581"/>
      <w:bookmarkStart w:id="1103" w:name="_Toc13847"/>
      <w:r>
        <w:rPr>
          <w:rFonts w:hint="eastAsia"/>
          <w:color w:val="auto"/>
          <w:sz w:val="24"/>
          <w:szCs w:val="24"/>
          <w:highlight w:val="none"/>
        </w:rPr>
        <w:t>（三）工程质量要求</w:t>
      </w:r>
      <w:bookmarkEnd w:id="1102"/>
      <w:bookmarkEnd w:id="1103"/>
    </w:p>
    <w:p>
      <w:pPr>
        <w:tabs>
          <w:tab w:val="left" w:pos="347"/>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工程质量应符合以下要求：</w:t>
      </w:r>
    </w:p>
    <w:p>
      <w:pPr>
        <w:tabs>
          <w:tab w:val="left" w:pos="347"/>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★（1）质量目标：达到国家或行业质量检验评定的合格标准。</w:t>
      </w:r>
    </w:p>
    <w:p>
      <w:pPr>
        <w:tabs>
          <w:tab w:val="left" w:pos="347"/>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★（2）安全目标：确保不发生一般及以上安全事故。</w:t>
      </w:r>
    </w:p>
    <w:p>
      <w:pPr>
        <w:tabs>
          <w:tab w:val="left" w:pos="347"/>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3.国家有关建筑装饰工程设计规范、规程：</w:t>
      </w:r>
    </w:p>
    <w:p>
      <w:pPr>
        <w:tabs>
          <w:tab w:val="left" w:pos="423"/>
          <w:tab w:val="left" w:pos="720"/>
        </w:tabs>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施工工艺必须满足中华人民共和国《工程建设标准强制性条文》（房屋建筑部分）及现行相关规范、规则、规程、条例、规定和下述标准、规范（不限于）（如果国家或有关部门颁布了新的技术标准或规范，则采用新颁布的技术标准或规范）：</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《建设工程安全生产管理条例》（中华人民共和国国务院令第393号）</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《生产安全事故报告和调查处理条例》（中华人民共和国国务院令第493号）</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《建设工程质量管理条例》（中华人民共和国国务院令第279号）</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《城市建筑垃圾管理规定》（中华人民共和国建设部令第139号）</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《建设工程施工现场管理规定》（中华人民共和国建设部令第15号）</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《建设工程文件归档整理规范》GB/T50328-2014</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《建筑装饰装修工程质量验收规范》GB50210-2018</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《建筑内部装修防火施工及验收规范》GB50354-2005</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《建筑地面工程施工质量验收规范》GB50209-2010</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《金属与石材幕墙工程技术规范》JGJ133-2001</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《玻璃幕墙工程质量检验标准》JGJ/T139-2001</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《室内装饰装修施工规范》</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《建筑工程施工质量验收统一标准》GB50300-2013</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《砌体工程施工质量验收规范》GB50203-2021</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《木结构工程施工质量验收规范》GB50206-2012</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《施工现场临时用电安全技术规范》</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《建筑工程施工工艺标准汇编》</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《民用建筑电气设计规范》JGJ／T16—92执行</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《民用建筑工程室内环境污染控制规范》GB50325-2020</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《普通混凝土用砂质量标准及检验方法》JGJ 52-92</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《普通混凝土用碎石和卵石质量标准及检验方法》JGJ 53-92</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《建筑给排水及采暖工程施工质量验收规范》GB50242-2002</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《通风与空调工程工程施工质量验收规范》GB50243-2002</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《建筑电气工程施工质量验收规范》GB50303-2015</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双方应约定时间办理隐蔽工程和中间工程的检查与验收手续。招标人不按约定时间参加隐蔽工程和中间工程验收，投标人可自行验收，招标人应予承认。若招标人要求复验时，投标人应按要求办理复验。若复验合格，招标人应承担复验费用，由此造成停工，工期顺延；若复验不合格，其复验及返工费用由投标人承担，但工期不予顺延。由招标人提供的材料、设备质量不合格而影响工程质量，其返工费用由招标人承担，工期顺延。</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5.由于投标人提供的材料、设备质量不合格而影响工程质量，其重购合格材料及返工费用等由投标人承担，工期不顺延，由此引起的一切损失由投标人承担。</w:t>
      </w:r>
    </w:p>
    <w:p>
      <w:pPr>
        <w:tabs>
          <w:tab w:val="left" w:pos="423"/>
          <w:tab w:val="left" w:pos="72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6.由于投标人原因造成质量事故，其返工费用由投标人承担，工期不顺延。</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sz w:val="24"/>
          <w:szCs w:val="24"/>
          <w:highlight w:val="none"/>
        </w:rPr>
      </w:pPr>
      <w:bookmarkStart w:id="1104" w:name="_Toc1411"/>
      <w:bookmarkStart w:id="1105" w:name="_Toc508206582"/>
      <w:r>
        <w:rPr>
          <w:rFonts w:hint="eastAsia"/>
          <w:color w:val="auto"/>
          <w:sz w:val="24"/>
          <w:szCs w:val="24"/>
          <w:highlight w:val="none"/>
        </w:rPr>
        <w:t>（四）缺陷责任与保修要求</w:t>
      </w:r>
      <w:bookmarkEnd w:id="1104"/>
      <w:bookmarkEnd w:id="110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本工程保修期限应满足相关建筑法律法规、设计图纸的要求：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工程保修期从工程竣工验收合格之日起算，工程保修期限为24个月。保修期间，</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承担保修义务</w:t>
      </w:r>
      <w:r>
        <w:rPr>
          <w:rFonts w:hint="eastAsia" w:ascii="宋体" w:hAnsi="宋体" w:eastAsia="宋体" w:cs="宋体"/>
          <w:color w:val="auto"/>
          <w:sz w:val="21"/>
          <w:szCs w:val="21"/>
          <w:highlight w:val="none"/>
        </w:rPr>
        <w:t>外，还应向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赔偿工程质量保修期间因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项目质量问题给</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造成的经济损失。</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负责保修的范围为：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所负责的工程范围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保修期间，</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应当在</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发出书面保修通知后24小时内免费派人维修。如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无法在规定时间内进行维修或维修后有关系统或部件仍不能恢复正常，</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有权另行委托他人维修，费用从履约保证金中扣除；不足部分，由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另行委托，不免除</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的任何保修义务。内到场维修；逾期未到场处理，发包人有权另行委托处理，产生的一切费用由承包人承担。</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sz w:val="24"/>
          <w:szCs w:val="24"/>
          <w:highlight w:val="none"/>
        </w:rPr>
      </w:pPr>
      <w:bookmarkStart w:id="1106" w:name="_Toc3990"/>
      <w:r>
        <w:rPr>
          <w:rFonts w:hint="eastAsia"/>
          <w:color w:val="auto"/>
          <w:sz w:val="24"/>
          <w:szCs w:val="24"/>
          <w:highlight w:val="none"/>
          <w:lang w:eastAsia="zh-CN"/>
        </w:rPr>
        <w:t>（</w:t>
      </w:r>
      <w:r>
        <w:rPr>
          <w:rFonts w:hint="eastAsia"/>
          <w:color w:val="auto"/>
          <w:sz w:val="24"/>
          <w:szCs w:val="24"/>
          <w:highlight w:val="none"/>
          <w:lang w:val="en-US" w:eastAsia="zh-CN"/>
        </w:rPr>
        <w:t>五</w:t>
      </w:r>
      <w:r>
        <w:rPr>
          <w:rFonts w:hint="eastAsia"/>
          <w:color w:val="auto"/>
          <w:sz w:val="24"/>
          <w:szCs w:val="24"/>
          <w:highlight w:val="none"/>
          <w:lang w:eastAsia="zh-CN"/>
        </w:rPr>
        <w:t>）</w:t>
      </w:r>
      <w:r>
        <w:rPr>
          <w:rFonts w:hint="eastAsia"/>
          <w:color w:val="auto"/>
          <w:sz w:val="24"/>
          <w:szCs w:val="24"/>
          <w:highlight w:val="none"/>
        </w:rPr>
        <w:t>安全文明施工</w:t>
      </w:r>
      <w:bookmarkEnd w:id="1106"/>
    </w:p>
    <w:p>
      <w:pPr>
        <w:adjustRightInd w:val="0"/>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必须严格依照国家及行业颁发的有关施工规范、规程要求组织施工；</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对工程进度、质量进行监督。</w:t>
      </w:r>
    </w:p>
    <w:p>
      <w:pPr>
        <w:adjustRightInd w:val="0"/>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应遵守所有与工程施工相关的职业健康、安全和环境法规。</w:t>
      </w:r>
    </w:p>
    <w:p>
      <w:pPr>
        <w:adjustRightInd w:val="0"/>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发现或得知一项危险的或存在潜在危险的行为，或发现违反有关健康、安全和环境要求的行为，除了本合同规定的所有其它权利外，</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可以立即中止与此危险作法或违规有关的工程施工，直到工作区域变得安全，危险作法不再使用或违规被纠正后，才恢复相关工作。所有由停工引起的费用、工程延误或中断必须由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w:t>
      </w:r>
    </w:p>
    <w:p>
      <w:pPr>
        <w:adjustRightInd w:val="0"/>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4.如在工程施工过程中，发生了任何与工程有关的紧急情况，必须采取某项保护或补救措施以防对工程造成损害，那么</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必须立即采取该措施。</w:t>
      </w:r>
    </w:p>
    <w:p>
      <w:pPr>
        <w:adjustRightInd w:val="0"/>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应采取必要措施确保施工安全，并负责项目与项目工作人员的保险。若在施工中发生安全事故，由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负责承担由此造成的财产损失或人身伤亡损失的赔偿责任。</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sz w:val="24"/>
          <w:szCs w:val="24"/>
          <w:highlight w:val="none"/>
          <w:lang w:eastAsia="zh-CN"/>
        </w:rPr>
      </w:pPr>
      <w:bookmarkStart w:id="1107" w:name="_Toc20679"/>
      <w:r>
        <w:rPr>
          <w:rFonts w:hint="eastAsia"/>
          <w:color w:val="auto"/>
          <w:sz w:val="24"/>
          <w:szCs w:val="24"/>
          <w:highlight w:val="none"/>
          <w:lang w:eastAsia="zh-CN"/>
        </w:rPr>
        <w:t>（</w:t>
      </w:r>
      <w:r>
        <w:rPr>
          <w:rFonts w:hint="eastAsia"/>
          <w:color w:val="auto"/>
          <w:sz w:val="24"/>
          <w:szCs w:val="24"/>
          <w:highlight w:val="none"/>
          <w:lang w:val="en-US" w:eastAsia="zh-CN"/>
        </w:rPr>
        <w:t>六</w:t>
      </w:r>
      <w:r>
        <w:rPr>
          <w:rFonts w:hint="eastAsia"/>
          <w:color w:val="auto"/>
          <w:sz w:val="24"/>
          <w:szCs w:val="24"/>
          <w:highlight w:val="none"/>
          <w:lang w:eastAsia="zh-CN"/>
        </w:rPr>
        <w:t>）工程验收及试运行</w:t>
      </w:r>
      <w:bookmarkEnd w:id="1107"/>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1.工程验收以国家、地方及</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颁发的有关施工验收规范、质量检查标准和本工程造价清单、合同约定为依据。所涉及维护工程验收须有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确认。</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2.隐蔽工程验收及覆盖：</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自检合格后，提前48小时通知</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委托的监理单位验收。经验收合格并由监理代表签字认可后方能进行隐蔽和继续施工。</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必须在工程试运行半个月内完成所有遗留问题的处理工作。试运行期结束后，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组织终验时，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应派员配合并按工程竣工验收规范和要求，完成</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应负职责。</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.本工程的验收组织形式依照</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验收管理制度执行。</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sz w:val="24"/>
          <w:szCs w:val="24"/>
          <w:highlight w:val="none"/>
          <w:lang w:eastAsia="zh-CN"/>
        </w:rPr>
      </w:pPr>
      <w:bookmarkStart w:id="1108" w:name="_Toc21927"/>
      <w:r>
        <w:rPr>
          <w:rFonts w:hint="eastAsia"/>
          <w:color w:val="auto"/>
          <w:sz w:val="24"/>
          <w:szCs w:val="24"/>
          <w:highlight w:val="none"/>
          <w:lang w:eastAsia="zh-CN"/>
        </w:rPr>
        <w:t>（</w:t>
      </w:r>
      <w:r>
        <w:rPr>
          <w:rFonts w:hint="eastAsia"/>
          <w:color w:val="auto"/>
          <w:sz w:val="24"/>
          <w:szCs w:val="24"/>
          <w:highlight w:val="none"/>
          <w:lang w:val="en-US" w:eastAsia="zh-CN"/>
        </w:rPr>
        <w:t>七</w:t>
      </w:r>
      <w:r>
        <w:rPr>
          <w:rFonts w:hint="eastAsia"/>
          <w:color w:val="auto"/>
          <w:sz w:val="24"/>
          <w:szCs w:val="24"/>
          <w:highlight w:val="none"/>
          <w:lang w:eastAsia="zh-CN"/>
        </w:rPr>
        <w:t>）材料要求</w:t>
      </w:r>
      <w:bookmarkEnd w:id="1108"/>
    </w:p>
    <w:p>
      <w:pPr>
        <w:pStyle w:val="369"/>
        <w:autoSpaceDE w:val="0"/>
        <w:autoSpaceDN w:val="0"/>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★所有材料应满足国家强制性标准的相关规定的指标以及设计要求</w:t>
      </w:r>
      <w:r>
        <w:rPr>
          <w:rFonts w:hint="eastAsia" w:ascii="宋体" w:hAnsi="宋体" w:eastAsia="宋体" w:cs="宋体"/>
          <w:color w:val="auto"/>
          <w:sz w:val="21"/>
          <w:szCs w:val="21"/>
          <w:highlight w:val="none"/>
        </w:rPr>
        <w:t>，有防火、环保、节能等要求的应提供检测资料</w:t>
      </w:r>
      <w:r>
        <w:rPr>
          <w:rFonts w:hint="eastAsia" w:ascii="宋体" w:hAnsi="宋体" w:eastAsia="宋体" w:cs="宋体"/>
          <w:b/>
          <w:color w:val="auto"/>
          <w:sz w:val="21"/>
          <w:szCs w:val="21"/>
          <w:highlight w:val="none"/>
        </w:rPr>
        <w:t>。</w:t>
      </w:r>
    </w:p>
    <w:p>
      <w:pPr>
        <w:pStyle w:val="37"/>
        <w:rPr>
          <w:rFonts w:hint="eastAsia" w:ascii="宋体" w:hAnsi="宋体" w:eastAsia="宋体" w:cs="宋体"/>
          <w:color w:val="auto"/>
          <w:sz w:val="21"/>
          <w:szCs w:val="21"/>
          <w:highlight w:val="none"/>
        </w:rPr>
      </w:pPr>
    </w:p>
    <w:p>
      <w:pPr>
        <w:pStyle w:val="5"/>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sz w:val="28"/>
          <w:szCs w:val="28"/>
          <w:highlight w:val="none"/>
        </w:rPr>
      </w:pPr>
      <w:bookmarkStart w:id="1109" w:name="_Toc31135"/>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、工程价款及结算方式</w:t>
      </w:r>
      <w:bookmarkEnd w:id="1109"/>
    </w:p>
    <w:p>
      <w:pPr>
        <w:pStyle w:val="27"/>
        <w:keepNext w:val="0"/>
        <w:keepLines w:val="0"/>
        <w:pageBreakBefore w:val="0"/>
        <w:widowControl w:val="0"/>
        <w:kinsoku/>
        <w:wordWrap w:val="0"/>
        <w:overflowPunct/>
        <w:topLinePunct w:val="0"/>
        <w:bidi w:val="0"/>
        <w:adjustRightInd w:val="0"/>
        <w:snapToGrid w:val="0"/>
        <w:spacing w:line="500" w:lineRule="exact"/>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①按中标人进场后7个工作日内，支付合同总价款的30%作预付款。</w:t>
      </w:r>
    </w:p>
    <w:p>
      <w:pPr>
        <w:pStyle w:val="27"/>
        <w:keepNext w:val="0"/>
        <w:keepLines w:val="0"/>
        <w:pageBreakBefore w:val="0"/>
        <w:widowControl w:val="0"/>
        <w:kinsoku/>
        <w:wordWrap w:val="0"/>
        <w:overflowPunct/>
        <w:topLinePunct w:val="0"/>
        <w:bidi w:val="0"/>
        <w:adjustRightInd w:val="0"/>
        <w:snapToGrid w:val="0"/>
        <w:spacing w:line="500" w:lineRule="exact"/>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②工程按</w:t>
      </w:r>
      <w:r>
        <w:rPr>
          <w:rFonts w:hint="eastAsia" w:ascii="宋体" w:hAnsi="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lang w:val="en-US" w:eastAsia="zh-CN" w:bidi="ar-SA"/>
        </w:rPr>
        <w:t>进度付款，提交进度款申请通过后，支付</w:t>
      </w:r>
      <w:r>
        <w:rPr>
          <w:rFonts w:hint="eastAsia" w:ascii="宋体" w:hAnsi="宋体" w:cs="宋体"/>
          <w:color w:val="auto"/>
          <w:kern w:val="2"/>
          <w:sz w:val="21"/>
          <w:szCs w:val="21"/>
          <w:highlight w:val="none"/>
          <w:lang w:val="en-US" w:eastAsia="zh-CN" w:bidi="ar-SA"/>
        </w:rPr>
        <w:t>完成工程量的50%</w:t>
      </w:r>
      <w:r>
        <w:rPr>
          <w:rFonts w:hint="eastAsia" w:ascii="宋体" w:hAnsi="宋体" w:eastAsia="宋体" w:cs="宋体"/>
          <w:color w:val="auto"/>
          <w:kern w:val="2"/>
          <w:sz w:val="21"/>
          <w:szCs w:val="21"/>
          <w:highlight w:val="none"/>
          <w:lang w:val="en-US" w:eastAsia="zh-CN" w:bidi="ar-SA"/>
        </w:rPr>
        <w:t>。</w:t>
      </w:r>
    </w:p>
    <w:p>
      <w:pPr>
        <w:pStyle w:val="27"/>
        <w:keepNext w:val="0"/>
        <w:keepLines w:val="0"/>
        <w:pageBreakBefore w:val="0"/>
        <w:widowControl w:val="0"/>
        <w:kinsoku/>
        <w:wordWrap w:val="0"/>
        <w:overflowPunct/>
        <w:topLinePunct w:val="0"/>
        <w:bidi w:val="0"/>
        <w:adjustRightInd w:val="0"/>
        <w:snapToGrid w:val="0"/>
        <w:spacing w:line="500" w:lineRule="exact"/>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③在工程量完成100%并完成验收手续，提交进度款申请通过后，支付至合同价款的</w:t>
      </w:r>
      <w:r>
        <w:rPr>
          <w:rFonts w:hint="eastAsia" w:ascii="宋体" w:hAnsi="宋体" w:cs="宋体"/>
          <w:color w:val="auto"/>
          <w:kern w:val="2"/>
          <w:sz w:val="21"/>
          <w:szCs w:val="21"/>
          <w:highlight w:val="none"/>
          <w:lang w:val="en-US" w:eastAsia="zh-CN" w:bidi="ar-SA"/>
        </w:rPr>
        <w:t>90</w:t>
      </w:r>
      <w:r>
        <w:rPr>
          <w:rFonts w:hint="eastAsia" w:ascii="宋体" w:hAnsi="宋体" w:eastAsia="宋体" w:cs="宋体"/>
          <w:color w:val="auto"/>
          <w:kern w:val="2"/>
          <w:sz w:val="21"/>
          <w:szCs w:val="21"/>
          <w:highlight w:val="none"/>
          <w:lang w:val="en-US" w:eastAsia="zh-CN" w:bidi="ar-SA"/>
        </w:rPr>
        <w:t>%（不含暂列金）。</w:t>
      </w:r>
    </w:p>
    <w:p>
      <w:pPr>
        <w:pStyle w:val="27"/>
        <w:keepNext w:val="0"/>
        <w:keepLines w:val="0"/>
        <w:pageBreakBefore w:val="0"/>
        <w:widowControl w:val="0"/>
        <w:kinsoku/>
        <w:wordWrap w:val="0"/>
        <w:overflowPunct/>
        <w:topLinePunct w:val="0"/>
        <w:bidi w:val="0"/>
        <w:adjustRightInd w:val="0"/>
        <w:snapToGrid w:val="0"/>
        <w:spacing w:line="500" w:lineRule="exact"/>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④通过</w:t>
      </w:r>
      <w:r>
        <w:rPr>
          <w:rFonts w:hint="eastAsia" w:ascii="宋体" w:hAnsi="宋体" w:cs="宋体"/>
          <w:color w:val="auto"/>
          <w:kern w:val="2"/>
          <w:sz w:val="21"/>
          <w:szCs w:val="21"/>
          <w:highlight w:val="none"/>
          <w:lang w:val="en-US" w:eastAsia="zh-CN" w:bidi="ar-SA"/>
        </w:rPr>
        <w:t>结算</w:t>
      </w:r>
      <w:r>
        <w:rPr>
          <w:rFonts w:hint="eastAsia" w:ascii="宋体" w:hAnsi="宋体" w:eastAsia="宋体" w:cs="宋体"/>
          <w:color w:val="auto"/>
          <w:kern w:val="2"/>
          <w:sz w:val="21"/>
          <w:szCs w:val="21"/>
          <w:highlight w:val="none"/>
          <w:lang w:val="en-US" w:eastAsia="zh-CN" w:bidi="ar-SA"/>
        </w:rPr>
        <w:t>后，支付至</w:t>
      </w:r>
      <w:r>
        <w:rPr>
          <w:rFonts w:hint="eastAsia" w:ascii="宋体" w:hAnsi="宋体" w:cs="宋体"/>
          <w:color w:val="auto"/>
          <w:kern w:val="2"/>
          <w:sz w:val="21"/>
          <w:szCs w:val="21"/>
          <w:highlight w:val="none"/>
          <w:lang w:val="en-US" w:eastAsia="zh-CN" w:bidi="ar-SA"/>
        </w:rPr>
        <w:t>结算</w:t>
      </w:r>
      <w:r>
        <w:rPr>
          <w:rFonts w:hint="eastAsia" w:ascii="宋体" w:hAnsi="宋体" w:eastAsia="宋体" w:cs="宋体"/>
          <w:color w:val="auto"/>
          <w:kern w:val="2"/>
          <w:sz w:val="21"/>
          <w:szCs w:val="21"/>
          <w:highlight w:val="none"/>
          <w:lang w:val="en-US" w:eastAsia="zh-CN" w:bidi="ar-SA"/>
        </w:rPr>
        <w:t>款的95%。</w:t>
      </w:r>
    </w:p>
    <w:p>
      <w:pPr>
        <w:pStyle w:val="27"/>
        <w:keepNext w:val="0"/>
        <w:keepLines w:val="0"/>
        <w:pageBreakBefore w:val="0"/>
        <w:widowControl w:val="0"/>
        <w:kinsoku/>
        <w:wordWrap w:val="0"/>
        <w:overflowPunct/>
        <w:topLinePunct w:val="0"/>
        <w:bidi w:val="0"/>
        <w:adjustRightInd w:val="0"/>
        <w:snapToGrid w:val="0"/>
        <w:spacing w:line="500" w:lineRule="exact"/>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 5 \* GB3 \* MERGEFORMAT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⑤</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通过双方认可的结算审核完成，提交进度款申请通过后，14个工作日内支付至结算价款的97%。</w:t>
      </w:r>
    </w:p>
    <w:p>
      <w:pPr>
        <w:pStyle w:val="27"/>
        <w:keepNext w:val="0"/>
        <w:keepLines w:val="0"/>
        <w:pageBreakBefore w:val="0"/>
        <w:widowControl w:val="0"/>
        <w:kinsoku/>
        <w:wordWrap w:val="0"/>
        <w:overflowPunct/>
        <w:topLinePunct w:val="0"/>
        <w:bidi w:val="0"/>
        <w:adjustRightInd w:val="0"/>
        <w:snapToGrid w:val="0"/>
        <w:spacing w:line="500" w:lineRule="exact"/>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 6 \* GB3 \* MERGEFORMAT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⑥</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竣工验收满一年后，经检查本项目无质量问题，提交质量保证金款项申请通过后，14个工作日内支付至结算价款的100%。</w:t>
      </w:r>
    </w:p>
    <w:p>
      <w:pPr>
        <w:pStyle w:val="5"/>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sz w:val="28"/>
          <w:szCs w:val="28"/>
          <w:highlight w:val="none"/>
          <w:lang w:val="en-US" w:eastAsia="zh-CN"/>
        </w:rPr>
      </w:pPr>
      <w:bookmarkStart w:id="1110" w:name="_Toc4635"/>
      <w:r>
        <w:rPr>
          <w:rFonts w:hint="eastAsia" w:ascii="宋体" w:hAnsi="宋体" w:eastAsia="宋体" w:cs="宋体"/>
          <w:color w:val="auto"/>
          <w:sz w:val="28"/>
          <w:szCs w:val="28"/>
          <w:highlight w:val="none"/>
          <w:lang w:val="en-US" w:eastAsia="zh-CN"/>
        </w:rPr>
        <w:t>五、其他规定</w:t>
      </w:r>
      <w:bookmarkEnd w:id="1110"/>
    </w:p>
    <w:p>
      <w:pPr>
        <w:pStyle w:val="27"/>
        <w:keepNext w:val="0"/>
        <w:keepLines w:val="0"/>
        <w:pageBreakBefore w:val="0"/>
        <w:widowControl w:val="0"/>
        <w:kinsoku/>
        <w:wordWrap w:val="0"/>
        <w:overflowPunct/>
        <w:topLinePunct w:val="0"/>
        <w:bidi w:val="0"/>
        <w:adjustRightInd w:val="0"/>
        <w:snapToGrid w:val="0"/>
        <w:spacing w:line="500" w:lineRule="exact"/>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人在项目实施过程中，各分项工程在施工前，均应编制相应的施工技术措施，内容包括施工准备、操作工艺、质量标准、成品保护等。所有施工项目均应按照国家、省市、地方有关法律法规及规范要求制定施工技术方案后方可施工。</w:t>
      </w:r>
    </w:p>
    <w:p>
      <w:pPr>
        <w:pStyle w:val="27"/>
        <w:keepNext w:val="0"/>
        <w:keepLines w:val="0"/>
        <w:pageBreakBefore w:val="0"/>
        <w:widowControl w:val="0"/>
        <w:kinsoku/>
        <w:wordWrap w:val="0"/>
        <w:overflowPunct/>
        <w:topLinePunct w:val="0"/>
        <w:bidi w:val="0"/>
        <w:adjustRightInd w:val="0"/>
        <w:snapToGrid w:val="0"/>
        <w:spacing w:line="500" w:lineRule="exact"/>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2.中标人在项目实施过程中，应遵守国家、省市、地方有关法律法规及规范要求，遵循招标人以及招标人委托的监理单位提出的《施工现场管理规定》以及其他相关规定。</w:t>
      </w:r>
    </w:p>
    <w:p>
      <w:pPr>
        <w:pStyle w:val="27"/>
        <w:keepNext w:val="0"/>
        <w:keepLines w:val="0"/>
        <w:pageBreakBefore w:val="0"/>
        <w:widowControl w:val="0"/>
        <w:kinsoku/>
        <w:wordWrap w:val="0"/>
        <w:overflowPunct/>
        <w:topLinePunct w:val="0"/>
        <w:bidi w:val="0"/>
        <w:adjustRightInd w:val="0"/>
        <w:snapToGrid w:val="0"/>
        <w:spacing w:line="500" w:lineRule="exact"/>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3.中标人在项目实施过程中，对招标人所提供的所有相关资料、数据，未经招标人书面同意不得向任何第三人泄露，且保密责任不因合同的终止或解除而失效。</w:t>
      </w:r>
    </w:p>
    <w:p>
      <w:pPr>
        <w:pStyle w:val="27"/>
        <w:keepNext w:val="0"/>
        <w:keepLines w:val="0"/>
        <w:pageBreakBefore w:val="0"/>
        <w:widowControl w:val="0"/>
        <w:kinsoku/>
        <w:wordWrap w:val="0"/>
        <w:overflowPunct/>
        <w:topLinePunct w:val="0"/>
        <w:bidi w:val="0"/>
        <w:adjustRightInd w:val="0"/>
        <w:snapToGrid w:val="0"/>
        <w:spacing w:line="500" w:lineRule="exact"/>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4.中标人需要按招标人要求完成相应的竣工文件，并装订成册。</w:t>
      </w:r>
    </w:p>
    <w:p>
      <w:pPr>
        <w:widowControl/>
        <w:jc w:val="left"/>
        <w:rPr>
          <w:color w:val="auto"/>
          <w:sz w:val="24"/>
          <w:highlight w:val="none"/>
          <w:lang w:bidi="ar"/>
        </w:rPr>
      </w:pPr>
      <w:r>
        <w:rPr>
          <w:rFonts w:eastAsia="黑体"/>
          <w:color w:val="auto"/>
          <w:sz w:val="24"/>
          <w:highlight w:val="none"/>
          <w:lang w:bidi="ar"/>
        </w:rPr>
        <w:br w:type="page"/>
      </w:r>
    </w:p>
    <w:p>
      <w:pPr>
        <w:pStyle w:val="4"/>
        <w:jc w:val="center"/>
        <w:rPr>
          <w:color w:val="auto"/>
          <w:highlight w:val="none"/>
        </w:rPr>
      </w:pPr>
      <w:bookmarkStart w:id="1111" w:name="_Toc9964"/>
      <w:r>
        <w:rPr>
          <w:rFonts w:hint="eastAsia"/>
          <w:color w:val="auto"/>
          <w:highlight w:val="none"/>
        </w:rPr>
        <w:t>第八章  投标文件格式</w:t>
      </w:r>
      <w:bookmarkEnd w:id="1087"/>
      <w:bookmarkEnd w:id="1088"/>
      <w:bookmarkEnd w:id="1089"/>
      <w:bookmarkEnd w:id="1090"/>
      <w:bookmarkEnd w:id="1091"/>
      <w:bookmarkEnd w:id="1092"/>
      <w:bookmarkEnd w:id="1093"/>
      <w:bookmarkEnd w:id="1111"/>
    </w:p>
    <w:p>
      <w:pPr>
        <w:pStyle w:val="5"/>
        <w:rPr>
          <w:rFonts w:hint="eastAsia" w:ascii="宋体" w:hAnsi="宋体" w:eastAsia="宋体"/>
          <w:color w:val="auto"/>
          <w:sz w:val="28"/>
          <w:szCs w:val="21"/>
          <w:highlight w:val="none"/>
        </w:rPr>
      </w:pPr>
      <w:bookmarkStart w:id="1112" w:name="_Toc19294"/>
      <w:r>
        <w:rPr>
          <w:rFonts w:hint="eastAsia" w:ascii="宋体" w:hAnsi="宋体" w:eastAsia="宋体"/>
          <w:color w:val="auto"/>
          <w:sz w:val="28"/>
          <w:szCs w:val="21"/>
          <w:highlight w:val="none"/>
        </w:rPr>
        <w:t>封面参考格式</w:t>
      </w:r>
      <w:bookmarkEnd w:id="1112"/>
    </w:p>
    <w:p>
      <w:pPr>
        <w:spacing w:line="440" w:lineRule="exact"/>
        <w:rPr>
          <w:rFonts w:eastAsia="黑体"/>
          <w:color w:val="auto"/>
          <w:sz w:val="20"/>
          <w:szCs w:val="20"/>
          <w:highlight w:val="none"/>
        </w:rPr>
      </w:pPr>
    </w:p>
    <w:p>
      <w:pPr>
        <w:spacing w:line="440" w:lineRule="exact"/>
        <w:rPr>
          <w:rFonts w:eastAsia="黑体"/>
          <w:color w:val="auto"/>
          <w:sz w:val="20"/>
          <w:szCs w:val="20"/>
          <w:highlight w:val="none"/>
        </w:rPr>
      </w:pPr>
    </w:p>
    <w:p>
      <w:pPr>
        <w:jc w:val="center"/>
        <w:rPr>
          <w:rFonts w:eastAsia="黑体"/>
          <w:color w:val="auto"/>
          <w:sz w:val="20"/>
          <w:szCs w:val="20"/>
          <w:highlight w:val="none"/>
        </w:rPr>
      </w:pP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rPr>
        <w:t>（项目名称）</w:t>
      </w:r>
    </w:p>
    <w:p>
      <w:pPr>
        <w:jc w:val="cente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44"/>
          <w:szCs w:val="44"/>
          <w:highlight w:val="none"/>
        </w:rPr>
      </w:pPr>
      <w:r>
        <w:rPr>
          <w:rFonts w:eastAsia="黑体"/>
          <w:color w:val="auto"/>
          <w:sz w:val="44"/>
          <w:szCs w:val="44"/>
          <w:highlight w:val="none"/>
        </w:rPr>
        <w:t>投  标  文  件</w:t>
      </w:r>
    </w:p>
    <w:p>
      <w:pPr>
        <w:rPr>
          <w:rFonts w:eastAsia="黑体"/>
          <w:color w:val="auto"/>
          <w:sz w:val="28"/>
          <w:szCs w:val="28"/>
          <w:highlight w:val="none"/>
        </w:rPr>
      </w:pPr>
    </w:p>
    <w:p>
      <w:pPr>
        <w:rPr>
          <w:rFonts w:eastAsia="黑体"/>
          <w:color w:val="auto"/>
          <w:sz w:val="28"/>
          <w:szCs w:val="28"/>
          <w:highlight w:val="none"/>
        </w:rPr>
      </w:pPr>
    </w:p>
    <w:p>
      <w:pPr>
        <w:jc w:val="center"/>
        <w:rPr>
          <w:rFonts w:eastAsia="黑体"/>
          <w:color w:val="auto"/>
          <w:sz w:val="28"/>
          <w:szCs w:val="28"/>
          <w:highlight w:val="none"/>
        </w:rPr>
      </w:pPr>
      <w:r>
        <w:rPr>
          <w:rFonts w:hint="eastAsia" w:eastAsia="黑体"/>
          <w:color w:val="auto"/>
          <w:sz w:val="28"/>
          <w:szCs w:val="28"/>
          <w:highlight w:val="none"/>
        </w:rPr>
        <w:t>商务部分/技术部分</w:t>
      </w:r>
    </w:p>
    <w:p>
      <w:pPr>
        <w:rPr>
          <w:rFonts w:eastAsia="黑体"/>
          <w:color w:val="auto"/>
          <w:sz w:val="28"/>
          <w:szCs w:val="28"/>
          <w:highlight w:val="none"/>
        </w:rPr>
      </w:pPr>
    </w:p>
    <w:p>
      <w:pPr>
        <w:jc w:val="center"/>
        <w:rPr>
          <w:rFonts w:eastAsia="黑体"/>
          <w:color w:val="auto"/>
          <w:sz w:val="20"/>
          <w:szCs w:val="20"/>
          <w:highlight w:val="none"/>
        </w:rPr>
      </w:pP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rPr>
        <w:t>（项目</w:t>
      </w:r>
      <w:r>
        <w:rPr>
          <w:rFonts w:hint="eastAsia" w:eastAsia="黑体"/>
          <w:color w:val="auto"/>
          <w:sz w:val="28"/>
          <w:szCs w:val="28"/>
          <w:highlight w:val="none"/>
        </w:rPr>
        <w:t>编号</w:t>
      </w:r>
      <w:r>
        <w:rPr>
          <w:rFonts w:eastAsia="黑体"/>
          <w:color w:val="auto"/>
          <w:sz w:val="28"/>
          <w:szCs w:val="28"/>
          <w:highlight w:val="none"/>
        </w:rPr>
        <w:t>）</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jc w:val="center"/>
        <w:rPr>
          <w:rFonts w:eastAsia="黑体"/>
          <w:color w:val="auto"/>
          <w:sz w:val="28"/>
          <w:szCs w:val="28"/>
          <w:highlight w:val="none"/>
          <w:u w:val="single"/>
        </w:rPr>
      </w:pPr>
      <w:r>
        <w:rPr>
          <w:rFonts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（盖单位章）</w:t>
      </w:r>
    </w:p>
    <w:p>
      <w:pPr>
        <w:jc w:val="center"/>
        <w:rPr>
          <w:rFonts w:eastAsia="黑体"/>
          <w:color w:val="auto"/>
          <w:sz w:val="28"/>
          <w:szCs w:val="28"/>
          <w:highlight w:val="none"/>
        </w:rPr>
      </w:pPr>
      <w:r>
        <w:rPr>
          <w:rFonts w:eastAsia="黑体"/>
          <w:color w:val="auto"/>
          <w:sz w:val="28"/>
          <w:szCs w:val="28"/>
          <w:highlight w:val="none"/>
        </w:rPr>
        <w:t>法定代表人或其委托代理人：</w:t>
      </w:r>
      <w:r>
        <w:rPr>
          <w:rFonts w:eastAsia="黑体"/>
          <w:color w:val="auto"/>
          <w:sz w:val="28"/>
          <w:szCs w:val="28"/>
          <w:highlight w:val="none"/>
          <w:u w:val="single"/>
        </w:rPr>
        <w:t xml:space="preserve">              </w:t>
      </w:r>
      <w:r>
        <w:rPr>
          <w:rFonts w:eastAsia="黑体"/>
          <w:color w:val="auto"/>
          <w:sz w:val="28"/>
          <w:szCs w:val="28"/>
          <w:highlight w:val="none"/>
        </w:rPr>
        <w:t>（签字</w:t>
      </w:r>
      <w:r>
        <w:rPr>
          <w:rFonts w:hint="eastAsia" w:eastAsia="黑体"/>
          <w:color w:val="auto"/>
          <w:sz w:val="28"/>
          <w:szCs w:val="28"/>
          <w:highlight w:val="none"/>
        </w:rPr>
        <w:t>或署印</w:t>
      </w:r>
      <w:r>
        <w:rPr>
          <w:rFonts w:eastAsia="黑体"/>
          <w:color w:val="auto"/>
          <w:sz w:val="28"/>
          <w:szCs w:val="28"/>
          <w:highlight w:val="none"/>
        </w:rPr>
        <w:t>）</w:t>
      </w: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spacing w:line="440" w:lineRule="exact"/>
        <w:rPr>
          <w:rFonts w:eastAsia="黑体"/>
          <w:color w:val="auto"/>
          <w:sz w:val="20"/>
          <w:szCs w:val="20"/>
          <w:highlight w:val="none"/>
        </w:rPr>
      </w:pPr>
      <w:r>
        <w:rPr>
          <w:rFonts w:eastAsia="黑体"/>
          <w:color w:val="auto"/>
          <w:sz w:val="20"/>
          <w:szCs w:val="20"/>
          <w:highlight w:val="none"/>
        </w:rPr>
        <w:br w:type="page"/>
      </w:r>
    </w:p>
    <w:p>
      <w:pPr>
        <w:spacing w:line="400" w:lineRule="exact"/>
        <w:rPr>
          <w:color w:val="auto"/>
          <w:highlight w:val="none"/>
        </w:rPr>
      </w:pPr>
    </w:p>
    <w:p>
      <w:pPr>
        <w:pStyle w:val="5"/>
        <w:jc w:val="center"/>
        <w:rPr>
          <w:color w:val="auto"/>
          <w:highlight w:val="none"/>
        </w:rPr>
      </w:pPr>
      <w:bookmarkStart w:id="1113" w:name="_Toc144974856"/>
      <w:bookmarkStart w:id="1114" w:name="_Toc246996355"/>
      <w:bookmarkStart w:id="1115" w:name="_Toc31818"/>
      <w:bookmarkStart w:id="1116" w:name="_Toc152042576"/>
      <w:bookmarkStart w:id="1117" w:name="_Toc247085873"/>
      <w:bookmarkStart w:id="1118" w:name="_Toc152045787"/>
      <w:bookmarkStart w:id="1119" w:name="_Toc246997098"/>
      <w:bookmarkStart w:id="1120" w:name="_Toc179632807"/>
      <w:r>
        <w:rPr>
          <w:rFonts w:hint="eastAsia"/>
          <w:color w:val="auto"/>
          <w:highlight w:val="none"/>
        </w:rPr>
        <w:t>目    录</w:t>
      </w:r>
      <w:bookmarkEnd w:id="1113"/>
      <w:bookmarkEnd w:id="1114"/>
      <w:bookmarkEnd w:id="1115"/>
      <w:bookmarkEnd w:id="1116"/>
      <w:bookmarkEnd w:id="1117"/>
      <w:bookmarkEnd w:id="1118"/>
      <w:bookmarkEnd w:id="1119"/>
      <w:bookmarkEnd w:id="1120"/>
    </w:p>
    <w:p>
      <w:pPr>
        <w:spacing w:line="540" w:lineRule="exact"/>
        <w:rPr>
          <w:color w:val="auto"/>
          <w:highlight w:val="none"/>
        </w:rPr>
      </w:pPr>
    </w:p>
    <w:p>
      <w:pPr>
        <w:spacing w:line="540" w:lineRule="exact"/>
        <w:rPr>
          <w:color w:val="auto"/>
          <w:highlight w:val="none"/>
        </w:rPr>
      </w:pPr>
      <w:r>
        <w:rPr>
          <w:rFonts w:hint="eastAsia"/>
          <w:color w:val="auto"/>
          <w:highlight w:val="none"/>
        </w:rPr>
        <w:t>商务部分：</w:t>
      </w:r>
    </w:p>
    <w:p>
      <w:pPr>
        <w:spacing w:line="540" w:lineRule="exact"/>
        <w:ind w:firstLine="420" w:firstLineChars="200"/>
        <w:rPr>
          <w:color w:val="auto"/>
          <w:highlight w:val="none"/>
        </w:rPr>
      </w:pPr>
      <w:r>
        <w:rPr>
          <w:rFonts w:hint="eastAsia" w:ascii="Arial" w:hAnsi="Arial"/>
          <w:color w:val="auto"/>
          <w:highlight w:val="none"/>
        </w:rPr>
        <w:t>评标要素索引表（商务部分）</w:t>
      </w:r>
    </w:p>
    <w:p>
      <w:pPr>
        <w:spacing w:line="540" w:lineRule="exact"/>
        <w:ind w:firstLine="420" w:firstLineChars="200"/>
        <w:rPr>
          <w:color w:val="auto"/>
          <w:highlight w:val="none"/>
        </w:rPr>
      </w:pPr>
      <w:r>
        <w:rPr>
          <w:rFonts w:hint="eastAsia"/>
          <w:color w:val="auto"/>
          <w:highlight w:val="none"/>
        </w:rPr>
        <w:t>一、投标函及投标函附录</w:t>
      </w:r>
    </w:p>
    <w:p>
      <w:pPr>
        <w:spacing w:line="540" w:lineRule="exact"/>
        <w:ind w:firstLine="420" w:firstLineChars="200"/>
        <w:rPr>
          <w:color w:val="auto"/>
          <w:highlight w:val="none"/>
        </w:rPr>
      </w:pPr>
      <w:r>
        <w:rPr>
          <w:rFonts w:hint="eastAsia"/>
          <w:color w:val="auto"/>
          <w:highlight w:val="none"/>
        </w:rPr>
        <w:t>二、法定代表人身份证明书</w:t>
      </w:r>
    </w:p>
    <w:p>
      <w:pPr>
        <w:spacing w:line="540" w:lineRule="exact"/>
        <w:ind w:firstLine="420" w:firstLineChars="200"/>
        <w:rPr>
          <w:color w:val="auto"/>
          <w:highlight w:val="none"/>
        </w:rPr>
      </w:pPr>
      <w:r>
        <w:rPr>
          <w:rFonts w:hint="eastAsia"/>
          <w:color w:val="auto"/>
          <w:highlight w:val="none"/>
        </w:rPr>
        <w:t>三</w:t>
      </w:r>
      <w:r>
        <w:rPr>
          <w:color w:val="auto"/>
          <w:highlight w:val="none"/>
        </w:rPr>
        <w:t>、</w:t>
      </w:r>
      <w:r>
        <w:rPr>
          <w:rFonts w:hint="eastAsia"/>
          <w:color w:val="auto"/>
          <w:highlight w:val="none"/>
        </w:rPr>
        <w:t>授权委托书</w:t>
      </w:r>
    </w:p>
    <w:p>
      <w:pPr>
        <w:spacing w:line="540" w:lineRule="exact"/>
        <w:ind w:firstLine="420" w:firstLineChars="200"/>
        <w:rPr>
          <w:color w:val="auto"/>
          <w:highlight w:val="none"/>
        </w:rPr>
      </w:pPr>
      <w:r>
        <w:rPr>
          <w:rFonts w:hint="eastAsia"/>
          <w:color w:val="auto"/>
          <w:highlight w:val="none"/>
        </w:rPr>
        <w:t>四、合同</w:t>
      </w:r>
      <w:r>
        <w:rPr>
          <w:color w:val="auto"/>
          <w:highlight w:val="none"/>
        </w:rPr>
        <w:t>条款响应表</w:t>
      </w:r>
    </w:p>
    <w:p>
      <w:pPr>
        <w:spacing w:line="540" w:lineRule="exact"/>
        <w:ind w:firstLine="420" w:firstLineChars="200"/>
        <w:rPr>
          <w:color w:val="auto"/>
          <w:highlight w:val="none"/>
        </w:rPr>
      </w:pPr>
      <w:r>
        <w:rPr>
          <w:rFonts w:hint="eastAsia"/>
          <w:color w:val="auto"/>
          <w:highlight w:val="none"/>
        </w:rPr>
        <w:t>五</w:t>
      </w:r>
      <w:r>
        <w:rPr>
          <w:color w:val="auto"/>
          <w:highlight w:val="none"/>
        </w:rPr>
        <w:t>、技术偏离表</w:t>
      </w:r>
    </w:p>
    <w:p>
      <w:pPr>
        <w:spacing w:line="540" w:lineRule="exact"/>
        <w:ind w:firstLine="420" w:firstLineChars="200"/>
        <w:rPr>
          <w:color w:val="auto"/>
          <w:highlight w:val="none"/>
        </w:rPr>
      </w:pPr>
      <w:r>
        <w:rPr>
          <w:rFonts w:hint="eastAsia"/>
          <w:color w:val="auto"/>
          <w:highlight w:val="none"/>
        </w:rPr>
        <w:t>六</w:t>
      </w:r>
      <w:r>
        <w:rPr>
          <w:color w:val="auto"/>
          <w:highlight w:val="none"/>
        </w:rPr>
        <w:t>、</w:t>
      </w:r>
      <w:r>
        <w:rPr>
          <w:rFonts w:hint="eastAsia"/>
          <w:color w:val="auto"/>
          <w:highlight w:val="none"/>
        </w:rPr>
        <w:t>投标保证金</w:t>
      </w:r>
    </w:p>
    <w:p>
      <w:pPr>
        <w:spacing w:line="540" w:lineRule="exact"/>
        <w:ind w:firstLine="420" w:firstLineChars="200"/>
        <w:rPr>
          <w:color w:val="auto"/>
          <w:highlight w:val="none"/>
        </w:rPr>
      </w:pPr>
      <w:r>
        <w:rPr>
          <w:rFonts w:hint="eastAsia"/>
          <w:color w:val="auto"/>
          <w:highlight w:val="none"/>
        </w:rPr>
        <w:t>七、资格审查资料</w:t>
      </w:r>
    </w:p>
    <w:p>
      <w:pPr>
        <w:spacing w:line="540" w:lineRule="exact"/>
        <w:ind w:firstLine="420" w:firstLineChars="200"/>
        <w:rPr>
          <w:color w:val="auto"/>
          <w:highlight w:val="none"/>
        </w:rPr>
      </w:pPr>
      <w:r>
        <w:rPr>
          <w:rFonts w:hint="eastAsia"/>
          <w:color w:val="auto"/>
          <w:highlight w:val="none"/>
        </w:rPr>
        <w:t>八、项目管理机构</w:t>
      </w:r>
    </w:p>
    <w:p>
      <w:pPr>
        <w:spacing w:line="540" w:lineRule="exact"/>
        <w:ind w:firstLine="420" w:firstLineChars="200"/>
        <w:rPr>
          <w:rFonts w:ascii="Arial" w:hAnsi="Arial"/>
          <w:color w:val="auto"/>
          <w:highlight w:val="none"/>
        </w:rPr>
      </w:pPr>
      <w:r>
        <w:rPr>
          <w:rFonts w:hint="eastAsia" w:ascii="Arial" w:hAnsi="Arial"/>
          <w:color w:val="auto"/>
          <w:highlight w:val="none"/>
        </w:rPr>
        <w:t>九、投标人承诺书</w:t>
      </w:r>
    </w:p>
    <w:p>
      <w:pPr>
        <w:spacing w:line="540" w:lineRule="exact"/>
        <w:ind w:firstLine="420" w:firstLineChars="200"/>
        <w:rPr>
          <w:color w:val="auto"/>
          <w:highlight w:val="none"/>
        </w:rPr>
      </w:pPr>
      <w:r>
        <w:rPr>
          <w:rFonts w:hint="eastAsia" w:ascii="Arial" w:hAnsi="Arial"/>
          <w:color w:val="auto"/>
          <w:highlight w:val="none"/>
        </w:rPr>
        <w:t>十、中标候选人</w:t>
      </w:r>
      <w:r>
        <w:rPr>
          <w:rFonts w:ascii="Arial" w:hAnsi="Arial"/>
          <w:color w:val="auto"/>
          <w:highlight w:val="none"/>
        </w:rPr>
        <w:t>公示资料表</w:t>
      </w:r>
    </w:p>
    <w:p>
      <w:pPr>
        <w:spacing w:line="540" w:lineRule="exact"/>
        <w:ind w:firstLine="420" w:firstLineChars="200"/>
        <w:rPr>
          <w:color w:val="auto"/>
          <w:highlight w:val="none"/>
        </w:rPr>
      </w:pPr>
      <w:r>
        <w:rPr>
          <w:color w:val="auto"/>
          <w:highlight w:val="none"/>
        </w:rPr>
        <w:t>十</w:t>
      </w:r>
      <w:r>
        <w:rPr>
          <w:rFonts w:hint="eastAsia"/>
          <w:color w:val="auto"/>
          <w:highlight w:val="none"/>
        </w:rPr>
        <w:t>一、投标人认为应提供的其他商务资料</w:t>
      </w:r>
    </w:p>
    <w:p>
      <w:pPr>
        <w:spacing w:line="540" w:lineRule="exact"/>
        <w:ind w:firstLine="420" w:firstLineChars="200"/>
        <w:rPr>
          <w:color w:val="auto"/>
          <w:highlight w:val="none"/>
        </w:rPr>
      </w:pPr>
      <w:r>
        <w:rPr>
          <w:rFonts w:hint="eastAsia"/>
          <w:color w:val="auto"/>
          <w:highlight w:val="none"/>
        </w:rPr>
        <w:t>十二、已标价工程量清单</w:t>
      </w:r>
    </w:p>
    <w:p>
      <w:pPr>
        <w:spacing w:line="540" w:lineRule="exact"/>
        <w:rPr>
          <w:color w:val="auto"/>
          <w:highlight w:val="none"/>
        </w:rPr>
      </w:pPr>
      <w:r>
        <w:rPr>
          <w:rFonts w:hint="eastAsia"/>
          <w:color w:val="auto"/>
          <w:highlight w:val="none"/>
        </w:rPr>
        <w:t>技术部分：</w:t>
      </w:r>
    </w:p>
    <w:p>
      <w:pPr>
        <w:spacing w:line="540" w:lineRule="exact"/>
        <w:ind w:firstLine="420" w:firstLineChars="200"/>
        <w:rPr>
          <w:color w:val="auto"/>
          <w:highlight w:val="none"/>
        </w:rPr>
      </w:pPr>
      <w:r>
        <w:rPr>
          <w:rFonts w:hint="eastAsia" w:ascii="Arial" w:hAnsi="Arial"/>
          <w:color w:val="auto"/>
          <w:highlight w:val="none"/>
        </w:rPr>
        <w:t>评标要素索引表（技术部分）</w:t>
      </w:r>
    </w:p>
    <w:p>
      <w:pPr>
        <w:spacing w:line="540" w:lineRule="exact"/>
        <w:ind w:firstLine="420" w:firstLineChars="200"/>
        <w:rPr>
          <w:color w:val="auto"/>
          <w:highlight w:val="none"/>
        </w:rPr>
      </w:pPr>
      <w:r>
        <w:rPr>
          <w:rFonts w:hint="eastAsia"/>
          <w:color w:val="auto"/>
          <w:highlight w:val="none"/>
        </w:rPr>
        <w:t>一、施工</w:t>
      </w:r>
      <w:r>
        <w:rPr>
          <w:color w:val="auto"/>
          <w:highlight w:val="none"/>
        </w:rPr>
        <w:t>组织设计</w:t>
      </w:r>
    </w:p>
    <w:p>
      <w:pPr>
        <w:spacing w:line="540" w:lineRule="exact"/>
        <w:ind w:firstLine="420" w:firstLineChars="200"/>
        <w:rPr>
          <w:color w:val="auto"/>
          <w:highlight w:val="none"/>
        </w:rPr>
      </w:pPr>
      <w:r>
        <w:rPr>
          <w:rFonts w:hint="eastAsia"/>
          <w:color w:val="auto"/>
          <w:highlight w:val="none"/>
        </w:rPr>
        <w:t>二、设备材料品牌选用承诺</w:t>
      </w:r>
    </w:p>
    <w:p>
      <w:pPr>
        <w:spacing w:line="540" w:lineRule="exact"/>
        <w:ind w:firstLine="420" w:firstLineChars="200"/>
        <w:rPr>
          <w:color w:val="auto"/>
          <w:highlight w:val="none"/>
        </w:rPr>
      </w:pPr>
      <w:r>
        <w:rPr>
          <w:rFonts w:hint="eastAsia"/>
          <w:color w:val="auto"/>
          <w:highlight w:val="none"/>
        </w:rPr>
        <w:t>三、危险性较大的分部分项工程清单及超过一定规模的危险性较大的分部分项工程清单</w:t>
      </w:r>
    </w:p>
    <w:p>
      <w:pPr>
        <w:spacing w:line="540" w:lineRule="exact"/>
        <w:ind w:firstLine="420" w:firstLineChars="200"/>
        <w:rPr>
          <w:color w:val="auto"/>
          <w:highlight w:val="none"/>
        </w:rPr>
      </w:pPr>
      <w:r>
        <w:rPr>
          <w:rFonts w:hint="eastAsia"/>
          <w:color w:val="auto"/>
          <w:highlight w:val="none"/>
        </w:rPr>
        <w:t>四、投标人认为应提供的其他技术资料</w:t>
      </w:r>
    </w:p>
    <w:p>
      <w:pPr>
        <w:pStyle w:val="5"/>
        <w:rPr>
          <w:rFonts w:hint="eastAsia" w:ascii="宋体" w:hAnsi="宋体" w:eastAsia="宋体"/>
          <w:color w:val="auto"/>
          <w:sz w:val="28"/>
          <w:highlight w:val="none"/>
        </w:rPr>
      </w:pPr>
      <w:r>
        <w:rPr>
          <w:color w:val="auto"/>
          <w:highlight w:val="none"/>
        </w:rPr>
        <w:br w:type="page"/>
      </w:r>
      <w:bookmarkStart w:id="1121" w:name="_Toc31218"/>
      <w:r>
        <w:rPr>
          <w:rFonts w:ascii="宋体" w:hAnsi="宋体" w:eastAsia="宋体"/>
          <w:color w:val="auto"/>
          <w:sz w:val="28"/>
          <w:highlight w:val="none"/>
        </w:rPr>
        <w:t>商务部分</w:t>
      </w:r>
      <w:bookmarkEnd w:id="1121"/>
    </w:p>
    <w:p>
      <w:pPr>
        <w:pStyle w:val="5"/>
        <w:jc w:val="center"/>
        <w:rPr>
          <w:color w:val="auto"/>
          <w:highlight w:val="none"/>
        </w:rPr>
      </w:pPr>
      <w:bookmarkStart w:id="1122" w:name="_Toc18411065"/>
      <w:bookmarkStart w:id="1123" w:name="_Toc20002"/>
      <w:r>
        <w:rPr>
          <w:rFonts w:hint="eastAsia"/>
          <w:color w:val="auto"/>
          <w:highlight w:val="none"/>
        </w:rPr>
        <w:t>评标要素索引表</w:t>
      </w:r>
      <w:bookmarkEnd w:id="1122"/>
      <w:bookmarkEnd w:id="1123"/>
    </w:p>
    <w:tbl>
      <w:tblPr>
        <w:tblStyle w:val="74"/>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551"/>
        <w:gridCol w:w="1701"/>
        <w:gridCol w:w="1418"/>
        <w:gridCol w:w="1559"/>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序号</w:t>
            </w:r>
          </w:p>
        </w:tc>
        <w:tc>
          <w:tcPr>
            <w:tcW w:w="2551" w:type="dxa"/>
            <w:vAlign w:val="center"/>
          </w:tcPr>
          <w:p>
            <w:pPr>
              <w:snapToGrid w:val="0"/>
              <w:jc w:val="center"/>
              <w:rPr>
                <w:color w:val="auto"/>
                <w:szCs w:val="21"/>
                <w:highlight w:val="none"/>
              </w:rPr>
            </w:pPr>
            <w:r>
              <w:rPr>
                <w:color w:val="auto"/>
                <w:szCs w:val="21"/>
                <w:highlight w:val="none"/>
              </w:rPr>
              <w:t>评审项目</w:t>
            </w:r>
          </w:p>
        </w:tc>
        <w:tc>
          <w:tcPr>
            <w:tcW w:w="1701" w:type="dxa"/>
            <w:vAlign w:val="center"/>
          </w:tcPr>
          <w:p>
            <w:pPr>
              <w:snapToGrid w:val="0"/>
              <w:jc w:val="center"/>
              <w:rPr>
                <w:color w:val="auto"/>
                <w:szCs w:val="21"/>
                <w:highlight w:val="none"/>
              </w:rPr>
            </w:pPr>
            <w:r>
              <w:rPr>
                <w:color w:val="auto"/>
                <w:szCs w:val="21"/>
                <w:highlight w:val="none"/>
              </w:rPr>
              <w:t>合格或通过与否</w:t>
            </w:r>
          </w:p>
        </w:tc>
        <w:tc>
          <w:tcPr>
            <w:tcW w:w="1418" w:type="dxa"/>
            <w:vAlign w:val="center"/>
          </w:tcPr>
          <w:p>
            <w:pPr>
              <w:snapToGrid w:val="0"/>
              <w:jc w:val="center"/>
              <w:rPr>
                <w:color w:val="auto"/>
                <w:szCs w:val="21"/>
                <w:highlight w:val="none"/>
              </w:rPr>
            </w:pPr>
            <w:r>
              <w:rPr>
                <w:color w:val="auto"/>
                <w:szCs w:val="21"/>
                <w:highlight w:val="none"/>
              </w:rPr>
              <w:t>自评分</w:t>
            </w:r>
          </w:p>
        </w:tc>
        <w:tc>
          <w:tcPr>
            <w:tcW w:w="1559" w:type="dxa"/>
            <w:vAlign w:val="center"/>
          </w:tcPr>
          <w:p>
            <w:pPr>
              <w:snapToGrid w:val="0"/>
              <w:jc w:val="center"/>
              <w:rPr>
                <w:color w:val="auto"/>
                <w:szCs w:val="21"/>
                <w:highlight w:val="none"/>
              </w:rPr>
            </w:pPr>
            <w:r>
              <w:rPr>
                <w:rFonts w:hint="eastAsia"/>
                <w:color w:val="auto"/>
                <w:szCs w:val="21"/>
                <w:highlight w:val="none"/>
              </w:rPr>
              <w:t>响应</w:t>
            </w:r>
            <w:r>
              <w:rPr>
                <w:color w:val="auto"/>
                <w:szCs w:val="21"/>
                <w:highlight w:val="none"/>
              </w:rPr>
              <w:t>资料页码</w:t>
            </w:r>
          </w:p>
        </w:tc>
        <w:tc>
          <w:tcPr>
            <w:tcW w:w="1337" w:type="dxa"/>
            <w:vAlign w:val="center"/>
          </w:tcPr>
          <w:p>
            <w:pPr>
              <w:snapToGrid w:val="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一</w:t>
            </w:r>
          </w:p>
        </w:tc>
        <w:tc>
          <w:tcPr>
            <w:tcW w:w="7229" w:type="dxa"/>
            <w:gridSpan w:val="4"/>
            <w:vAlign w:val="center"/>
          </w:tcPr>
          <w:p>
            <w:pPr>
              <w:snapToGrid w:val="0"/>
              <w:jc w:val="left"/>
              <w:rPr>
                <w:color w:val="auto"/>
                <w:szCs w:val="21"/>
                <w:highlight w:val="none"/>
              </w:rPr>
            </w:pPr>
            <w:r>
              <w:rPr>
                <w:color w:val="auto"/>
                <w:szCs w:val="21"/>
                <w:highlight w:val="none"/>
              </w:rPr>
              <w:t>形式评审</w:t>
            </w:r>
          </w:p>
        </w:tc>
        <w:tc>
          <w:tcPr>
            <w:tcW w:w="1337" w:type="dxa"/>
            <w:vAlign w:val="center"/>
          </w:tcPr>
          <w:p>
            <w:pPr>
              <w:snapToGrid w:val="0"/>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1</w:t>
            </w:r>
          </w:p>
        </w:tc>
        <w:tc>
          <w:tcPr>
            <w:tcW w:w="2551" w:type="dxa"/>
            <w:vAlign w:val="center"/>
          </w:tcPr>
          <w:p>
            <w:pPr>
              <w:snapToGrid w:val="0"/>
              <w:rPr>
                <w:rFonts w:hint="eastAsia" w:ascii="宋体" w:hAnsi="宋体" w:cs="宋体"/>
                <w:color w:val="auto"/>
                <w:szCs w:val="21"/>
                <w:highlight w:val="none"/>
              </w:rPr>
            </w:pPr>
          </w:p>
        </w:tc>
        <w:tc>
          <w:tcPr>
            <w:tcW w:w="1701" w:type="dxa"/>
            <w:vAlign w:val="center"/>
          </w:tcPr>
          <w:p>
            <w:pPr>
              <w:snapToGrid w:val="0"/>
              <w:rPr>
                <w:color w:val="auto"/>
                <w:szCs w:val="21"/>
                <w:highlight w:val="none"/>
              </w:rPr>
            </w:pPr>
          </w:p>
        </w:tc>
        <w:tc>
          <w:tcPr>
            <w:tcW w:w="1418" w:type="dxa"/>
            <w:vAlign w:val="center"/>
          </w:tcPr>
          <w:p>
            <w:pPr>
              <w:snapToGrid w:val="0"/>
              <w:jc w:val="center"/>
              <w:rPr>
                <w:color w:val="auto"/>
                <w:szCs w:val="21"/>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2</w:t>
            </w:r>
          </w:p>
        </w:tc>
        <w:tc>
          <w:tcPr>
            <w:tcW w:w="2551" w:type="dxa"/>
            <w:vAlign w:val="center"/>
          </w:tcPr>
          <w:p>
            <w:pPr>
              <w:snapToGrid w:val="0"/>
              <w:rPr>
                <w:rFonts w:hint="eastAsia" w:ascii="宋体" w:hAnsi="宋体" w:cs="宋体"/>
                <w:color w:val="auto"/>
                <w:szCs w:val="21"/>
                <w:highlight w:val="none"/>
              </w:rPr>
            </w:pPr>
          </w:p>
        </w:tc>
        <w:tc>
          <w:tcPr>
            <w:tcW w:w="1701" w:type="dxa"/>
            <w:vAlign w:val="center"/>
          </w:tcPr>
          <w:p>
            <w:pPr>
              <w:snapToGrid w:val="0"/>
              <w:rPr>
                <w:color w:val="auto"/>
                <w:szCs w:val="21"/>
                <w:highlight w:val="none"/>
              </w:rPr>
            </w:pPr>
          </w:p>
        </w:tc>
        <w:tc>
          <w:tcPr>
            <w:tcW w:w="1418" w:type="dxa"/>
            <w:vAlign w:val="center"/>
          </w:tcPr>
          <w:p>
            <w:pPr>
              <w:snapToGrid w:val="0"/>
              <w:jc w:val="center"/>
              <w:rPr>
                <w:color w:val="auto"/>
                <w:szCs w:val="21"/>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rFonts w:hint="eastAsia"/>
                <w:color w:val="auto"/>
                <w:szCs w:val="21"/>
                <w:highlight w:val="none"/>
              </w:rPr>
              <w:t>...</w:t>
            </w:r>
          </w:p>
        </w:tc>
        <w:tc>
          <w:tcPr>
            <w:tcW w:w="2551" w:type="dxa"/>
            <w:vAlign w:val="center"/>
          </w:tcPr>
          <w:p>
            <w:pPr>
              <w:snapToGrid w:val="0"/>
              <w:rPr>
                <w:rFonts w:hint="eastAsia" w:ascii="宋体" w:hAnsi="宋体" w:cs="宋体"/>
                <w:color w:val="auto"/>
                <w:szCs w:val="21"/>
                <w:highlight w:val="none"/>
              </w:rPr>
            </w:pPr>
          </w:p>
        </w:tc>
        <w:tc>
          <w:tcPr>
            <w:tcW w:w="1701" w:type="dxa"/>
            <w:vAlign w:val="center"/>
          </w:tcPr>
          <w:p>
            <w:pPr>
              <w:snapToGrid w:val="0"/>
              <w:rPr>
                <w:color w:val="auto"/>
                <w:szCs w:val="21"/>
                <w:highlight w:val="none"/>
              </w:rPr>
            </w:pPr>
          </w:p>
        </w:tc>
        <w:tc>
          <w:tcPr>
            <w:tcW w:w="1418" w:type="dxa"/>
            <w:vAlign w:val="center"/>
          </w:tcPr>
          <w:p>
            <w:pPr>
              <w:snapToGrid w:val="0"/>
              <w:jc w:val="center"/>
              <w:rPr>
                <w:color w:val="auto"/>
                <w:szCs w:val="21"/>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二</w:t>
            </w:r>
          </w:p>
        </w:tc>
        <w:tc>
          <w:tcPr>
            <w:tcW w:w="7229" w:type="dxa"/>
            <w:gridSpan w:val="4"/>
            <w:vAlign w:val="center"/>
          </w:tcPr>
          <w:p>
            <w:pPr>
              <w:snapToGrid w:val="0"/>
              <w:jc w:val="left"/>
              <w:rPr>
                <w:color w:val="auto"/>
                <w:szCs w:val="21"/>
                <w:highlight w:val="none"/>
              </w:rPr>
            </w:pPr>
            <w:r>
              <w:rPr>
                <w:color w:val="auto"/>
                <w:szCs w:val="21"/>
                <w:highlight w:val="none"/>
              </w:rPr>
              <w:t>资格评审</w:t>
            </w:r>
          </w:p>
        </w:tc>
        <w:tc>
          <w:tcPr>
            <w:tcW w:w="1337" w:type="dxa"/>
            <w:vAlign w:val="center"/>
          </w:tcPr>
          <w:p>
            <w:pPr>
              <w:snapToGrid w:val="0"/>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1</w:t>
            </w:r>
          </w:p>
        </w:tc>
        <w:tc>
          <w:tcPr>
            <w:tcW w:w="2551" w:type="dxa"/>
            <w:vAlign w:val="center"/>
          </w:tcPr>
          <w:p>
            <w:pPr>
              <w:snapToGrid w:val="0"/>
              <w:rPr>
                <w:rFonts w:hint="eastAsia" w:ascii="宋体" w:hAnsi="宋体" w:cs="宋体"/>
                <w:color w:val="auto"/>
                <w:szCs w:val="21"/>
                <w:highlight w:val="none"/>
              </w:rPr>
            </w:pPr>
          </w:p>
        </w:tc>
        <w:tc>
          <w:tcPr>
            <w:tcW w:w="1701" w:type="dxa"/>
            <w:vAlign w:val="center"/>
          </w:tcPr>
          <w:p>
            <w:pPr>
              <w:snapToGrid w:val="0"/>
              <w:jc w:val="center"/>
              <w:rPr>
                <w:color w:val="auto"/>
                <w:szCs w:val="21"/>
                <w:highlight w:val="none"/>
              </w:rPr>
            </w:pPr>
          </w:p>
        </w:tc>
        <w:tc>
          <w:tcPr>
            <w:tcW w:w="1418" w:type="dxa"/>
            <w:vAlign w:val="center"/>
          </w:tcPr>
          <w:p>
            <w:pPr>
              <w:jc w:val="center"/>
              <w:rPr>
                <w:color w:val="auto"/>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2</w:t>
            </w:r>
          </w:p>
        </w:tc>
        <w:tc>
          <w:tcPr>
            <w:tcW w:w="2551" w:type="dxa"/>
            <w:vAlign w:val="center"/>
          </w:tcPr>
          <w:p>
            <w:pPr>
              <w:snapToGrid w:val="0"/>
              <w:rPr>
                <w:rFonts w:hint="eastAsia" w:ascii="宋体" w:hAnsi="宋体"/>
                <w:color w:val="auto"/>
                <w:szCs w:val="21"/>
                <w:highlight w:val="none"/>
              </w:rPr>
            </w:pPr>
          </w:p>
        </w:tc>
        <w:tc>
          <w:tcPr>
            <w:tcW w:w="1701" w:type="dxa"/>
            <w:vAlign w:val="center"/>
          </w:tcPr>
          <w:p>
            <w:pPr>
              <w:snapToGrid w:val="0"/>
              <w:jc w:val="center"/>
              <w:rPr>
                <w:color w:val="auto"/>
                <w:szCs w:val="21"/>
                <w:highlight w:val="none"/>
              </w:rPr>
            </w:pPr>
          </w:p>
        </w:tc>
        <w:tc>
          <w:tcPr>
            <w:tcW w:w="1418" w:type="dxa"/>
            <w:vAlign w:val="center"/>
          </w:tcPr>
          <w:p>
            <w:pPr>
              <w:jc w:val="center"/>
              <w:rPr>
                <w:color w:val="auto"/>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rFonts w:hint="eastAsia"/>
                <w:color w:val="auto"/>
                <w:szCs w:val="21"/>
                <w:highlight w:val="none"/>
              </w:rPr>
              <w:t>...</w:t>
            </w:r>
          </w:p>
        </w:tc>
        <w:tc>
          <w:tcPr>
            <w:tcW w:w="2551" w:type="dxa"/>
            <w:vAlign w:val="center"/>
          </w:tcPr>
          <w:p>
            <w:pPr>
              <w:snapToGrid w:val="0"/>
              <w:rPr>
                <w:rFonts w:hint="eastAsia" w:ascii="宋体" w:hAnsi="宋体" w:cs="宋体"/>
                <w:color w:val="auto"/>
                <w:szCs w:val="21"/>
                <w:highlight w:val="none"/>
              </w:rPr>
            </w:pPr>
          </w:p>
        </w:tc>
        <w:tc>
          <w:tcPr>
            <w:tcW w:w="1701" w:type="dxa"/>
            <w:vAlign w:val="center"/>
          </w:tcPr>
          <w:p>
            <w:pPr>
              <w:snapToGrid w:val="0"/>
              <w:jc w:val="center"/>
              <w:rPr>
                <w:color w:val="auto"/>
                <w:szCs w:val="21"/>
                <w:highlight w:val="none"/>
              </w:rPr>
            </w:pPr>
          </w:p>
        </w:tc>
        <w:tc>
          <w:tcPr>
            <w:tcW w:w="1418" w:type="dxa"/>
            <w:vAlign w:val="center"/>
          </w:tcPr>
          <w:p>
            <w:pPr>
              <w:jc w:val="center"/>
              <w:rPr>
                <w:color w:val="auto"/>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三</w:t>
            </w:r>
          </w:p>
        </w:tc>
        <w:tc>
          <w:tcPr>
            <w:tcW w:w="7229" w:type="dxa"/>
            <w:gridSpan w:val="4"/>
            <w:vAlign w:val="center"/>
          </w:tcPr>
          <w:p>
            <w:pPr>
              <w:snapToGrid w:val="0"/>
              <w:jc w:val="left"/>
              <w:rPr>
                <w:color w:val="auto"/>
                <w:szCs w:val="21"/>
                <w:highlight w:val="none"/>
              </w:rPr>
            </w:pPr>
            <w:r>
              <w:rPr>
                <w:color w:val="auto"/>
                <w:szCs w:val="21"/>
                <w:highlight w:val="none"/>
              </w:rPr>
              <w:t>响应性评审</w:t>
            </w:r>
          </w:p>
        </w:tc>
        <w:tc>
          <w:tcPr>
            <w:tcW w:w="1337" w:type="dxa"/>
            <w:vAlign w:val="center"/>
          </w:tcPr>
          <w:p>
            <w:pPr>
              <w:snapToGrid w:val="0"/>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1</w:t>
            </w:r>
          </w:p>
        </w:tc>
        <w:tc>
          <w:tcPr>
            <w:tcW w:w="2551" w:type="dxa"/>
            <w:vAlign w:val="center"/>
          </w:tcPr>
          <w:p>
            <w:pPr>
              <w:snapToGrid w:val="0"/>
              <w:rPr>
                <w:rFonts w:hint="eastAsia" w:ascii="宋体" w:hAnsi="宋体" w:cs="宋体"/>
                <w:color w:val="auto"/>
                <w:szCs w:val="21"/>
                <w:highlight w:val="none"/>
              </w:rPr>
            </w:pPr>
          </w:p>
        </w:tc>
        <w:tc>
          <w:tcPr>
            <w:tcW w:w="1701" w:type="dxa"/>
            <w:vAlign w:val="center"/>
          </w:tcPr>
          <w:p>
            <w:pPr>
              <w:snapToGrid w:val="0"/>
              <w:jc w:val="center"/>
              <w:rPr>
                <w:color w:val="auto"/>
                <w:szCs w:val="21"/>
                <w:highlight w:val="none"/>
              </w:rPr>
            </w:pPr>
          </w:p>
        </w:tc>
        <w:tc>
          <w:tcPr>
            <w:tcW w:w="1418" w:type="dxa"/>
            <w:vAlign w:val="center"/>
          </w:tcPr>
          <w:p>
            <w:pPr>
              <w:jc w:val="center"/>
              <w:rPr>
                <w:color w:val="auto"/>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2</w:t>
            </w:r>
          </w:p>
        </w:tc>
        <w:tc>
          <w:tcPr>
            <w:tcW w:w="2551" w:type="dxa"/>
            <w:vAlign w:val="center"/>
          </w:tcPr>
          <w:p>
            <w:pPr>
              <w:snapToGrid w:val="0"/>
              <w:rPr>
                <w:rFonts w:hint="eastAsia" w:ascii="宋体" w:hAnsi="宋体" w:cs="宋体"/>
                <w:color w:val="auto"/>
                <w:szCs w:val="21"/>
                <w:highlight w:val="none"/>
              </w:rPr>
            </w:pPr>
          </w:p>
        </w:tc>
        <w:tc>
          <w:tcPr>
            <w:tcW w:w="1701" w:type="dxa"/>
            <w:vAlign w:val="center"/>
          </w:tcPr>
          <w:p>
            <w:pPr>
              <w:snapToGrid w:val="0"/>
              <w:jc w:val="center"/>
              <w:rPr>
                <w:color w:val="auto"/>
                <w:szCs w:val="21"/>
                <w:highlight w:val="none"/>
              </w:rPr>
            </w:pPr>
          </w:p>
        </w:tc>
        <w:tc>
          <w:tcPr>
            <w:tcW w:w="1418" w:type="dxa"/>
            <w:vAlign w:val="center"/>
          </w:tcPr>
          <w:p>
            <w:pPr>
              <w:jc w:val="center"/>
              <w:rPr>
                <w:color w:val="auto"/>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rFonts w:hint="eastAsia"/>
                <w:color w:val="auto"/>
                <w:szCs w:val="21"/>
                <w:highlight w:val="none"/>
              </w:rPr>
              <w:t>...</w:t>
            </w:r>
          </w:p>
        </w:tc>
        <w:tc>
          <w:tcPr>
            <w:tcW w:w="2551" w:type="dxa"/>
            <w:vAlign w:val="center"/>
          </w:tcPr>
          <w:p>
            <w:pPr>
              <w:snapToGrid w:val="0"/>
              <w:rPr>
                <w:rFonts w:hint="eastAsia" w:ascii="宋体" w:hAnsi="宋体" w:cs="宋体"/>
                <w:color w:val="auto"/>
                <w:szCs w:val="21"/>
                <w:highlight w:val="none"/>
              </w:rPr>
            </w:pPr>
          </w:p>
        </w:tc>
        <w:tc>
          <w:tcPr>
            <w:tcW w:w="1701" w:type="dxa"/>
            <w:vAlign w:val="center"/>
          </w:tcPr>
          <w:p>
            <w:pPr>
              <w:snapToGrid w:val="0"/>
              <w:jc w:val="center"/>
              <w:rPr>
                <w:color w:val="auto"/>
                <w:szCs w:val="21"/>
                <w:highlight w:val="none"/>
              </w:rPr>
            </w:pPr>
          </w:p>
        </w:tc>
        <w:tc>
          <w:tcPr>
            <w:tcW w:w="1418" w:type="dxa"/>
            <w:vAlign w:val="center"/>
          </w:tcPr>
          <w:p>
            <w:pPr>
              <w:jc w:val="center"/>
              <w:rPr>
                <w:color w:val="auto"/>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四</w:t>
            </w:r>
          </w:p>
        </w:tc>
        <w:tc>
          <w:tcPr>
            <w:tcW w:w="7229" w:type="dxa"/>
            <w:gridSpan w:val="4"/>
            <w:vAlign w:val="center"/>
          </w:tcPr>
          <w:p>
            <w:pPr>
              <w:snapToGrid w:val="0"/>
              <w:jc w:val="left"/>
              <w:rPr>
                <w:color w:val="auto"/>
                <w:szCs w:val="21"/>
                <w:highlight w:val="none"/>
              </w:rPr>
            </w:pPr>
            <w:r>
              <w:rPr>
                <w:rFonts w:hint="eastAsia" w:ascii="宋体" w:hAnsi="宋体"/>
                <w:color w:val="auto"/>
                <w:szCs w:val="21"/>
                <w:highlight w:val="none"/>
              </w:rPr>
              <w:t>商务部分</w:t>
            </w:r>
            <w:r>
              <w:rPr>
                <w:color w:val="auto"/>
                <w:szCs w:val="21"/>
                <w:highlight w:val="none"/>
              </w:rPr>
              <w:t>评审</w:t>
            </w:r>
          </w:p>
        </w:tc>
        <w:tc>
          <w:tcPr>
            <w:tcW w:w="1337" w:type="dxa"/>
            <w:vAlign w:val="center"/>
          </w:tcPr>
          <w:p>
            <w:pPr>
              <w:snapToGrid w:val="0"/>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1</w:t>
            </w:r>
          </w:p>
        </w:tc>
        <w:tc>
          <w:tcPr>
            <w:tcW w:w="2551" w:type="dxa"/>
            <w:vAlign w:val="center"/>
          </w:tcPr>
          <w:p>
            <w:pPr>
              <w:widowControl/>
              <w:jc w:val="left"/>
              <w:textAlignment w:val="center"/>
              <w:rPr>
                <w:color w:val="auto"/>
                <w:szCs w:val="21"/>
                <w:highlight w:val="none"/>
              </w:rPr>
            </w:pPr>
          </w:p>
        </w:tc>
        <w:tc>
          <w:tcPr>
            <w:tcW w:w="1701" w:type="dxa"/>
            <w:vAlign w:val="center"/>
          </w:tcPr>
          <w:p>
            <w:pPr>
              <w:snapToGrid w:val="0"/>
              <w:jc w:val="center"/>
              <w:rPr>
                <w:color w:val="auto"/>
                <w:szCs w:val="21"/>
                <w:highlight w:val="none"/>
              </w:rPr>
            </w:pPr>
            <w:r>
              <w:rPr>
                <w:color w:val="auto"/>
                <w:szCs w:val="21"/>
                <w:highlight w:val="none"/>
              </w:rPr>
              <w:t>/</w:t>
            </w:r>
          </w:p>
        </w:tc>
        <w:tc>
          <w:tcPr>
            <w:tcW w:w="1418" w:type="dxa"/>
            <w:vAlign w:val="center"/>
          </w:tcPr>
          <w:p>
            <w:pPr>
              <w:snapToGrid w:val="0"/>
              <w:jc w:val="center"/>
              <w:rPr>
                <w:color w:val="auto"/>
                <w:szCs w:val="21"/>
                <w:highlight w:val="none"/>
              </w:rPr>
            </w:pP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2</w:t>
            </w:r>
          </w:p>
        </w:tc>
        <w:tc>
          <w:tcPr>
            <w:tcW w:w="2551" w:type="dxa"/>
            <w:vAlign w:val="center"/>
          </w:tcPr>
          <w:p>
            <w:pPr>
              <w:widowControl/>
              <w:textAlignment w:val="center"/>
              <w:rPr>
                <w:color w:val="auto"/>
                <w:szCs w:val="21"/>
                <w:highlight w:val="none"/>
              </w:rPr>
            </w:pPr>
          </w:p>
        </w:tc>
        <w:tc>
          <w:tcPr>
            <w:tcW w:w="1701" w:type="dxa"/>
            <w:vAlign w:val="center"/>
          </w:tcPr>
          <w:p>
            <w:pPr>
              <w:jc w:val="center"/>
              <w:rPr>
                <w:color w:val="auto"/>
                <w:highlight w:val="none"/>
              </w:rPr>
            </w:pPr>
            <w:r>
              <w:rPr>
                <w:color w:val="auto"/>
                <w:szCs w:val="21"/>
                <w:highlight w:val="none"/>
              </w:rPr>
              <w:t>/</w:t>
            </w:r>
          </w:p>
        </w:tc>
        <w:tc>
          <w:tcPr>
            <w:tcW w:w="1418" w:type="dxa"/>
            <w:vAlign w:val="center"/>
          </w:tcPr>
          <w:p>
            <w:pPr>
              <w:snapToGrid w:val="0"/>
              <w:jc w:val="center"/>
              <w:rPr>
                <w:color w:val="auto"/>
                <w:szCs w:val="21"/>
                <w:highlight w:val="none"/>
              </w:rPr>
            </w:pP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rFonts w:hint="eastAsia"/>
                <w:color w:val="auto"/>
                <w:szCs w:val="21"/>
                <w:highlight w:val="none"/>
              </w:rPr>
              <w:t>...</w:t>
            </w:r>
          </w:p>
        </w:tc>
        <w:tc>
          <w:tcPr>
            <w:tcW w:w="2551" w:type="dxa"/>
            <w:vAlign w:val="center"/>
          </w:tcPr>
          <w:p>
            <w:pPr>
              <w:widowControl/>
              <w:textAlignment w:val="center"/>
              <w:rPr>
                <w:color w:val="auto"/>
                <w:szCs w:val="21"/>
                <w:highlight w:val="none"/>
              </w:rPr>
            </w:pPr>
          </w:p>
        </w:tc>
        <w:tc>
          <w:tcPr>
            <w:tcW w:w="1701" w:type="dxa"/>
            <w:vAlign w:val="center"/>
          </w:tcPr>
          <w:p>
            <w:pPr>
              <w:jc w:val="center"/>
              <w:rPr>
                <w:color w:val="auto"/>
                <w:highlight w:val="none"/>
              </w:rPr>
            </w:pPr>
            <w:r>
              <w:rPr>
                <w:color w:val="auto"/>
                <w:szCs w:val="21"/>
                <w:highlight w:val="none"/>
              </w:rPr>
              <w:t>/</w:t>
            </w:r>
          </w:p>
        </w:tc>
        <w:tc>
          <w:tcPr>
            <w:tcW w:w="1418" w:type="dxa"/>
            <w:vAlign w:val="center"/>
          </w:tcPr>
          <w:p>
            <w:pPr>
              <w:snapToGrid w:val="0"/>
              <w:jc w:val="center"/>
              <w:rPr>
                <w:color w:val="auto"/>
                <w:szCs w:val="21"/>
                <w:highlight w:val="none"/>
              </w:rPr>
            </w:pP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rFonts w:hint="eastAsia"/>
                <w:color w:val="auto"/>
                <w:szCs w:val="21"/>
                <w:highlight w:val="none"/>
              </w:rPr>
              <w:t>五</w:t>
            </w:r>
          </w:p>
        </w:tc>
        <w:tc>
          <w:tcPr>
            <w:tcW w:w="7229" w:type="dxa"/>
            <w:gridSpan w:val="4"/>
            <w:vAlign w:val="center"/>
          </w:tcPr>
          <w:p>
            <w:pPr>
              <w:pStyle w:val="542"/>
              <w:spacing w:line="273" w:lineRule="exact"/>
              <w:rPr>
                <w:color w:val="auto"/>
                <w:highlight w:val="none"/>
              </w:rPr>
            </w:pPr>
            <w:r>
              <w:rPr>
                <w:rFonts w:hint="eastAsia" w:ascii="宋体" w:hAnsi="宋体"/>
                <w:color w:val="auto"/>
                <w:szCs w:val="21"/>
                <w:highlight w:val="none"/>
              </w:rPr>
              <w:t>技术部分</w:t>
            </w:r>
            <w:r>
              <w:rPr>
                <w:color w:val="auto"/>
                <w:szCs w:val="21"/>
                <w:highlight w:val="none"/>
              </w:rPr>
              <w:t>评审</w:t>
            </w:r>
          </w:p>
        </w:tc>
        <w:tc>
          <w:tcPr>
            <w:tcW w:w="1337" w:type="dxa"/>
            <w:vAlign w:val="center"/>
          </w:tcPr>
          <w:p>
            <w:pPr>
              <w:pStyle w:val="542"/>
              <w:spacing w:line="273"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1</w:t>
            </w:r>
          </w:p>
        </w:tc>
        <w:tc>
          <w:tcPr>
            <w:tcW w:w="2551" w:type="dxa"/>
            <w:vAlign w:val="center"/>
          </w:tcPr>
          <w:p>
            <w:pPr>
              <w:widowControl/>
              <w:jc w:val="left"/>
              <w:textAlignment w:val="center"/>
              <w:rPr>
                <w:color w:val="auto"/>
                <w:szCs w:val="21"/>
                <w:highlight w:val="none"/>
              </w:rPr>
            </w:pPr>
          </w:p>
        </w:tc>
        <w:tc>
          <w:tcPr>
            <w:tcW w:w="1701" w:type="dxa"/>
            <w:vAlign w:val="center"/>
          </w:tcPr>
          <w:p>
            <w:pPr>
              <w:jc w:val="center"/>
              <w:rPr>
                <w:color w:val="auto"/>
                <w:szCs w:val="21"/>
                <w:highlight w:val="none"/>
              </w:rPr>
            </w:pPr>
            <w:r>
              <w:rPr>
                <w:color w:val="auto"/>
                <w:szCs w:val="21"/>
                <w:highlight w:val="none"/>
              </w:rPr>
              <w:t>/</w:t>
            </w:r>
          </w:p>
        </w:tc>
        <w:tc>
          <w:tcPr>
            <w:tcW w:w="1418" w:type="dxa"/>
            <w:vAlign w:val="center"/>
          </w:tcPr>
          <w:p>
            <w:pPr>
              <w:jc w:val="center"/>
              <w:rPr>
                <w:color w:val="auto"/>
                <w:szCs w:val="21"/>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color w:val="auto"/>
                <w:szCs w:val="21"/>
                <w:highlight w:val="none"/>
              </w:rPr>
              <w:t>2</w:t>
            </w:r>
          </w:p>
        </w:tc>
        <w:tc>
          <w:tcPr>
            <w:tcW w:w="2551" w:type="dxa"/>
            <w:vAlign w:val="center"/>
          </w:tcPr>
          <w:p>
            <w:pPr>
              <w:widowControl/>
              <w:textAlignment w:val="center"/>
              <w:rPr>
                <w:color w:val="auto"/>
                <w:szCs w:val="21"/>
                <w:highlight w:val="none"/>
              </w:rPr>
            </w:pPr>
          </w:p>
        </w:tc>
        <w:tc>
          <w:tcPr>
            <w:tcW w:w="1701" w:type="dxa"/>
            <w:vAlign w:val="center"/>
          </w:tcPr>
          <w:p>
            <w:pPr>
              <w:jc w:val="center"/>
              <w:rPr>
                <w:color w:val="auto"/>
                <w:szCs w:val="21"/>
                <w:highlight w:val="none"/>
              </w:rPr>
            </w:pPr>
            <w:r>
              <w:rPr>
                <w:color w:val="auto"/>
                <w:szCs w:val="21"/>
                <w:highlight w:val="none"/>
              </w:rPr>
              <w:t>/</w:t>
            </w:r>
          </w:p>
        </w:tc>
        <w:tc>
          <w:tcPr>
            <w:tcW w:w="1418" w:type="dxa"/>
            <w:vAlign w:val="center"/>
          </w:tcPr>
          <w:p>
            <w:pPr>
              <w:jc w:val="center"/>
              <w:rPr>
                <w:color w:val="auto"/>
                <w:szCs w:val="21"/>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snapToGrid w:val="0"/>
              <w:jc w:val="center"/>
              <w:rPr>
                <w:color w:val="auto"/>
                <w:szCs w:val="21"/>
                <w:highlight w:val="none"/>
              </w:rPr>
            </w:pPr>
            <w:r>
              <w:rPr>
                <w:rFonts w:hint="eastAsia"/>
                <w:color w:val="auto"/>
                <w:szCs w:val="21"/>
                <w:highlight w:val="none"/>
              </w:rPr>
              <w:t>...</w:t>
            </w:r>
          </w:p>
        </w:tc>
        <w:tc>
          <w:tcPr>
            <w:tcW w:w="2551" w:type="dxa"/>
            <w:vAlign w:val="center"/>
          </w:tcPr>
          <w:p>
            <w:pPr>
              <w:widowControl/>
              <w:textAlignment w:val="center"/>
              <w:rPr>
                <w:color w:val="auto"/>
                <w:szCs w:val="21"/>
                <w:highlight w:val="none"/>
              </w:rPr>
            </w:pPr>
          </w:p>
        </w:tc>
        <w:tc>
          <w:tcPr>
            <w:tcW w:w="1701" w:type="dxa"/>
            <w:vAlign w:val="center"/>
          </w:tcPr>
          <w:p>
            <w:pPr>
              <w:jc w:val="center"/>
              <w:rPr>
                <w:color w:val="auto"/>
                <w:szCs w:val="21"/>
                <w:highlight w:val="none"/>
              </w:rPr>
            </w:pPr>
            <w:r>
              <w:rPr>
                <w:color w:val="auto"/>
                <w:szCs w:val="21"/>
                <w:highlight w:val="none"/>
              </w:rPr>
              <w:t>/</w:t>
            </w:r>
          </w:p>
        </w:tc>
        <w:tc>
          <w:tcPr>
            <w:tcW w:w="1418" w:type="dxa"/>
            <w:vAlign w:val="center"/>
          </w:tcPr>
          <w:p>
            <w:pPr>
              <w:jc w:val="center"/>
              <w:rPr>
                <w:color w:val="auto"/>
                <w:szCs w:val="21"/>
                <w:highlight w:val="none"/>
              </w:rPr>
            </w:pPr>
            <w:r>
              <w:rPr>
                <w:color w:val="auto"/>
                <w:szCs w:val="21"/>
                <w:highlight w:val="none"/>
              </w:rPr>
              <w:t>/</w:t>
            </w:r>
          </w:p>
        </w:tc>
        <w:tc>
          <w:tcPr>
            <w:tcW w:w="1559" w:type="dxa"/>
            <w:vAlign w:val="center"/>
          </w:tcPr>
          <w:p>
            <w:pPr>
              <w:snapToGrid w:val="0"/>
              <w:rPr>
                <w:color w:val="auto"/>
                <w:szCs w:val="21"/>
                <w:highlight w:val="none"/>
              </w:rPr>
            </w:pPr>
          </w:p>
        </w:tc>
        <w:tc>
          <w:tcPr>
            <w:tcW w:w="1337" w:type="dxa"/>
            <w:vAlign w:val="center"/>
          </w:tcPr>
          <w:p>
            <w:pPr>
              <w:snapToGrid w:val="0"/>
              <w:rPr>
                <w:color w:val="auto"/>
                <w:szCs w:val="21"/>
                <w:highlight w:val="none"/>
              </w:rPr>
            </w:pPr>
          </w:p>
        </w:tc>
      </w:tr>
    </w:tbl>
    <w:p>
      <w:pPr>
        <w:spacing w:line="540" w:lineRule="exact"/>
        <w:rPr>
          <w:color w:val="auto"/>
          <w:highlight w:val="none"/>
        </w:rPr>
      </w:pPr>
      <w:r>
        <w:rPr>
          <w:rFonts w:hint="eastAsia"/>
          <w:color w:val="auto"/>
          <w:highlight w:val="none"/>
        </w:rPr>
        <w:t>注</w:t>
      </w:r>
      <w:r>
        <w:rPr>
          <w:color w:val="auto"/>
          <w:highlight w:val="none"/>
        </w:rPr>
        <w:t>：</w:t>
      </w:r>
      <w:r>
        <w:rPr>
          <w:rFonts w:hint="eastAsia"/>
          <w:color w:val="auto"/>
          <w:highlight w:val="none"/>
        </w:rPr>
        <w:t>投标人根据评标办法前附表及评分细则编制评标要素索引表，上表仅为参考，投标人可自行增减及拆分。</w:t>
      </w:r>
    </w:p>
    <w:p>
      <w:pPr>
        <w:spacing w:line="540" w:lineRule="exact"/>
        <w:rPr>
          <w:rFonts w:eastAsia="黑体"/>
          <w:b/>
          <w:color w:val="auto"/>
          <w:sz w:val="20"/>
          <w:szCs w:val="20"/>
          <w:highlight w:val="none"/>
        </w:rPr>
      </w:pPr>
      <w:r>
        <w:rPr>
          <w:b/>
          <w:color w:val="auto"/>
          <w:sz w:val="28"/>
          <w:highlight w:val="none"/>
        </w:rPr>
        <w:br w:type="page"/>
      </w:r>
    </w:p>
    <w:p>
      <w:pPr>
        <w:pStyle w:val="5"/>
        <w:jc w:val="center"/>
        <w:rPr>
          <w:color w:val="auto"/>
          <w:highlight w:val="none"/>
        </w:rPr>
      </w:pPr>
      <w:bookmarkStart w:id="1124" w:name="_Toc152045788"/>
      <w:bookmarkStart w:id="1125" w:name="_Toc247085874"/>
      <w:bookmarkStart w:id="1126" w:name="_Toc152042577"/>
      <w:bookmarkStart w:id="1127" w:name="_Toc246996356"/>
      <w:bookmarkStart w:id="1128" w:name="_Toc246997099"/>
      <w:bookmarkStart w:id="1129" w:name="_Toc179632808"/>
      <w:bookmarkStart w:id="1130" w:name="_Toc11974"/>
      <w:bookmarkStart w:id="1131" w:name="_Toc144974857"/>
      <w:r>
        <w:rPr>
          <w:color w:val="auto"/>
          <w:highlight w:val="none"/>
        </w:rPr>
        <w:t>一、投标函及投标函附录</w:t>
      </w:r>
      <w:bookmarkEnd w:id="1124"/>
      <w:bookmarkEnd w:id="1125"/>
      <w:bookmarkEnd w:id="1126"/>
      <w:bookmarkEnd w:id="1127"/>
      <w:bookmarkEnd w:id="1128"/>
      <w:bookmarkEnd w:id="1129"/>
      <w:bookmarkEnd w:id="1130"/>
      <w:bookmarkEnd w:id="1131"/>
    </w:p>
    <w:p>
      <w:pPr>
        <w:pStyle w:val="6"/>
        <w:jc w:val="center"/>
        <w:rPr>
          <w:color w:val="auto"/>
          <w:highlight w:val="none"/>
        </w:rPr>
      </w:pPr>
      <w:bookmarkStart w:id="1132" w:name="_Toc152045789"/>
      <w:bookmarkStart w:id="1133" w:name="_Toc247085875"/>
      <w:bookmarkStart w:id="1134" w:name="_Toc152042578"/>
      <w:bookmarkStart w:id="1135" w:name="_Toc246997100"/>
      <w:bookmarkStart w:id="1136" w:name="_Toc246996357"/>
      <w:bookmarkStart w:id="1137" w:name="_Toc26415"/>
      <w:bookmarkStart w:id="1138" w:name="_Toc144974858"/>
      <w:bookmarkStart w:id="1139" w:name="_Toc179632809"/>
      <w:bookmarkStart w:id="1140" w:name="_Toc55505188"/>
      <w:bookmarkStart w:id="1141" w:name="_Toc529528981"/>
      <w:r>
        <w:rPr>
          <w:color w:val="auto"/>
          <w:highlight w:val="none"/>
        </w:rPr>
        <w:t>（一）投标函</w:t>
      </w:r>
      <w:bookmarkEnd w:id="1132"/>
      <w:bookmarkEnd w:id="1133"/>
      <w:bookmarkEnd w:id="1134"/>
      <w:bookmarkEnd w:id="1135"/>
      <w:bookmarkEnd w:id="1136"/>
      <w:bookmarkEnd w:id="1137"/>
      <w:bookmarkEnd w:id="1138"/>
      <w:bookmarkEnd w:id="1139"/>
      <w:bookmarkEnd w:id="1140"/>
      <w:bookmarkEnd w:id="1141"/>
    </w:p>
    <w:p>
      <w:pPr>
        <w:spacing w:line="440" w:lineRule="exact"/>
        <w:rPr>
          <w:color w:val="auto"/>
          <w:szCs w:val="21"/>
          <w:highlight w:val="none"/>
        </w:rPr>
      </w:pPr>
      <w:r>
        <w:rPr>
          <w:color w:val="auto"/>
          <w:szCs w:val="21"/>
          <w:highlight w:val="none"/>
          <w:u w:val="single"/>
        </w:rPr>
        <w:t xml:space="preserve">                        </w:t>
      </w:r>
      <w:r>
        <w:rPr>
          <w:color w:val="auto"/>
          <w:szCs w:val="21"/>
          <w:highlight w:val="none"/>
        </w:rPr>
        <w:t>（招标人名称）：</w:t>
      </w:r>
    </w:p>
    <w:p>
      <w:pPr>
        <w:spacing w:line="440" w:lineRule="exact"/>
        <w:rPr>
          <w:color w:val="auto"/>
          <w:szCs w:val="21"/>
          <w:highlight w:val="none"/>
        </w:rPr>
      </w:pPr>
    </w:p>
    <w:p>
      <w:pPr>
        <w:spacing w:line="440" w:lineRule="exact"/>
        <w:ind w:firstLine="420" w:firstLineChars="200"/>
        <w:rPr>
          <w:color w:val="auto"/>
          <w:szCs w:val="21"/>
          <w:highlight w:val="none"/>
        </w:rPr>
      </w:pPr>
      <w:r>
        <w:rPr>
          <w:color w:val="auto"/>
          <w:szCs w:val="21"/>
          <w:highlight w:val="none"/>
        </w:rPr>
        <w:t>1．我方已仔细研究了</w:t>
      </w:r>
      <w:r>
        <w:rPr>
          <w:color w:val="auto"/>
          <w:szCs w:val="21"/>
          <w:highlight w:val="none"/>
          <w:u w:val="single"/>
        </w:rPr>
        <w:t xml:space="preserve">                   </w:t>
      </w:r>
      <w:r>
        <w:rPr>
          <w:color w:val="auto"/>
          <w:szCs w:val="21"/>
          <w:highlight w:val="none"/>
        </w:rPr>
        <w:t>（项目名称）招标文件的全部内容，愿意以人民币（大写）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）的投标总报价，工期</w:t>
      </w:r>
      <w:r>
        <w:rPr>
          <w:color w:val="auto"/>
          <w:szCs w:val="21"/>
          <w:highlight w:val="none"/>
          <w:u w:val="single"/>
        </w:rPr>
        <w:t xml:space="preserve">           </w:t>
      </w:r>
      <w:r>
        <w:rPr>
          <w:color w:val="auto"/>
          <w:szCs w:val="21"/>
          <w:highlight w:val="none"/>
        </w:rPr>
        <w:t>，按合同约定实施和完成承包工程，修补工程中的任何缺陷，工程质量达到</w:t>
      </w:r>
      <w:r>
        <w:rPr>
          <w:color w:val="auto"/>
          <w:szCs w:val="21"/>
          <w:highlight w:val="none"/>
          <w:u w:val="single"/>
        </w:rPr>
        <w:t xml:space="preserve">           </w:t>
      </w:r>
      <w:r>
        <w:rPr>
          <w:color w:val="auto"/>
          <w:szCs w:val="21"/>
          <w:highlight w:val="none"/>
        </w:rPr>
        <w:t>。</w:t>
      </w:r>
    </w:p>
    <w:p>
      <w:pPr>
        <w:spacing w:line="440" w:lineRule="exact"/>
        <w:ind w:firstLine="420" w:firstLineChars="200"/>
        <w:rPr>
          <w:color w:val="auto"/>
          <w:szCs w:val="21"/>
          <w:highlight w:val="none"/>
        </w:rPr>
      </w:pPr>
      <w:r>
        <w:rPr>
          <w:color w:val="auto"/>
          <w:szCs w:val="21"/>
          <w:highlight w:val="none"/>
        </w:rPr>
        <w:t>2．我方的投标文件包括下列内容：</w:t>
      </w:r>
    </w:p>
    <w:p>
      <w:pPr>
        <w:spacing w:line="400" w:lineRule="exact"/>
        <w:ind w:firstLine="405"/>
        <w:rPr>
          <w:color w:val="auto"/>
          <w:szCs w:val="21"/>
          <w:highlight w:val="none"/>
        </w:rPr>
      </w:pPr>
      <w:r>
        <w:rPr>
          <w:color w:val="auto"/>
          <w:szCs w:val="21"/>
          <w:highlight w:val="none"/>
        </w:rPr>
        <w:t>（1）商务部分；</w:t>
      </w:r>
    </w:p>
    <w:p>
      <w:pPr>
        <w:spacing w:line="400" w:lineRule="exact"/>
        <w:ind w:firstLine="405"/>
        <w:rPr>
          <w:color w:val="auto"/>
          <w:szCs w:val="21"/>
          <w:highlight w:val="none"/>
        </w:rPr>
      </w:pPr>
      <w:r>
        <w:rPr>
          <w:color w:val="auto"/>
          <w:szCs w:val="21"/>
          <w:highlight w:val="none"/>
        </w:rPr>
        <w:t>（2）技术部分。</w:t>
      </w:r>
    </w:p>
    <w:p>
      <w:pPr>
        <w:spacing w:line="440" w:lineRule="exact"/>
        <w:ind w:firstLine="420" w:firstLineChars="200"/>
        <w:rPr>
          <w:color w:val="auto"/>
          <w:szCs w:val="21"/>
          <w:highlight w:val="none"/>
        </w:rPr>
      </w:pPr>
      <w:r>
        <w:rPr>
          <w:color w:val="auto"/>
          <w:szCs w:val="21"/>
          <w:highlight w:val="none"/>
        </w:rPr>
        <w:t>投标文件的上述组成部分如存在内容不一致的，以投标函为准。</w:t>
      </w:r>
    </w:p>
    <w:p>
      <w:pPr>
        <w:spacing w:line="440" w:lineRule="exact"/>
        <w:ind w:firstLine="420" w:firstLineChars="200"/>
        <w:rPr>
          <w:color w:val="auto"/>
          <w:szCs w:val="21"/>
          <w:highlight w:val="none"/>
        </w:rPr>
      </w:pPr>
      <w:r>
        <w:rPr>
          <w:color w:val="auto"/>
          <w:szCs w:val="21"/>
          <w:highlight w:val="none"/>
        </w:rPr>
        <w:t>3．我方承诺在招标文件规定的投标有效期内不修改、撤销投标文件。</w:t>
      </w:r>
    </w:p>
    <w:p>
      <w:pPr>
        <w:spacing w:line="440" w:lineRule="exact"/>
        <w:ind w:firstLine="420" w:firstLineChars="200"/>
        <w:rPr>
          <w:color w:val="auto"/>
          <w:szCs w:val="21"/>
          <w:highlight w:val="none"/>
        </w:rPr>
      </w:pPr>
      <w:r>
        <w:rPr>
          <w:color w:val="auto"/>
          <w:szCs w:val="21"/>
          <w:highlight w:val="none"/>
        </w:rPr>
        <w:t>4．随同本投标函提交投标保证金一份，金额为人民币（大写）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w:t>
      </w:r>
    </w:p>
    <w:p>
      <w:pPr>
        <w:spacing w:line="440" w:lineRule="exact"/>
        <w:ind w:firstLine="420" w:firstLineChars="200"/>
        <w:rPr>
          <w:color w:val="auto"/>
          <w:szCs w:val="21"/>
          <w:highlight w:val="none"/>
        </w:rPr>
      </w:pPr>
      <w:r>
        <w:rPr>
          <w:color w:val="auto"/>
          <w:szCs w:val="21"/>
          <w:highlight w:val="none"/>
        </w:rPr>
        <w:t>5．如我方中标：</w:t>
      </w:r>
    </w:p>
    <w:p>
      <w:pPr>
        <w:spacing w:line="440" w:lineRule="exact"/>
        <w:ind w:firstLine="718" w:firstLineChars="342"/>
        <w:rPr>
          <w:color w:val="auto"/>
          <w:szCs w:val="21"/>
          <w:highlight w:val="none"/>
        </w:rPr>
      </w:pPr>
      <w:r>
        <w:rPr>
          <w:color w:val="auto"/>
          <w:szCs w:val="21"/>
          <w:highlight w:val="none"/>
        </w:rPr>
        <w:t>（1）我方承诺在收到中标通知书后，在中标通知书规定的期限内与你方签订合同。</w:t>
      </w:r>
    </w:p>
    <w:p>
      <w:pPr>
        <w:spacing w:line="440" w:lineRule="exact"/>
        <w:ind w:firstLine="718" w:firstLineChars="342"/>
        <w:rPr>
          <w:color w:val="auto"/>
          <w:szCs w:val="21"/>
          <w:highlight w:val="none"/>
        </w:rPr>
      </w:pPr>
      <w:r>
        <w:rPr>
          <w:color w:val="auto"/>
          <w:szCs w:val="21"/>
          <w:highlight w:val="none"/>
        </w:rPr>
        <w:t>（2）随同本投标函递交的投标函附录属于合同文件的组成部分。</w:t>
      </w:r>
    </w:p>
    <w:p>
      <w:pPr>
        <w:spacing w:line="440" w:lineRule="exact"/>
        <w:ind w:firstLine="718" w:firstLineChars="342"/>
        <w:rPr>
          <w:color w:val="auto"/>
          <w:szCs w:val="21"/>
          <w:highlight w:val="none"/>
        </w:rPr>
      </w:pPr>
      <w:r>
        <w:rPr>
          <w:color w:val="auto"/>
          <w:szCs w:val="21"/>
          <w:highlight w:val="none"/>
        </w:rPr>
        <w:t>（3）我方承诺按照招标文件规定向你方递交履约担保。</w:t>
      </w:r>
    </w:p>
    <w:p>
      <w:pPr>
        <w:spacing w:line="440" w:lineRule="exact"/>
        <w:ind w:firstLine="718" w:firstLineChars="342"/>
        <w:rPr>
          <w:color w:val="auto"/>
          <w:szCs w:val="21"/>
          <w:highlight w:val="none"/>
        </w:rPr>
      </w:pPr>
      <w:r>
        <w:rPr>
          <w:color w:val="auto"/>
          <w:szCs w:val="21"/>
          <w:highlight w:val="none"/>
        </w:rPr>
        <w:t>（4）我方承诺在合同约定的期限内完成并移交全部合同工程。</w:t>
      </w:r>
    </w:p>
    <w:p>
      <w:pPr>
        <w:spacing w:line="440" w:lineRule="exact"/>
        <w:ind w:firstLine="420" w:firstLineChars="200"/>
        <w:rPr>
          <w:color w:val="auto"/>
          <w:highlight w:val="none"/>
        </w:rPr>
      </w:pPr>
      <w:r>
        <w:rPr>
          <w:color w:val="auto"/>
          <w:szCs w:val="21"/>
          <w:highlight w:val="none"/>
        </w:rPr>
        <w:t>6．</w:t>
      </w:r>
      <w:r>
        <w:rPr>
          <w:color w:val="auto"/>
          <w:highlight w:val="none"/>
        </w:rPr>
        <w:t>我方在此声明，所递交的投标文件及有关资料内容完整、真实和准确，且不存在第二章“投标人须知”第1.4.3项和第1.4.4项规定的任何一种情形。</w:t>
      </w:r>
    </w:p>
    <w:p>
      <w:pPr>
        <w:spacing w:line="440" w:lineRule="exact"/>
        <w:ind w:firstLine="420" w:firstLineChars="200"/>
        <w:rPr>
          <w:color w:val="auto"/>
          <w:szCs w:val="21"/>
          <w:highlight w:val="none"/>
        </w:rPr>
      </w:pPr>
      <w:r>
        <w:rPr>
          <w:color w:val="auto"/>
          <w:szCs w:val="21"/>
          <w:highlight w:val="none"/>
        </w:rPr>
        <w:t>7．我方在此声明，本次投标的投标价格不低于成本价。</w:t>
      </w:r>
    </w:p>
    <w:p>
      <w:pPr>
        <w:spacing w:line="440" w:lineRule="exact"/>
        <w:ind w:firstLine="420" w:firstLineChars="200"/>
        <w:rPr>
          <w:color w:val="auto"/>
          <w:highlight w:val="none"/>
        </w:rPr>
      </w:pPr>
      <w:r>
        <w:rPr>
          <w:rFonts w:hint="eastAsia"/>
          <w:color w:val="auto"/>
          <w:szCs w:val="21"/>
          <w:highlight w:val="none"/>
        </w:rPr>
        <w:t>8．我方</w:t>
      </w:r>
      <w:r>
        <w:rPr>
          <w:color w:val="auto"/>
          <w:szCs w:val="21"/>
          <w:highlight w:val="none"/>
        </w:rPr>
        <w:t>在此</w:t>
      </w:r>
      <w:r>
        <w:rPr>
          <w:rFonts w:hint="eastAsia"/>
          <w:color w:val="auto"/>
          <w:szCs w:val="21"/>
          <w:highlight w:val="none"/>
        </w:rPr>
        <w:t>承诺</w:t>
      </w:r>
      <w:r>
        <w:rPr>
          <w:color w:val="auto"/>
          <w:szCs w:val="21"/>
          <w:highlight w:val="none"/>
        </w:rPr>
        <w:t>，本项目</w:t>
      </w:r>
      <w:r>
        <w:rPr>
          <w:rFonts w:hint="eastAsia"/>
          <w:color w:val="auto"/>
          <w:szCs w:val="21"/>
          <w:highlight w:val="none"/>
        </w:rPr>
        <w:t>拟派项目负责人</w:t>
      </w:r>
      <w:r>
        <w:rPr>
          <w:rFonts w:hint="eastAsia"/>
          <w:color w:val="auto"/>
          <w:highlight w:val="none"/>
        </w:rPr>
        <w:t>在“广东省建筑市场监管与公共服务平台”中未被锁定，且在其他省、市公共资源交易平台系统中未被锁定，在全国范围内没有在建工程。</w:t>
      </w:r>
    </w:p>
    <w:p>
      <w:pPr>
        <w:spacing w:line="440" w:lineRule="exact"/>
        <w:ind w:firstLine="420" w:firstLineChars="200"/>
        <w:rPr>
          <w:color w:val="auto"/>
          <w:szCs w:val="21"/>
          <w:highlight w:val="none"/>
        </w:rPr>
      </w:pPr>
      <w:r>
        <w:rPr>
          <w:rFonts w:hint="eastAsia"/>
          <w:color w:val="auto"/>
          <w:szCs w:val="21"/>
          <w:highlight w:val="none"/>
        </w:rPr>
        <w:t>9．我方承诺：我方近三年（</w:t>
      </w:r>
      <w:r>
        <w:rPr>
          <w:color w:val="auto"/>
          <w:szCs w:val="21"/>
          <w:highlight w:val="none"/>
        </w:rPr>
        <w:t>202</w:t>
      </w:r>
      <w:r>
        <w:rPr>
          <w:rFonts w:hint="eastAsia"/>
          <w:color w:val="auto"/>
          <w:szCs w:val="21"/>
          <w:highlight w:val="none"/>
        </w:rPr>
        <w:t>2年</w:t>
      </w:r>
      <w:r>
        <w:rPr>
          <w:color w:val="auto"/>
          <w:szCs w:val="21"/>
          <w:highlight w:val="none"/>
        </w:rPr>
        <w:t>1</w:t>
      </w:r>
      <w:r>
        <w:rPr>
          <w:rFonts w:hint="eastAsia"/>
          <w:color w:val="auto"/>
          <w:szCs w:val="21"/>
          <w:highlight w:val="none"/>
        </w:rPr>
        <w:t>月</w:t>
      </w:r>
      <w:r>
        <w:rPr>
          <w:color w:val="auto"/>
          <w:szCs w:val="21"/>
          <w:highlight w:val="none"/>
        </w:rPr>
        <w:t>1</w:t>
      </w:r>
      <w:r>
        <w:rPr>
          <w:rFonts w:hint="eastAsia"/>
          <w:color w:val="auto"/>
          <w:szCs w:val="21"/>
          <w:highlight w:val="none"/>
        </w:rPr>
        <w:t>日至投标截止时间止）未出现过拖欠农民工工资及供货商材料款的舆情事件。如发生承建项目账户资金被冻结问题，我方必定限期解决，并确保中央资金安全。</w:t>
      </w:r>
    </w:p>
    <w:p>
      <w:pPr>
        <w:spacing w:line="440" w:lineRule="exact"/>
        <w:ind w:firstLine="420" w:firstLineChars="200"/>
        <w:rPr>
          <w:color w:val="auto"/>
          <w:szCs w:val="21"/>
          <w:highlight w:val="none"/>
        </w:rPr>
      </w:pPr>
      <w:r>
        <w:rPr>
          <w:rFonts w:hint="eastAsia"/>
          <w:color w:val="auto"/>
          <w:szCs w:val="21"/>
          <w:highlight w:val="none"/>
        </w:rPr>
        <w:t>10</w:t>
      </w:r>
      <w:r>
        <w:rPr>
          <w:color w:val="auto"/>
          <w:szCs w:val="21"/>
          <w:highlight w:val="none"/>
        </w:rPr>
        <w:t>．</w:t>
      </w:r>
      <w:r>
        <w:rPr>
          <w:color w:val="auto"/>
          <w:szCs w:val="21"/>
          <w:highlight w:val="none"/>
          <w:u w:val="single"/>
        </w:rPr>
        <w:t xml:space="preserve">                                       </w:t>
      </w:r>
      <w:r>
        <w:rPr>
          <w:color w:val="auto"/>
          <w:szCs w:val="21"/>
          <w:highlight w:val="none"/>
        </w:rPr>
        <w:t>（其他补充说明）。</w:t>
      </w:r>
    </w:p>
    <w:p>
      <w:pPr>
        <w:spacing w:line="440" w:lineRule="exact"/>
        <w:rPr>
          <w:color w:val="auto"/>
          <w:szCs w:val="21"/>
          <w:highlight w:val="none"/>
        </w:rPr>
      </w:pPr>
    </w:p>
    <w:p>
      <w:pPr>
        <w:spacing w:line="440" w:lineRule="exact"/>
        <w:rPr>
          <w:color w:val="auto"/>
          <w:szCs w:val="21"/>
          <w:highlight w:val="none"/>
        </w:rPr>
      </w:pPr>
    </w:p>
    <w:p>
      <w:pPr>
        <w:spacing w:line="440" w:lineRule="exact"/>
        <w:ind w:firstLine="3675" w:firstLineChars="175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（签字</w:t>
      </w:r>
      <w:r>
        <w:rPr>
          <w:rFonts w:hint="eastAsia" w:ascii="宋体" w:hAnsi="宋体"/>
          <w:color w:val="auto"/>
          <w:szCs w:val="21"/>
          <w:highlight w:val="none"/>
        </w:rPr>
        <w:t>或署印</w:t>
      </w:r>
      <w:r>
        <w:rPr>
          <w:color w:val="auto"/>
          <w:szCs w:val="21"/>
          <w:highlight w:val="none"/>
        </w:rPr>
        <w:t>）</w:t>
      </w:r>
    </w:p>
    <w:p>
      <w:pPr>
        <w:spacing w:line="440" w:lineRule="exact"/>
        <w:ind w:firstLine="3675" w:firstLineChars="1750"/>
        <w:rPr>
          <w:color w:val="auto"/>
          <w:szCs w:val="21"/>
          <w:highlight w:val="none"/>
        </w:rPr>
      </w:pPr>
    </w:p>
    <w:p>
      <w:pPr>
        <w:spacing w:line="440" w:lineRule="exact"/>
        <w:ind w:firstLine="3675" w:firstLineChars="1750"/>
        <w:rPr>
          <w:color w:val="auto"/>
          <w:szCs w:val="21"/>
          <w:highlight w:val="none"/>
        </w:rPr>
      </w:pPr>
      <w:r>
        <w:rPr>
          <w:color w:val="auto"/>
          <w:szCs w:val="21"/>
          <w:highlight w:val="none"/>
        </w:rPr>
        <w:t>项目负责人：</w:t>
      </w:r>
      <w:r>
        <w:rPr>
          <w:color w:val="auto"/>
          <w:szCs w:val="21"/>
          <w:highlight w:val="none"/>
          <w:u w:val="single"/>
        </w:rPr>
        <w:t xml:space="preserve">                    </w:t>
      </w:r>
      <w:r>
        <w:rPr>
          <w:color w:val="auto"/>
          <w:szCs w:val="21"/>
          <w:highlight w:val="none"/>
        </w:rPr>
        <w:t>（签字）</w:t>
      </w:r>
    </w:p>
    <w:p>
      <w:pPr>
        <w:spacing w:line="440" w:lineRule="exact"/>
        <w:ind w:firstLine="3675" w:firstLineChars="1750"/>
        <w:rPr>
          <w:color w:val="auto"/>
          <w:szCs w:val="21"/>
          <w:highlight w:val="none"/>
        </w:rPr>
      </w:pPr>
    </w:p>
    <w:p>
      <w:pPr>
        <w:spacing w:line="440" w:lineRule="exact"/>
        <w:ind w:firstLine="3675" w:firstLineChars="1750"/>
        <w:rPr>
          <w:color w:val="auto"/>
          <w:szCs w:val="21"/>
          <w:highlight w:val="none"/>
        </w:rPr>
      </w:pPr>
    </w:p>
    <w:p>
      <w:pPr>
        <w:spacing w:line="440" w:lineRule="exact"/>
        <w:ind w:firstLine="3675" w:firstLineChars="1750"/>
        <w:rPr>
          <w:color w:val="auto"/>
          <w:szCs w:val="21"/>
          <w:highlight w:val="none"/>
        </w:rPr>
      </w:pPr>
      <w:r>
        <w:rPr>
          <w:color w:val="auto"/>
          <w:szCs w:val="21"/>
          <w:highlight w:val="none"/>
        </w:rPr>
        <w:t>技术负责人：</w:t>
      </w:r>
      <w:r>
        <w:rPr>
          <w:color w:val="auto"/>
          <w:szCs w:val="21"/>
          <w:highlight w:val="none"/>
          <w:u w:val="single"/>
        </w:rPr>
        <w:t xml:space="preserve">                    </w:t>
      </w:r>
      <w:r>
        <w:rPr>
          <w:color w:val="auto"/>
          <w:szCs w:val="21"/>
          <w:highlight w:val="none"/>
        </w:rPr>
        <w:t>（签字）</w:t>
      </w:r>
    </w:p>
    <w:p>
      <w:pPr>
        <w:spacing w:line="440" w:lineRule="exact"/>
        <w:ind w:firstLine="3675" w:firstLineChars="1750"/>
        <w:rPr>
          <w:color w:val="auto"/>
          <w:szCs w:val="21"/>
          <w:highlight w:val="none"/>
        </w:rPr>
      </w:pPr>
    </w:p>
    <w:p>
      <w:pPr>
        <w:spacing w:line="440" w:lineRule="exact"/>
        <w:ind w:firstLine="3675" w:firstLineChars="1750"/>
        <w:rPr>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5040" w:firstLineChars="2400"/>
        <w:rPr>
          <w:rFonts w:eastAsia="黑体"/>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440" w:lineRule="exact"/>
        <w:rPr>
          <w:rFonts w:eastAsia="黑体"/>
          <w:color w:val="auto"/>
          <w:sz w:val="20"/>
          <w:szCs w:val="20"/>
          <w:highlight w:val="none"/>
        </w:rPr>
      </w:pPr>
      <w:r>
        <w:rPr>
          <w:rFonts w:eastAsia="黑体"/>
          <w:color w:val="auto"/>
          <w:sz w:val="20"/>
          <w:szCs w:val="20"/>
          <w:highlight w:val="none"/>
        </w:rPr>
        <w:br w:type="page"/>
      </w:r>
    </w:p>
    <w:p>
      <w:pPr>
        <w:pStyle w:val="6"/>
        <w:jc w:val="center"/>
        <w:rPr>
          <w:color w:val="auto"/>
          <w:highlight w:val="none"/>
        </w:rPr>
      </w:pPr>
      <w:bookmarkStart w:id="1142" w:name="_Toc152042579"/>
      <w:bookmarkStart w:id="1143" w:name="_Toc179632810"/>
      <w:bookmarkStart w:id="1144" w:name="_Toc55505189"/>
      <w:bookmarkStart w:id="1145" w:name="_Toc6439"/>
      <w:bookmarkStart w:id="1146" w:name="_Toc246996358"/>
      <w:bookmarkStart w:id="1147" w:name="_Toc144974859"/>
      <w:bookmarkStart w:id="1148" w:name="_Toc529528982"/>
      <w:bookmarkStart w:id="1149" w:name="_Toc246997101"/>
      <w:bookmarkStart w:id="1150" w:name="_Toc247085876"/>
      <w:bookmarkStart w:id="1151" w:name="_Toc152045790"/>
      <w:r>
        <w:rPr>
          <w:color w:val="auto"/>
          <w:highlight w:val="none"/>
        </w:rPr>
        <w:t>（二）投标函附录</w:t>
      </w:r>
      <w:bookmarkEnd w:id="1142"/>
      <w:bookmarkEnd w:id="1143"/>
      <w:bookmarkEnd w:id="1144"/>
      <w:bookmarkEnd w:id="1145"/>
      <w:bookmarkEnd w:id="1146"/>
      <w:bookmarkEnd w:id="1147"/>
      <w:bookmarkEnd w:id="1148"/>
      <w:bookmarkEnd w:id="1149"/>
      <w:bookmarkEnd w:id="1150"/>
      <w:bookmarkEnd w:id="1151"/>
    </w:p>
    <w:p>
      <w:pPr>
        <w:spacing w:line="440" w:lineRule="exact"/>
        <w:rPr>
          <w:rFonts w:eastAsia="黑体"/>
          <w:color w:val="auto"/>
          <w:sz w:val="20"/>
          <w:szCs w:val="20"/>
          <w:highlight w:val="none"/>
        </w:rPr>
      </w:pPr>
    </w:p>
    <w:tbl>
      <w:tblPr>
        <w:tblStyle w:val="7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1657"/>
        <w:gridCol w:w="3206"/>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b/>
                <w:color w:val="auto"/>
                <w:szCs w:val="21"/>
                <w:highlight w:val="none"/>
              </w:rPr>
            </w:pPr>
            <w:r>
              <w:rPr>
                <w:b/>
                <w:color w:val="auto"/>
                <w:szCs w:val="21"/>
                <w:highlight w:val="none"/>
              </w:rPr>
              <w:t>序号</w:t>
            </w:r>
          </w:p>
        </w:tc>
        <w:tc>
          <w:tcPr>
            <w:tcW w:w="2337" w:type="dxa"/>
            <w:vAlign w:val="center"/>
          </w:tcPr>
          <w:p>
            <w:pPr>
              <w:spacing w:line="440" w:lineRule="exact"/>
              <w:jc w:val="center"/>
              <w:rPr>
                <w:b/>
                <w:color w:val="auto"/>
                <w:szCs w:val="21"/>
                <w:highlight w:val="none"/>
              </w:rPr>
            </w:pPr>
            <w:r>
              <w:rPr>
                <w:b/>
                <w:color w:val="auto"/>
                <w:szCs w:val="21"/>
                <w:highlight w:val="none"/>
              </w:rPr>
              <w:t>条款名称</w:t>
            </w:r>
          </w:p>
        </w:tc>
        <w:tc>
          <w:tcPr>
            <w:tcW w:w="1657" w:type="dxa"/>
            <w:vAlign w:val="center"/>
          </w:tcPr>
          <w:p>
            <w:pPr>
              <w:spacing w:line="440" w:lineRule="exact"/>
              <w:jc w:val="center"/>
              <w:rPr>
                <w:b/>
                <w:color w:val="auto"/>
                <w:szCs w:val="21"/>
                <w:highlight w:val="none"/>
              </w:rPr>
            </w:pPr>
            <w:r>
              <w:rPr>
                <w:b/>
                <w:color w:val="auto"/>
                <w:szCs w:val="21"/>
                <w:highlight w:val="none"/>
              </w:rPr>
              <w:t>合同条款号</w:t>
            </w:r>
          </w:p>
        </w:tc>
        <w:tc>
          <w:tcPr>
            <w:tcW w:w="3206" w:type="dxa"/>
            <w:vAlign w:val="center"/>
          </w:tcPr>
          <w:p>
            <w:pPr>
              <w:spacing w:line="440" w:lineRule="exact"/>
              <w:jc w:val="center"/>
              <w:rPr>
                <w:b/>
                <w:color w:val="auto"/>
                <w:szCs w:val="21"/>
                <w:highlight w:val="none"/>
              </w:rPr>
            </w:pPr>
            <w:r>
              <w:rPr>
                <w:b/>
                <w:color w:val="auto"/>
                <w:szCs w:val="21"/>
                <w:highlight w:val="none"/>
              </w:rPr>
              <w:t>约定内容</w:t>
            </w:r>
          </w:p>
        </w:tc>
        <w:tc>
          <w:tcPr>
            <w:tcW w:w="718" w:type="dxa"/>
            <w:vAlign w:val="center"/>
          </w:tcPr>
          <w:p>
            <w:pPr>
              <w:spacing w:line="440" w:lineRule="exact"/>
              <w:jc w:val="center"/>
              <w:rPr>
                <w:b/>
                <w:color w:val="auto"/>
                <w:szCs w:val="21"/>
                <w:highlight w:val="none"/>
              </w:rPr>
            </w:pPr>
            <w:r>
              <w:rPr>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color w:val="auto"/>
                <w:szCs w:val="21"/>
                <w:highlight w:val="none"/>
              </w:rPr>
            </w:pPr>
            <w:r>
              <w:rPr>
                <w:color w:val="auto"/>
                <w:szCs w:val="21"/>
                <w:highlight w:val="none"/>
              </w:rPr>
              <w:t>1</w:t>
            </w:r>
          </w:p>
        </w:tc>
        <w:tc>
          <w:tcPr>
            <w:tcW w:w="2337" w:type="dxa"/>
            <w:vAlign w:val="center"/>
          </w:tcPr>
          <w:p>
            <w:pPr>
              <w:spacing w:line="440" w:lineRule="exact"/>
              <w:jc w:val="center"/>
              <w:rPr>
                <w:color w:val="auto"/>
                <w:szCs w:val="21"/>
                <w:highlight w:val="none"/>
              </w:rPr>
            </w:pPr>
            <w:r>
              <w:rPr>
                <w:color w:val="auto"/>
                <w:szCs w:val="21"/>
                <w:highlight w:val="none"/>
              </w:rPr>
              <w:t>项目负责人</w:t>
            </w:r>
          </w:p>
        </w:tc>
        <w:tc>
          <w:tcPr>
            <w:tcW w:w="1657" w:type="dxa"/>
            <w:vAlign w:val="center"/>
          </w:tcPr>
          <w:p>
            <w:pPr>
              <w:spacing w:line="440" w:lineRule="exact"/>
              <w:jc w:val="center"/>
              <w:rPr>
                <w:color w:val="auto"/>
                <w:szCs w:val="21"/>
                <w:highlight w:val="none"/>
              </w:rPr>
            </w:pPr>
            <w:r>
              <w:rPr>
                <w:color w:val="auto"/>
                <w:szCs w:val="21"/>
                <w:highlight w:val="none"/>
              </w:rPr>
              <w:t>\</w:t>
            </w:r>
          </w:p>
        </w:tc>
        <w:tc>
          <w:tcPr>
            <w:tcW w:w="3206" w:type="dxa"/>
            <w:vAlign w:val="center"/>
          </w:tcPr>
          <w:p>
            <w:pPr>
              <w:spacing w:line="440" w:lineRule="exact"/>
              <w:rPr>
                <w:color w:val="auto"/>
                <w:szCs w:val="21"/>
                <w:highlight w:val="none"/>
                <w:u w:val="single"/>
              </w:rPr>
            </w:pPr>
            <w:r>
              <w:rPr>
                <w:color w:val="auto"/>
                <w:szCs w:val="21"/>
                <w:highlight w:val="none"/>
              </w:rPr>
              <w:t>姓名：</w:t>
            </w:r>
            <w:r>
              <w:rPr>
                <w:color w:val="auto"/>
                <w:szCs w:val="21"/>
                <w:highlight w:val="none"/>
                <w:u w:val="single"/>
              </w:rPr>
              <w:t xml:space="preserve">           </w:t>
            </w:r>
          </w:p>
          <w:p>
            <w:pPr>
              <w:spacing w:line="440" w:lineRule="exact"/>
              <w:rPr>
                <w:color w:val="auto"/>
                <w:szCs w:val="21"/>
                <w:highlight w:val="none"/>
              </w:rPr>
            </w:pPr>
            <w:r>
              <w:rPr>
                <w:color w:val="auto"/>
                <w:szCs w:val="21"/>
                <w:highlight w:val="none"/>
              </w:rPr>
              <w:t>资格证书编号：</w:t>
            </w:r>
            <w:r>
              <w:rPr>
                <w:color w:val="auto"/>
                <w:szCs w:val="21"/>
                <w:highlight w:val="none"/>
                <w:u w:val="single"/>
              </w:rPr>
              <w:t xml:space="preserve">              </w:t>
            </w:r>
          </w:p>
        </w:tc>
        <w:tc>
          <w:tcPr>
            <w:tcW w:w="718"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color w:val="auto"/>
                <w:szCs w:val="21"/>
                <w:highlight w:val="none"/>
              </w:rPr>
            </w:pPr>
            <w:r>
              <w:rPr>
                <w:color w:val="auto"/>
                <w:szCs w:val="21"/>
                <w:highlight w:val="none"/>
              </w:rPr>
              <w:t>2</w:t>
            </w:r>
          </w:p>
        </w:tc>
        <w:tc>
          <w:tcPr>
            <w:tcW w:w="2337" w:type="dxa"/>
            <w:vAlign w:val="center"/>
          </w:tcPr>
          <w:p>
            <w:pPr>
              <w:spacing w:line="440" w:lineRule="exact"/>
              <w:jc w:val="center"/>
              <w:rPr>
                <w:color w:val="auto"/>
                <w:szCs w:val="21"/>
                <w:highlight w:val="none"/>
              </w:rPr>
            </w:pPr>
            <w:r>
              <w:rPr>
                <w:color w:val="auto"/>
                <w:szCs w:val="21"/>
                <w:highlight w:val="none"/>
              </w:rPr>
              <w:t>技术负责人</w:t>
            </w:r>
          </w:p>
        </w:tc>
        <w:tc>
          <w:tcPr>
            <w:tcW w:w="1657" w:type="dxa"/>
            <w:vAlign w:val="center"/>
          </w:tcPr>
          <w:p>
            <w:pPr>
              <w:spacing w:line="440" w:lineRule="exact"/>
              <w:jc w:val="center"/>
              <w:rPr>
                <w:color w:val="auto"/>
                <w:szCs w:val="21"/>
                <w:highlight w:val="none"/>
              </w:rPr>
            </w:pPr>
            <w:r>
              <w:rPr>
                <w:color w:val="auto"/>
                <w:szCs w:val="21"/>
                <w:highlight w:val="none"/>
              </w:rPr>
              <w:t>\</w:t>
            </w:r>
          </w:p>
        </w:tc>
        <w:tc>
          <w:tcPr>
            <w:tcW w:w="3206" w:type="dxa"/>
            <w:vAlign w:val="center"/>
          </w:tcPr>
          <w:p>
            <w:pPr>
              <w:spacing w:line="440" w:lineRule="exact"/>
              <w:rPr>
                <w:color w:val="auto"/>
                <w:szCs w:val="21"/>
                <w:highlight w:val="none"/>
                <w:u w:val="single"/>
              </w:rPr>
            </w:pPr>
            <w:r>
              <w:rPr>
                <w:color w:val="auto"/>
                <w:szCs w:val="21"/>
                <w:highlight w:val="none"/>
              </w:rPr>
              <w:t>姓名：</w:t>
            </w:r>
            <w:r>
              <w:rPr>
                <w:color w:val="auto"/>
                <w:szCs w:val="21"/>
                <w:highlight w:val="none"/>
                <w:u w:val="single"/>
              </w:rPr>
              <w:t xml:space="preserve">           </w:t>
            </w:r>
          </w:p>
          <w:p>
            <w:pPr>
              <w:spacing w:line="440" w:lineRule="exact"/>
              <w:rPr>
                <w:color w:val="auto"/>
                <w:szCs w:val="21"/>
                <w:highlight w:val="none"/>
                <w:u w:val="single"/>
              </w:rPr>
            </w:pPr>
            <w:r>
              <w:rPr>
                <w:color w:val="auto"/>
                <w:szCs w:val="21"/>
                <w:highlight w:val="none"/>
              </w:rPr>
              <w:t>资格证书编号：</w:t>
            </w:r>
            <w:r>
              <w:rPr>
                <w:color w:val="auto"/>
                <w:szCs w:val="21"/>
                <w:highlight w:val="none"/>
                <w:u w:val="single"/>
              </w:rPr>
              <w:t xml:space="preserve">              </w:t>
            </w:r>
          </w:p>
        </w:tc>
        <w:tc>
          <w:tcPr>
            <w:tcW w:w="718"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color w:val="auto"/>
                <w:szCs w:val="21"/>
                <w:highlight w:val="none"/>
              </w:rPr>
            </w:pPr>
            <w:r>
              <w:rPr>
                <w:color w:val="auto"/>
                <w:szCs w:val="21"/>
                <w:highlight w:val="none"/>
              </w:rPr>
              <w:t>3</w:t>
            </w:r>
          </w:p>
        </w:tc>
        <w:tc>
          <w:tcPr>
            <w:tcW w:w="2337" w:type="dxa"/>
            <w:vAlign w:val="center"/>
          </w:tcPr>
          <w:p>
            <w:pPr>
              <w:spacing w:line="440" w:lineRule="exact"/>
              <w:jc w:val="center"/>
              <w:rPr>
                <w:color w:val="auto"/>
                <w:szCs w:val="21"/>
                <w:highlight w:val="none"/>
              </w:rPr>
            </w:pPr>
            <w:r>
              <w:rPr>
                <w:color w:val="auto"/>
                <w:szCs w:val="21"/>
                <w:highlight w:val="none"/>
              </w:rPr>
              <w:t>工期</w:t>
            </w:r>
          </w:p>
        </w:tc>
        <w:tc>
          <w:tcPr>
            <w:tcW w:w="1657" w:type="dxa"/>
            <w:vAlign w:val="center"/>
          </w:tcPr>
          <w:p>
            <w:pPr>
              <w:spacing w:line="440" w:lineRule="exact"/>
              <w:jc w:val="center"/>
              <w:rPr>
                <w:color w:val="auto"/>
                <w:szCs w:val="21"/>
                <w:highlight w:val="none"/>
              </w:rPr>
            </w:pPr>
            <w:r>
              <w:rPr>
                <w:color w:val="auto"/>
                <w:szCs w:val="21"/>
                <w:highlight w:val="none"/>
              </w:rPr>
              <w:t>\</w:t>
            </w:r>
          </w:p>
        </w:tc>
        <w:tc>
          <w:tcPr>
            <w:tcW w:w="3206" w:type="dxa"/>
            <w:vAlign w:val="center"/>
          </w:tcPr>
          <w:p>
            <w:pPr>
              <w:spacing w:line="440" w:lineRule="exact"/>
              <w:rPr>
                <w:color w:val="auto"/>
                <w:szCs w:val="21"/>
                <w:highlight w:val="none"/>
                <w:u w:val="single"/>
              </w:rPr>
            </w:pPr>
            <w:r>
              <w:rPr>
                <w:color w:val="auto"/>
                <w:szCs w:val="21"/>
                <w:highlight w:val="none"/>
              </w:rPr>
              <w:t xml:space="preserve">合同签订且监理单位发出开工令之日起 </w:t>
            </w:r>
            <w:r>
              <w:rPr>
                <w:color w:val="auto"/>
                <w:szCs w:val="21"/>
                <w:highlight w:val="none"/>
                <w:u w:val="single"/>
              </w:rPr>
              <w:t xml:space="preserve">    </w:t>
            </w:r>
            <w:r>
              <w:rPr>
                <w:color w:val="auto"/>
                <w:szCs w:val="21"/>
                <w:highlight w:val="none"/>
              </w:rPr>
              <w:t>日历天。</w:t>
            </w:r>
          </w:p>
        </w:tc>
        <w:tc>
          <w:tcPr>
            <w:tcW w:w="718"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color w:val="auto"/>
                <w:szCs w:val="21"/>
                <w:highlight w:val="none"/>
              </w:rPr>
            </w:pPr>
            <w:r>
              <w:rPr>
                <w:color w:val="auto"/>
                <w:szCs w:val="21"/>
                <w:highlight w:val="none"/>
              </w:rPr>
              <w:t>4</w:t>
            </w:r>
          </w:p>
        </w:tc>
        <w:tc>
          <w:tcPr>
            <w:tcW w:w="2337" w:type="dxa"/>
            <w:vAlign w:val="center"/>
          </w:tcPr>
          <w:p>
            <w:pPr>
              <w:spacing w:line="440" w:lineRule="exact"/>
              <w:jc w:val="center"/>
              <w:rPr>
                <w:color w:val="auto"/>
                <w:szCs w:val="21"/>
                <w:highlight w:val="none"/>
              </w:rPr>
            </w:pPr>
            <w:r>
              <w:rPr>
                <w:color w:val="auto"/>
                <w:szCs w:val="21"/>
                <w:highlight w:val="none"/>
              </w:rPr>
              <w:t>缺陷责任期</w:t>
            </w:r>
          </w:p>
        </w:tc>
        <w:tc>
          <w:tcPr>
            <w:tcW w:w="1657" w:type="dxa"/>
            <w:vAlign w:val="center"/>
          </w:tcPr>
          <w:p>
            <w:pPr>
              <w:spacing w:line="440" w:lineRule="exact"/>
              <w:jc w:val="center"/>
              <w:rPr>
                <w:color w:val="auto"/>
                <w:szCs w:val="21"/>
                <w:highlight w:val="none"/>
              </w:rPr>
            </w:pPr>
            <w:r>
              <w:rPr>
                <w:color w:val="auto"/>
                <w:szCs w:val="21"/>
                <w:highlight w:val="none"/>
              </w:rPr>
              <w:t>\</w:t>
            </w:r>
          </w:p>
        </w:tc>
        <w:tc>
          <w:tcPr>
            <w:tcW w:w="3206" w:type="dxa"/>
            <w:vAlign w:val="center"/>
          </w:tcPr>
          <w:p>
            <w:pPr>
              <w:spacing w:line="440" w:lineRule="exact"/>
              <w:rPr>
                <w:color w:val="auto"/>
                <w:szCs w:val="21"/>
                <w:highlight w:val="none"/>
                <w:u w:val="single"/>
              </w:rPr>
            </w:pPr>
            <w:r>
              <w:rPr>
                <w:color w:val="auto"/>
                <w:szCs w:val="21"/>
                <w:highlight w:val="none"/>
                <w:u w:val="single"/>
              </w:rPr>
              <w:t>24个月</w:t>
            </w:r>
          </w:p>
        </w:tc>
        <w:tc>
          <w:tcPr>
            <w:tcW w:w="718"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color w:val="auto"/>
                <w:szCs w:val="21"/>
                <w:highlight w:val="none"/>
              </w:rPr>
            </w:pPr>
            <w:r>
              <w:rPr>
                <w:color w:val="auto"/>
                <w:szCs w:val="21"/>
                <w:highlight w:val="none"/>
              </w:rPr>
              <w:t>5</w:t>
            </w:r>
          </w:p>
        </w:tc>
        <w:tc>
          <w:tcPr>
            <w:tcW w:w="2337" w:type="dxa"/>
            <w:vAlign w:val="center"/>
          </w:tcPr>
          <w:p>
            <w:pPr>
              <w:spacing w:line="440" w:lineRule="exact"/>
              <w:jc w:val="center"/>
              <w:rPr>
                <w:color w:val="auto"/>
                <w:szCs w:val="21"/>
                <w:highlight w:val="none"/>
              </w:rPr>
            </w:pPr>
            <w:r>
              <w:rPr>
                <w:color w:val="auto"/>
                <w:szCs w:val="21"/>
                <w:highlight w:val="none"/>
              </w:rPr>
              <w:t>投标内容</w:t>
            </w:r>
          </w:p>
        </w:tc>
        <w:tc>
          <w:tcPr>
            <w:tcW w:w="1657" w:type="dxa"/>
            <w:vAlign w:val="center"/>
          </w:tcPr>
          <w:p>
            <w:pPr>
              <w:spacing w:line="440" w:lineRule="exact"/>
              <w:jc w:val="center"/>
              <w:rPr>
                <w:color w:val="auto"/>
                <w:szCs w:val="21"/>
                <w:highlight w:val="none"/>
              </w:rPr>
            </w:pPr>
            <w:r>
              <w:rPr>
                <w:color w:val="auto"/>
                <w:szCs w:val="21"/>
                <w:highlight w:val="none"/>
              </w:rPr>
              <w:t>\</w:t>
            </w:r>
          </w:p>
        </w:tc>
        <w:tc>
          <w:tcPr>
            <w:tcW w:w="3206" w:type="dxa"/>
            <w:vAlign w:val="center"/>
          </w:tcPr>
          <w:p>
            <w:pPr>
              <w:spacing w:line="440" w:lineRule="exact"/>
              <w:rPr>
                <w:color w:val="auto"/>
                <w:szCs w:val="21"/>
                <w:highlight w:val="none"/>
              </w:rPr>
            </w:pPr>
            <w:r>
              <w:rPr>
                <w:color w:val="auto"/>
                <w:szCs w:val="21"/>
                <w:highlight w:val="none"/>
                <w:u w:val="single"/>
              </w:rPr>
              <w:t>完全响应招标文件相关要求</w:t>
            </w:r>
          </w:p>
        </w:tc>
        <w:tc>
          <w:tcPr>
            <w:tcW w:w="718"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color w:val="auto"/>
                <w:szCs w:val="21"/>
                <w:highlight w:val="none"/>
              </w:rPr>
            </w:pPr>
            <w:r>
              <w:rPr>
                <w:color w:val="auto"/>
                <w:szCs w:val="21"/>
                <w:highlight w:val="none"/>
              </w:rPr>
              <w:t>6</w:t>
            </w:r>
          </w:p>
        </w:tc>
        <w:tc>
          <w:tcPr>
            <w:tcW w:w="2337" w:type="dxa"/>
            <w:vAlign w:val="center"/>
          </w:tcPr>
          <w:p>
            <w:pPr>
              <w:jc w:val="center"/>
              <w:rPr>
                <w:color w:val="auto"/>
                <w:highlight w:val="none"/>
              </w:rPr>
            </w:pPr>
            <w:r>
              <w:rPr>
                <w:color w:val="auto"/>
                <w:szCs w:val="21"/>
                <w:highlight w:val="none"/>
              </w:rPr>
              <w:t>投标有效期</w:t>
            </w:r>
          </w:p>
        </w:tc>
        <w:tc>
          <w:tcPr>
            <w:tcW w:w="1657" w:type="dxa"/>
            <w:vAlign w:val="center"/>
          </w:tcPr>
          <w:p>
            <w:pPr>
              <w:jc w:val="center"/>
              <w:rPr>
                <w:color w:val="auto"/>
                <w:highlight w:val="none"/>
              </w:rPr>
            </w:pPr>
            <w:r>
              <w:rPr>
                <w:color w:val="auto"/>
                <w:highlight w:val="none"/>
              </w:rPr>
              <w:t>\</w:t>
            </w:r>
          </w:p>
        </w:tc>
        <w:tc>
          <w:tcPr>
            <w:tcW w:w="3206" w:type="dxa"/>
            <w:vAlign w:val="center"/>
          </w:tcPr>
          <w:p>
            <w:pPr>
              <w:pStyle w:val="25"/>
              <w:topLinePunct/>
              <w:spacing w:line="400" w:lineRule="exact"/>
              <w:rPr>
                <w:rFonts w:ascii="Times New Roman"/>
                <w:color w:val="auto"/>
                <w:sz w:val="21"/>
                <w:szCs w:val="21"/>
                <w:highlight w:val="none"/>
                <w:u w:val="single"/>
              </w:rPr>
            </w:pPr>
            <w:r>
              <w:rPr>
                <w:rFonts w:ascii="Times New Roman"/>
                <w:color w:val="auto"/>
                <w:sz w:val="21"/>
                <w:szCs w:val="21"/>
                <w:highlight w:val="none"/>
                <w:u w:val="single"/>
              </w:rPr>
              <w:t>投标截止日期后120天（日历天）</w:t>
            </w:r>
          </w:p>
        </w:tc>
        <w:tc>
          <w:tcPr>
            <w:tcW w:w="718"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color w:val="auto"/>
                <w:szCs w:val="21"/>
                <w:highlight w:val="none"/>
              </w:rPr>
            </w:pPr>
            <w:r>
              <w:rPr>
                <w:color w:val="auto"/>
                <w:szCs w:val="21"/>
                <w:highlight w:val="none"/>
              </w:rPr>
              <w:t>7</w:t>
            </w:r>
          </w:p>
        </w:tc>
        <w:tc>
          <w:tcPr>
            <w:tcW w:w="2337" w:type="dxa"/>
            <w:vAlign w:val="center"/>
          </w:tcPr>
          <w:p>
            <w:pPr>
              <w:jc w:val="center"/>
              <w:rPr>
                <w:color w:val="auto"/>
                <w:szCs w:val="21"/>
                <w:highlight w:val="none"/>
              </w:rPr>
            </w:pPr>
            <w:r>
              <w:rPr>
                <w:color w:val="auto"/>
                <w:szCs w:val="21"/>
                <w:highlight w:val="none"/>
              </w:rPr>
              <w:t>保修期</w:t>
            </w:r>
          </w:p>
        </w:tc>
        <w:tc>
          <w:tcPr>
            <w:tcW w:w="1657" w:type="dxa"/>
            <w:vAlign w:val="center"/>
          </w:tcPr>
          <w:p>
            <w:pPr>
              <w:spacing w:line="240" w:lineRule="atLeast"/>
              <w:jc w:val="center"/>
              <w:rPr>
                <w:color w:val="auto"/>
                <w:szCs w:val="21"/>
                <w:highlight w:val="none"/>
              </w:rPr>
            </w:pPr>
            <w:r>
              <w:rPr>
                <w:color w:val="auto"/>
                <w:highlight w:val="none"/>
              </w:rPr>
              <w:t>\</w:t>
            </w:r>
          </w:p>
        </w:tc>
        <w:tc>
          <w:tcPr>
            <w:tcW w:w="3206" w:type="dxa"/>
            <w:vAlign w:val="center"/>
          </w:tcPr>
          <w:p>
            <w:pPr>
              <w:spacing w:line="240" w:lineRule="atLeast"/>
              <w:rPr>
                <w:color w:val="auto"/>
                <w:szCs w:val="21"/>
                <w:highlight w:val="none"/>
              </w:rPr>
            </w:pPr>
            <w:r>
              <w:rPr>
                <w:color w:val="auto"/>
                <w:szCs w:val="21"/>
                <w:highlight w:val="none"/>
              </w:rPr>
              <w:t>自实际竣工验收日期起计算：</w:t>
            </w:r>
          </w:p>
          <w:p>
            <w:pPr>
              <w:spacing w:line="240" w:lineRule="atLeast"/>
              <w:rPr>
                <w:color w:val="auto"/>
                <w:szCs w:val="21"/>
                <w:highlight w:val="none"/>
              </w:rPr>
            </w:pPr>
            <w:r>
              <w:rPr>
                <w:rFonts w:hint="eastAsia"/>
                <w:color w:val="auto"/>
                <w:szCs w:val="21"/>
                <w:highlight w:val="none"/>
                <w:u w:val="single"/>
              </w:rPr>
              <w:t>保修期按《建设工程质量管理条例》规定执行</w:t>
            </w:r>
            <w:r>
              <w:rPr>
                <w:color w:val="auto"/>
                <w:szCs w:val="21"/>
                <w:highlight w:val="none"/>
                <w:u w:val="single"/>
              </w:rPr>
              <w:t>。</w:t>
            </w:r>
          </w:p>
        </w:tc>
        <w:tc>
          <w:tcPr>
            <w:tcW w:w="718" w:type="dxa"/>
            <w:vAlign w:val="center"/>
          </w:tcPr>
          <w:p>
            <w:pPr>
              <w:spacing w:line="440" w:lineRule="exact"/>
              <w:jc w:val="center"/>
              <w:rPr>
                <w:color w:val="auto"/>
                <w:szCs w:val="21"/>
                <w:highlight w:val="none"/>
              </w:rPr>
            </w:pPr>
          </w:p>
        </w:tc>
      </w:tr>
    </w:tbl>
    <w:p>
      <w:pPr>
        <w:spacing w:line="440" w:lineRule="exact"/>
        <w:ind w:left="840" w:leftChars="400" w:firstLine="2200" w:firstLineChars="1100"/>
        <w:rPr>
          <w:rFonts w:eastAsia="黑体"/>
          <w:color w:val="auto"/>
          <w:sz w:val="20"/>
          <w:szCs w:val="20"/>
          <w:highlight w:val="none"/>
        </w:rPr>
      </w:pPr>
    </w:p>
    <w:p>
      <w:pPr>
        <w:spacing w:line="440" w:lineRule="exact"/>
        <w:ind w:left="840" w:leftChars="400" w:firstLine="2200" w:firstLineChars="1100"/>
        <w:rPr>
          <w:rFonts w:eastAsia="黑体"/>
          <w:color w:val="auto"/>
          <w:sz w:val="20"/>
          <w:szCs w:val="20"/>
          <w:highlight w:val="none"/>
        </w:rPr>
      </w:pPr>
    </w:p>
    <w:p>
      <w:pPr>
        <w:tabs>
          <w:tab w:val="left" w:pos="0"/>
        </w:tabs>
        <w:ind w:right="-212"/>
        <w:rPr>
          <w:rFonts w:hint="eastAsia" w:ascii="宋体" w:hAnsi="宋体"/>
          <w:color w:val="auto"/>
          <w:szCs w:val="21"/>
          <w:highlight w:val="none"/>
        </w:rPr>
      </w:pP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tabs>
          <w:tab w:val="left" w:pos="0"/>
        </w:tabs>
        <w:ind w:right="-212"/>
        <w:rPr>
          <w:rFonts w:hint="eastAsia" w:ascii="宋体" w:hAnsi="宋体"/>
          <w:color w:val="auto"/>
          <w:szCs w:val="21"/>
          <w:highlight w:val="none"/>
        </w:rPr>
      </w:pPr>
    </w:p>
    <w:p>
      <w:pPr>
        <w:tabs>
          <w:tab w:val="left" w:pos="0"/>
        </w:tabs>
        <w:ind w:right="-212"/>
        <w:rPr>
          <w:rFonts w:hint="eastAsia" w:ascii="宋体" w:hAnsi="宋体"/>
          <w:color w:val="auto"/>
          <w:szCs w:val="21"/>
          <w:highlight w:val="none"/>
        </w:rPr>
      </w:pPr>
      <w:r>
        <w:rPr>
          <w:rFonts w:hint="eastAsia" w:ascii="宋体" w:hAnsi="宋体"/>
          <w:color w:val="auto"/>
          <w:szCs w:val="21"/>
          <w:highlight w:val="none"/>
        </w:rPr>
        <w:t>法定代表人或授权代表（签名或署印）：</w:t>
      </w:r>
      <w:r>
        <w:rPr>
          <w:rFonts w:hint="eastAsia" w:ascii="宋体" w:hAnsi="宋体"/>
          <w:color w:val="auto"/>
          <w:szCs w:val="21"/>
          <w:highlight w:val="none"/>
          <w:u w:val="single"/>
        </w:rPr>
        <w:t xml:space="preserve">          </w:t>
      </w:r>
    </w:p>
    <w:p>
      <w:pPr>
        <w:tabs>
          <w:tab w:val="left" w:pos="0"/>
        </w:tabs>
        <w:ind w:right="-212"/>
        <w:rPr>
          <w:rFonts w:hint="eastAsia" w:ascii="宋体" w:hAnsi="宋体"/>
          <w:color w:val="auto"/>
          <w:szCs w:val="21"/>
          <w:highlight w:val="none"/>
        </w:rPr>
      </w:pPr>
    </w:p>
    <w:p>
      <w:pPr>
        <w:tabs>
          <w:tab w:val="left" w:pos="5047"/>
        </w:tabs>
        <w:spacing w:line="360" w:lineRule="auto"/>
        <w:rPr>
          <w:rFonts w:asci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40" w:lineRule="exact"/>
        <w:ind w:left="840" w:leftChars="400" w:firstLine="2200" w:firstLineChars="1100"/>
        <w:rPr>
          <w:rFonts w:eastAsia="黑体"/>
          <w:color w:val="auto"/>
          <w:sz w:val="20"/>
          <w:szCs w:val="20"/>
          <w:highlight w:val="none"/>
        </w:rPr>
      </w:pPr>
    </w:p>
    <w:p>
      <w:pPr>
        <w:spacing w:line="440" w:lineRule="exact"/>
        <w:jc w:val="center"/>
        <w:rPr>
          <w:rFonts w:eastAsia="黑体"/>
          <w:color w:val="auto"/>
          <w:sz w:val="20"/>
          <w:szCs w:val="20"/>
          <w:highlight w:val="none"/>
        </w:rPr>
      </w:pPr>
      <w:r>
        <w:rPr>
          <w:rFonts w:eastAsia="黑体"/>
          <w:color w:val="auto"/>
          <w:sz w:val="20"/>
          <w:szCs w:val="20"/>
          <w:highlight w:val="none"/>
        </w:rPr>
        <w:br w:type="page"/>
      </w:r>
    </w:p>
    <w:p>
      <w:pPr>
        <w:pStyle w:val="5"/>
        <w:jc w:val="center"/>
        <w:rPr>
          <w:color w:val="auto"/>
          <w:highlight w:val="none"/>
        </w:rPr>
      </w:pPr>
      <w:bookmarkStart w:id="1152" w:name="_Toc144974860"/>
      <w:bookmarkStart w:id="1153" w:name="_Toc246997102"/>
      <w:bookmarkStart w:id="1154" w:name="_Toc179632811"/>
      <w:bookmarkStart w:id="1155" w:name="_Toc152045791"/>
      <w:bookmarkStart w:id="1156" w:name="_Toc246996359"/>
      <w:bookmarkStart w:id="1157" w:name="_Toc247085877"/>
      <w:bookmarkStart w:id="1158" w:name="_Toc152042580"/>
      <w:bookmarkStart w:id="1159" w:name="_Toc29466"/>
      <w:r>
        <w:rPr>
          <w:color w:val="auto"/>
          <w:highlight w:val="none"/>
        </w:rPr>
        <w:t>二、法定代表人身份证明</w:t>
      </w:r>
      <w:bookmarkEnd w:id="1152"/>
      <w:bookmarkEnd w:id="1153"/>
      <w:bookmarkEnd w:id="1154"/>
      <w:bookmarkEnd w:id="1155"/>
      <w:bookmarkEnd w:id="1156"/>
      <w:bookmarkEnd w:id="1157"/>
      <w:bookmarkEnd w:id="1158"/>
      <w:r>
        <w:rPr>
          <w:rFonts w:hint="eastAsia"/>
          <w:color w:val="auto"/>
          <w:highlight w:val="none"/>
        </w:rPr>
        <w:t>书</w:t>
      </w:r>
      <w:bookmarkEnd w:id="1159"/>
    </w:p>
    <w:p>
      <w:pPr>
        <w:spacing w:line="440" w:lineRule="exact"/>
        <w:rPr>
          <w:color w:val="auto"/>
          <w:sz w:val="20"/>
          <w:szCs w:val="20"/>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投标人名称：</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440" w:lineRule="exact"/>
        <w:rPr>
          <w:color w:val="auto"/>
          <w:szCs w:val="21"/>
          <w:highlight w:val="none"/>
        </w:rPr>
      </w:pPr>
      <w:r>
        <w:rPr>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color w:val="auto"/>
          <w:szCs w:val="21"/>
          <w:highlight w:val="none"/>
        </w:rPr>
        <w:t>姓名：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pPr>
        <w:spacing w:line="440" w:lineRule="exact"/>
        <w:ind w:firstLine="420" w:firstLineChars="200"/>
        <w:rPr>
          <w:color w:val="auto"/>
          <w:szCs w:val="21"/>
          <w:highlight w:val="none"/>
        </w:rPr>
      </w:pPr>
      <w:r>
        <w:rPr>
          <w:color w:val="auto"/>
          <w:szCs w:val="21"/>
          <w:highlight w:val="none"/>
        </w:rPr>
        <w:t>特此证明。</w:t>
      </w:r>
    </w:p>
    <w:p>
      <w:pPr>
        <w:spacing w:line="440" w:lineRule="exact"/>
        <w:rPr>
          <w:color w:val="auto"/>
          <w:szCs w:val="21"/>
          <w:highlight w:val="none"/>
        </w:rPr>
      </w:pPr>
    </w:p>
    <w:p>
      <w:pPr>
        <w:spacing w:line="440" w:lineRule="exact"/>
        <w:ind w:firstLine="420" w:firstLineChars="200"/>
        <w:rPr>
          <w:color w:val="auto"/>
          <w:szCs w:val="21"/>
          <w:highlight w:val="none"/>
        </w:rPr>
      </w:pPr>
      <w:r>
        <w:rPr>
          <w:rFonts w:hint="eastAsia"/>
          <w:color w:val="auto"/>
          <w:szCs w:val="21"/>
          <w:highlight w:val="none"/>
        </w:rPr>
        <w:t>附：法定代表人身份证扫描件</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投标人：</w:t>
      </w:r>
      <w:r>
        <w:rPr>
          <w:color w:val="auto"/>
          <w:szCs w:val="21"/>
          <w:highlight w:val="none"/>
          <w:u w:val="single"/>
        </w:rPr>
        <w:t xml:space="preserve">                 </w:t>
      </w:r>
      <w:r>
        <w:rPr>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440" w:lineRule="exact"/>
        <w:jc w:val="center"/>
        <w:rPr>
          <w:rFonts w:eastAsia="黑体"/>
          <w:color w:val="auto"/>
          <w:sz w:val="20"/>
          <w:szCs w:val="20"/>
          <w:highlight w:val="none"/>
        </w:rPr>
      </w:pPr>
      <w:r>
        <w:rPr>
          <w:rFonts w:eastAsia="黑体"/>
          <w:color w:val="auto"/>
          <w:sz w:val="20"/>
          <w:szCs w:val="20"/>
          <w:highlight w:val="none"/>
        </w:rPr>
        <w:br w:type="page"/>
      </w:r>
    </w:p>
    <w:p>
      <w:pPr>
        <w:pStyle w:val="5"/>
        <w:jc w:val="center"/>
        <w:rPr>
          <w:color w:val="auto"/>
          <w:highlight w:val="none"/>
        </w:rPr>
      </w:pPr>
      <w:bookmarkStart w:id="1160" w:name="_Toc20831"/>
      <w:bookmarkStart w:id="1161" w:name="_Toc246996360"/>
      <w:bookmarkStart w:id="1162" w:name="_Toc152045792"/>
      <w:bookmarkStart w:id="1163" w:name="_Toc144974861"/>
      <w:bookmarkStart w:id="1164" w:name="_Toc179632812"/>
      <w:bookmarkStart w:id="1165" w:name="_Toc152042581"/>
      <w:bookmarkStart w:id="1166" w:name="_Toc246997103"/>
      <w:bookmarkStart w:id="1167" w:name="_Toc247085878"/>
      <w:r>
        <w:rPr>
          <w:rFonts w:hint="eastAsia"/>
          <w:color w:val="auto"/>
          <w:highlight w:val="none"/>
        </w:rPr>
        <w:t>三</w:t>
      </w:r>
      <w:r>
        <w:rPr>
          <w:color w:val="auto"/>
          <w:highlight w:val="none"/>
        </w:rPr>
        <w:t>、授权委托书</w:t>
      </w:r>
      <w:bookmarkEnd w:id="1160"/>
      <w:bookmarkEnd w:id="1161"/>
      <w:bookmarkEnd w:id="1162"/>
      <w:bookmarkEnd w:id="1163"/>
      <w:bookmarkEnd w:id="1164"/>
      <w:bookmarkEnd w:id="1165"/>
      <w:bookmarkEnd w:id="1166"/>
      <w:bookmarkEnd w:id="1167"/>
    </w:p>
    <w:p>
      <w:pPr>
        <w:spacing w:line="440" w:lineRule="exact"/>
        <w:rPr>
          <w:rFonts w:eastAsia="黑体"/>
          <w:color w:val="auto"/>
          <w:szCs w:val="21"/>
          <w:highlight w:val="none"/>
        </w:rPr>
      </w:pPr>
    </w:p>
    <w:p>
      <w:pPr>
        <w:topLinePunct/>
        <w:spacing w:line="440" w:lineRule="exact"/>
        <w:ind w:firstLine="420" w:firstLineChars="200"/>
        <w:rPr>
          <w:color w:val="auto"/>
          <w:szCs w:val="21"/>
          <w:highlight w:val="none"/>
        </w:rPr>
      </w:pPr>
      <w:r>
        <w:rPr>
          <w:color w:val="auto"/>
          <w:szCs w:val="21"/>
          <w:highlight w:val="none"/>
        </w:rPr>
        <w:t>本人</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（投标人名称）的法定代表人，现委托</w:t>
      </w:r>
      <w:r>
        <w:rPr>
          <w:color w:val="auto"/>
          <w:szCs w:val="21"/>
          <w:highlight w:val="none"/>
          <w:u w:val="single"/>
        </w:rPr>
        <w:t xml:space="preserve">       </w:t>
      </w:r>
      <w:r>
        <w:rPr>
          <w:color w:val="auto"/>
          <w:szCs w:val="21"/>
          <w:highlight w:val="none"/>
        </w:rPr>
        <w:t>（姓名）为我方代理人。代理人根据授权，以我方名义签署、澄清</w:t>
      </w:r>
      <w:r>
        <w:rPr>
          <w:rFonts w:hint="eastAsia"/>
          <w:color w:val="auto"/>
          <w:szCs w:val="21"/>
          <w:highlight w:val="none"/>
        </w:rPr>
        <w:t>、说明、补正</w:t>
      </w:r>
      <w:r>
        <w:rPr>
          <w:color w:val="auto"/>
          <w:szCs w:val="21"/>
          <w:highlight w:val="none"/>
        </w:rPr>
        <w:t>、递交、撤回、修改</w:t>
      </w:r>
      <w:r>
        <w:rPr>
          <w:color w:val="auto"/>
          <w:szCs w:val="21"/>
          <w:highlight w:val="none"/>
          <w:u w:val="single"/>
        </w:rPr>
        <w:t xml:space="preserve">        </w:t>
      </w:r>
      <w:r>
        <w:rPr>
          <w:color w:val="auto"/>
          <w:szCs w:val="21"/>
          <w:highlight w:val="none"/>
        </w:rPr>
        <w:t>（项目名称）投标文件、签订合同和处理有关事宜，其法律后果由我方承担。</w:t>
      </w:r>
    </w:p>
    <w:p>
      <w:pPr>
        <w:spacing w:line="440" w:lineRule="exact"/>
        <w:rPr>
          <w:color w:val="auto"/>
          <w:szCs w:val="21"/>
          <w:highlight w:val="none"/>
        </w:rPr>
      </w:pPr>
      <w:r>
        <w:rPr>
          <w:color w:val="auto"/>
          <w:szCs w:val="21"/>
          <w:highlight w:val="none"/>
        </w:rPr>
        <w:t xml:space="preserve">    委托期限</w:t>
      </w:r>
      <w:r>
        <w:rPr>
          <w:rFonts w:hint="eastAsia"/>
          <w:color w:val="auto"/>
          <w:szCs w:val="21"/>
          <w:highlight w:val="none"/>
        </w:rPr>
        <w:t>（不少于投标有效期</w:t>
      </w:r>
      <w:r>
        <w:rPr>
          <w:color w:val="auto"/>
          <w:szCs w:val="21"/>
          <w:highlight w:val="none"/>
        </w:rPr>
        <w:t>120</w:t>
      </w:r>
      <w:r>
        <w:rPr>
          <w:rFonts w:hint="eastAsia"/>
          <w:color w:val="auto"/>
          <w:szCs w:val="21"/>
          <w:highlight w:val="none"/>
        </w:rPr>
        <w:t>日历天）</w:t>
      </w:r>
      <w:r>
        <w:rPr>
          <w:color w:val="auto"/>
          <w:szCs w:val="21"/>
          <w:highlight w:val="none"/>
        </w:rPr>
        <w:t>：</w:t>
      </w:r>
      <w:r>
        <w:rPr>
          <w:color w:val="auto"/>
          <w:szCs w:val="21"/>
          <w:highlight w:val="none"/>
          <w:u w:val="single"/>
        </w:rPr>
        <w:t xml:space="preserve">             </w:t>
      </w:r>
      <w:r>
        <w:rPr>
          <w:rFonts w:hint="eastAsia"/>
          <w:color w:val="auto"/>
          <w:szCs w:val="21"/>
          <w:highlight w:val="none"/>
        </w:rPr>
        <w:t>。</w:t>
      </w:r>
    </w:p>
    <w:p>
      <w:pPr>
        <w:spacing w:line="440" w:lineRule="exact"/>
        <w:ind w:firstLine="420" w:firstLineChars="200"/>
        <w:rPr>
          <w:color w:val="auto"/>
          <w:szCs w:val="21"/>
          <w:highlight w:val="none"/>
        </w:rPr>
      </w:pPr>
      <w:r>
        <w:rPr>
          <w:color w:val="auto"/>
          <w:szCs w:val="21"/>
          <w:highlight w:val="none"/>
        </w:rPr>
        <w:t>代理人无转委托权。</w:t>
      </w:r>
    </w:p>
    <w:p>
      <w:pPr>
        <w:spacing w:line="440" w:lineRule="exact"/>
        <w:ind w:firstLine="420" w:firstLineChars="200"/>
        <w:rPr>
          <w:color w:val="auto"/>
          <w:szCs w:val="21"/>
          <w:highlight w:val="none"/>
        </w:rPr>
      </w:pPr>
      <w:r>
        <w:rPr>
          <w:rFonts w:hint="eastAsia"/>
          <w:color w:val="auto"/>
          <w:szCs w:val="21"/>
          <w:highlight w:val="none"/>
        </w:rPr>
        <w:t>附：</w:t>
      </w:r>
      <w:r>
        <w:rPr>
          <w:color w:val="auto"/>
          <w:szCs w:val="21"/>
          <w:highlight w:val="none"/>
        </w:rPr>
        <w:t>委托代理</w:t>
      </w:r>
      <w:r>
        <w:rPr>
          <w:rFonts w:hint="eastAsia"/>
          <w:color w:val="auto"/>
          <w:szCs w:val="21"/>
          <w:highlight w:val="none"/>
        </w:rPr>
        <w:t>人身份证扫描件</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投标人：</w:t>
      </w:r>
      <w:r>
        <w:rPr>
          <w:color w:val="auto"/>
          <w:szCs w:val="21"/>
          <w:highlight w:val="none"/>
          <w:u w:val="single"/>
        </w:rPr>
        <w:t xml:space="preserve">                               </w:t>
      </w:r>
      <w:r>
        <w:rPr>
          <w:color w:val="auto"/>
          <w:szCs w:val="21"/>
          <w:highlight w:val="none"/>
        </w:rPr>
        <w:t>（盖单位章）</w:t>
      </w: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（签字</w:t>
      </w:r>
      <w:r>
        <w:rPr>
          <w:rFonts w:hint="eastAsia"/>
          <w:color w:val="auto"/>
          <w:szCs w:val="21"/>
          <w:highlight w:val="none"/>
        </w:rPr>
        <w:t>或</w:t>
      </w:r>
      <w:r>
        <w:rPr>
          <w:color w:val="auto"/>
          <w:szCs w:val="21"/>
          <w:highlight w:val="none"/>
        </w:rPr>
        <w:t>签章）</w:t>
      </w: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身份证号码：</w:t>
      </w:r>
      <w:r>
        <w:rPr>
          <w:color w:val="auto"/>
          <w:szCs w:val="21"/>
          <w:highlight w:val="none"/>
          <w:u w:val="single"/>
        </w:rPr>
        <w:t xml:space="preserve">                                     </w:t>
      </w: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委托代理人：</w:t>
      </w:r>
      <w:r>
        <w:rPr>
          <w:color w:val="auto"/>
          <w:szCs w:val="21"/>
          <w:highlight w:val="none"/>
          <w:u w:val="single"/>
        </w:rPr>
        <w:t xml:space="preserve">                               </w:t>
      </w:r>
      <w:r>
        <w:rPr>
          <w:color w:val="auto"/>
          <w:szCs w:val="21"/>
          <w:highlight w:val="none"/>
        </w:rPr>
        <w:t>（签字</w:t>
      </w:r>
      <w:r>
        <w:rPr>
          <w:rFonts w:hint="eastAsia"/>
          <w:color w:val="auto"/>
          <w:szCs w:val="21"/>
          <w:highlight w:val="none"/>
        </w:rPr>
        <w:t>或</w:t>
      </w:r>
      <w:r>
        <w:rPr>
          <w:color w:val="auto"/>
          <w:szCs w:val="21"/>
          <w:highlight w:val="none"/>
        </w:rPr>
        <w:t xml:space="preserve">签章） </w:t>
      </w: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身份证号码：</w:t>
      </w:r>
      <w:r>
        <w:rPr>
          <w:color w:val="auto"/>
          <w:szCs w:val="21"/>
          <w:highlight w:val="none"/>
          <w:u w:val="single"/>
        </w:rPr>
        <w:t xml:space="preserve">                                      </w:t>
      </w:r>
    </w:p>
    <w:p>
      <w:pPr>
        <w:spacing w:line="440" w:lineRule="exact"/>
        <w:rPr>
          <w:color w:val="auto"/>
          <w:szCs w:val="21"/>
          <w:highlight w:val="none"/>
        </w:rPr>
      </w:pPr>
    </w:p>
    <w:p>
      <w:pPr>
        <w:spacing w:line="440" w:lineRule="exact"/>
        <w:rPr>
          <w:color w:val="auto"/>
          <w:szCs w:val="21"/>
          <w:highlight w:val="none"/>
        </w:rPr>
      </w:pPr>
    </w:p>
    <w:p>
      <w:pPr>
        <w:spacing w:line="440" w:lineRule="exact"/>
        <w:ind w:firstLine="2310" w:firstLineChars="1100"/>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5"/>
        <w:jc w:val="center"/>
        <w:rPr>
          <w:color w:val="auto"/>
          <w:highlight w:val="none"/>
        </w:rPr>
      </w:pPr>
      <w:r>
        <w:rPr>
          <w:color w:val="auto"/>
          <w:szCs w:val="21"/>
          <w:highlight w:val="none"/>
        </w:rPr>
        <w:br w:type="page"/>
      </w:r>
      <w:bookmarkStart w:id="1168" w:name="_Toc32548"/>
      <w:r>
        <w:rPr>
          <w:rFonts w:hint="eastAsia"/>
          <w:color w:val="auto"/>
          <w:highlight w:val="none"/>
        </w:rPr>
        <w:t>四</w:t>
      </w:r>
      <w:r>
        <w:rPr>
          <w:color w:val="auto"/>
          <w:highlight w:val="none"/>
        </w:rPr>
        <w:t>、</w:t>
      </w:r>
      <w:bookmarkStart w:id="1169" w:name="_Toc361616548"/>
      <w:r>
        <w:rPr>
          <w:rFonts w:hint="eastAsia"/>
          <w:color w:val="auto"/>
          <w:highlight w:val="none"/>
        </w:rPr>
        <w:t>合同条款响应表</w:t>
      </w:r>
      <w:bookmarkEnd w:id="1168"/>
      <w:bookmarkEnd w:id="1169"/>
    </w:p>
    <w:p>
      <w:pPr>
        <w:pStyle w:val="7"/>
        <w:spacing w:line="360" w:lineRule="auto"/>
        <w:rPr>
          <w:rFonts w:hint="eastAsia" w:ascii="宋体" w:hAnsi="宋体"/>
          <w:color w:val="auto"/>
          <w:szCs w:val="21"/>
          <w:highlight w:val="none"/>
        </w:rPr>
      </w:pPr>
      <w:r>
        <w:rPr>
          <w:rFonts w:hint="eastAsia" w:ascii="宋体" w:hAnsi="宋体"/>
          <w:color w:val="auto"/>
          <w:szCs w:val="21"/>
          <w:highlight w:val="none"/>
        </w:rPr>
        <w:t>1、投标人必须对应招标文件的合同条款逐条应答并按要求填下表。</w:t>
      </w:r>
    </w:p>
    <w:p>
      <w:pPr>
        <w:pStyle w:val="7"/>
        <w:spacing w:line="360" w:lineRule="auto"/>
        <w:ind w:left="418" w:leftChars="199" w:firstLine="0" w:firstLineChars="0"/>
        <w:rPr>
          <w:rFonts w:hint="eastAsia" w:ascii="宋体" w:hAnsi="宋体"/>
          <w:color w:val="auto"/>
          <w:szCs w:val="21"/>
          <w:highlight w:val="none"/>
        </w:rPr>
      </w:pPr>
      <w:r>
        <w:rPr>
          <w:rFonts w:hint="eastAsia" w:ascii="宋体" w:hAnsi="宋体"/>
          <w:color w:val="auto"/>
          <w:szCs w:val="21"/>
          <w:highlight w:val="none"/>
        </w:rPr>
        <w:t>2、对完全响应的条目在下表“完全响应”列中标注“○”。对有偏离的条目在下表“有偏离”列中标注“×”，并在“偏离描述”列中说明偏离情况。</w:t>
      </w:r>
    </w:p>
    <w:tbl>
      <w:tblPr>
        <w:tblStyle w:val="74"/>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92"/>
        <w:gridCol w:w="1465"/>
        <w:gridCol w:w="156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309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合同条款</w:t>
            </w:r>
          </w:p>
        </w:tc>
        <w:tc>
          <w:tcPr>
            <w:tcW w:w="146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完全响应</w:t>
            </w:r>
          </w:p>
        </w:tc>
        <w:tc>
          <w:tcPr>
            <w:tcW w:w="156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有偏离</w:t>
            </w:r>
          </w:p>
        </w:tc>
        <w:tc>
          <w:tcPr>
            <w:tcW w:w="156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pPr>
              <w:pStyle w:val="7"/>
              <w:spacing w:line="44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w:t>
            </w:r>
          </w:p>
        </w:tc>
        <w:tc>
          <w:tcPr>
            <w:tcW w:w="3092" w:type="dxa"/>
            <w:vAlign w:val="center"/>
          </w:tcPr>
          <w:p>
            <w:pPr>
              <w:pStyle w:val="7"/>
              <w:ind w:firstLine="0" w:firstLineChars="0"/>
              <w:jc w:val="left"/>
              <w:rPr>
                <w:rFonts w:hint="eastAsia" w:ascii="宋体" w:hAnsi="宋体"/>
                <w:color w:val="auto"/>
                <w:szCs w:val="21"/>
                <w:highlight w:val="none"/>
              </w:rPr>
            </w:pPr>
            <w:r>
              <w:rPr>
                <w:rFonts w:ascii="宋体" w:hAnsi="宋体"/>
                <w:color w:val="auto"/>
                <w:szCs w:val="21"/>
                <w:highlight w:val="none"/>
              </w:rPr>
              <w:t>第一部分合同协议书</w:t>
            </w:r>
          </w:p>
        </w:tc>
        <w:tc>
          <w:tcPr>
            <w:tcW w:w="1465"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pPr>
              <w:pStyle w:val="7"/>
              <w:spacing w:line="44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2</w:t>
            </w:r>
          </w:p>
        </w:tc>
        <w:tc>
          <w:tcPr>
            <w:tcW w:w="3092" w:type="dxa"/>
            <w:vAlign w:val="center"/>
          </w:tcPr>
          <w:p>
            <w:pPr>
              <w:pStyle w:val="7"/>
              <w:ind w:firstLine="0" w:firstLineChars="0"/>
              <w:jc w:val="left"/>
              <w:rPr>
                <w:rFonts w:hint="eastAsia" w:ascii="宋体" w:hAnsi="宋体"/>
                <w:color w:val="auto"/>
                <w:szCs w:val="21"/>
                <w:highlight w:val="none"/>
              </w:rPr>
            </w:pPr>
            <w:r>
              <w:rPr>
                <w:rFonts w:ascii="宋体" w:hAnsi="宋体"/>
                <w:color w:val="auto"/>
                <w:szCs w:val="21"/>
                <w:highlight w:val="none"/>
              </w:rPr>
              <w:t>第二部分通用合同条款</w:t>
            </w:r>
          </w:p>
        </w:tc>
        <w:tc>
          <w:tcPr>
            <w:tcW w:w="1465"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pPr>
              <w:pStyle w:val="7"/>
              <w:spacing w:line="44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3</w:t>
            </w:r>
          </w:p>
        </w:tc>
        <w:tc>
          <w:tcPr>
            <w:tcW w:w="3092" w:type="dxa"/>
            <w:vAlign w:val="center"/>
          </w:tcPr>
          <w:p>
            <w:pPr>
              <w:pStyle w:val="7"/>
              <w:ind w:firstLine="0" w:firstLineChars="0"/>
              <w:jc w:val="left"/>
              <w:rPr>
                <w:rFonts w:hint="eastAsia" w:ascii="宋体" w:hAnsi="宋体"/>
                <w:color w:val="auto"/>
                <w:szCs w:val="21"/>
                <w:highlight w:val="none"/>
              </w:rPr>
            </w:pPr>
            <w:r>
              <w:rPr>
                <w:rFonts w:ascii="宋体" w:hAnsi="宋体"/>
                <w:color w:val="auto"/>
                <w:szCs w:val="21"/>
                <w:highlight w:val="none"/>
              </w:rPr>
              <w:t>第三部分专用合同条款</w:t>
            </w:r>
          </w:p>
        </w:tc>
        <w:tc>
          <w:tcPr>
            <w:tcW w:w="1465"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pPr>
              <w:pStyle w:val="7"/>
              <w:spacing w:line="44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4</w:t>
            </w:r>
          </w:p>
        </w:tc>
        <w:tc>
          <w:tcPr>
            <w:tcW w:w="3092" w:type="dxa"/>
            <w:vAlign w:val="center"/>
          </w:tcPr>
          <w:p>
            <w:pPr>
              <w:pStyle w:val="7"/>
              <w:ind w:firstLine="0" w:firstLineChars="0"/>
              <w:jc w:val="left"/>
              <w:rPr>
                <w:rFonts w:hint="eastAsia" w:ascii="宋体" w:hAnsi="宋体"/>
                <w:color w:val="auto"/>
                <w:szCs w:val="21"/>
                <w:highlight w:val="none"/>
              </w:rPr>
            </w:pPr>
            <w:r>
              <w:rPr>
                <w:rFonts w:ascii="宋体" w:hAnsi="宋体"/>
                <w:color w:val="auto"/>
                <w:szCs w:val="21"/>
                <w:highlight w:val="none"/>
              </w:rPr>
              <w:t>第四部分附件</w:t>
            </w:r>
          </w:p>
        </w:tc>
        <w:tc>
          <w:tcPr>
            <w:tcW w:w="1465"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pPr>
              <w:pStyle w:val="7"/>
              <w:spacing w:line="44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5</w:t>
            </w:r>
          </w:p>
        </w:tc>
        <w:tc>
          <w:tcPr>
            <w:tcW w:w="3092" w:type="dxa"/>
            <w:vAlign w:val="center"/>
          </w:tcPr>
          <w:p>
            <w:pPr>
              <w:pStyle w:val="7"/>
              <w:ind w:firstLine="0" w:firstLineChars="0"/>
              <w:jc w:val="center"/>
              <w:rPr>
                <w:rFonts w:hint="eastAsia" w:ascii="宋体" w:hAnsi="宋体"/>
                <w:color w:val="auto"/>
                <w:szCs w:val="21"/>
                <w:highlight w:val="none"/>
              </w:rPr>
            </w:pPr>
          </w:p>
        </w:tc>
        <w:tc>
          <w:tcPr>
            <w:tcW w:w="1465"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pPr>
              <w:pStyle w:val="7"/>
              <w:spacing w:line="44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6</w:t>
            </w:r>
          </w:p>
        </w:tc>
        <w:tc>
          <w:tcPr>
            <w:tcW w:w="3092" w:type="dxa"/>
            <w:vAlign w:val="center"/>
          </w:tcPr>
          <w:p>
            <w:pPr>
              <w:pStyle w:val="7"/>
              <w:ind w:firstLine="0" w:firstLineChars="0"/>
              <w:jc w:val="center"/>
              <w:rPr>
                <w:rFonts w:hint="eastAsia" w:ascii="宋体" w:hAnsi="宋体"/>
                <w:color w:val="auto"/>
                <w:szCs w:val="21"/>
                <w:highlight w:val="none"/>
              </w:rPr>
            </w:pPr>
          </w:p>
        </w:tc>
        <w:tc>
          <w:tcPr>
            <w:tcW w:w="1465"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pPr>
              <w:pStyle w:val="7"/>
              <w:spacing w:line="44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7</w:t>
            </w:r>
          </w:p>
        </w:tc>
        <w:tc>
          <w:tcPr>
            <w:tcW w:w="3092" w:type="dxa"/>
            <w:vAlign w:val="center"/>
          </w:tcPr>
          <w:p>
            <w:pPr>
              <w:pStyle w:val="7"/>
              <w:ind w:firstLine="0" w:firstLineChars="0"/>
              <w:jc w:val="center"/>
              <w:rPr>
                <w:rFonts w:hint="eastAsia" w:ascii="宋体" w:hAnsi="宋体"/>
                <w:color w:val="auto"/>
                <w:szCs w:val="21"/>
                <w:highlight w:val="none"/>
              </w:rPr>
            </w:pPr>
          </w:p>
        </w:tc>
        <w:tc>
          <w:tcPr>
            <w:tcW w:w="1465"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pPr>
              <w:pStyle w:val="7"/>
              <w:spacing w:line="44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8</w:t>
            </w:r>
          </w:p>
        </w:tc>
        <w:tc>
          <w:tcPr>
            <w:tcW w:w="3092" w:type="dxa"/>
            <w:vAlign w:val="center"/>
          </w:tcPr>
          <w:p>
            <w:pPr>
              <w:pStyle w:val="7"/>
              <w:ind w:firstLine="0" w:firstLineChars="0"/>
              <w:jc w:val="center"/>
              <w:rPr>
                <w:rFonts w:hint="eastAsia" w:ascii="宋体" w:hAnsi="宋体"/>
                <w:color w:val="auto"/>
                <w:szCs w:val="21"/>
                <w:highlight w:val="none"/>
              </w:rPr>
            </w:pPr>
          </w:p>
        </w:tc>
        <w:tc>
          <w:tcPr>
            <w:tcW w:w="1465"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pPr>
              <w:pStyle w:val="7"/>
              <w:spacing w:line="44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9</w:t>
            </w:r>
          </w:p>
        </w:tc>
        <w:tc>
          <w:tcPr>
            <w:tcW w:w="3092" w:type="dxa"/>
            <w:vAlign w:val="center"/>
          </w:tcPr>
          <w:p>
            <w:pPr>
              <w:pStyle w:val="7"/>
              <w:ind w:firstLine="0" w:firstLineChars="0"/>
              <w:jc w:val="center"/>
              <w:rPr>
                <w:rFonts w:hint="eastAsia" w:ascii="宋体" w:hAnsi="宋体"/>
                <w:color w:val="auto"/>
                <w:szCs w:val="21"/>
                <w:highlight w:val="none"/>
              </w:rPr>
            </w:pPr>
          </w:p>
        </w:tc>
        <w:tc>
          <w:tcPr>
            <w:tcW w:w="1465"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pPr>
              <w:pStyle w:val="7"/>
              <w:spacing w:line="44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10</w:t>
            </w:r>
          </w:p>
        </w:tc>
        <w:tc>
          <w:tcPr>
            <w:tcW w:w="3092" w:type="dxa"/>
            <w:vAlign w:val="center"/>
          </w:tcPr>
          <w:p>
            <w:pPr>
              <w:pStyle w:val="7"/>
              <w:ind w:firstLine="0" w:firstLineChars="0"/>
              <w:jc w:val="center"/>
              <w:rPr>
                <w:rFonts w:hint="eastAsia" w:ascii="宋体" w:hAnsi="宋体"/>
                <w:color w:val="auto"/>
                <w:szCs w:val="21"/>
                <w:highlight w:val="none"/>
              </w:rPr>
            </w:pPr>
          </w:p>
        </w:tc>
        <w:tc>
          <w:tcPr>
            <w:tcW w:w="1465"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pPr>
              <w:pStyle w:val="7"/>
              <w:spacing w:line="440" w:lineRule="exact"/>
              <w:ind w:firstLine="0" w:firstLineChars="0"/>
              <w:jc w:val="center"/>
              <w:rPr>
                <w:rFonts w:hint="eastAsia" w:ascii="宋体" w:hAnsi="宋体"/>
                <w:color w:val="auto"/>
                <w:szCs w:val="21"/>
                <w:highlight w:val="none"/>
              </w:rPr>
            </w:pPr>
            <w:r>
              <w:rPr>
                <w:rFonts w:ascii="宋体" w:hAnsi="宋体"/>
                <w:color w:val="auto"/>
                <w:szCs w:val="21"/>
                <w:highlight w:val="none"/>
              </w:rPr>
              <w:t>…</w:t>
            </w:r>
          </w:p>
        </w:tc>
        <w:tc>
          <w:tcPr>
            <w:tcW w:w="3092" w:type="dxa"/>
            <w:vAlign w:val="center"/>
          </w:tcPr>
          <w:p>
            <w:pPr>
              <w:pStyle w:val="7"/>
              <w:ind w:firstLine="0" w:firstLineChars="0"/>
              <w:jc w:val="center"/>
              <w:rPr>
                <w:rFonts w:hint="eastAsia" w:ascii="宋体" w:hAnsi="宋体"/>
                <w:color w:val="auto"/>
                <w:szCs w:val="21"/>
                <w:highlight w:val="none"/>
              </w:rPr>
            </w:pPr>
          </w:p>
        </w:tc>
        <w:tc>
          <w:tcPr>
            <w:tcW w:w="1465"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c>
          <w:tcPr>
            <w:tcW w:w="1561" w:type="dxa"/>
            <w:vAlign w:val="center"/>
          </w:tcPr>
          <w:p>
            <w:pPr>
              <w:pStyle w:val="7"/>
              <w:spacing w:line="440" w:lineRule="exact"/>
              <w:rPr>
                <w:rFonts w:hint="eastAsia" w:ascii="宋体" w:hAnsi="宋体"/>
                <w:color w:val="auto"/>
                <w:szCs w:val="21"/>
                <w:highlight w:val="none"/>
              </w:rPr>
            </w:pPr>
          </w:p>
        </w:tc>
      </w:tr>
    </w:tbl>
    <w:p>
      <w:pPr>
        <w:tabs>
          <w:tab w:val="left" w:pos="0"/>
        </w:tabs>
        <w:ind w:right="-212"/>
        <w:rPr>
          <w:rFonts w:ascii="宋体"/>
          <w:color w:val="auto"/>
          <w:szCs w:val="21"/>
          <w:highlight w:val="none"/>
        </w:rPr>
      </w:pPr>
    </w:p>
    <w:p>
      <w:pPr>
        <w:tabs>
          <w:tab w:val="left" w:pos="0"/>
        </w:tabs>
        <w:ind w:right="-212"/>
        <w:rPr>
          <w:rFonts w:hint="eastAsia" w:ascii="宋体" w:hAnsi="宋体"/>
          <w:color w:val="auto"/>
          <w:szCs w:val="21"/>
          <w:highlight w:val="none"/>
        </w:rPr>
      </w:pP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tabs>
          <w:tab w:val="left" w:pos="0"/>
        </w:tabs>
        <w:ind w:right="-212"/>
        <w:rPr>
          <w:rFonts w:hint="eastAsia" w:ascii="宋体" w:hAnsi="宋体"/>
          <w:color w:val="auto"/>
          <w:szCs w:val="21"/>
          <w:highlight w:val="none"/>
        </w:rPr>
      </w:pPr>
    </w:p>
    <w:p>
      <w:pPr>
        <w:tabs>
          <w:tab w:val="left" w:pos="0"/>
        </w:tabs>
        <w:ind w:right="-212"/>
        <w:rPr>
          <w:rFonts w:hint="eastAsia" w:ascii="宋体" w:hAnsi="宋体"/>
          <w:color w:val="auto"/>
          <w:szCs w:val="21"/>
          <w:highlight w:val="none"/>
        </w:rPr>
      </w:pPr>
      <w:r>
        <w:rPr>
          <w:rFonts w:hint="eastAsia" w:ascii="宋体" w:hAnsi="宋体"/>
          <w:color w:val="auto"/>
          <w:szCs w:val="21"/>
          <w:highlight w:val="none"/>
        </w:rPr>
        <w:t>法定代表人或授权代表（签名或署印）：</w:t>
      </w:r>
      <w:r>
        <w:rPr>
          <w:rFonts w:hint="eastAsia" w:ascii="宋体" w:hAnsi="宋体"/>
          <w:color w:val="auto"/>
          <w:szCs w:val="21"/>
          <w:highlight w:val="none"/>
          <w:u w:val="single"/>
        </w:rPr>
        <w:t xml:space="preserve">          </w:t>
      </w:r>
    </w:p>
    <w:p>
      <w:pPr>
        <w:tabs>
          <w:tab w:val="left" w:pos="0"/>
        </w:tabs>
        <w:ind w:right="-212"/>
        <w:rPr>
          <w:rFonts w:hint="eastAsia" w:ascii="宋体" w:hAnsi="宋体"/>
          <w:color w:val="auto"/>
          <w:szCs w:val="21"/>
          <w:highlight w:val="none"/>
        </w:rPr>
      </w:pPr>
    </w:p>
    <w:p>
      <w:pPr>
        <w:tabs>
          <w:tab w:val="left" w:pos="5047"/>
        </w:tabs>
        <w:spacing w:line="360" w:lineRule="auto"/>
        <w:rPr>
          <w:rFonts w:asci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5"/>
        <w:jc w:val="center"/>
        <w:rPr>
          <w:color w:val="auto"/>
          <w:highlight w:val="none"/>
        </w:rPr>
      </w:pPr>
      <w:r>
        <w:rPr>
          <w:color w:val="auto"/>
          <w:highlight w:val="none"/>
        </w:rPr>
        <w:br w:type="page"/>
      </w:r>
      <w:bookmarkStart w:id="1170" w:name="_Toc13639"/>
      <w:r>
        <w:rPr>
          <w:rFonts w:hint="eastAsia"/>
          <w:color w:val="auto"/>
          <w:highlight w:val="none"/>
        </w:rPr>
        <w:t>五</w:t>
      </w:r>
      <w:r>
        <w:rPr>
          <w:color w:val="auto"/>
          <w:highlight w:val="none"/>
        </w:rPr>
        <w:t>、</w:t>
      </w:r>
      <w:r>
        <w:rPr>
          <w:rFonts w:hint="eastAsia"/>
          <w:color w:val="auto"/>
          <w:highlight w:val="none"/>
        </w:rPr>
        <w:t>技术偏离表</w:t>
      </w:r>
      <w:bookmarkEnd w:id="1170"/>
    </w:p>
    <w:p>
      <w:pPr>
        <w:pStyle w:val="7"/>
        <w:spacing w:line="360" w:lineRule="auto"/>
        <w:rPr>
          <w:rFonts w:ascii="宋体"/>
          <w:color w:val="auto"/>
          <w:szCs w:val="21"/>
          <w:highlight w:val="none"/>
        </w:rPr>
      </w:pPr>
      <w:r>
        <w:rPr>
          <w:rFonts w:hint="eastAsia" w:ascii="宋体"/>
          <w:color w:val="auto"/>
          <w:szCs w:val="21"/>
          <w:highlight w:val="none"/>
        </w:rPr>
        <w:t>投标人应对招标文件内容及委托人要求的要求做出全面响应，如有偏离必须将所有与要求有差异的内容如实在技术差异表中详细填写。</w:t>
      </w:r>
    </w:p>
    <w:p>
      <w:pPr>
        <w:pStyle w:val="7"/>
        <w:spacing w:line="360" w:lineRule="auto"/>
        <w:rPr>
          <w:color w:val="auto"/>
          <w:szCs w:val="21"/>
          <w:highlight w:val="none"/>
        </w:rPr>
      </w:pPr>
      <w:r>
        <w:rPr>
          <w:rFonts w:hint="eastAsia" w:ascii="Arial" w:hAnsi="Arial" w:cs="Arial"/>
          <w:color w:val="auto"/>
          <w:szCs w:val="21"/>
          <w:highlight w:val="none"/>
        </w:rPr>
        <w:t>除本技术条款差异表所列明的偏离外，投标文件其它所有技术条款视为完全响应“招标文件”中的要求。我方承诺放弃在此方面提出含糊意见或误解的一切权利，招标人可以认为我方完全接受招标文件用</w:t>
      </w:r>
      <w:r>
        <w:rPr>
          <w:rFonts w:hint="eastAsia" w:ascii="宋体"/>
          <w:color w:val="auto"/>
          <w:szCs w:val="21"/>
          <w:highlight w:val="none"/>
        </w:rPr>
        <w:t>发包人要求</w:t>
      </w:r>
      <w:r>
        <w:rPr>
          <w:rFonts w:hint="eastAsia" w:ascii="Arial" w:hAnsi="Arial" w:cs="Arial"/>
          <w:color w:val="auto"/>
          <w:szCs w:val="21"/>
          <w:highlight w:val="none"/>
        </w:rPr>
        <w:t>和项目澄清修改文件（若有）其他部分的约定。</w:t>
      </w:r>
    </w:p>
    <w:tbl>
      <w:tblPr>
        <w:tblStyle w:val="7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53"/>
        <w:gridCol w:w="2266"/>
        <w:gridCol w:w="227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vAlign w:val="center"/>
          </w:tcPr>
          <w:p>
            <w:pPr>
              <w:jc w:val="center"/>
              <w:rPr>
                <w:rFonts w:ascii="宋体"/>
                <w:color w:val="auto"/>
                <w:szCs w:val="21"/>
                <w:highlight w:val="none"/>
              </w:rPr>
            </w:pPr>
            <w:r>
              <w:rPr>
                <w:rFonts w:hint="eastAsia" w:ascii="宋体"/>
                <w:color w:val="auto"/>
                <w:szCs w:val="21"/>
                <w:highlight w:val="none"/>
              </w:rPr>
              <w:t>招标文件对应条款序号</w:t>
            </w:r>
          </w:p>
        </w:tc>
        <w:tc>
          <w:tcPr>
            <w:tcW w:w="1753" w:type="dxa"/>
            <w:vAlign w:val="center"/>
          </w:tcPr>
          <w:p>
            <w:pPr>
              <w:jc w:val="center"/>
              <w:rPr>
                <w:rFonts w:ascii="宋体"/>
                <w:color w:val="auto"/>
                <w:szCs w:val="21"/>
                <w:highlight w:val="none"/>
              </w:rPr>
            </w:pPr>
            <w:r>
              <w:rPr>
                <w:rFonts w:hint="eastAsia" w:ascii="宋体"/>
                <w:color w:val="auto"/>
                <w:szCs w:val="21"/>
                <w:highlight w:val="none"/>
              </w:rPr>
              <w:t>条款要求</w:t>
            </w:r>
          </w:p>
        </w:tc>
        <w:tc>
          <w:tcPr>
            <w:tcW w:w="2266" w:type="dxa"/>
            <w:vAlign w:val="center"/>
          </w:tcPr>
          <w:p>
            <w:pPr>
              <w:jc w:val="center"/>
              <w:rPr>
                <w:rFonts w:ascii="宋体"/>
                <w:color w:val="auto"/>
                <w:szCs w:val="21"/>
                <w:highlight w:val="none"/>
              </w:rPr>
            </w:pPr>
            <w:r>
              <w:rPr>
                <w:rFonts w:hint="eastAsia" w:ascii="宋体"/>
                <w:color w:val="auto"/>
                <w:szCs w:val="21"/>
                <w:highlight w:val="none"/>
              </w:rPr>
              <w:t>投标响应内容</w:t>
            </w:r>
          </w:p>
        </w:tc>
        <w:tc>
          <w:tcPr>
            <w:tcW w:w="2270" w:type="dxa"/>
            <w:vAlign w:val="center"/>
          </w:tcPr>
          <w:p>
            <w:pPr>
              <w:jc w:val="center"/>
              <w:rPr>
                <w:rFonts w:ascii="宋体"/>
                <w:color w:val="auto"/>
                <w:szCs w:val="21"/>
                <w:highlight w:val="none"/>
              </w:rPr>
            </w:pPr>
            <w:r>
              <w:rPr>
                <w:rFonts w:hint="eastAsia" w:ascii="宋体"/>
                <w:color w:val="auto"/>
                <w:szCs w:val="21"/>
                <w:highlight w:val="none"/>
              </w:rPr>
              <w:t>差异描述</w:t>
            </w:r>
          </w:p>
        </w:tc>
        <w:tc>
          <w:tcPr>
            <w:tcW w:w="1541" w:type="dxa"/>
            <w:vAlign w:val="center"/>
          </w:tcPr>
          <w:p>
            <w:pPr>
              <w:jc w:val="center"/>
              <w:rPr>
                <w:rFonts w:ascii="宋体"/>
                <w:color w:val="auto"/>
                <w:szCs w:val="21"/>
                <w:highlight w:val="none"/>
              </w:rPr>
            </w:pPr>
            <w:r>
              <w:rPr>
                <w:rFonts w:hint="eastAsia" w:ascii="宋体"/>
                <w:color w:val="auto"/>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vAlign w:val="center"/>
          </w:tcPr>
          <w:p>
            <w:pPr>
              <w:jc w:val="center"/>
              <w:rPr>
                <w:rFonts w:ascii="宋体"/>
                <w:color w:val="auto"/>
                <w:szCs w:val="21"/>
                <w:highlight w:val="none"/>
              </w:rPr>
            </w:pPr>
          </w:p>
        </w:tc>
        <w:tc>
          <w:tcPr>
            <w:tcW w:w="1753" w:type="dxa"/>
            <w:vAlign w:val="center"/>
          </w:tcPr>
          <w:p>
            <w:pPr>
              <w:jc w:val="center"/>
              <w:rPr>
                <w:rFonts w:ascii="宋体"/>
                <w:color w:val="auto"/>
                <w:szCs w:val="21"/>
                <w:highlight w:val="none"/>
              </w:rPr>
            </w:pPr>
          </w:p>
        </w:tc>
        <w:tc>
          <w:tcPr>
            <w:tcW w:w="2266" w:type="dxa"/>
            <w:vAlign w:val="center"/>
          </w:tcPr>
          <w:p>
            <w:pPr>
              <w:jc w:val="center"/>
              <w:rPr>
                <w:rFonts w:ascii="宋体"/>
                <w:color w:val="auto"/>
                <w:szCs w:val="21"/>
                <w:highlight w:val="none"/>
              </w:rPr>
            </w:pPr>
          </w:p>
        </w:tc>
        <w:tc>
          <w:tcPr>
            <w:tcW w:w="2270" w:type="dxa"/>
            <w:vAlign w:val="center"/>
          </w:tcPr>
          <w:p>
            <w:pPr>
              <w:jc w:val="center"/>
              <w:rPr>
                <w:rFonts w:ascii="宋体"/>
                <w:color w:val="auto"/>
                <w:szCs w:val="21"/>
                <w:highlight w:val="none"/>
              </w:rPr>
            </w:pPr>
          </w:p>
        </w:tc>
        <w:tc>
          <w:tcPr>
            <w:tcW w:w="1541"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0" w:type="dxa"/>
            <w:vAlign w:val="center"/>
          </w:tcPr>
          <w:p>
            <w:pPr>
              <w:jc w:val="center"/>
              <w:rPr>
                <w:rFonts w:ascii="宋体"/>
                <w:color w:val="auto"/>
                <w:szCs w:val="21"/>
                <w:highlight w:val="none"/>
              </w:rPr>
            </w:pPr>
          </w:p>
        </w:tc>
        <w:tc>
          <w:tcPr>
            <w:tcW w:w="1753" w:type="dxa"/>
            <w:vAlign w:val="center"/>
          </w:tcPr>
          <w:p>
            <w:pPr>
              <w:jc w:val="center"/>
              <w:rPr>
                <w:rFonts w:ascii="宋体"/>
                <w:color w:val="auto"/>
                <w:szCs w:val="21"/>
                <w:highlight w:val="none"/>
              </w:rPr>
            </w:pPr>
          </w:p>
        </w:tc>
        <w:tc>
          <w:tcPr>
            <w:tcW w:w="2266" w:type="dxa"/>
            <w:vAlign w:val="center"/>
          </w:tcPr>
          <w:p>
            <w:pPr>
              <w:jc w:val="center"/>
              <w:rPr>
                <w:rFonts w:ascii="宋体"/>
                <w:color w:val="auto"/>
                <w:szCs w:val="21"/>
                <w:highlight w:val="none"/>
              </w:rPr>
            </w:pPr>
          </w:p>
        </w:tc>
        <w:tc>
          <w:tcPr>
            <w:tcW w:w="2270" w:type="dxa"/>
            <w:vAlign w:val="center"/>
          </w:tcPr>
          <w:p>
            <w:pPr>
              <w:jc w:val="center"/>
              <w:rPr>
                <w:rFonts w:ascii="宋体"/>
                <w:color w:val="auto"/>
                <w:szCs w:val="21"/>
                <w:highlight w:val="none"/>
              </w:rPr>
            </w:pPr>
          </w:p>
        </w:tc>
        <w:tc>
          <w:tcPr>
            <w:tcW w:w="1541"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0" w:type="dxa"/>
            <w:vAlign w:val="center"/>
          </w:tcPr>
          <w:p>
            <w:pPr>
              <w:jc w:val="center"/>
              <w:rPr>
                <w:rFonts w:ascii="宋体"/>
                <w:color w:val="auto"/>
                <w:szCs w:val="21"/>
                <w:highlight w:val="none"/>
              </w:rPr>
            </w:pPr>
          </w:p>
        </w:tc>
        <w:tc>
          <w:tcPr>
            <w:tcW w:w="1753" w:type="dxa"/>
            <w:vAlign w:val="center"/>
          </w:tcPr>
          <w:p>
            <w:pPr>
              <w:jc w:val="center"/>
              <w:rPr>
                <w:rFonts w:ascii="宋体"/>
                <w:color w:val="auto"/>
                <w:szCs w:val="21"/>
                <w:highlight w:val="none"/>
              </w:rPr>
            </w:pPr>
          </w:p>
        </w:tc>
        <w:tc>
          <w:tcPr>
            <w:tcW w:w="2266" w:type="dxa"/>
            <w:vAlign w:val="center"/>
          </w:tcPr>
          <w:p>
            <w:pPr>
              <w:jc w:val="center"/>
              <w:rPr>
                <w:rFonts w:ascii="宋体"/>
                <w:color w:val="auto"/>
                <w:szCs w:val="21"/>
                <w:highlight w:val="none"/>
              </w:rPr>
            </w:pPr>
          </w:p>
        </w:tc>
        <w:tc>
          <w:tcPr>
            <w:tcW w:w="2270" w:type="dxa"/>
            <w:vAlign w:val="center"/>
          </w:tcPr>
          <w:p>
            <w:pPr>
              <w:jc w:val="center"/>
              <w:rPr>
                <w:rFonts w:ascii="宋体"/>
                <w:color w:val="auto"/>
                <w:szCs w:val="21"/>
                <w:highlight w:val="none"/>
              </w:rPr>
            </w:pPr>
          </w:p>
        </w:tc>
        <w:tc>
          <w:tcPr>
            <w:tcW w:w="1541"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40" w:type="dxa"/>
            <w:vAlign w:val="center"/>
          </w:tcPr>
          <w:p>
            <w:pPr>
              <w:jc w:val="center"/>
              <w:rPr>
                <w:rFonts w:ascii="宋体"/>
                <w:color w:val="auto"/>
                <w:szCs w:val="21"/>
                <w:highlight w:val="none"/>
              </w:rPr>
            </w:pPr>
          </w:p>
        </w:tc>
        <w:tc>
          <w:tcPr>
            <w:tcW w:w="1753" w:type="dxa"/>
            <w:vAlign w:val="center"/>
          </w:tcPr>
          <w:p>
            <w:pPr>
              <w:jc w:val="center"/>
              <w:rPr>
                <w:rFonts w:ascii="宋体"/>
                <w:color w:val="auto"/>
                <w:szCs w:val="21"/>
                <w:highlight w:val="none"/>
              </w:rPr>
            </w:pPr>
          </w:p>
        </w:tc>
        <w:tc>
          <w:tcPr>
            <w:tcW w:w="2266" w:type="dxa"/>
            <w:vAlign w:val="center"/>
          </w:tcPr>
          <w:p>
            <w:pPr>
              <w:jc w:val="center"/>
              <w:rPr>
                <w:rFonts w:ascii="宋体"/>
                <w:color w:val="auto"/>
                <w:szCs w:val="21"/>
                <w:highlight w:val="none"/>
              </w:rPr>
            </w:pPr>
          </w:p>
        </w:tc>
        <w:tc>
          <w:tcPr>
            <w:tcW w:w="2270" w:type="dxa"/>
            <w:vAlign w:val="center"/>
          </w:tcPr>
          <w:p>
            <w:pPr>
              <w:jc w:val="center"/>
              <w:rPr>
                <w:rFonts w:ascii="宋体"/>
                <w:color w:val="auto"/>
                <w:szCs w:val="21"/>
                <w:highlight w:val="none"/>
              </w:rPr>
            </w:pPr>
          </w:p>
        </w:tc>
        <w:tc>
          <w:tcPr>
            <w:tcW w:w="1541"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40" w:type="dxa"/>
            <w:vAlign w:val="center"/>
          </w:tcPr>
          <w:p>
            <w:pPr>
              <w:jc w:val="center"/>
              <w:rPr>
                <w:rFonts w:ascii="宋体"/>
                <w:color w:val="auto"/>
                <w:szCs w:val="21"/>
                <w:highlight w:val="none"/>
              </w:rPr>
            </w:pPr>
          </w:p>
        </w:tc>
        <w:tc>
          <w:tcPr>
            <w:tcW w:w="1753" w:type="dxa"/>
            <w:vAlign w:val="center"/>
          </w:tcPr>
          <w:p>
            <w:pPr>
              <w:jc w:val="center"/>
              <w:rPr>
                <w:rFonts w:ascii="宋体"/>
                <w:color w:val="auto"/>
                <w:szCs w:val="21"/>
                <w:highlight w:val="none"/>
              </w:rPr>
            </w:pPr>
          </w:p>
        </w:tc>
        <w:tc>
          <w:tcPr>
            <w:tcW w:w="2266" w:type="dxa"/>
            <w:vAlign w:val="center"/>
          </w:tcPr>
          <w:p>
            <w:pPr>
              <w:jc w:val="center"/>
              <w:rPr>
                <w:rFonts w:ascii="宋体"/>
                <w:color w:val="auto"/>
                <w:szCs w:val="21"/>
                <w:highlight w:val="none"/>
              </w:rPr>
            </w:pPr>
          </w:p>
        </w:tc>
        <w:tc>
          <w:tcPr>
            <w:tcW w:w="2270" w:type="dxa"/>
            <w:vAlign w:val="center"/>
          </w:tcPr>
          <w:p>
            <w:pPr>
              <w:jc w:val="center"/>
              <w:rPr>
                <w:rFonts w:ascii="宋体"/>
                <w:color w:val="auto"/>
                <w:szCs w:val="21"/>
                <w:highlight w:val="none"/>
              </w:rPr>
            </w:pPr>
          </w:p>
        </w:tc>
        <w:tc>
          <w:tcPr>
            <w:tcW w:w="1541"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40" w:type="dxa"/>
            <w:vAlign w:val="center"/>
          </w:tcPr>
          <w:p>
            <w:pPr>
              <w:jc w:val="center"/>
              <w:rPr>
                <w:rFonts w:ascii="宋体"/>
                <w:color w:val="auto"/>
                <w:szCs w:val="21"/>
                <w:highlight w:val="none"/>
              </w:rPr>
            </w:pPr>
          </w:p>
        </w:tc>
        <w:tc>
          <w:tcPr>
            <w:tcW w:w="1753" w:type="dxa"/>
            <w:vAlign w:val="center"/>
          </w:tcPr>
          <w:p>
            <w:pPr>
              <w:jc w:val="center"/>
              <w:rPr>
                <w:rFonts w:ascii="宋体"/>
                <w:color w:val="auto"/>
                <w:szCs w:val="21"/>
                <w:highlight w:val="none"/>
              </w:rPr>
            </w:pPr>
          </w:p>
        </w:tc>
        <w:tc>
          <w:tcPr>
            <w:tcW w:w="2266" w:type="dxa"/>
            <w:vAlign w:val="center"/>
          </w:tcPr>
          <w:p>
            <w:pPr>
              <w:jc w:val="center"/>
              <w:rPr>
                <w:rFonts w:ascii="宋体"/>
                <w:color w:val="auto"/>
                <w:szCs w:val="21"/>
                <w:highlight w:val="none"/>
              </w:rPr>
            </w:pPr>
          </w:p>
        </w:tc>
        <w:tc>
          <w:tcPr>
            <w:tcW w:w="2270" w:type="dxa"/>
            <w:vAlign w:val="center"/>
          </w:tcPr>
          <w:p>
            <w:pPr>
              <w:jc w:val="center"/>
              <w:rPr>
                <w:rFonts w:ascii="宋体"/>
                <w:color w:val="auto"/>
                <w:szCs w:val="21"/>
                <w:highlight w:val="none"/>
              </w:rPr>
            </w:pPr>
          </w:p>
        </w:tc>
        <w:tc>
          <w:tcPr>
            <w:tcW w:w="1541"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0" w:type="dxa"/>
            <w:vAlign w:val="center"/>
          </w:tcPr>
          <w:p>
            <w:pPr>
              <w:jc w:val="center"/>
              <w:rPr>
                <w:rFonts w:ascii="宋体"/>
                <w:color w:val="auto"/>
                <w:szCs w:val="21"/>
                <w:highlight w:val="none"/>
              </w:rPr>
            </w:pPr>
          </w:p>
        </w:tc>
        <w:tc>
          <w:tcPr>
            <w:tcW w:w="1753" w:type="dxa"/>
            <w:vAlign w:val="center"/>
          </w:tcPr>
          <w:p>
            <w:pPr>
              <w:jc w:val="center"/>
              <w:rPr>
                <w:rFonts w:ascii="宋体"/>
                <w:color w:val="auto"/>
                <w:szCs w:val="21"/>
                <w:highlight w:val="none"/>
              </w:rPr>
            </w:pPr>
          </w:p>
        </w:tc>
        <w:tc>
          <w:tcPr>
            <w:tcW w:w="2266" w:type="dxa"/>
            <w:vAlign w:val="center"/>
          </w:tcPr>
          <w:p>
            <w:pPr>
              <w:jc w:val="center"/>
              <w:rPr>
                <w:rFonts w:ascii="宋体"/>
                <w:color w:val="auto"/>
                <w:szCs w:val="21"/>
                <w:highlight w:val="none"/>
              </w:rPr>
            </w:pPr>
          </w:p>
        </w:tc>
        <w:tc>
          <w:tcPr>
            <w:tcW w:w="2270" w:type="dxa"/>
            <w:vAlign w:val="center"/>
          </w:tcPr>
          <w:p>
            <w:pPr>
              <w:jc w:val="center"/>
              <w:rPr>
                <w:rFonts w:ascii="宋体"/>
                <w:color w:val="auto"/>
                <w:szCs w:val="21"/>
                <w:highlight w:val="none"/>
              </w:rPr>
            </w:pPr>
          </w:p>
        </w:tc>
        <w:tc>
          <w:tcPr>
            <w:tcW w:w="1541"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0" w:type="dxa"/>
            <w:vAlign w:val="center"/>
          </w:tcPr>
          <w:p>
            <w:pPr>
              <w:jc w:val="center"/>
              <w:rPr>
                <w:rFonts w:ascii="宋体"/>
                <w:color w:val="auto"/>
                <w:szCs w:val="21"/>
                <w:highlight w:val="none"/>
              </w:rPr>
            </w:pPr>
          </w:p>
        </w:tc>
        <w:tc>
          <w:tcPr>
            <w:tcW w:w="1753" w:type="dxa"/>
            <w:vAlign w:val="center"/>
          </w:tcPr>
          <w:p>
            <w:pPr>
              <w:jc w:val="center"/>
              <w:rPr>
                <w:rFonts w:ascii="宋体"/>
                <w:color w:val="auto"/>
                <w:szCs w:val="21"/>
                <w:highlight w:val="none"/>
              </w:rPr>
            </w:pPr>
          </w:p>
        </w:tc>
        <w:tc>
          <w:tcPr>
            <w:tcW w:w="2266" w:type="dxa"/>
            <w:vAlign w:val="center"/>
          </w:tcPr>
          <w:p>
            <w:pPr>
              <w:jc w:val="center"/>
              <w:rPr>
                <w:rFonts w:ascii="宋体"/>
                <w:color w:val="auto"/>
                <w:szCs w:val="21"/>
                <w:highlight w:val="none"/>
              </w:rPr>
            </w:pPr>
          </w:p>
        </w:tc>
        <w:tc>
          <w:tcPr>
            <w:tcW w:w="2270" w:type="dxa"/>
            <w:vAlign w:val="center"/>
          </w:tcPr>
          <w:p>
            <w:pPr>
              <w:jc w:val="center"/>
              <w:rPr>
                <w:rFonts w:ascii="宋体"/>
                <w:color w:val="auto"/>
                <w:szCs w:val="21"/>
                <w:highlight w:val="none"/>
              </w:rPr>
            </w:pPr>
          </w:p>
        </w:tc>
        <w:tc>
          <w:tcPr>
            <w:tcW w:w="1541"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40" w:type="dxa"/>
            <w:vAlign w:val="center"/>
          </w:tcPr>
          <w:p>
            <w:pPr>
              <w:jc w:val="center"/>
              <w:rPr>
                <w:rFonts w:ascii="宋体"/>
                <w:color w:val="auto"/>
                <w:szCs w:val="21"/>
                <w:highlight w:val="none"/>
              </w:rPr>
            </w:pPr>
          </w:p>
        </w:tc>
        <w:tc>
          <w:tcPr>
            <w:tcW w:w="1753" w:type="dxa"/>
            <w:vAlign w:val="center"/>
          </w:tcPr>
          <w:p>
            <w:pPr>
              <w:jc w:val="center"/>
              <w:rPr>
                <w:rFonts w:ascii="宋体"/>
                <w:color w:val="auto"/>
                <w:szCs w:val="21"/>
                <w:highlight w:val="none"/>
              </w:rPr>
            </w:pPr>
          </w:p>
        </w:tc>
        <w:tc>
          <w:tcPr>
            <w:tcW w:w="2266" w:type="dxa"/>
            <w:vAlign w:val="center"/>
          </w:tcPr>
          <w:p>
            <w:pPr>
              <w:jc w:val="center"/>
              <w:rPr>
                <w:rFonts w:ascii="宋体"/>
                <w:color w:val="auto"/>
                <w:szCs w:val="21"/>
                <w:highlight w:val="none"/>
              </w:rPr>
            </w:pPr>
          </w:p>
        </w:tc>
        <w:tc>
          <w:tcPr>
            <w:tcW w:w="2270" w:type="dxa"/>
            <w:vAlign w:val="center"/>
          </w:tcPr>
          <w:p>
            <w:pPr>
              <w:jc w:val="center"/>
              <w:rPr>
                <w:rFonts w:ascii="宋体"/>
                <w:color w:val="auto"/>
                <w:szCs w:val="21"/>
                <w:highlight w:val="none"/>
              </w:rPr>
            </w:pPr>
          </w:p>
        </w:tc>
        <w:tc>
          <w:tcPr>
            <w:tcW w:w="1541"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40" w:type="dxa"/>
            <w:vAlign w:val="center"/>
          </w:tcPr>
          <w:p>
            <w:pPr>
              <w:jc w:val="center"/>
              <w:rPr>
                <w:rFonts w:ascii="宋体"/>
                <w:color w:val="auto"/>
                <w:szCs w:val="21"/>
                <w:highlight w:val="none"/>
              </w:rPr>
            </w:pPr>
          </w:p>
        </w:tc>
        <w:tc>
          <w:tcPr>
            <w:tcW w:w="1753" w:type="dxa"/>
            <w:vAlign w:val="center"/>
          </w:tcPr>
          <w:p>
            <w:pPr>
              <w:jc w:val="center"/>
              <w:rPr>
                <w:rFonts w:ascii="宋体"/>
                <w:color w:val="auto"/>
                <w:szCs w:val="21"/>
                <w:highlight w:val="none"/>
              </w:rPr>
            </w:pPr>
          </w:p>
        </w:tc>
        <w:tc>
          <w:tcPr>
            <w:tcW w:w="2266" w:type="dxa"/>
            <w:vAlign w:val="center"/>
          </w:tcPr>
          <w:p>
            <w:pPr>
              <w:jc w:val="center"/>
              <w:rPr>
                <w:rFonts w:ascii="宋体"/>
                <w:color w:val="auto"/>
                <w:szCs w:val="21"/>
                <w:highlight w:val="none"/>
              </w:rPr>
            </w:pPr>
          </w:p>
        </w:tc>
        <w:tc>
          <w:tcPr>
            <w:tcW w:w="2270" w:type="dxa"/>
            <w:vAlign w:val="center"/>
          </w:tcPr>
          <w:p>
            <w:pPr>
              <w:jc w:val="center"/>
              <w:rPr>
                <w:rFonts w:ascii="宋体"/>
                <w:color w:val="auto"/>
                <w:szCs w:val="21"/>
                <w:highlight w:val="none"/>
              </w:rPr>
            </w:pPr>
          </w:p>
        </w:tc>
        <w:tc>
          <w:tcPr>
            <w:tcW w:w="1541" w:type="dxa"/>
            <w:vAlign w:val="center"/>
          </w:tcPr>
          <w:p>
            <w:pPr>
              <w:jc w:val="center"/>
              <w:rPr>
                <w:rFonts w:ascii="宋体"/>
                <w:color w:val="auto"/>
                <w:szCs w:val="21"/>
                <w:highlight w:val="none"/>
              </w:rPr>
            </w:pPr>
          </w:p>
        </w:tc>
      </w:tr>
    </w:tbl>
    <w:p>
      <w:pPr>
        <w:spacing w:line="360" w:lineRule="auto"/>
        <w:ind w:left="424" w:hanging="424" w:hangingChars="202"/>
        <w:rPr>
          <w:rFonts w:ascii="宋体"/>
          <w:color w:val="auto"/>
          <w:szCs w:val="21"/>
          <w:highlight w:val="none"/>
        </w:rPr>
      </w:pPr>
      <w:r>
        <w:rPr>
          <w:rFonts w:hint="eastAsia" w:ascii="宋体"/>
          <w:color w:val="auto"/>
          <w:szCs w:val="21"/>
          <w:highlight w:val="none"/>
        </w:rPr>
        <w:t>注：（1）投标人应在“偏离情况说明”栏中，说明投标标的与招标要求的差异对比，分</w:t>
      </w:r>
      <w:r>
        <w:rPr>
          <w:rFonts w:hint="eastAsia" w:ascii="宋体" w:hAnsi="宋体"/>
          <w:color w:val="auto"/>
          <w:highlight w:val="none"/>
        </w:rPr>
        <w:t>正偏离/完全响应/负偏离三种</w:t>
      </w:r>
      <w:r>
        <w:rPr>
          <w:rFonts w:hint="eastAsia" w:ascii="宋体"/>
          <w:color w:val="auto"/>
          <w:szCs w:val="21"/>
          <w:highlight w:val="none"/>
        </w:rPr>
        <w:t>情况描述。</w:t>
      </w:r>
    </w:p>
    <w:p>
      <w:pPr>
        <w:spacing w:line="360" w:lineRule="auto"/>
        <w:ind w:left="424" w:leftChars="150" w:hanging="109" w:hangingChars="52"/>
        <w:rPr>
          <w:rFonts w:ascii="宋体"/>
          <w:color w:val="auto"/>
          <w:szCs w:val="21"/>
          <w:highlight w:val="none"/>
        </w:rPr>
      </w:pPr>
      <w:r>
        <w:rPr>
          <w:rFonts w:hint="eastAsia" w:ascii="宋体"/>
          <w:color w:val="auto"/>
          <w:szCs w:val="21"/>
          <w:highlight w:val="none"/>
        </w:rPr>
        <w:t>（2）若无任何偏离，则可在表格中注明所有内容完全响应。</w:t>
      </w:r>
    </w:p>
    <w:p>
      <w:pPr>
        <w:spacing w:line="360" w:lineRule="auto"/>
        <w:ind w:left="3604" w:leftChars="196" w:hanging="3192" w:hangingChars="1520"/>
        <w:rPr>
          <w:rFonts w:ascii="宋体"/>
          <w:color w:val="auto"/>
          <w:szCs w:val="21"/>
          <w:highlight w:val="none"/>
        </w:rPr>
      </w:pPr>
    </w:p>
    <w:p>
      <w:pPr>
        <w:spacing w:line="360" w:lineRule="auto"/>
        <w:ind w:left="3604" w:leftChars="196" w:hanging="3192" w:hangingChars="1520"/>
        <w:rPr>
          <w:rFonts w:ascii="宋体"/>
          <w:color w:val="auto"/>
          <w:szCs w:val="21"/>
          <w:highlight w:val="none"/>
        </w:rPr>
      </w:pPr>
    </w:p>
    <w:p>
      <w:pPr>
        <w:rPr>
          <w:rFonts w:ascii="宋体"/>
          <w:color w:val="auto"/>
          <w:szCs w:val="21"/>
          <w:highlight w:val="none"/>
          <w:u w:val="single"/>
        </w:rPr>
      </w:pPr>
      <w:r>
        <w:rPr>
          <w:rFonts w:hint="eastAsia" w:ascii="宋体" w:hAnsi="宋体"/>
          <w:color w:val="auto"/>
          <w:szCs w:val="21"/>
          <w:highlight w:val="none"/>
        </w:rPr>
        <w:t>投标人（</w:t>
      </w:r>
      <w:r>
        <w:rPr>
          <w:rFonts w:hint="eastAsia" w:ascii="宋体"/>
          <w:color w:val="auto"/>
          <w:szCs w:val="21"/>
          <w:highlight w:val="none"/>
        </w:rPr>
        <w:t>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rPr>
          <w:rFonts w:hint="eastAsia" w:ascii="宋体" w:hAnsi="宋体"/>
          <w:color w:val="auto"/>
          <w:szCs w:val="21"/>
          <w:highlight w:val="none"/>
        </w:rPr>
      </w:pPr>
    </w:p>
    <w:p>
      <w:pPr>
        <w:rPr>
          <w:rFonts w:hint="eastAsia" w:ascii="宋体" w:hAnsi="宋体"/>
          <w:color w:val="auto"/>
          <w:szCs w:val="21"/>
          <w:highlight w:val="none"/>
          <w:u w:val="single"/>
        </w:rPr>
      </w:pPr>
      <w:r>
        <w:rPr>
          <w:rFonts w:hint="eastAsia" w:ascii="宋体" w:hAnsi="宋体"/>
          <w:color w:val="auto"/>
          <w:szCs w:val="21"/>
          <w:highlight w:val="none"/>
        </w:rPr>
        <w:t>法人代表或授权代表（签名或署印）：</w:t>
      </w:r>
      <w:r>
        <w:rPr>
          <w:rFonts w:hint="eastAsia" w:ascii="宋体" w:hAnsi="宋体"/>
          <w:color w:val="auto"/>
          <w:szCs w:val="21"/>
          <w:highlight w:val="none"/>
          <w:u w:val="single"/>
        </w:rPr>
        <w:t xml:space="preserve">                  </w:t>
      </w:r>
    </w:p>
    <w:p>
      <w:pPr>
        <w:rPr>
          <w:rFonts w:hint="eastAsia"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5"/>
        <w:jc w:val="center"/>
        <w:rPr>
          <w:color w:val="auto"/>
          <w:highlight w:val="none"/>
        </w:rPr>
      </w:pPr>
      <w:r>
        <w:rPr>
          <w:color w:val="auto"/>
          <w:sz w:val="21"/>
          <w:szCs w:val="21"/>
          <w:highlight w:val="none"/>
        </w:rPr>
        <w:br w:type="page"/>
      </w:r>
      <w:bookmarkStart w:id="1171" w:name="_Toc179632814"/>
      <w:bookmarkStart w:id="1172" w:name="_Toc18679"/>
      <w:bookmarkStart w:id="1173" w:name="_Toc152042583"/>
      <w:bookmarkStart w:id="1174" w:name="_Toc152045794"/>
      <w:bookmarkStart w:id="1175" w:name="_Toc246997105"/>
      <w:bookmarkStart w:id="1176" w:name="_Toc144974862"/>
      <w:bookmarkStart w:id="1177" w:name="_Toc246996362"/>
      <w:bookmarkStart w:id="1178" w:name="_Toc247085880"/>
      <w:r>
        <w:rPr>
          <w:rFonts w:hint="eastAsia"/>
          <w:color w:val="auto"/>
          <w:highlight w:val="none"/>
        </w:rPr>
        <w:t>六</w:t>
      </w:r>
      <w:r>
        <w:rPr>
          <w:color w:val="auto"/>
          <w:highlight w:val="none"/>
        </w:rPr>
        <w:t>、投标保证金</w:t>
      </w:r>
      <w:bookmarkEnd w:id="1171"/>
      <w:bookmarkEnd w:id="1172"/>
      <w:bookmarkEnd w:id="1173"/>
      <w:bookmarkEnd w:id="1174"/>
      <w:bookmarkEnd w:id="1175"/>
      <w:bookmarkEnd w:id="1176"/>
      <w:bookmarkEnd w:id="1177"/>
      <w:bookmarkEnd w:id="1178"/>
    </w:p>
    <w:p>
      <w:pPr>
        <w:spacing w:line="44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）采用电汇方式递交，投标人应附广州公共资源交易中心出具的关于收取本工程投标保证金的收款回执单。投标保证金到账情况以开标时广州公共资源交易中心数据库查询的信息为准。</w:t>
      </w:r>
    </w:p>
    <w:p>
      <w:pPr>
        <w:spacing w:line="44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）若采用投标保函或投标保证保险或专业担保公司担保形式递交，参考格式如下（开具保函的银行或机构可根据实际情况调整保函，但不得更改本格式中的实质性内容）：</w:t>
      </w:r>
    </w:p>
    <w:p>
      <w:pPr>
        <w:spacing w:line="440" w:lineRule="exact"/>
        <w:rPr>
          <w:color w:val="auto"/>
          <w:szCs w:val="21"/>
          <w:highlight w:val="none"/>
        </w:rPr>
      </w:pPr>
    </w:p>
    <w:p>
      <w:pPr>
        <w:spacing w:line="440" w:lineRule="exact"/>
        <w:jc w:val="center"/>
        <w:rPr>
          <w:b/>
          <w:color w:val="auto"/>
          <w:sz w:val="24"/>
          <w:szCs w:val="21"/>
          <w:highlight w:val="none"/>
        </w:rPr>
      </w:pPr>
      <w:r>
        <w:rPr>
          <w:rFonts w:hint="eastAsia"/>
          <w:b/>
          <w:color w:val="auto"/>
          <w:sz w:val="28"/>
          <w:szCs w:val="21"/>
          <w:highlight w:val="none"/>
        </w:rPr>
        <w:t>银行保函、保证保险、专业工程担保公司担保</w:t>
      </w:r>
    </w:p>
    <w:p>
      <w:pPr>
        <w:spacing w:line="440" w:lineRule="exact"/>
        <w:rPr>
          <w:color w:val="auto"/>
          <w:szCs w:val="21"/>
          <w:highlight w:val="none"/>
        </w:rPr>
      </w:pPr>
    </w:p>
    <w:p>
      <w:pPr>
        <w:spacing w:line="440" w:lineRule="exact"/>
        <w:rPr>
          <w:color w:val="auto"/>
          <w:highlight w:val="none"/>
        </w:rPr>
      </w:pPr>
      <w:r>
        <w:rPr>
          <w:color w:val="auto"/>
          <w:szCs w:val="21"/>
          <w:highlight w:val="none"/>
          <w:u w:val="single"/>
        </w:rPr>
        <w:tab/>
      </w:r>
      <w:r>
        <w:rPr>
          <w:color w:val="auto"/>
          <w:szCs w:val="21"/>
          <w:highlight w:val="none"/>
          <w:u w:val="single"/>
        </w:rPr>
        <w:t xml:space="preserve">          </w:t>
      </w:r>
      <w:r>
        <w:rPr>
          <w:color w:val="auto"/>
          <w:szCs w:val="21"/>
          <w:highlight w:val="none"/>
          <w:u w:val="single"/>
        </w:rPr>
        <w:tab/>
      </w:r>
      <w:r>
        <w:rPr>
          <w:rFonts w:hint="eastAsia"/>
          <w:color w:val="auto"/>
          <w:highlight w:val="none"/>
        </w:rPr>
        <w:t>（招标人名称）</w:t>
      </w:r>
      <w:r>
        <w:rPr>
          <w:rFonts w:hint="eastAsia"/>
          <w:color w:val="auto"/>
          <w:szCs w:val="21"/>
          <w:highlight w:val="none"/>
        </w:rPr>
        <w:t>：</w:t>
      </w:r>
    </w:p>
    <w:p>
      <w:pPr>
        <w:spacing w:line="440" w:lineRule="exact"/>
        <w:rPr>
          <w:color w:val="auto"/>
          <w:szCs w:val="21"/>
          <w:highlight w:val="none"/>
        </w:rPr>
      </w:pPr>
    </w:p>
    <w:p>
      <w:pPr>
        <w:spacing w:line="400" w:lineRule="exact"/>
        <w:ind w:firstLine="315" w:firstLineChars="150"/>
        <w:rPr>
          <w:color w:val="auto"/>
          <w:szCs w:val="21"/>
          <w:highlight w:val="none"/>
        </w:rPr>
      </w:pPr>
      <w:r>
        <w:rPr>
          <w:rFonts w:hint="eastAsia"/>
          <w:color w:val="auto"/>
          <w:highlight w:val="none"/>
        </w:rPr>
        <w:t>鉴于</w:t>
      </w:r>
      <w:r>
        <w:rPr>
          <w:color w:val="auto"/>
          <w:highlight w:val="none"/>
          <w:u w:val="single"/>
        </w:rPr>
        <w:t xml:space="preserve">                        </w:t>
      </w:r>
      <w:r>
        <w:rPr>
          <w:rFonts w:hint="eastAsia"/>
          <w:color w:val="auto"/>
          <w:szCs w:val="21"/>
          <w:highlight w:val="none"/>
        </w:rPr>
        <w:t>（投标人名称）（以下</w:t>
      </w:r>
      <w:r>
        <w:rPr>
          <w:rFonts w:hint="eastAsia"/>
          <w:color w:val="auto"/>
          <w:highlight w:val="none"/>
        </w:rPr>
        <w:t>称</w:t>
      </w:r>
      <w:r>
        <w:rPr>
          <w:color w:val="auto"/>
          <w:highlight w:val="none"/>
        </w:rPr>
        <w:t>“</w:t>
      </w:r>
      <w:r>
        <w:rPr>
          <w:rFonts w:hint="eastAsia"/>
          <w:color w:val="auto"/>
          <w:highlight w:val="none"/>
        </w:rPr>
        <w:t>投标人</w:t>
      </w:r>
      <w:r>
        <w:rPr>
          <w:color w:val="auto"/>
          <w:highlight w:val="none"/>
        </w:rPr>
        <w:t>”</w:t>
      </w:r>
      <w:r>
        <w:rPr>
          <w:rFonts w:hint="eastAsia"/>
          <w:color w:val="auto"/>
          <w:highlight w:val="none"/>
        </w:rPr>
        <w:t>）于</w:t>
      </w:r>
      <w:r>
        <w:rPr>
          <w:color w:val="auto"/>
          <w:highlight w:val="none"/>
          <w:u w:val="single"/>
        </w:rPr>
        <w:t xml:space="preserve">     </w:t>
      </w:r>
      <w:r>
        <w:rPr>
          <w:rFonts w:hint="eastAsia"/>
          <w:color w:val="auto"/>
          <w:szCs w:val="21"/>
          <w:highlight w:val="none"/>
        </w:rPr>
        <w:t>年</w:t>
      </w:r>
      <w:r>
        <w:rPr>
          <w:color w:val="auto"/>
          <w:highlight w:val="none"/>
          <w:u w:val="single"/>
        </w:rPr>
        <w:t xml:space="preserve">   </w:t>
      </w:r>
      <w:r>
        <w:rPr>
          <w:rFonts w:hint="eastAsia"/>
          <w:color w:val="auto"/>
          <w:szCs w:val="21"/>
          <w:highlight w:val="none"/>
        </w:rPr>
        <w:t>月</w:t>
      </w:r>
      <w:r>
        <w:rPr>
          <w:color w:val="auto"/>
          <w:highlight w:val="none"/>
          <w:u w:val="single"/>
        </w:rPr>
        <w:t xml:space="preserve">   </w:t>
      </w:r>
      <w:r>
        <w:rPr>
          <w:rFonts w:hint="eastAsia"/>
          <w:color w:val="auto"/>
          <w:szCs w:val="21"/>
          <w:highlight w:val="none"/>
        </w:rPr>
        <w:t>日参加</w:t>
      </w:r>
      <w:r>
        <w:rPr>
          <w:color w:val="auto"/>
          <w:highlight w:val="none"/>
          <w:u w:val="single"/>
        </w:rPr>
        <w:t xml:space="preserve">                     </w:t>
      </w:r>
      <w:r>
        <w:rPr>
          <w:rFonts w:hint="eastAsia"/>
          <w:color w:val="auto"/>
          <w:highlight w:val="none"/>
        </w:rPr>
        <w:t>（项目名称）的</w:t>
      </w:r>
      <w:r>
        <w:rPr>
          <w:rFonts w:hint="eastAsia"/>
          <w:color w:val="auto"/>
          <w:szCs w:val="21"/>
          <w:highlight w:val="none"/>
        </w:rPr>
        <w:t>投标，</w:t>
      </w:r>
      <w:r>
        <w:rPr>
          <w:color w:val="auto"/>
          <w:highlight w:val="none"/>
          <w:u w:val="single"/>
        </w:rPr>
        <w:t xml:space="preserve">          </w:t>
      </w:r>
      <w:r>
        <w:rPr>
          <w:rFonts w:hint="eastAsia"/>
          <w:color w:val="auto"/>
          <w:szCs w:val="21"/>
          <w:highlight w:val="none"/>
        </w:rPr>
        <w:t>（担保人名称，以下简称</w:t>
      </w:r>
      <w:r>
        <w:rPr>
          <w:color w:val="auto"/>
          <w:szCs w:val="21"/>
          <w:highlight w:val="none"/>
        </w:rPr>
        <w:t>“</w:t>
      </w:r>
      <w:r>
        <w:rPr>
          <w:rFonts w:hint="eastAsia"/>
          <w:color w:val="auto"/>
          <w:szCs w:val="21"/>
          <w:highlight w:val="none"/>
        </w:rPr>
        <w:t>我方</w:t>
      </w:r>
      <w:r>
        <w:rPr>
          <w:color w:val="auto"/>
          <w:szCs w:val="21"/>
          <w:highlight w:val="none"/>
        </w:rPr>
        <w:t>”</w:t>
      </w:r>
      <w:r>
        <w:rPr>
          <w:rFonts w:hint="eastAsia"/>
          <w:color w:val="auto"/>
          <w:szCs w:val="21"/>
          <w:highlight w:val="none"/>
        </w:rPr>
        <w:t>）无条件地、不可撤销地保证：若</w:t>
      </w:r>
      <w:r>
        <w:rPr>
          <w:rFonts w:hint="eastAsia"/>
          <w:color w:val="auto"/>
          <w:highlight w:val="none"/>
        </w:rPr>
        <w:t>投标人在投标有效期内</w:t>
      </w:r>
      <w:r>
        <w:rPr>
          <w:rFonts w:hint="eastAsia"/>
          <w:color w:val="auto"/>
          <w:szCs w:val="21"/>
          <w:highlight w:val="none"/>
        </w:rPr>
        <w:t>撤销投标文件，中标后无正当理由不与招标人订立合同，在签订合同时向招标人提出附加条件，不按照招标文件要求提交履约保证金，或者</w:t>
      </w:r>
      <w:r>
        <w:rPr>
          <w:rFonts w:hint="eastAsia"/>
          <w:color w:val="auto"/>
          <w:highlight w:val="none"/>
        </w:rPr>
        <w:t>发生招标文件明确规定可以</w:t>
      </w:r>
      <w:r>
        <w:rPr>
          <w:rFonts w:hint="eastAsia"/>
          <w:color w:val="auto"/>
          <w:szCs w:val="21"/>
          <w:highlight w:val="none"/>
        </w:rPr>
        <w:t>不予退还</w:t>
      </w:r>
      <w:r>
        <w:rPr>
          <w:rFonts w:hint="eastAsia"/>
          <w:color w:val="auto"/>
          <w:highlight w:val="none"/>
        </w:rPr>
        <w:t>投标保证金的其他情形</w:t>
      </w:r>
      <w:r>
        <w:rPr>
          <w:rFonts w:hint="eastAsia"/>
          <w:color w:val="auto"/>
          <w:szCs w:val="21"/>
          <w:highlight w:val="none"/>
        </w:rPr>
        <w:t>，我方承担保证责任。收到你方书面通知后，我方在</w:t>
      </w:r>
      <w:r>
        <w:rPr>
          <w:color w:val="auto"/>
          <w:szCs w:val="21"/>
          <w:highlight w:val="none"/>
        </w:rPr>
        <w:t>7</w:t>
      </w:r>
      <w:r>
        <w:rPr>
          <w:rFonts w:hint="eastAsia"/>
          <w:color w:val="auto"/>
          <w:szCs w:val="21"/>
          <w:highlight w:val="none"/>
        </w:rPr>
        <w:t>日内向你方无条件支付人民币（大写）</w:t>
      </w:r>
      <w:r>
        <w:rPr>
          <w:color w:val="auto"/>
          <w:highlight w:val="none"/>
          <w:u w:val="single"/>
        </w:rPr>
        <w:t xml:space="preserve">              </w:t>
      </w:r>
      <w:r>
        <w:rPr>
          <w:rFonts w:hint="eastAsia"/>
          <w:color w:val="auto"/>
          <w:szCs w:val="21"/>
          <w:highlight w:val="none"/>
        </w:rPr>
        <w:t>。</w:t>
      </w:r>
    </w:p>
    <w:p>
      <w:pPr>
        <w:spacing w:line="440" w:lineRule="exact"/>
        <w:ind w:firstLine="420" w:firstLineChars="200"/>
        <w:rPr>
          <w:color w:val="auto"/>
          <w:szCs w:val="21"/>
          <w:highlight w:val="none"/>
        </w:rPr>
      </w:pPr>
      <w:r>
        <w:rPr>
          <w:rFonts w:hint="eastAsia"/>
          <w:color w:val="auto"/>
          <w:szCs w:val="21"/>
          <w:highlight w:val="none"/>
        </w:rPr>
        <w:t>本保函在投标有效期内保持有效。要求我方承担保证责任的通知应在投标有效期内送达我方。</w:t>
      </w:r>
    </w:p>
    <w:p>
      <w:pPr>
        <w:spacing w:line="440" w:lineRule="exact"/>
        <w:rPr>
          <w:color w:val="auto"/>
          <w:szCs w:val="21"/>
          <w:highlight w:val="none"/>
        </w:rPr>
      </w:pPr>
    </w:p>
    <w:p>
      <w:pPr>
        <w:spacing w:line="440" w:lineRule="exact"/>
        <w:ind w:firstLine="3208" w:firstLineChars="1528"/>
        <w:jc w:val="right"/>
        <w:rPr>
          <w:color w:val="auto"/>
          <w:szCs w:val="21"/>
          <w:highlight w:val="none"/>
        </w:rPr>
      </w:pPr>
      <w:r>
        <w:rPr>
          <w:color w:val="auto"/>
          <w:szCs w:val="21"/>
          <w:highlight w:val="none"/>
        </w:rPr>
        <w:t>担保人名称：</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r>
        <w:rPr>
          <w:color w:val="auto"/>
          <w:szCs w:val="21"/>
          <w:highlight w:val="none"/>
          <w:u w:val="single"/>
        </w:rPr>
        <w:tab/>
      </w:r>
      <w:r>
        <w:rPr>
          <w:color w:val="auto"/>
          <w:szCs w:val="21"/>
          <w:highlight w:val="none"/>
        </w:rPr>
        <w:t>（盖单位章）</w:t>
      </w:r>
    </w:p>
    <w:p>
      <w:pPr>
        <w:spacing w:line="440" w:lineRule="exact"/>
        <w:ind w:right="50"/>
        <w:jc w:val="right"/>
        <w:rPr>
          <w:color w:val="auto"/>
          <w:szCs w:val="21"/>
          <w:highlight w:val="none"/>
        </w:rPr>
      </w:pPr>
      <w:r>
        <w:rPr>
          <w:color w:val="auto"/>
          <w:szCs w:val="21"/>
          <w:highlight w:val="none"/>
        </w:rPr>
        <w:t>法定代表人或委托代理人：</w:t>
      </w:r>
      <w:r>
        <w:rPr>
          <w:color w:val="auto"/>
          <w:szCs w:val="21"/>
          <w:highlight w:val="none"/>
          <w:u w:val="single"/>
        </w:rPr>
        <w:t xml:space="preserve">           </w:t>
      </w:r>
      <w:r>
        <w:rPr>
          <w:color w:val="auto"/>
          <w:szCs w:val="21"/>
          <w:highlight w:val="none"/>
        </w:rPr>
        <w:t>（签字或署印）</w:t>
      </w:r>
    </w:p>
    <w:p>
      <w:pPr>
        <w:spacing w:line="440" w:lineRule="exact"/>
        <w:ind w:firstLine="3208" w:firstLineChars="1528"/>
        <w:jc w:val="right"/>
        <w:rPr>
          <w:color w:val="auto"/>
          <w:szCs w:val="21"/>
          <w:highlight w:val="none"/>
        </w:rPr>
      </w:pPr>
      <w:r>
        <w:rPr>
          <w:color w:val="auto"/>
          <w:szCs w:val="21"/>
          <w:highlight w:val="none"/>
        </w:rPr>
        <w:t>地     址：</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color w:val="auto"/>
          <w:szCs w:val="21"/>
          <w:highlight w:val="none"/>
          <w:u w:val="single"/>
        </w:rPr>
        <w:tab/>
      </w:r>
    </w:p>
    <w:p>
      <w:pPr>
        <w:spacing w:line="440" w:lineRule="exact"/>
        <w:ind w:firstLine="3208" w:firstLineChars="1528"/>
        <w:jc w:val="right"/>
        <w:rPr>
          <w:color w:val="auto"/>
          <w:szCs w:val="21"/>
          <w:highlight w:val="none"/>
          <w:u w:val="single"/>
        </w:rPr>
      </w:pPr>
      <w:r>
        <w:rPr>
          <w:color w:val="auto"/>
          <w:szCs w:val="21"/>
          <w:highlight w:val="none"/>
        </w:rPr>
        <w:t>邮政编码：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color w:val="auto"/>
          <w:szCs w:val="21"/>
          <w:highlight w:val="none"/>
          <w:u w:val="single"/>
        </w:rPr>
        <w:tab/>
      </w:r>
      <w:r>
        <w:rPr>
          <w:color w:val="auto"/>
          <w:szCs w:val="21"/>
          <w:highlight w:val="none"/>
          <w:u w:val="single"/>
        </w:rPr>
        <w:tab/>
      </w:r>
    </w:p>
    <w:p>
      <w:pPr>
        <w:spacing w:line="440" w:lineRule="exact"/>
        <w:ind w:firstLine="3208" w:firstLineChars="1528"/>
        <w:jc w:val="right"/>
        <w:rPr>
          <w:color w:val="auto"/>
          <w:szCs w:val="21"/>
          <w:highlight w:val="none"/>
        </w:rPr>
      </w:pPr>
      <w:r>
        <w:rPr>
          <w:color w:val="auto"/>
          <w:szCs w:val="21"/>
          <w:highlight w:val="none"/>
        </w:rPr>
        <w:t>电     话：</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r>
        <w:rPr>
          <w:color w:val="auto"/>
          <w:szCs w:val="21"/>
          <w:highlight w:val="none"/>
          <w:u w:val="single"/>
        </w:rPr>
        <w:tab/>
      </w:r>
    </w:p>
    <w:p>
      <w:pPr>
        <w:spacing w:line="440" w:lineRule="exact"/>
        <w:ind w:firstLine="3523" w:firstLineChars="1678"/>
        <w:jc w:val="right"/>
        <w:rPr>
          <w:color w:val="auto"/>
          <w:highlight w:val="none"/>
          <w:u w:val="single"/>
        </w:rPr>
      </w:pPr>
    </w:p>
    <w:p>
      <w:pPr>
        <w:topLinePunct/>
        <w:spacing w:line="440" w:lineRule="exact"/>
        <w:ind w:firstLine="4435" w:firstLineChars="2112"/>
        <w:jc w:val="right"/>
        <w:rPr>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widowControl/>
        <w:jc w:val="left"/>
        <w:rPr>
          <w:rFonts w:hint="eastAsia" w:ascii="宋体" w:hAnsi="宋体" w:cs="宋体"/>
          <w:color w:val="auto"/>
          <w:szCs w:val="21"/>
          <w:highlight w:val="none"/>
        </w:rPr>
      </w:pPr>
    </w:p>
    <w:p>
      <w:pPr>
        <w:jc w:val="center"/>
        <w:rPr>
          <w:color w:val="auto"/>
          <w:highlight w:val="none"/>
        </w:rPr>
      </w:pPr>
    </w:p>
    <w:p>
      <w:pPr>
        <w:pStyle w:val="5"/>
        <w:jc w:val="center"/>
        <w:rPr>
          <w:color w:val="auto"/>
          <w:highlight w:val="none"/>
        </w:rPr>
      </w:pPr>
      <w:r>
        <w:rPr>
          <w:color w:val="auto"/>
          <w:sz w:val="20"/>
          <w:szCs w:val="20"/>
          <w:highlight w:val="none"/>
        </w:rPr>
        <w:br w:type="page"/>
      </w:r>
      <w:bookmarkStart w:id="1179" w:name="_Toc247085890"/>
      <w:bookmarkStart w:id="1180" w:name="_Toc20044"/>
      <w:bookmarkStart w:id="1181" w:name="_Toc152045807"/>
      <w:bookmarkStart w:id="1182" w:name="_Toc152042596"/>
      <w:bookmarkStart w:id="1183" w:name="_Toc246996372"/>
      <w:bookmarkStart w:id="1184" w:name="_Toc179632827"/>
      <w:bookmarkStart w:id="1185" w:name="_Toc144974875"/>
      <w:bookmarkStart w:id="1186" w:name="_Toc246997115"/>
      <w:r>
        <w:rPr>
          <w:rFonts w:hint="eastAsia"/>
          <w:color w:val="auto"/>
          <w:highlight w:val="none"/>
        </w:rPr>
        <w:t>七</w:t>
      </w:r>
      <w:r>
        <w:rPr>
          <w:color w:val="auto"/>
          <w:highlight w:val="none"/>
        </w:rPr>
        <w:t>、资格审查资料</w:t>
      </w:r>
      <w:bookmarkEnd w:id="1179"/>
      <w:bookmarkEnd w:id="1180"/>
      <w:bookmarkEnd w:id="1181"/>
      <w:bookmarkEnd w:id="1182"/>
      <w:bookmarkEnd w:id="1183"/>
      <w:bookmarkEnd w:id="1184"/>
      <w:bookmarkEnd w:id="1185"/>
      <w:bookmarkEnd w:id="1186"/>
    </w:p>
    <w:p>
      <w:pPr>
        <w:pStyle w:val="6"/>
        <w:jc w:val="center"/>
        <w:rPr>
          <w:color w:val="auto"/>
          <w:highlight w:val="none"/>
        </w:rPr>
      </w:pPr>
      <w:bookmarkStart w:id="1187" w:name="_Toc144974876"/>
      <w:bookmarkStart w:id="1188" w:name="_Toc246996373"/>
      <w:bookmarkStart w:id="1189" w:name="_Toc152042597"/>
      <w:bookmarkStart w:id="1190" w:name="_Toc247085891"/>
      <w:bookmarkStart w:id="1191" w:name="_Toc246997116"/>
      <w:bookmarkStart w:id="1192" w:name="_Toc55505196"/>
      <w:bookmarkStart w:id="1193" w:name="_Toc5389"/>
      <w:bookmarkStart w:id="1194" w:name="_Toc179632828"/>
      <w:bookmarkStart w:id="1195" w:name="_Toc152045808"/>
      <w:bookmarkStart w:id="1196" w:name="_Toc529528998"/>
      <w:r>
        <w:rPr>
          <w:color w:val="auto"/>
          <w:highlight w:val="none"/>
        </w:rPr>
        <w:t>（一）投标人基本情况表</w:t>
      </w:r>
      <w:bookmarkEnd w:id="1187"/>
      <w:bookmarkEnd w:id="1188"/>
      <w:bookmarkEnd w:id="1189"/>
      <w:bookmarkEnd w:id="1190"/>
      <w:bookmarkEnd w:id="1191"/>
      <w:bookmarkEnd w:id="1192"/>
      <w:bookmarkEnd w:id="1193"/>
      <w:bookmarkEnd w:id="1194"/>
      <w:bookmarkEnd w:id="1195"/>
      <w:bookmarkEnd w:id="1196"/>
    </w:p>
    <w:tbl>
      <w:tblPr>
        <w:tblStyle w:val="74"/>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企业</w:t>
            </w:r>
            <w:r>
              <w:rPr>
                <w:rFonts w:hint="eastAsia"/>
                <w:color w:val="auto"/>
                <w:szCs w:val="21"/>
                <w:highlight w:val="none"/>
              </w:rPr>
              <w:t>相关</w:t>
            </w:r>
            <w:r>
              <w:rPr>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color w:val="auto"/>
                <w:highlight w:val="none"/>
              </w:rPr>
            </w:pPr>
            <w:r>
              <w:rPr>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color w:val="auto"/>
                <w:highlight w:val="none"/>
              </w:rPr>
            </w:pPr>
            <w:r>
              <w:rPr>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414" w:type="dxa"/>
            <w:vMerge w:val="continue"/>
            <w:tcBorders>
              <w:left w:val="single" w:color="auto" w:sz="4" w:space="0"/>
              <w:right w:val="single" w:color="auto" w:sz="4" w:space="0"/>
            </w:tcBorders>
            <w:vAlign w:val="center"/>
          </w:tcPr>
          <w:p>
            <w:pPr>
              <w:jc w:val="center"/>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414" w:type="dxa"/>
            <w:vMerge w:val="continue"/>
            <w:tcBorders>
              <w:left w:val="single" w:color="auto" w:sz="4" w:space="0"/>
              <w:right w:val="single" w:color="auto" w:sz="4" w:space="0"/>
            </w:tcBorders>
            <w:vAlign w:val="center"/>
          </w:tcPr>
          <w:p>
            <w:pPr>
              <w:jc w:val="center"/>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414" w:type="dxa"/>
            <w:vMerge w:val="continue"/>
            <w:tcBorders>
              <w:left w:val="single" w:color="auto" w:sz="4" w:space="0"/>
              <w:right w:val="single" w:color="auto" w:sz="4" w:space="0"/>
            </w:tcBorders>
            <w:vAlign w:val="center"/>
          </w:tcPr>
          <w:p>
            <w:pPr>
              <w:jc w:val="center"/>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color w:val="auto"/>
                <w:highlight w:val="none"/>
              </w:rPr>
            </w:pPr>
            <w:r>
              <w:rPr>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rPr>
                <w:color w:val="auto"/>
                <w:highlight w:val="none"/>
              </w:rPr>
            </w:pPr>
            <w:r>
              <w:rPr>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bl>
    <w:p>
      <w:pPr>
        <w:topLinePunct/>
        <w:spacing w:line="440" w:lineRule="exact"/>
        <w:rPr>
          <w:color w:val="auto"/>
          <w:highlight w:val="none"/>
        </w:rPr>
      </w:pPr>
      <w:r>
        <w:rPr>
          <w:color w:val="auto"/>
          <w:highlight w:val="none"/>
        </w:rPr>
        <w:t>注：</w:t>
      </w:r>
      <w:r>
        <w:rPr>
          <w:rFonts w:hint="eastAsia"/>
          <w:color w:val="auto"/>
          <w:highlight w:val="none"/>
        </w:rPr>
        <w:t>（1）</w:t>
      </w:r>
      <w:r>
        <w:rPr>
          <w:rFonts w:hint="eastAsia" w:ascii="宋体" w:hAnsi="宋体" w:cs="宋体"/>
          <w:color w:val="auto"/>
          <w:szCs w:val="21"/>
          <w:highlight w:val="none"/>
        </w:rPr>
        <w:t>本表后附企业法人营业执照或事业单位法人证书、资质证书、资信证明（如有）、认证证书（如有）、获奖证书（如有）、</w:t>
      </w:r>
      <w:r>
        <w:rPr>
          <w:color w:val="auto"/>
          <w:highlight w:val="none"/>
        </w:rPr>
        <w:t>基本账户开户许可证或基本存款账户信息</w:t>
      </w:r>
      <w:r>
        <w:rPr>
          <w:rFonts w:hint="eastAsia"/>
          <w:color w:val="auto"/>
          <w:highlight w:val="none"/>
        </w:rPr>
        <w:t>等</w:t>
      </w:r>
      <w:r>
        <w:rPr>
          <w:color w:val="auto"/>
          <w:highlight w:val="none"/>
        </w:rPr>
        <w:t>扫描件。</w:t>
      </w:r>
    </w:p>
    <w:p>
      <w:pPr>
        <w:topLinePunct/>
        <w:spacing w:line="440" w:lineRule="exact"/>
        <w:ind w:firstLine="420" w:firstLineChars="200"/>
        <w:rPr>
          <w:color w:val="auto"/>
          <w:szCs w:val="21"/>
          <w:highlight w:val="none"/>
        </w:rPr>
      </w:pPr>
      <w:r>
        <w:rPr>
          <w:rFonts w:hint="eastAsia"/>
          <w:color w:val="auto"/>
          <w:highlight w:val="none"/>
        </w:rPr>
        <w:t>（</w:t>
      </w:r>
      <w:r>
        <w:rPr>
          <w:color w:val="auto"/>
          <w:highlight w:val="none"/>
        </w:rPr>
        <w:t>2</w:t>
      </w:r>
      <w:r>
        <w:rPr>
          <w:rFonts w:hint="eastAsia"/>
          <w:color w:val="auto"/>
          <w:highlight w:val="none"/>
        </w:rPr>
        <w:t>）投标人必须如实填写资产构成情况和关联企业情况，如发现未如实填写的，按提供虚假材料对待。</w:t>
      </w:r>
    </w:p>
    <w:p>
      <w:pPr>
        <w:spacing w:line="440" w:lineRule="exact"/>
        <w:rPr>
          <w:rFonts w:eastAsia="黑体"/>
          <w:color w:val="auto"/>
          <w:sz w:val="23"/>
          <w:szCs w:val="23"/>
          <w:highlight w:val="none"/>
        </w:rPr>
      </w:pPr>
      <w:bookmarkStart w:id="1197" w:name="_Toc144974881"/>
      <w:bookmarkStart w:id="1198" w:name="_Toc179632833"/>
      <w:bookmarkStart w:id="1199" w:name="_Toc152045813"/>
      <w:bookmarkStart w:id="1200" w:name="_Toc152042602"/>
      <w:r>
        <w:rPr>
          <w:rFonts w:eastAsia="黑体"/>
          <w:color w:val="auto"/>
          <w:sz w:val="20"/>
          <w:szCs w:val="20"/>
          <w:highlight w:val="none"/>
        </w:rPr>
        <w:br w:type="page"/>
      </w:r>
    </w:p>
    <w:p>
      <w:pPr>
        <w:pStyle w:val="6"/>
        <w:jc w:val="center"/>
        <w:rPr>
          <w:rFonts w:ascii="Calibri" w:hAnsi="Calibri"/>
          <w:b w:val="0"/>
          <w:bCs w:val="0"/>
          <w:color w:val="auto"/>
          <w:highlight w:val="none"/>
        </w:rPr>
      </w:pPr>
      <w:bookmarkStart w:id="1201" w:name="_Toc247514301"/>
      <w:bookmarkStart w:id="1202" w:name="_Toc116466042"/>
      <w:bookmarkStart w:id="1203" w:name="_Toc265953295"/>
      <w:bookmarkStart w:id="1204" w:name="_Toc13498"/>
      <w:bookmarkStart w:id="1205" w:name="_Toc166243662"/>
      <w:bookmarkStart w:id="1206" w:name="_Toc152042598"/>
      <w:bookmarkStart w:id="1207" w:name="_Toc55505197"/>
      <w:bookmarkStart w:id="1208" w:name="_Toc152045809"/>
      <w:bookmarkStart w:id="1209" w:name="_Toc144974877"/>
      <w:bookmarkStart w:id="1210" w:name="_Toc166159876"/>
      <w:bookmarkStart w:id="1211" w:name="_Toc529528999"/>
      <w:bookmarkStart w:id="1212" w:name="_Toc247527849"/>
      <w:bookmarkStart w:id="1213" w:name="_Toc152045810"/>
      <w:bookmarkStart w:id="1214" w:name="_Toc152042599"/>
      <w:bookmarkStart w:id="1215" w:name="_Toc247514302"/>
      <w:bookmarkStart w:id="1216" w:name="_Toc55505198"/>
      <w:bookmarkStart w:id="1217" w:name="_Toc529529000"/>
      <w:bookmarkStart w:id="1218" w:name="_Toc144974878"/>
      <w:bookmarkStart w:id="1219" w:name="_Toc265953296"/>
      <w:bookmarkStart w:id="1220" w:name="_Toc247527850"/>
      <w:r>
        <w:rPr>
          <w:rFonts w:hint="eastAsia" w:ascii="Calibri" w:hAnsi="Calibri"/>
          <w:color w:val="auto"/>
          <w:highlight w:val="none"/>
        </w:rPr>
        <w:t>（二）近年财务状况表</w:t>
      </w:r>
      <w:bookmarkEnd w:id="1201"/>
      <w:bookmarkEnd w:id="1202"/>
      <w:bookmarkEnd w:id="1203"/>
      <w:bookmarkEnd w:id="1204"/>
      <w:bookmarkEnd w:id="1205"/>
      <w:bookmarkEnd w:id="1206"/>
      <w:bookmarkEnd w:id="1207"/>
      <w:bookmarkEnd w:id="1208"/>
      <w:bookmarkEnd w:id="1209"/>
      <w:bookmarkEnd w:id="1210"/>
      <w:bookmarkEnd w:id="1211"/>
      <w:bookmarkEnd w:id="1212"/>
    </w:p>
    <w:tbl>
      <w:tblPr>
        <w:tblStyle w:val="74"/>
        <w:tblW w:w="900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14"/>
        <w:gridCol w:w="1026"/>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113" w:firstLine="13"/>
              <w:jc w:val="center"/>
              <w:textAlignment w:val="bottom"/>
              <w:rPr>
                <w:color w:val="auto"/>
                <w:szCs w:val="21"/>
                <w:highlight w:val="none"/>
              </w:rPr>
            </w:pPr>
            <w:r>
              <w:rPr>
                <w:color w:val="auto"/>
                <w:szCs w:val="21"/>
                <w:highlight w:val="none"/>
              </w:rPr>
              <w:t>项目或指标</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单位</w:t>
            </w:r>
          </w:p>
        </w:tc>
        <w:tc>
          <w:tcPr>
            <w:tcW w:w="1260" w:type="dxa"/>
          </w:tcPr>
          <w:p>
            <w:pPr>
              <w:widowControl/>
              <w:autoSpaceDE w:val="0"/>
              <w:autoSpaceDN w:val="0"/>
              <w:spacing w:line="400" w:lineRule="atLeast"/>
              <w:ind w:firstLine="13"/>
              <w:jc w:val="center"/>
              <w:textAlignment w:val="bottom"/>
              <w:rPr>
                <w:color w:val="auto"/>
                <w:szCs w:val="21"/>
                <w:highlight w:val="none"/>
              </w:rPr>
            </w:pPr>
            <w:r>
              <w:rPr>
                <w:rFonts w:hint="eastAsia"/>
                <w:color w:val="auto"/>
                <w:szCs w:val="21"/>
                <w:highlight w:val="none"/>
                <w:u w:val="single"/>
                <w:lang w:val="en-US" w:eastAsia="zh-CN"/>
              </w:rPr>
              <w:t xml:space="preserve">  </w:t>
            </w:r>
            <w:r>
              <w:rPr>
                <w:color w:val="auto"/>
                <w:szCs w:val="21"/>
                <w:highlight w:val="none"/>
              </w:rPr>
              <w:t>年</w:t>
            </w:r>
          </w:p>
        </w:tc>
        <w:tc>
          <w:tcPr>
            <w:tcW w:w="1440" w:type="dxa"/>
          </w:tcPr>
          <w:p>
            <w:pPr>
              <w:widowControl/>
              <w:autoSpaceDE w:val="0"/>
              <w:autoSpaceDN w:val="0"/>
              <w:spacing w:line="400" w:lineRule="atLeast"/>
              <w:ind w:firstLine="13"/>
              <w:jc w:val="center"/>
              <w:textAlignment w:val="bottom"/>
              <w:rPr>
                <w:color w:val="auto"/>
                <w:szCs w:val="21"/>
                <w:highlight w:val="none"/>
              </w:rPr>
            </w:pPr>
            <w:r>
              <w:rPr>
                <w:rFonts w:hint="eastAsia"/>
                <w:color w:val="auto"/>
                <w:szCs w:val="21"/>
                <w:highlight w:val="none"/>
                <w:u w:val="single"/>
                <w:lang w:val="en-US" w:eastAsia="zh-CN"/>
              </w:rPr>
              <w:t xml:space="preserve">  </w:t>
            </w:r>
            <w:r>
              <w:rPr>
                <w:color w:val="auto"/>
                <w:szCs w:val="21"/>
                <w:highlight w:val="none"/>
              </w:rPr>
              <w:t>年</w:t>
            </w:r>
          </w:p>
        </w:tc>
        <w:tc>
          <w:tcPr>
            <w:tcW w:w="1260" w:type="dxa"/>
          </w:tcPr>
          <w:p>
            <w:pPr>
              <w:widowControl/>
              <w:autoSpaceDE w:val="0"/>
              <w:autoSpaceDN w:val="0"/>
              <w:spacing w:line="400" w:lineRule="atLeast"/>
              <w:ind w:firstLine="13"/>
              <w:jc w:val="center"/>
              <w:textAlignment w:val="bottom"/>
              <w:rPr>
                <w:color w:val="auto"/>
                <w:szCs w:val="21"/>
                <w:highlight w:val="none"/>
              </w:rPr>
            </w:pPr>
            <w:r>
              <w:rPr>
                <w:rFonts w:hint="eastAsia"/>
                <w:color w:val="auto"/>
                <w:szCs w:val="21"/>
                <w:highlight w:val="none"/>
                <w:u w:val="single"/>
                <w:lang w:val="en-US" w:eastAsia="zh-CN"/>
              </w:rPr>
              <w:t xml:space="preserve">  </w:t>
            </w:r>
            <w:r>
              <w:rPr>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113" w:firstLine="13"/>
              <w:textAlignment w:val="bottom"/>
              <w:rPr>
                <w:color w:val="auto"/>
                <w:szCs w:val="21"/>
                <w:highlight w:val="none"/>
              </w:rPr>
            </w:pPr>
            <w:r>
              <w:rPr>
                <w:color w:val="auto"/>
                <w:szCs w:val="21"/>
                <w:highlight w:val="none"/>
              </w:rPr>
              <w:t>一 、 注册资金</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万元</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113" w:firstLine="13"/>
              <w:textAlignment w:val="bottom"/>
              <w:rPr>
                <w:color w:val="auto"/>
                <w:szCs w:val="21"/>
                <w:highlight w:val="none"/>
              </w:rPr>
            </w:pPr>
            <w:r>
              <w:rPr>
                <w:color w:val="auto"/>
                <w:szCs w:val="21"/>
                <w:highlight w:val="none"/>
              </w:rPr>
              <w:t>二、 净资产</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万元</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113" w:firstLine="13"/>
              <w:textAlignment w:val="bottom"/>
              <w:rPr>
                <w:color w:val="auto"/>
                <w:szCs w:val="21"/>
                <w:highlight w:val="none"/>
              </w:rPr>
            </w:pPr>
            <w:r>
              <w:rPr>
                <w:color w:val="auto"/>
                <w:szCs w:val="21"/>
                <w:highlight w:val="none"/>
              </w:rPr>
              <w:t>三、 总资产</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万元</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spacing w:line="400" w:lineRule="atLeast"/>
              <w:ind w:firstLine="13"/>
              <w:rPr>
                <w:color w:val="auto"/>
                <w:szCs w:val="21"/>
                <w:highlight w:val="none"/>
              </w:rPr>
            </w:pPr>
            <w:r>
              <w:rPr>
                <w:color w:val="auto"/>
                <w:szCs w:val="21"/>
                <w:highlight w:val="none"/>
              </w:rPr>
              <w:t xml:space="preserve"> 四、 固定资产</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万元</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113" w:firstLine="13"/>
              <w:textAlignment w:val="bottom"/>
              <w:rPr>
                <w:color w:val="auto"/>
                <w:szCs w:val="21"/>
                <w:highlight w:val="none"/>
              </w:rPr>
            </w:pPr>
            <w:r>
              <w:rPr>
                <w:color w:val="auto"/>
                <w:szCs w:val="21"/>
                <w:highlight w:val="none"/>
              </w:rPr>
              <w:t>五、 流动资产</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万元</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113" w:firstLine="13"/>
              <w:textAlignment w:val="bottom"/>
              <w:rPr>
                <w:color w:val="auto"/>
                <w:szCs w:val="21"/>
                <w:highlight w:val="none"/>
              </w:rPr>
            </w:pPr>
            <w:r>
              <w:rPr>
                <w:color w:val="auto"/>
                <w:szCs w:val="21"/>
                <w:highlight w:val="none"/>
              </w:rPr>
              <w:t>六、 流动负债</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万元</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113" w:firstLine="13"/>
              <w:textAlignment w:val="bottom"/>
              <w:rPr>
                <w:color w:val="auto"/>
                <w:szCs w:val="21"/>
                <w:highlight w:val="none"/>
              </w:rPr>
            </w:pPr>
            <w:r>
              <w:rPr>
                <w:color w:val="auto"/>
                <w:szCs w:val="21"/>
                <w:highlight w:val="none"/>
              </w:rPr>
              <w:t>七、 负债合计</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万元</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113" w:firstLine="13"/>
              <w:textAlignment w:val="bottom"/>
              <w:rPr>
                <w:color w:val="auto"/>
                <w:szCs w:val="21"/>
                <w:highlight w:val="none"/>
              </w:rPr>
            </w:pPr>
            <w:r>
              <w:rPr>
                <w:color w:val="auto"/>
                <w:szCs w:val="21"/>
                <w:highlight w:val="none"/>
              </w:rPr>
              <w:t>八、 营业收入</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万元</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113" w:firstLine="13"/>
              <w:textAlignment w:val="bottom"/>
              <w:rPr>
                <w:color w:val="auto"/>
                <w:szCs w:val="21"/>
                <w:highlight w:val="none"/>
              </w:rPr>
            </w:pPr>
            <w:r>
              <w:rPr>
                <w:color w:val="auto"/>
                <w:szCs w:val="21"/>
                <w:highlight w:val="none"/>
              </w:rPr>
              <w:t>九、 净利润</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万元</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113" w:firstLine="13"/>
              <w:textAlignment w:val="bottom"/>
              <w:rPr>
                <w:color w:val="auto"/>
                <w:szCs w:val="21"/>
                <w:highlight w:val="none"/>
              </w:rPr>
            </w:pPr>
            <w:r>
              <w:rPr>
                <w:color w:val="auto"/>
                <w:szCs w:val="21"/>
                <w:highlight w:val="none"/>
              </w:rPr>
              <w:t>十、 现金流量净额</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万元</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840" w:hanging="714"/>
              <w:textAlignment w:val="bottom"/>
              <w:rPr>
                <w:color w:val="auto"/>
                <w:szCs w:val="21"/>
                <w:highlight w:val="none"/>
              </w:rPr>
            </w:pPr>
            <w:r>
              <w:rPr>
                <w:color w:val="auto"/>
                <w:szCs w:val="21"/>
                <w:highlight w:val="none"/>
              </w:rPr>
              <w:t>十一、 主要财务指标</w:t>
            </w:r>
          </w:p>
        </w:tc>
        <w:tc>
          <w:tcPr>
            <w:tcW w:w="1026" w:type="dxa"/>
          </w:tcPr>
          <w:p>
            <w:pPr>
              <w:widowControl/>
              <w:autoSpaceDE w:val="0"/>
              <w:autoSpaceDN w:val="0"/>
              <w:spacing w:line="400" w:lineRule="atLeast"/>
              <w:ind w:firstLine="13"/>
              <w:jc w:val="center"/>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73" w:leftChars="35" w:firstLine="850" w:firstLineChars="405"/>
              <w:textAlignment w:val="bottom"/>
              <w:rPr>
                <w:color w:val="auto"/>
                <w:szCs w:val="21"/>
                <w:highlight w:val="none"/>
              </w:rPr>
            </w:pPr>
            <w:r>
              <w:rPr>
                <w:color w:val="auto"/>
                <w:szCs w:val="21"/>
                <w:highlight w:val="none"/>
              </w:rPr>
              <w:t>1. 净资产收益率</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73" w:leftChars="35" w:firstLine="850" w:firstLineChars="405"/>
              <w:textAlignment w:val="bottom"/>
              <w:rPr>
                <w:color w:val="auto"/>
                <w:szCs w:val="21"/>
                <w:highlight w:val="none"/>
              </w:rPr>
            </w:pPr>
            <w:r>
              <w:rPr>
                <w:color w:val="auto"/>
                <w:szCs w:val="21"/>
                <w:highlight w:val="none"/>
              </w:rPr>
              <w:t>2. 总资产报酬率</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73" w:leftChars="35" w:firstLine="850" w:firstLineChars="405"/>
              <w:textAlignment w:val="bottom"/>
              <w:rPr>
                <w:color w:val="auto"/>
                <w:szCs w:val="21"/>
                <w:highlight w:val="none"/>
              </w:rPr>
            </w:pPr>
            <w:r>
              <w:rPr>
                <w:color w:val="auto"/>
                <w:szCs w:val="21"/>
                <w:highlight w:val="none"/>
              </w:rPr>
              <w:t>3. 主营业务利润率</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73" w:leftChars="35" w:firstLine="850" w:firstLineChars="405"/>
              <w:textAlignment w:val="bottom"/>
              <w:rPr>
                <w:color w:val="auto"/>
                <w:szCs w:val="21"/>
                <w:highlight w:val="none"/>
              </w:rPr>
            </w:pPr>
            <w:r>
              <w:rPr>
                <w:color w:val="auto"/>
                <w:szCs w:val="21"/>
                <w:highlight w:val="none"/>
              </w:rPr>
              <w:t>4. 资产负债率</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73" w:leftChars="35" w:firstLine="850" w:firstLineChars="405"/>
              <w:textAlignment w:val="bottom"/>
              <w:rPr>
                <w:color w:val="auto"/>
                <w:szCs w:val="21"/>
                <w:highlight w:val="none"/>
              </w:rPr>
            </w:pPr>
            <w:r>
              <w:rPr>
                <w:color w:val="auto"/>
                <w:szCs w:val="21"/>
                <w:highlight w:val="none"/>
              </w:rPr>
              <w:t>近三年平均资产负债率</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3960" w:type="dxa"/>
            <w:gridSpan w:val="3"/>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73" w:leftChars="35" w:firstLine="850" w:firstLineChars="405"/>
              <w:textAlignment w:val="bottom"/>
              <w:rPr>
                <w:color w:val="auto"/>
                <w:szCs w:val="21"/>
                <w:highlight w:val="none"/>
              </w:rPr>
            </w:pPr>
            <w:r>
              <w:rPr>
                <w:color w:val="auto"/>
                <w:szCs w:val="21"/>
                <w:highlight w:val="none"/>
              </w:rPr>
              <w:t>5. 流动比率</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pPr>
              <w:widowControl/>
              <w:autoSpaceDE w:val="0"/>
              <w:autoSpaceDN w:val="0"/>
              <w:spacing w:line="400" w:lineRule="atLeast"/>
              <w:ind w:left="73" w:leftChars="35" w:firstLine="850" w:firstLineChars="405"/>
              <w:textAlignment w:val="bottom"/>
              <w:rPr>
                <w:color w:val="auto"/>
                <w:szCs w:val="21"/>
                <w:highlight w:val="none"/>
              </w:rPr>
            </w:pPr>
            <w:r>
              <w:rPr>
                <w:color w:val="auto"/>
                <w:szCs w:val="21"/>
                <w:highlight w:val="none"/>
              </w:rPr>
              <w:t>6. 速动比率</w:t>
            </w:r>
          </w:p>
        </w:tc>
        <w:tc>
          <w:tcPr>
            <w:tcW w:w="1026"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260" w:type="dxa"/>
          </w:tcPr>
          <w:p>
            <w:pPr>
              <w:widowControl/>
              <w:autoSpaceDE w:val="0"/>
              <w:autoSpaceDN w:val="0"/>
              <w:spacing w:line="400" w:lineRule="atLeast"/>
              <w:ind w:firstLine="13"/>
              <w:jc w:val="right"/>
              <w:textAlignment w:val="bottom"/>
              <w:rPr>
                <w:color w:val="auto"/>
                <w:szCs w:val="21"/>
                <w:highlight w:val="none"/>
              </w:rPr>
            </w:pPr>
          </w:p>
        </w:tc>
        <w:tc>
          <w:tcPr>
            <w:tcW w:w="1440" w:type="dxa"/>
          </w:tcPr>
          <w:p>
            <w:pPr>
              <w:widowControl/>
              <w:autoSpaceDE w:val="0"/>
              <w:autoSpaceDN w:val="0"/>
              <w:spacing w:line="400" w:lineRule="atLeast"/>
              <w:ind w:firstLine="13"/>
              <w:jc w:val="right"/>
              <w:textAlignment w:val="bottom"/>
              <w:rPr>
                <w:color w:val="auto"/>
                <w:szCs w:val="21"/>
                <w:highlight w:val="none"/>
              </w:rPr>
            </w:pPr>
          </w:p>
        </w:tc>
        <w:tc>
          <w:tcPr>
            <w:tcW w:w="1260" w:type="dxa"/>
          </w:tcPr>
          <w:p>
            <w:pPr>
              <w:widowControl/>
              <w:autoSpaceDE w:val="0"/>
              <w:autoSpaceDN w:val="0"/>
              <w:spacing w:line="400" w:lineRule="atLeast"/>
              <w:ind w:firstLine="13"/>
              <w:jc w:val="righ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92" w:hRule="atLeast"/>
        </w:trPr>
        <w:tc>
          <w:tcPr>
            <w:tcW w:w="9000" w:type="dxa"/>
            <w:gridSpan w:val="5"/>
          </w:tcPr>
          <w:p>
            <w:pPr>
              <w:adjustRightInd w:val="0"/>
              <w:snapToGrid w:val="0"/>
              <w:rPr>
                <w:color w:val="auto"/>
                <w:szCs w:val="21"/>
                <w:highlight w:val="none"/>
              </w:rPr>
            </w:pPr>
          </w:p>
          <w:p>
            <w:pPr>
              <w:rPr>
                <w:color w:val="auto"/>
                <w:szCs w:val="21"/>
                <w:highlight w:val="none"/>
              </w:rPr>
            </w:pPr>
            <w:r>
              <w:rPr>
                <w:color w:val="auto"/>
                <w:szCs w:val="21"/>
                <w:highlight w:val="none"/>
              </w:rPr>
              <w:t>投标人盖单位章：</w:t>
            </w:r>
          </w:p>
          <w:p>
            <w:pPr>
              <w:rPr>
                <w:color w:val="auto"/>
                <w:szCs w:val="21"/>
                <w:highlight w:val="none"/>
              </w:rPr>
            </w:pPr>
          </w:p>
          <w:p>
            <w:pPr>
              <w:widowControl/>
              <w:autoSpaceDE w:val="0"/>
              <w:autoSpaceDN w:val="0"/>
              <w:spacing w:line="400" w:lineRule="atLeast"/>
              <w:ind w:firstLine="13"/>
              <w:textAlignment w:val="bottom"/>
              <w:rPr>
                <w:color w:val="auto"/>
                <w:szCs w:val="21"/>
                <w:highlight w:val="none"/>
              </w:rPr>
            </w:pPr>
          </w:p>
        </w:tc>
      </w:tr>
    </w:tbl>
    <w:p>
      <w:pPr>
        <w:spacing w:line="320" w:lineRule="atLeast"/>
        <w:rPr>
          <w:color w:val="auto"/>
          <w:szCs w:val="21"/>
          <w:highlight w:val="none"/>
        </w:rPr>
      </w:pPr>
      <w:r>
        <w:rPr>
          <w:color w:val="auto"/>
          <w:szCs w:val="21"/>
          <w:highlight w:val="none"/>
        </w:rPr>
        <w:t>注：（1）本表后应附</w:t>
      </w:r>
      <w:r>
        <w:rPr>
          <w:b/>
          <w:bCs/>
          <w:color w:val="auto"/>
          <w:szCs w:val="21"/>
          <w:highlight w:val="none"/>
        </w:rPr>
        <w:t>近三年（</w:t>
      </w:r>
      <w:r>
        <w:rPr>
          <w:rFonts w:hint="eastAsia"/>
          <w:b/>
          <w:bCs/>
          <w:color w:val="auto"/>
          <w:szCs w:val="21"/>
          <w:highlight w:val="none"/>
          <w:lang w:val="en-US" w:eastAsia="zh-CN"/>
        </w:rPr>
        <w:t>投标须知前附表要求的时间</w:t>
      </w:r>
      <w:r>
        <w:rPr>
          <w:rFonts w:hint="eastAsia"/>
          <w:b/>
          <w:bCs/>
          <w:color w:val="auto"/>
          <w:szCs w:val="21"/>
          <w:highlight w:val="none"/>
        </w:rPr>
        <w:t>）</w:t>
      </w:r>
      <w:r>
        <w:rPr>
          <w:b/>
          <w:bCs/>
          <w:color w:val="auto"/>
          <w:szCs w:val="21"/>
          <w:highlight w:val="none"/>
        </w:rPr>
        <w:t>经会计师事务所或审计机构审计的财务会计报表</w:t>
      </w:r>
      <w:r>
        <w:rPr>
          <w:color w:val="auto"/>
          <w:szCs w:val="21"/>
          <w:highlight w:val="none"/>
        </w:rPr>
        <w:t>，至少包括财务审计报告中会计师事务所或审计机构的盖章页、资产负债表、现金流量表、利润表的扫描件。</w:t>
      </w:r>
    </w:p>
    <w:p>
      <w:pPr>
        <w:spacing w:line="320" w:lineRule="atLeast"/>
        <w:ind w:firstLine="210" w:firstLineChars="100"/>
        <w:rPr>
          <w:color w:val="auto"/>
          <w:szCs w:val="21"/>
          <w:highlight w:val="none"/>
        </w:rPr>
      </w:pPr>
      <w:r>
        <w:rPr>
          <w:color w:val="auto"/>
          <w:szCs w:val="21"/>
          <w:highlight w:val="none"/>
        </w:rPr>
        <w:t>（2）本表所列数据必须与本表各附件中的数据相一致。</w:t>
      </w:r>
    </w:p>
    <w:p>
      <w:pPr>
        <w:widowControl/>
        <w:jc w:val="left"/>
        <w:rPr>
          <w:b/>
          <w:bCs/>
          <w:color w:val="auto"/>
          <w:sz w:val="32"/>
          <w:szCs w:val="32"/>
          <w:highlight w:val="none"/>
        </w:rPr>
      </w:pPr>
      <w:r>
        <w:rPr>
          <w:color w:val="auto"/>
          <w:highlight w:val="none"/>
        </w:rPr>
        <w:br w:type="page"/>
      </w:r>
    </w:p>
    <w:p>
      <w:pPr>
        <w:pStyle w:val="6"/>
        <w:jc w:val="center"/>
        <w:rPr>
          <w:color w:val="auto"/>
          <w:highlight w:val="none"/>
        </w:rPr>
      </w:pPr>
      <w:bookmarkStart w:id="1221" w:name="_Toc20821"/>
      <w:r>
        <w:rPr>
          <w:color w:val="auto"/>
          <w:highlight w:val="none"/>
        </w:rPr>
        <w:t>（</w:t>
      </w:r>
      <w:r>
        <w:rPr>
          <w:rFonts w:hint="eastAsia"/>
          <w:color w:val="auto"/>
          <w:highlight w:val="none"/>
        </w:rPr>
        <w:t>三</w:t>
      </w:r>
      <w:r>
        <w:rPr>
          <w:color w:val="auto"/>
          <w:highlight w:val="none"/>
        </w:rPr>
        <w:t>）近年完成的类似项目情况表</w:t>
      </w:r>
      <w:bookmarkEnd w:id="1213"/>
      <w:bookmarkEnd w:id="1214"/>
      <w:bookmarkEnd w:id="1215"/>
      <w:bookmarkEnd w:id="1216"/>
      <w:bookmarkEnd w:id="1217"/>
      <w:bookmarkEnd w:id="1218"/>
      <w:bookmarkEnd w:id="1219"/>
      <w:bookmarkEnd w:id="1220"/>
      <w:bookmarkEnd w:id="1221"/>
    </w:p>
    <w:tbl>
      <w:tblPr>
        <w:tblStyle w:val="74"/>
        <w:tblW w:w="9006" w:type="dxa"/>
        <w:tblInd w:w="0" w:type="dxa"/>
        <w:tblLayout w:type="fixed"/>
        <w:tblCellMar>
          <w:top w:w="0" w:type="dxa"/>
          <w:left w:w="108" w:type="dxa"/>
          <w:bottom w:w="0" w:type="dxa"/>
          <w:right w:w="108" w:type="dxa"/>
        </w:tblCellMar>
      </w:tblPr>
      <w:tblGrid>
        <w:gridCol w:w="817"/>
        <w:gridCol w:w="2572"/>
        <w:gridCol w:w="953"/>
        <w:gridCol w:w="70"/>
        <w:gridCol w:w="503"/>
        <w:gridCol w:w="521"/>
        <w:gridCol w:w="1023"/>
        <w:gridCol w:w="1023"/>
        <w:gridCol w:w="238"/>
        <w:gridCol w:w="672"/>
        <w:gridCol w:w="614"/>
      </w:tblGrid>
      <w:tr>
        <w:tblPrEx>
          <w:tblCellMar>
            <w:top w:w="0" w:type="dxa"/>
            <w:left w:w="108" w:type="dxa"/>
            <w:bottom w:w="0" w:type="dxa"/>
            <w:right w:w="108" w:type="dxa"/>
          </w:tblCellMar>
        </w:tblPrEx>
        <w:trPr>
          <w:trHeight w:val="375" w:hRule="atLeast"/>
        </w:trPr>
        <w:tc>
          <w:tcPr>
            <w:tcW w:w="9006" w:type="dxa"/>
            <w:gridSpan w:val="11"/>
            <w:tcBorders>
              <w:top w:val="nil"/>
              <w:left w:val="nil"/>
              <w:bottom w:val="nil"/>
              <w:right w:val="nil"/>
            </w:tcBorders>
            <w:vAlign w:val="center"/>
          </w:tcPr>
          <w:p>
            <w:pPr>
              <w:pStyle w:val="86"/>
              <w:ind w:firstLine="480"/>
              <w:jc w:val="center"/>
              <w:rPr>
                <w:color w:val="auto"/>
                <w:highlight w:val="none"/>
              </w:rPr>
            </w:pPr>
            <w:r>
              <w:rPr>
                <w:rFonts w:hint="eastAsia"/>
                <w:color w:val="auto"/>
                <w:highlight w:val="none"/>
              </w:rPr>
              <w:t>表</w:t>
            </w:r>
            <w:r>
              <w:rPr>
                <w:color w:val="auto"/>
                <w:highlight w:val="none"/>
              </w:rPr>
              <w:t>1</w:t>
            </w:r>
            <w:r>
              <w:rPr>
                <w:rFonts w:hint="eastAsia"/>
                <w:color w:val="auto"/>
                <w:highlight w:val="none"/>
              </w:rPr>
              <w:t xml:space="preserve"> 近年完成的企业类似项目汇总表</w:t>
            </w:r>
          </w:p>
        </w:tc>
      </w:tr>
      <w:tr>
        <w:tblPrEx>
          <w:tblCellMar>
            <w:top w:w="0" w:type="dxa"/>
            <w:left w:w="108" w:type="dxa"/>
            <w:bottom w:w="0" w:type="dxa"/>
            <w:right w:w="108" w:type="dxa"/>
          </w:tblCellMar>
        </w:tblPrEx>
        <w:trPr>
          <w:trHeight w:val="285" w:hRule="atLeast"/>
        </w:trPr>
        <w:tc>
          <w:tcPr>
            <w:tcW w:w="9006" w:type="dxa"/>
            <w:gridSpan w:val="11"/>
            <w:tcBorders>
              <w:top w:val="nil"/>
              <w:left w:val="nil"/>
              <w:bottom w:val="nil"/>
              <w:right w:val="nil"/>
            </w:tcBorders>
            <w:vAlign w:val="center"/>
          </w:tcPr>
          <w:p>
            <w:pPr>
              <w:widowControl/>
              <w:jc w:val="righ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单位：万吨、万元、米</w:t>
            </w:r>
          </w:p>
        </w:tc>
      </w:tr>
      <w:tr>
        <w:tblPrEx>
          <w:tblCellMar>
            <w:top w:w="0" w:type="dxa"/>
            <w:left w:w="108" w:type="dxa"/>
            <w:bottom w:w="0" w:type="dxa"/>
            <w:right w:w="108" w:type="dxa"/>
          </w:tblCellMar>
        </w:tblPrEx>
        <w:trPr>
          <w:trHeight w:val="187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项目序号</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企业业绩项目名称</w:t>
            </w:r>
          </w:p>
        </w:tc>
        <w:tc>
          <w:tcPr>
            <w:tcW w:w="1023"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项目规模</w:t>
            </w:r>
          </w:p>
        </w:tc>
        <w:tc>
          <w:tcPr>
            <w:tcW w:w="1024"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建筑结构</w:t>
            </w:r>
          </w:p>
        </w:tc>
        <w:tc>
          <w:tcPr>
            <w:tcW w:w="102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合同价格</w:t>
            </w:r>
          </w:p>
        </w:tc>
        <w:tc>
          <w:tcPr>
            <w:tcW w:w="102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直径、跨度、技术指标等（如有）</w:t>
            </w:r>
          </w:p>
        </w:tc>
        <w:tc>
          <w:tcPr>
            <w:tcW w:w="1524" w:type="dxa"/>
            <w:gridSpan w:val="3"/>
            <w:tcBorders>
              <w:top w:val="single" w:color="auto" w:sz="4" w:space="0"/>
              <w:left w:val="single" w:color="auto" w:sz="4" w:space="0"/>
              <w:right w:val="single" w:color="auto" w:sz="4" w:space="0"/>
            </w:tcBorders>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业绩证明材料</w:t>
            </w:r>
          </w:p>
        </w:tc>
      </w:tr>
      <w:tr>
        <w:tblPrEx>
          <w:tblCellMar>
            <w:top w:w="0" w:type="dxa"/>
            <w:left w:w="108" w:type="dxa"/>
            <w:bottom w:w="0" w:type="dxa"/>
            <w:right w:w="108" w:type="dxa"/>
          </w:tblCellMar>
        </w:tblPrEx>
        <w:trPr>
          <w:trHeight w:val="58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color w:val="auto"/>
                <w:kern w:val="0"/>
                <w:sz w:val="20"/>
                <w:szCs w:val="20"/>
                <w:highlight w:val="none"/>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color w:val="auto"/>
                <w:kern w:val="0"/>
                <w:sz w:val="20"/>
                <w:szCs w:val="20"/>
                <w:highlight w:val="none"/>
              </w:rPr>
            </w:pPr>
          </w:p>
        </w:tc>
        <w:tc>
          <w:tcPr>
            <w:tcW w:w="102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b/>
                <w:color w:val="auto"/>
                <w:kern w:val="0"/>
                <w:sz w:val="20"/>
                <w:szCs w:val="20"/>
                <w:highlight w:val="none"/>
              </w:rPr>
            </w:pPr>
          </w:p>
        </w:tc>
        <w:tc>
          <w:tcPr>
            <w:tcW w:w="102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b/>
                <w:color w:val="auto"/>
                <w:kern w:val="0"/>
                <w:sz w:val="20"/>
                <w:szCs w:val="20"/>
                <w:highlight w:val="none"/>
              </w:rPr>
            </w:pPr>
          </w:p>
        </w:tc>
        <w:tc>
          <w:tcPr>
            <w:tcW w:w="10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b/>
                <w:color w:val="auto"/>
                <w:kern w:val="0"/>
                <w:sz w:val="20"/>
                <w:szCs w:val="20"/>
                <w:highlight w:val="none"/>
              </w:rPr>
            </w:pPr>
          </w:p>
        </w:tc>
        <w:tc>
          <w:tcPr>
            <w:tcW w:w="10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b/>
                <w:color w:val="auto"/>
                <w:kern w:val="0"/>
                <w:sz w:val="20"/>
                <w:szCs w:val="20"/>
                <w:highlight w:val="none"/>
              </w:rPr>
            </w:pPr>
          </w:p>
        </w:tc>
        <w:tc>
          <w:tcPr>
            <w:tcW w:w="152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所在页码</w:t>
            </w:r>
          </w:p>
        </w:tc>
      </w:tr>
      <w:tr>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1</w:t>
            </w:r>
          </w:p>
        </w:tc>
        <w:tc>
          <w:tcPr>
            <w:tcW w:w="257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4"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24"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2</w:t>
            </w:r>
          </w:p>
        </w:tc>
        <w:tc>
          <w:tcPr>
            <w:tcW w:w="257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4"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24" w:type="dxa"/>
            <w:gridSpan w:val="3"/>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3</w:t>
            </w:r>
          </w:p>
        </w:tc>
        <w:tc>
          <w:tcPr>
            <w:tcW w:w="257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4"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24" w:type="dxa"/>
            <w:gridSpan w:val="3"/>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4</w:t>
            </w:r>
          </w:p>
        </w:tc>
        <w:tc>
          <w:tcPr>
            <w:tcW w:w="257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4"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24" w:type="dxa"/>
            <w:gridSpan w:val="3"/>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ascii="宋体" w:hAnsi="宋体" w:cs="宋体"/>
                <w:color w:val="auto"/>
                <w:kern w:val="0"/>
                <w:szCs w:val="21"/>
                <w:highlight w:val="none"/>
              </w:rPr>
              <w:t>……</w:t>
            </w:r>
          </w:p>
        </w:tc>
        <w:tc>
          <w:tcPr>
            <w:tcW w:w="257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4"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24" w:type="dxa"/>
            <w:gridSpan w:val="3"/>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57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c>
          <w:tcPr>
            <w:tcW w:w="1024"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24" w:type="dxa"/>
            <w:gridSpan w:val="3"/>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vAlign w:val="center"/>
          </w:tcPr>
          <w:p>
            <w:pPr>
              <w:widowControl/>
              <w:jc w:val="left"/>
              <w:rPr>
                <w:rFonts w:hint="eastAsia" w:ascii="宋体" w:hAnsi="宋体" w:cs="宋体"/>
                <w:color w:val="auto"/>
                <w:kern w:val="0"/>
                <w:sz w:val="24"/>
                <w:highlight w:val="none"/>
              </w:rPr>
            </w:pPr>
          </w:p>
        </w:tc>
        <w:tc>
          <w:tcPr>
            <w:tcW w:w="2572" w:type="dxa"/>
            <w:tcBorders>
              <w:top w:val="nil"/>
              <w:left w:val="nil"/>
              <w:bottom w:val="nil"/>
              <w:right w:val="nil"/>
            </w:tcBorders>
            <w:vAlign w:val="center"/>
          </w:tcPr>
          <w:p>
            <w:pPr>
              <w:widowControl/>
              <w:jc w:val="left"/>
              <w:rPr>
                <w:rFonts w:hint="eastAsia" w:ascii="宋体" w:hAnsi="宋体" w:cs="宋体"/>
                <w:color w:val="auto"/>
                <w:kern w:val="0"/>
                <w:sz w:val="24"/>
                <w:highlight w:val="none"/>
              </w:rPr>
            </w:pPr>
          </w:p>
        </w:tc>
        <w:tc>
          <w:tcPr>
            <w:tcW w:w="953" w:type="dxa"/>
            <w:tcBorders>
              <w:top w:val="nil"/>
              <w:left w:val="nil"/>
              <w:bottom w:val="nil"/>
              <w:right w:val="nil"/>
            </w:tcBorders>
            <w:vAlign w:val="center"/>
          </w:tcPr>
          <w:p>
            <w:pPr>
              <w:widowControl/>
              <w:jc w:val="left"/>
              <w:rPr>
                <w:rFonts w:hint="eastAsia" w:ascii="宋体" w:hAnsi="宋体" w:cs="宋体"/>
                <w:color w:val="auto"/>
                <w:kern w:val="0"/>
                <w:sz w:val="24"/>
                <w:highlight w:val="none"/>
              </w:rPr>
            </w:pPr>
          </w:p>
        </w:tc>
        <w:tc>
          <w:tcPr>
            <w:tcW w:w="573" w:type="dxa"/>
            <w:gridSpan w:val="2"/>
            <w:tcBorders>
              <w:top w:val="nil"/>
              <w:left w:val="nil"/>
              <w:bottom w:val="nil"/>
              <w:right w:val="nil"/>
            </w:tcBorders>
            <w:vAlign w:val="center"/>
          </w:tcPr>
          <w:p>
            <w:pPr>
              <w:widowControl/>
              <w:jc w:val="left"/>
              <w:rPr>
                <w:rFonts w:hint="eastAsia" w:ascii="宋体" w:hAnsi="宋体" w:cs="宋体"/>
                <w:color w:val="auto"/>
                <w:kern w:val="0"/>
                <w:sz w:val="24"/>
                <w:highlight w:val="none"/>
              </w:rPr>
            </w:pPr>
          </w:p>
        </w:tc>
        <w:tc>
          <w:tcPr>
            <w:tcW w:w="2567" w:type="dxa"/>
            <w:gridSpan w:val="3"/>
            <w:tcBorders>
              <w:top w:val="nil"/>
              <w:left w:val="nil"/>
              <w:bottom w:val="nil"/>
              <w:right w:val="nil"/>
            </w:tcBorders>
            <w:vAlign w:val="center"/>
          </w:tcPr>
          <w:p>
            <w:pPr>
              <w:widowControl/>
              <w:jc w:val="left"/>
              <w:rPr>
                <w:rFonts w:hint="eastAsia" w:ascii="宋体" w:hAnsi="宋体" w:cs="宋体"/>
                <w:color w:val="auto"/>
                <w:kern w:val="0"/>
                <w:sz w:val="24"/>
                <w:highlight w:val="none"/>
              </w:rPr>
            </w:pPr>
          </w:p>
        </w:tc>
        <w:tc>
          <w:tcPr>
            <w:tcW w:w="238" w:type="dxa"/>
            <w:tcBorders>
              <w:top w:val="nil"/>
              <w:left w:val="nil"/>
              <w:bottom w:val="nil"/>
              <w:right w:val="nil"/>
            </w:tcBorders>
            <w:vAlign w:val="center"/>
          </w:tcPr>
          <w:p>
            <w:pPr>
              <w:widowControl/>
              <w:jc w:val="left"/>
              <w:rPr>
                <w:rFonts w:hint="eastAsia" w:ascii="宋体" w:hAnsi="宋体" w:cs="宋体"/>
                <w:color w:val="auto"/>
                <w:kern w:val="0"/>
                <w:sz w:val="24"/>
                <w:highlight w:val="none"/>
              </w:rPr>
            </w:pPr>
          </w:p>
        </w:tc>
        <w:tc>
          <w:tcPr>
            <w:tcW w:w="672" w:type="dxa"/>
            <w:tcBorders>
              <w:top w:val="nil"/>
              <w:left w:val="nil"/>
              <w:bottom w:val="nil"/>
              <w:right w:val="nil"/>
            </w:tcBorders>
            <w:vAlign w:val="center"/>
          </w:tcPr>
          <w:p>
            <w:pPr>
              <w:widowControl/>
              <w:jc w:val="left"/>
              <w:rPr>
                <w:rFonts w:hint="eastAsia" w:ascii="宋体" w:hAnsi="宋体" w:cs="宋体"/>
                <w:color w:val="auto"/>
                <w:kern w:val="0"/>
                <w:sz w:val="24"/>
                <w:highlight w:val="none"/>
              </w:rPr>
            </w:pPr>
          </w:p>
        </w:tc>
        <w:tc>
          <w:tcPr>
            <w:tcW w:w="614" w:type="dxa"/>
            <w:tcBorders>
              <w:top w:val="nil"/>
              <w:left w:val="nil"/>
              <w:bottom w:val="nil"/>
              <w:right w:val="nil"/>
            </w:tcBorders>
            <w:vAlign w:val="center"/>
          </w:tcPr>
          <w:p>
            <w:pPr>
              <w:widowControl/>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312" w:hRule="atLeast"/>
        </w:trPr>
        <w:tc>
          <w:tcPr>
            <w:tcW w:w="9006" w:type="dxa"/>
            <w:gridSpan w:val="11"/>
            <w:vMerge w:val="restart"/>
            <w:tcBorders>
              <w:top w:val="nil"/>
              <w:left w:val="nil"/>
              <w:bottom w:val="nil"/>
              <w:right w:val="nil"/>
            </w:tcBorders>
            <w:vAlign w:val="center"/>
          </w:tcPr>
          <w:p>
            <w:pPr>
              <w:widowControl/>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312" w:hRule="atLeast"/>
        </w:trPr>
        <w:tc>
          <w:tcPr>
            <w:tcW w:w="9006" w:type="dxa"/>
            <w:gridSpan w:val="11"/>
            <w:vMerge w:val="continue"/>
            <w:tcBorders>
              <w:top w:val="nil"/>
              <w:left w:val="nil"/>
              <w:bottom w:val="nil"/>
              <w:right w:val="nil"/>
            </w:tcBorders>
            <w:vAlign w:val="center"/>
          </w:tcPr>
          <w:p>
            <w:pPr>
              <w:widowControl/>
              <w:jc w:val="left"/>
              <w:rPr>
                <w:rFonts w:hint="eastAsia" w:ascii="宋体" w:hAnsi="宋体" w:cs="宋体"/>
                <w:color w:val="auto"/>
                <w:kern w:val="0"/>
                <w:sz w:val="24"/>
                <w:highlight w:val="none"/>
              </w:rPr>
            </w:pPr>
          </w:p>
        </w:tc>
      </w:tr>
    </w:tbl>
    <w:p>
      <w:pPr>
        <w:rPr>
          <w:color w:val="auto"/>
          <w:highlight w:val="none"/>
        </w:rPr>
      </w:pPr>
      <w:r>
        <w:rPr>
          <w:color w:val="auto"/>
          <w:highlight w:val="none"/>
        </w:rPr>
        <w:br w:type="page"/>
      </w:r>
    </w:p>
    <w:tbl>
      <w:tblPr>
        <w:tblStyle w:val="74"/>
        <w:tblW w:w="9018" w:type="dxa"/>
        <w:tblInd w:w="0" w:type="dxa"/>
        <w:tblLayout w:type="fixed"/>
        <w:tblCellMar>
          <w:top w:w="0" w:type="dxa"/>
          <w:left w:w="108" w:type="dxa"/>
          <w:bottom w:w="0" w:type="dxa"/>
          <w:right w:w="108" w:type="dxa"/>
        </w:tblCellMar>
      </w:tblPr>
      <w:tblGrid>
        <w:gridCol w:w="1667"/>
        <w:gridCol w:w="2824"/>
        <w:gridCol w:w="1637"/>
        <w:gridCol w:w="1082"/>
        <w:gridCol w:w="780"/>
        <w:gridCol w:w="792"/>
        <w:gridCol w:w="236"/>
      </w:tblGrid>
      <w:tr>
        <w:tblPrEx>
          <w:tblCellMar>
            <w:top w:w="0" w:type="dxa"/>
            <w:left w:w="108" w:type="dxa"/>
            <w:bottom w:w="0" w:type="dxa"/>
            <w:right w:w="108" w:type="dxa"/>
          </w:tblCellMar>
        </w:tblPrEx>
        <w:trPr>
          <w:trHeight w:val="405" w:hRule="atLeast"/>
        </w:trPr>
        <w:tc>
          <w:tcPr>
            <w:tcW w:w="9018" w:type="dxa"/>
            <w:gridSpan w:val="7"/>
            <w:tcBorders>
              <w:top w:val="nil"/>
              <w:left w:val="nil"/>
              <w:bottom w:val="nil"/>
              <w:right w:val="nil"/>
            </w:tcBorders>
            <w:vAlign w:val="center"/>
          </w:tcPr>
          <w:p>
            <w:pPr>
              <w:pStyle w:val="86"/>
              <w:ind w:firstLine="480"/>
              <w:jc w:val="center"/>
              <w:rPr>
                <w:color w:val="auto"/>
                <w:highlight w:val="none"/>
              </w:rPr>
            </w:pPr>
          </w:p>
          <w:p>
            <w:pPr>
              <w:pStyle w:val="86"/>
              <w:ind w:firstLine="480"/>
              <w:jc w:val="center"/>
              <w:rPr>
                <w:color w:val="auto"/>
                <w:highlight w:val="none"/>
              </w:rPr>
            </w:pPr>
            <w:r>
              <w:rPr>
                <w:rFonts w:hint="eastAsia"/>
                <w:color w:val="auto"/>
                <w:highlight w:val="none"/>
              </w:rPr>
              <w:t>近年完成的企业类似项目情况表（</w:t>
            </w:r>
            <w:r>
              <w:rPr>
                <w:rFonts w:hint="eastAsia"/>
                <w:b/>
                <w:color w:val="auto"/>
                <w:highlight w:val="none"/>
              </w:rPr>
              <w:t>项目序号：</w:t>
            </w:r>
            <w:r>
              <w:rPr>
                <w:b/>
                <w:color w:val="auto"/>
                <w:highlight w:val="none"/>
              </w:rPr>
              <w:t>1</w:t>
            </w:r>
            <w:r>
              <w:rPr>
                <w:rFonts w:hint="eastAsia"/>
                <w:b/>
                <w:color w:val="auto"/>
                <w:highlight w:val="none"/>
              </w:rPr>
              <w:t>-</w:t>
            </w:r>
            <w:r>
              <w:rPr>
                <w:rFonts w:hint="eastAsia"/>
                <w:b/>
                <w:color w:val="auto"/>
                <w:highlight w:val="none"/>
                <w:u w:val="single"/>
              </w:rPr>
              <w:t xml:space="preserve">   </w:t>
            </w:r>
            <w:r>
              <w:rPr>
                <w:rFonts w:hint="eastAsia"/>
                <w:color w:val="auto"/>
                <w:highlight w:val="none"/>
              </w:rPr>
              <w:t>）</w:t>
            </w:r>
          </w:p>
        </w:tc>
      </w:tr>
      <w:tr>
        <w:tblPrEx>
          <w:tblCellMar>
            <w:top w:w="0" w:type="dxa"/>
            <w:left w:w="108" w:type="dxa"/>
            <w:bottom w:w="0" w:type="dxa"/>
            <w:right w:w="108" w:type="dxa"/>
          </w:tblCellMar>
        </w:tblPrEx>
        <w:trPr>
          <w:trHeight w:val="285" w:hRule="atLeast"/>
        </w:trPr>
        <w:tc>
          <w:tcPr>
            <w:tcW w:w="8782" w:type="dxa"/>
            <w:gridSpan w:val="6"/>
            <w:tcBorders>
              <w:top w:val="nil"/>
              <w:left w:val="nil"/>
              <w:bottom w:val="nil"/>
              <w:right w:val="nil"/>
            </w:tcBorders>
            <w:vAlign w:val="center"/>
          </w:tcPr>
          <w:p>
            <w:pPr>
              <w:widowControl/>
              <w:jc w:val="right"/>
              <w:rPr>
                <w:rFonts w:hint="eastAsia" w:ascii="宋体" w:hAnsi="宋体" w:cs="宋体"/>
                <w:color w:val="auto"/>
                <w:kern w:val="0"/>
                <w:sz w:val="24"/>
                <w:highlight w:val="none"/>
              </w:rPr>
            </w:pPr>
            <w:r>
              <w:rPr>
                <w:rFonts w:hint="eastAsia" w:ascii="宋体" w:hAnsi="宋体" w:cs="宋体"/>
                <w:color w:val="auto"/>
                <w:kern w:val="0"/>
                <w:sz w:val="20"/>
                <w:szCs w:val="20"/>
                <w:highlight w:val="none"/>
              </w:rPr>
              <w:t>单位：万吨、万元、米</w:t>
            </w:r>
          </w:p>
        </w:tc>
        <w:tc>
          <w:tcPr>
            <w:tcW w:w="236" w:type="dxa"/>
            <w:tcBorders>
              <w:top w:val="nil"/>
              <w:left w:val="nil"/>
              <w:bottom w:val="nil"/>
              <w:right w:val="nil"/>
            </w:tcBorders>
            <w:vAlign w:val="center"/>
          </w:tcPr>
          <w:p>
            <w:pPr>
              <w:widowControl/>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405" w:hRule="atLeast"/>
        </w:trPr>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351"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项目所在地</w:t>
            </w:r>
          </w:p>
        </w:tc>
        <w:tc>
          <w:tcPr>
            <w:tcW w:w="7351"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发包人名称</w:t>
            </w:r>
          </w:p>
        </w:tc>
        <w:tc>
          <w:tcPr>
            <w:tcW w:w="7351"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发包人地址</w:t>
            </w:r>
          </w:p>
        </w:tc>
        <w:tc>
          <w:tcPr>
            <w:tcW w:w="282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发包单位项目负责人</w:t>
            </w:r>
          </w:p>
        </w:tc>
        <w:tc>
          <w:tcPr>
            <w:tcW w:w="108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78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1028"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设计单位名称</w:t>
            </w:r>
          </w:p>
        </w:tc>
        <w:tc>
          <w:tcPr>
            <w:tcW w:w="282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设计单位项目负责人</w:t>
            </w:r>
          </w:p>
        </w:tc>
        <w:tc>
          <w:tcPr>
            <w:tcW w:w="108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78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1028"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监理单位名称</w:t>
            </w:r>
          </w:p>
        </w:tc>
        <w:tc>
          <w:tcPr>
            <w:tcW w:w="282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总监理工程师</w:t>
            </w:r>
          </w:p>
        </w:tc>
        <w:tc>
          <w:tcPr>
            <w:tcW w:w="108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78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1028"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合同价格</w:t>
            </w:r>
          </w:p>
        </w:tc>
        <w:tc>
          <w:tcPr>
            <w:tcW w:w="282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项目规模</w:t>
            </w:r>
          </w:p>
        </w:tc>
        <w:tc>
          <w:tcPr>
            <w:tcW w:w="2890"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建筑结构</w:t>
            </w:r>
          </w:p>
        </w:tc>
        <w:tc>
          <w:tcPr>
            <w:tcW w:w="282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直径、跨度、技术指标等（如有）</w:t>
            </w:r>
          </w:p>
        </w:tc>
        <w:tc>
          <w:tcPr>
            <w:tcW w:w="2890"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合同签订日期</w:t>
            </w:r>
          </w:p>
        </w:tc>
        <w:tc>
          <w:tcPr>
            <w:tcW w:w="282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竣工验收报告或竣工验收记录日期</w:t>
            </w:r>
          </w:p>
        </w:tc>
        <w:tc>
          <w:tcPr>
            <w:tcW w:w="2890"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282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2890"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282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2890"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7351" w:type="dxa"/>
            <w:gridSpan w:val="6"/>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405" w:hRule="atLeast"/>
        </w:trPr>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color w:val="auto"/>
                <w:kern w:val="0"/>
                <w:sz w:val="24"/>
                <w:highlight w:val="none"/>
              </w:rPr>
            </w:pPr>
          </w:p>
        </w:tc>
        <w:tc>
          <w:tcPr>
            <w:tcW w:w="7351"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9018" w:type="dxa"/>
            <w:gridSpan w:val="7"/>
            <w:tcBorders>
              <w:top w:val="single" w:color="auto" w:sz="4" w:space="0"/>
              <w:left w:val="nil"/>
              <w:bottom w:val="nil"/>
              <w:right w:val="nil"/>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注：（1）每张表格只填写一个项目，并标明序号(与表</w:t>
            </w:r>
            <w:r>
              <w:rPr>
                <w:rFonts w:ascii="宋体" w:hAnsi="宋体" w:cs="宋体"/>
                <w:color w:val="auto"/>
                <w:kern w:val="0"/>
                <w:szCs w:val="21"/>
                <w:highlight w:val="none"/>
              </w:rPr>
              <w:t>1</w:t>
            </w:r>
            <w:r>
              <w:rPr>
                <w:rFonts w:hint="eastAsia" w:ascii="宋体" w:hAnsi="宋体" w:cs="宋体"/>
                <w:color w:val="auto"/>
                <w:kern w:val="0"/>
                <w:szCs w:val="21"/>
                <w:highlight w:val="none"/>
              </w:rPr>
              <w:t>汇总表项目序号对应填写)。应根据评标办法中对应评分标准所提出的各项业绩指标进行填写。</w:t>
            </w:r>
          </w:p>
          <w:p>
            <w:pPr>
              <w:widowControl/>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color w:val="auto"/>
                <w:highlight w:val="none"/>
              </w:rPr>
              <w:t>投标人应根据</w:t>
            </w:r>
            <w:r>
              <w:rPr>
                <w:rFonts w:hint="eastAsia"/>
                <w:color w:val="auto"/>
                <w:highlight w:val="none"/>
              </w:rPr>
              <w:t>第一章</w:t>
            </w:r>
            <w:r>
              <w:rPr>
                <w:color w:val="auto"/>
                <w:highlight w:val="none"/>
              </w:rPr>
              <w:t>招标公告</w:t>
            </w:r>
            <w:r>
              <w:rPr>
                <w:rFonts w:hint="eastAsia"/>
                <w:color w:val="auto"/>
                <w:highlight w:val="none"/>
              </w:rPr>
              <w:t>、第三</w:t>
            </w:r>
            <w:r>
              <w:rPr>
                <w:color w:val="auto"/>
                <w:highlight w:val="none"/>
              </w:rPr>
              <w:t>章</w:t>
            </w:r>
            <w:r>
              <w:rPr>
                <w:rFonts w:hint="eastAsia"/>
                <w:color w:val="auto"/>
                <w:highlight w:val="none"/>
              </w:rPr>
              <w:t>评标办法</w:t>
            </w:r>
            <w:r>
              <w:rPr>
                <w:color w:val="auto"/>
                <w:highlight w:val="none"/>
              </w:rPr>
              <w:t>的要求</w:t>
            </w:r>
            <w:r>
              <w:rPr>
                <w:rFonts w:hint="eastAsia"/>
                <w:color w:val="auto"/>
                <w:highlight w:val="none"/>
              </w:rPr>
              <w:t>（如有）</w:t>
            </w:r>
            <w:r>
              <w:rPr>
                <w:color w:val="auto"/>
                <w:highlight w:val="none"/>
              </w:rPr>
              <w:t>在本表后附相关证明材料。</w:t>
            </w:r>
          </w:p>
        </w:tc>
      </w:tr>
      <w:tr>
        <w:tblPrEx>
          <w:tblCellMar>
            <w:top w:w="0" w:type="dxa"/>
            <w:left w:w="108" w:type="dxa"/>
            <w:bottom w:w="0" w:type="dxa"/>
            <w:right w:w="108" w:type="dxa"/>
          </w:tblCellMar>
        </w:tblPrEx>
        <w:trPr>
          <w:trHeight w:val="409" w:hRule="atLeast"/>
        </w:trPr>
        <w:tc>
          <w:tcPr>
            <w:tcW w:w="9018" w:type="dxa"/>
            <w:gridSpan w:val="7"/>
            <w:vMerge w:val="restart"/>
            <w:tcBorders>
              <w:top w:val="nil"/>
              <w:left w:val="nil"/>
              <w:bottom w:val="nil"/>
              <w:right w:val="nil"/>
            </w:tcBorders>
            <w:vAlign w:val="center"/>
          </w:tcPr>
          <w:p>
            <w:pPr>
              <w:widowControl/>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9" w:hRule="atLeast"/>
        </w:trPr>
        <w:tc>
          <w:tcPr>
            <w:tcW w:w="9018" w:type="dxa"/>
            <w:gridSpan w:val="7"/>
            <w:vMerge w:val="continue"/>
            <w:tcBorders>
              <w:top w:val="nil"/>
              <w:left w:val="nil"/>
              <w:bottom w:val="nil"/>
              <w:right w:val="nil"/>
            </w:tcBorders>
            <w:vAlign w:val="center"/>
          </w:tcPr>
          <w:p>
            <w:pPr>
              <w:widowControl/>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9" w:hRule="atLeast"/>
        </w:trPr>
        <w:tc>
          <w:tcPr>
            <w:tcW w:w="9018" w:type="dxa"/>
            <w:gridSpan w:val="7"/>
            <w:vMerge w:val="continue"/>
            <w:tcBorders>
              <w:top w:val="nil"/>
              <w:left w:val="nil"/>
              <w:bottom w:val="nil"/>
              <w:right w:val="nil"/>
            </w:tcBorders>
            <w:vAlign w:val="center"/>
          </w:tcPr>
          <w:p>
            <w:pPr>
              <w:widowControl/>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9" w:hRule="atLeast"/>
        </w:trPr>
        <w:tc>
          <w:tcPr>
            <w:tcW w:w="9018" w:type="dxa"/>
            <w:gridSpan w:val="7"/>
            <w:vMerge w:val="continue"/>
            <w:tcBorders>
              <w:top w:val="nil"/>
              <w:left w:val="nil"/>
              <w:bottom w:val="nil"/>
              <w:right w:val="nil"/>
            </w:tcBorders>
            <w:vAlign w:val="center"/>
          </w:tcPr>
          <w:p>
            <w:pPr>
              <w:widowControl/>
              <w:jc w:val="left"/>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312" w:hRule="atLeast"/>
        </w:trPr>
        <w:tc>
          <w:tcPr>
            <w:tcW w:w="9018" w:type="dxa"/>
            <w:gridSpan w:val="7"/>
            <w:vMerge w:val="continue"/>
            <w:tcBorders>
              <w:top w:val="nil"/>
              <w:left w:val="nil"/>
              <w:bottom w:val="nil"/>
              <w:right w:val="nil"/>
            </w:tcBorders>
            <w:vAlign w:val="center"/>
          </w:tcPr>
          <w:p>
            <w:pPr>
              <w:widowControl/>
              <w:jc w:val="left"/>
              <w:rPr>
                <w:rFonts w:hint="eastAsia" w:ascii="宋体" w:hAnsi="宋体" w:cs="宋体"/>
                <w:color w:val="auto"/>
                <w:kern w:val="0"/>
                <w:sz w:val="24"/>
                <w:highlight w:val="none"/>
              </w:rPr>
            </w:pPr>
          </w:p>
        </w:tc>
      </w:tr>
    </w:tbl>
    <w:p>
      <w:pPr>
        <w:pStyle w:val="6"/>
        <w:jc w:val="center"/>
        <w:rPr>
          <w:color w:val="auto"/>
          <w:highlight w:val="none"/>
        </w:rPr>
      </w:pPr>
      <w:r>
        <w:rPr>
          <w:color w:val="auto"/>
          <w:highlight w:val="none"/>
        </w:rPr>
        <w:br w:type="page"/>
      </w:r>
      <w:bookmarkStart w:id="1222" w:name="_Toc246996374"/>
      <w:bookmarkStart w:id="1223" w:name="_Toc16973"/>
      <w:bookmarkStart w:id="1224" w:name="_Toc247085892"/>
      <w:bookmarkStart w:id="1225" w:name="_Toc55505199"/>
      <w:bookmarkStart w:id="1226" w:name="_Toc529529001"/>
      <w:bookmarkStart w:id="1227" w:name="_Toc246997117"/>
      <w:r>
        <w:rPr>
          <w:rFonts w:hint="eastAsia"/>
          <w:color w:val="auto"/>
          <w:highlight w:val="none"/>
        </w:rPr>
        <w:t>（四）</w:t>
      </w:r>
      <w:r>
        <w:rPr>
          <w:color w:val="auto"/>
          <w:highlight w:val="none"/>
        </w:rPr>
        <w:t>其他</w:t>
      </w:r>
      <w:r>
        <w:rPr>
          <w:rFonts w:hint="eastAsia"/>
          <w:color w:val="auto"/>
          <w:highlight w:val="none"/>
        </w:rPr>
        <w:t>资格审查资</w:t>
      </w:r>
      <w:r>
        <w:rPr>
          <w:color w:val="auto"/>
          <w:highlight w:val="none"/>
        </w:rPr>
        <w:t>料</w:t>
      </w:r>
      <w:bookmarkEnd w:id="1197"/>
      <w:bookmarkEnd w:id="1198"/>
      <w:bookmarkEnd w:id="1199"/>
      <w:bookmarkEnd w:id="1200"/>
      <w:bookmarkEnd w:id="1222"/>
      <w:bookmarkEnd w:id="1223"/>
      <w:bookmarkEnd w:id="1224"/>
      <w:bookmarkEnd w:id="1225"/>
      <w:bookmarkEnd w:id="1226"/>
      <w:bookmarkEnd w:id="1227"/>
    </w:p>
    <w:p>
      <w:pPr>
        <w:pStyle w:val="6"/>
        <w:jc w:val="center"/>
        <w:rPr>
          <w:color w:val="auto"/>
          <w:highlight w:val="none"/>
        </w:rPr>
      </w:pPr>
      <w:bookmarkStart w:id="1228" w:name="_Toc183772563"/>
      <w:bookmarkStart w:id="1229" w:name="_Toc11773"/>
      <w:bookmarkStart w:id="1230" w:name="_Toc113286273"/>
      <w:bookmarkStart w:id="1231" w:name="_Toc183770783"/>
      <w:bookmarkStart w:id="1232" w:name="_Toc37947279"/>
      <w:bookmarkStart w:id="1233" w:name="_Toc51966080"/>
      <w:bookmarkStart w:id="1234" w:name="_Toc55505200"/>
      <w:bookmarkStart w:id="1235" w:name="_Toc101107383"/>
      <w:r>
        <w:rPr>
          <w:rFonts w:hint="eastAsia"/>
          <w:color w:val="auto"/>
          <w:highlight w:val="none"/>
        </w:rPr>
        <w:t>1、投标人声明</w:t>
      </w:r>
      <w:bookmarkEnd w:id="1228"/>
      <w:bookmarkEnd w:id="1229"/>
      <w:bookmarkEnd w:id="1230"/>
      <w:bookmarkEnd w:id="1231"/>
    </w:p>
    <w:p>
      <w:pPr>
        <w:spacing w:line="360" w:lineRule="auto"/>
        <w:ind w:firstLine="420" w:firstLineChars="200"/>
        <w:rPr>
          <w:color w:val="auto"/>
          <w:szCs w:val="21"/>
          <w:highlight w:val="none"/>
        </w:rPr>
      </w:pPr>
      <w:r>
        <w:rPr>
          <w:rFonts w:hint="eastAsia"/>
          <w:color w:val="auto"/>
          <w:szCs w:val="21"/>
          <w:highlight w:val="none"/>
        </w:rPr>
        <w:t>说明：格式详见</w:t>
      </w:r>
      <w:r>
        <w:rPr>
          <w:color w:val="auto"/>
          <w:szCs w:val="21"/>
          <w:highlight w:val="none"/>
        </w:rPr>
        <w:t>招标公告附件一</w:t>
      </w:r>
    </w:p>
    <w:p>
      <w:pPr>
        <w:rPr>
          <w:rFonts w:hint="eastAsia" w:ascii="宋体" w:hAnsi="宋体"/>
          <w:dstrike/>
          <w:color w:val="auto"/>
          <w:szCs w:val="21"/>
          <w:highlight w:val="none"/>
        </w:rPr>
      </w:pPr>
      <w:r>
        <w:rPr>
          <w:color w:val="auto"/>
          <w:highlight w:val="none"/>
        </w:rPr>
        <w:br w:type="page"/>
      </w:r>
      <w:bookmarkEnd w:id="1232"/>
      <w:bookmarkEnd w:id="1233"/>
      <w:bookmarkEnd w:id="1234"/>
      <w:bookmarkEnd w:id="1235"/>
    </w:p>
    <w:p>
      <w:pPr>
        <w:pStyle w:val="6"/>
        <w:jc w:val="center"/>
        <w:rPr>
          <w:rFonts w:hint="eastAsia" w:ascii="Times New Roman" w:hAnsi="Times New Roman" w:eastAsia="宋体" w:cs="Times New Roman"/>
          <w:color w:val="auto"/>
          <w:highlight w:val="none"/>
        </w:rPr>
      </w:pPr>
      <w:bookmarkStart w:id="1236" w:name="_Toc183770785"/>
      <w:bookmarkStart w:id="1237" w:name="_Toc183772565"/>
      <w:bookmarkStart w:id="1238" w:name="_Toc55505201"/>
      <w:bookmarkStart w:id="1239" w:name="_Toc13907"/>
      <w:bookmarkStart w:id="1240" w:name="_Toc113286275"/>
      <w:bookmarkStart w:id="1241" w:name="_Toc51966081"/>
      <w:bookmarkStart w:id="1242" w:name="_Toc37947280"/>
      <w:bookmarkStart w:id="1243" w:name="_Toc101107384"/>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、不拖欠民工工资和供应商货款承诺书</w:t>
      </w:r>
      <w:bookmarkEnd w:id="1236"/>
      <w:bookmarkEnd w:id="1237"/>
      <w:bookmarkEnd w:id="1238"/>
      <w:bookmarkEnd w:id="1239"/>
      <w:bookmarkEnd w:id="1240"/>
      <w:bookmarkEnd w:id="1241"/>
      <w:bookmarkEnd w:id="1242"/>
      <w:bookmarkEnd w:id="1243"/>
    </w:p>
    <w:p>
      <w:pPr>
        <w:adjustRightInd w:val="0"/>
        <w:snapToGrid w:val="0"/>
        <w:spacing w:line="360" w:lineRule="auto"/>
        <w:ind w:firstLine="420" w:firstLineChars="200"/>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招标人</w:t>
      </w:r>
      <w:r>
        <w:rPr>
          <w:rFonts w:hint="eastAsia" w:ascii="宋体" w:hAnsi="宋体"/>
          <w:color w:val="auto"/>
          <w:szCs w:val="21"/>
          <w:highlight w:val="none"/>
          <w:u w:val="single"/>
          <w:lang w:eastAsia="zh-CN"/>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我方承诺，如中标承建</w:t>
      </w:r>
      <w:r>
        <w:rPr>
          <w:rFonts w:hint="eastAsia"/>
          <w:color w:val="auto"/>
          <w:szCs w:val="21"/>
          <w:highlight w:val="none"/>
          <w:u w:val="single"/>
        </w:rPr>
        <w:t>（项目名称）</w:t>
      </w:r>
      <w:r>
        <w:rPr>
          <w:rFonts w:hint="eastAsia" w:ascii="宋体" w:hAnsi="宋体"/>
          <w:color w:val="auto"/>
          <w:szCs w:val="21"/>
          <w:highlight w:val="none"/>
        </w:rPr>
        <w:t>，将确保不拖欠民工工资和供应商货款。如我方违反有关</w:t>
      </w:r>
      <w:r>
        <w:rPr>
          <w:rFonts w:ascii="宋体" w:hAnsi="宋体"/>
          <w:color w:val="auto"/>
          <w:szCs w:val="21"/>
          <w:highlight w:val="none"/>
        </w:rPr>
        <w:t>规定，被民工投诉属实的，在3天内予以发放拖欠的款项。若继续拖延被投诉2次及以上，经查实，</w:t>
      </w:r>
      <w:r>
        <w:rPr>
          <w:rFonts w:hint="eastAsia" w:ascii="宋体" w:hAnsi="宋体"/>
          <w:color w:val="auto"/>
          <w:szCs w:val="21"/>
          <w:highlight w:val="none"/>
        </w:rPr>
        <w:t>除</w:t>
      </w:r>
      <w:r>
        <w:rPr>
          <w:rFonts w:ascii="宋体" w:hAnsi="宋体"/>
          <w:color w:val="auto"/>
          <w:szCs w:val="21"/>
          <w:highlight w:val="none"/>
        </w:rPr>
        <w:t>予以发放拖欠的款项</w:t>
      </w:r>
      <w:r>
        <w:rPr>
          <w:rFonts w:hint="eastAsia" w:ascii="宋体" w:hAnsi="宋体"/>
          <w:color w:val="auto"/>
          <w:szCs w:val="21"/>
          <w:highlight w:val="none"/>
        </w:rPr>
        <w:t>外，还</w:t>
      </w:r>
      <w:r>
        <w:rPr>
          <w:rFonts w:ascii="宋体" w:hAnsi="宋体"/>
          <w:color w:val="auto"/>
          <w:szCs w:val="21"/>
          <w:highlight w:val="none"/>
        </w:rPr>
        <w:t>承担</w:t>
      </w:r>
      <w:r>
        <w:rPr>
          <w:rFonts w:hint="eastAsia" w:ascii="宋体" w:hAnsi="宋体"/>
          <w:color w:val="auto"/>
          <w:szCs w:val="21"/>
          <w:highlight w:val="none"/>
        </w:rPr>
        <w:t>相应</w:t>
      </w:r>
      <w:r>
        <w:rPr>
          <w:rFonts w:ascii="宋体" w:hAnsi="宋体"/>
          <w:color w:val="auto"/>
          <w:szCs w:val="21"/>
          <w:highlight w:val="none"/>
        </w:rPr>
        <w:t>违约责任。</w:t>
      </w:r>
      <w:r>
        <w:rPr>
          <w:rFonts w:hint="eastAsia" w:ascii="宋体" w:hAnsi="宋体"/>
          <w:color w:val="auto"/>
          <w:szCs w:val="21"/>
          <w:highlight w:val="none"/>
        </w:rPr>
        <w:t>若仍然不予整改并发放拖欠的款项，拒不采取切实有效的措施整改的，或整改效果不明显的，贵方有权从应付我单位工程款中直接扣除相应款项用于民工工资发放和供应商货款，且贵方有权未经我单位同意或确认而采取直接启用我单位提交的履约保函用于民工工资发放和供应商货款，并有权部分或全部解除合同和要求我方赔偿由此造成的一切损失。</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因拖欠民工工资或供应商欠款问题导致本工程的任何突发群体性事件而造成的人员及国有财产损失，我方承诺负全部责任。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我方与材料商和劳务方存在法律纠纷牵涉到发包人，发包人应诉产生的一切费用（包括但不限于律师费、诉讼费、交通费）由我方承担。</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rPr>
          <w:rFonts w:ascii="宋体"/>
          <w:color w:val="auto"/>
          <w:szCs w:val="21"/>
          <w:highlight w:val="none"/>
          <w:u w:val="single"/>
        </w:rPr>
      </w:pPr>
      <w:r>
        <w:rPr>
          <w:rFonts w:hint="eastAsia" w:ascii="宋体" w:hAnsi="宋体"/>
          <w:color w:val="auto"/>
          <w:szCs w:val="21"/>
          <w:highlight w:val="none"/>
        </w:rPr>
        <w:t>投标人（</w:t>
      </w:r>
      <w:r>
        <w:rPr>
          <w:rFonts w:hint="eastAsia" w:ascii="宋体"/>
          <w:color w:val="auto"/>
          <w:szCs w:val="21"/>
          <w:highlight w:val="none"/>
        </w:rPr>
        <w:t>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rPr>
          <w:rFonts w:hint="eastAsia" w:ascii="宋体" w:hAnsi="宋体"/>
          <w:color w:val="auto"/>
          <w:szCs w:val="21"/>
          <w:highlight w:val="none"/>
        </w:rPr>
      </w:pPr>
    </w:p>
    <w:p>
      <w:pPr>
        <w:rPr>
          <w:rFonts w:hint="eastAsia" w:ascii="宋体" w:hAnsi="宋体"/>
          <w:color w:val="auto"/>
          <w:szCs w:val="21"/>
          <w:highlight w:val="none"/>
          <w:u w:val="single"/>
        </w:rPr>
      </w:pPr>
      <w:r>
        <w:rPr>
          <w:rFonts w:hint="eastAsia" w:ascii="宋体" w:hAnsi="宋体"/>
          <w:color w:val="auto"/>
          <w:szCs w:val="21"/>
          <w:highlight w:val="none"/>
        </w:rPr>
        <w:t>法人代表或授权代表（签名或署印）：</w:t>
      </w:r>
      <w:r>
        <w:rPr>
          <w:rFonts w:hint="eastAsia" w:ascii="宋体" w:hAnsi="宋体"/>
          <w:color w:val="auto"/>
          <w:szCs w:val="21"/>
          <w:highlight w:val="none"/>
          <w:u w:val="single"/>
        </w:rPr>
        <w:t xml:space="preserve">                  </w:t>
      </w:r>
    </w:p>
    <w:p>
      <w:pPr>
        <w:rPr>
          <w:rFonts w:hint="eastAsia"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rPr>
          <w:dstrike/>
          <w:color w:val="auto"/>
          <w:sz w:val="20"/>
          <w:szCs w:val="20"/>
          <w:highlight w:val="none"/>
        </w:rPr>
      </w:pPr>
      <w:r>
        <w:rPr>
          <w:dstrike/>
          <w:color w:val="auto"/>
          <w:sz w:val="20"/>
          <w:szCs w:val="20"/>
          <w:highlight w:val="none"/>
        </w:rPr>
        <w:br w:type="page"/>
      </w:r>
    </w:p>
    <w:p>
      <w:pPr>
        <w:adjustRightInd w:val="0"/>
        <w:snapToGrid w:val="0"/>
        <w:spacing w:line="360" w:lineRule="auto"/>
        <w:rPr>
          <w:dstrike/>
          <w:color w:val="auto"/>
          <w:sz w:val="20"/>
          <w:szCs w:val="20"/>
          <w:highlight w:val="none"/>
        </w:rPr>
      </w:pPr>
    </w:p>
    <w:p>
      <w:pPr>
        <w:pStyle w:val="2"/>
        <w:rPr>
          <w:color w:val="auto"/>
          <w:highlight w:val="none"/>
        </w:rPr>
      </w:pPr>
    </w:p>
    <w:p>
      <w:pPr>
        <w:pStyle w:val="5"/>
        <w:jc w:val="left"/>
        <w:rPr>
          <w:rFonts w:hint="eastAsia" w:cs="Times New Roman"/>
          <w:color w:val="auto"/>
          <w:highlight w:val="none"/>
          <w:lang w:val="en-US" w:eastAsia="zh-CN"/>
        </w:rPr>
      </w:pPr>
      <w:bookmarkStart w:id="1244" w:name="_Toc25994"/>
      <w:r>
        <w:rPr>
          <w:rFonts w:hint="eastAsia"/>
          <w:color w:val="auto"/>
          <w:highlight w:val="none"/>
          <w:lang w:val="en-US" w:eastAsia="zh-CN"/>
        </w:rPr>
        <w:t>八</w:t>
      </w:r>
      <w:r>
        <w:rPr>
          <w:color w:val="auto"/>
          <w:highlight w:val="none"/>
        </w:rPr>
        <w:t>、</w:t>
      </w:r>
      <w:r>
        <w:rPr>
          <w:rFonts w:hint="eastAsia" w:cs="Times New Roman"/>
          <w:color w:val="auto"/>
          <w:highlight w:val="none"/>
          <w:lang w:val="en-US" w:eastAsia="zh-CN"/>
        </w:rPr>
        <w:t>项目管理机构</w:t>
      </w:r>
      <w:bookmarkEnd w:id="1244"/>
    </w:p>
    <w:p>
      <w:pPr>
        <w:pStyle w:val="2"/>
        <w:widowControl w:val="0"/>
        <w:numPr>
          <w:ilvl w:val="0"/>
          <w:numId w:val="0"/>
        </w:numPr>
        <w:spacing w:after="120"/>
        <w:jc w:val="both"/>
        <w:rPr>
          <w:color w:val="auto"/>
          <w:highlight w:val="none"/>
        </w:rPr>
      </w:pPr>
    </w:p>
    <w:p>
      <w:pPr>
        <w:pStyle w:val="6"/>
        <w:jc w:val="center"/>
        <w:rPr>
          <w:color w:val="auto"/>
          <w:highlight w:val="none"/>
        </w:rPr>
      </w:pPr>
      <w:bookmarkStart w:id="1245" w:name="_Toc16365"/>
      <w:bookmarkStart w:id="1246" w:name="_Toc55505206"/>
      <w:r>
        <w:rPr>
          <w:rFonts w:hint="eastAsia"/>
          <w:color w:val="auto"/>
          <w:highlight w:val="none"/>
        </w:rPr>
        <w:t>（一）项目管理机构</w:t>
      </w:r>
      <w:bookmarkEnd w:id="1245"/>
      <w:bookmarkEnd w:id="1246"/>
    </w:p>
    <w:tbl>
      <w:tblPr>
        <w:tblStyle w:val="74"/>
        <w:tblpPr w:leftFromText="180" w:rightFromText="180" w:vertAnchor="text" w:horzAnchor="margin" w:tblpXSpec="center" w:tblpY="186"/>
        <w:tblW w:w="91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0" w:hRule="atLeast"/>
          <w:jc w:val="center"/>
        </w:trPr>
        <w:tc>
          <w:tcPr>
            <w:tcW w:w="9191" w:type="dxa"/>
            <w:tcBorders>
              <w:top w:val="single" w:color="auto" w:sz="12" w:space="0"/>
            </w:tcBorders>
          </w:tcPr>
          <w:p>
            <w:pPr>
              <w:rPr>
                <w:rFonts w:ascii="宋体"/>
                <w:color w:val="auto"/>
                <w:szCs w:val="21"/>
                <w:highlight w:val="none"/>
              </w:rPr>
            </w:pPr>
          </w:p>
          <w:p>
            <w:pPr>
              <w:rPr>
                <w:rFonts w:ascii="宋体"/>
                <w:color w:val="auto"/>
                <w:szCs w:val="21"/>
                <w:highlight w:val="none"/>
              </w:rPr>
            </w:pPr>
            <w:r>
              <w:rPr>
                <w:rFonts w:hint="eastAsia" w:ascii="宋体" w:hAnsi="宋体" w:cs="宋体"/>
                <w:color w:val="auto"/>
                <w:szCs w:val="21"/>
                <w:highlight w:val="none"/>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7" w:hRule="atLeast"/>
          <w:jc w:val="center"/>
        </w:trPr>
        <w:tc>
          <w:tcPr>
            <w:tcW w:w="9191" w:type="dxa"/>
            <w:tcBorders>
              <w:bottom w:val="single" w:color="auto" w:sz="12" w:space="0"/>
            </w:tcBorders>
          </w:tcPr>
          <w:p>
            <w:pPr>
              <w:rPr>
                <w:rFonts w:ascii="宋体"/>
                <w:color w:val="auto"/>
                <w:szCs w:val="21"/>
                <w:highlight w:val="none"/>
              </w:rPr>
            </w:pPr>
          </w:p>
          <w:p>
            <w:pPr>
              <w:rPr>
                <w:rFonts w:ascii="宋体"/>
                <w:color w:val="auto"/>
                <w:szCs w:val="21"/>
                <w:highlight w:val="none"/>
              </w:rPr>
            </w:pPr>
            <w:r>
              <w:rPr>
                <w:rFonts w:hint="eastAsia" w:ascii="宋体" w:hAnsi="宋体" w:cs="宋体"/>
                <w:color w:val="auto"/>
                <w:szCs w:val="21"/>
                <w:highlight w:val="none"/>
              </w:rPr>
              <w:t>说明</w:t>
            </w:r>
          </w:p>
        </w:tc>
      </w:tr>
    </w:tbl>
    <w:p>
      <w:pPr>
        <w:pStyle w:val="6"/>
        <w:jc w:val="center"/>
        <w:rPr>
          <w:color w:val="auto"/>
          <w:highlight w:val="none"/>
        </w:rPr>
      </w:pPr>
      <w:r>
        <w:rPr>
          <w:color w:val="auto"/>
          <w:highlight w:val="none"/>
        </w:rPr>
        <w:br w:type="page"/>
      </w:r>
      <w:bookmarkStart w:id="1247" w:name="_Toc30367"/>
      <w:bookmarkStart w:id="1248" w:name="_Toc12375992"/>
      <w:bookmarkStart w:id="1249" w:name="_Toc72405012"/>
      <w:bookmarkStart w:id="1250" w:name="_Toc55505207"/>
      <w:r>
        <w:rPr>
          <w:color w:val="auto"/>
          <w:highlight w:val="none"/>
        </w:rPr>
        <w:t>（</w:t>
      </w:r>
      <w:r>
        <w:rPr>
          <w:rFonts w:hint="eastAsia"/>
          <w:color w:val="auto"/>
          <w:highlight w:val="none"/>
        </w:rPr>
        <w:t>二</w:t>
      </w:r>
      <w:r>
        <w:rPr>
          <w:color w:val="auto"/>
          <w:highlight w:val="none"/>
        </w:rPr>
        <w:t>）项目管理机构组成表</w:t>
      </w:r>
      <w:bookmarkEnd w:id="1247"/>
      <w:bookmarkEnd w:id="1248"/>
      <w:bookmarkEnd w:id="1249"/>
    </w:p>
    <w:tbl>
      <w:tblPr>
        <w:tblStyle w:val="7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Merge w:val="restart"/>
            <w:vAlign w:val="center"/>
          </w:tcPr>
          <w:p>
            <w:pPr>
              <w:spacing w:line="440" w:lineRule="exact"/>
              <w:jc w:val="center"/>
              <w:rPr>
                <w:color w:val="auto"/>
                <w:szCs w:val="21"/>
                <w:highlight w:val="none"/>
              </w:rPr>
            </w:pPr>
            <w:r>
              <w:rPr>
                <w:color w:val="auto"/>
                <w:szCs w:val="21"/>
                <w:highlight w:val="none"/>
              </w:rPr>
              <w:t>职务</w:t>
            </w:r>
          </w:p>
        </w:tc>
        <w:tc>
          <w:tcPr>
            <w:tcW w:w="721" w:type="dxa"/>
            <w:vMerge w:val="restart"/>
            <w:vAlign w:val="center"/>
          </w:tcPr>
          <w:p>
            <w:pPr>
              <w:spacing w:line="440" w:lineRule="exact"/>
              <w:jc w:val="center"/>
              <w:rPr>
                <w:color w:val="auto"/>
                <w:szCs w:val="21"/>
                <w:highlight w:val="none"/>
              </w:rPr>
            </w:pPr>
            <w:r>
              <w:rPr>
                <w:color w:val="auto"/>
                <w:szCs w:val="21"/>
                <w:highlight w:val="none"/>
              </w:rPr>
              <w:t>姓名</w:t>
            </w:r>
          </w:p>
        </w:tc>
        <w:tc>
          <w:tcPr>
            <w:tcW w:w="719" w:type="dxa"/>
            <w:vMerge w:val="restart"/>
            <w:vAlign w:val="center"/>
          </w:tcPr>
          <w:p>
            <w:pPr>
              <w:spacing w:line="440" w:lineRule="exact"/>
              <w:jc w:val="center"/>
              <w:rPr>
                <w:color w:val="auto"/>
                <w:szCs w:val="21"/>
                <w:highlight w:val="none"/>
              </w:rPr>
            </w:pPr>
            <w:r>
              <w:rPr>
                <w:color w:val="auto"/>
                <w:szCs w:val="21"/>
                <w:highlight w:val="none"/>
              </w:rPr>
              <w:t>职称</w:t>
            </w:r>
          </w:p>
        </w:tc>
        <w:tc>
          <w:tcPr>
            <w:tcW w:w="5763" w:type="dxa"/>
            <w:gridSpan w:val="5"/>
            <w:vAlign w:val="center"/>
          </w:tcPr>
          <w:p>
            <w:pPr>
              <w:spacing w:line="440" w:lineRule="exact"/>
              <w:jc w:val="center"/>
              <w:rPr>
                <w:color w:val="auto"/>
                <w:szCs w:val="21"/>
                <w:highlight w:val="none"/>
              </w:rPr>
            </w:pPr>
            <w:r>
              <w:rPr>
                <w:color w:val="auto"/>
                <w:szCs w:val="21"/>
                <w:highlight w:val="none"/>
              </w:rPr>
              <w:t>执业或职业资格证明</w:t>
            </w:r>
          </w:p>
        </w:tc>
        <w:tc>
          <w:tcPr>
            <w:tcW w:w="672" w:type="dxa"/>
            <w:vAlign w:val="center"/>
          </w:tcPr>
          <w:p>
            <w:pPr>
              <w:spacing w:line="440" w:lineRule="exact"/>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Merge w:val="continue"/>
            <w:vAlign w:val="center"/>
          </w:tcPr>
          <w:p>
            <w:pPr>
              <w:spacing w:line="440" w:lineRule="exact"/>
              <w:jc w:val="center"/>
              <w:rPr>
                <w:color w:val="auto"/>
                <w:szCs w:val="21"/>
                <w:highlight w:val="none"/>
              </w:rPr>
            </w:pPr>
          </w:p>
        </w:tc>
        <w:tc>
          <w:tcPr>
            <w:tcW w:w="721" w:type="dxa"/>
            <w:vMerge w:val="continue"/>
            <w:vAlign w:val="center"/>
          </w:tcPr>
          <w:p>
            <w:pPr>
              <w:spacing w:line="440" w:lineRule="exact"/>
              <w:jc w:val="center"/>
              <w:rPr>
                <w:color w:val="auto"/>
                <w:szCs w:val="21"/>
                <w:highlight w:val="none"/>
              </w:rPr>
            </w:pPr>
          </w:p>
        </w:tc>
        <w:tc>
          <w:tcPr>
            <w:tcW w:w="719" w:type="dxa"/>
            <w:vMerge w:val="continue"/>
            <w:vAlign w:val="center"/>
          </w:tcPr>
          <w:p>
            <w:pPr>
              <w:spacing w:line="440" w:lineRule="exact"/>
              <w:jc w:val="center"/>
              <w:rPr>
                <w:color w:val="auto"/>
                <w:szCs w:val="21"/>
                <w:highlight w:val="none"/>
              </w:rPr>
            </w:pPr>
          </w:p>
        </w:tc>
        <w:tc>
          <w:tcPr>
            <w:tcW w:w="1081" w:type="dxa"/>
            <w:vAlign w:val="center"/>
          </w:tcPr>
          <w:p>
            <w:pPr>
              <w:spacing w:line="440" w:lineRule="exact"/>
              <w:jc w:val="center"/>
              <w:rPr>
                <w:color w:val="auto"/>
                <w:szCs w:val="21"/>
                <w:highlight w:val="none"/>
              </w:rPr>
            </w:pPr>
            <w:r>
              <w:rPr>
                <w:color w:val="auto"/>
                <w:szCs w:val="21"/>
                <w:highlight w:val="none"/>
              </w:rPr>
              <w:t>证书名称</w:t>
            </w:r>
          </w:p>
        </w:tc>
        <w:tc>
          <w:tcPr>
            <w:tcW w:w="719" w:type="dxa"/>
            <w:vAlign w:val="center"/>
          </w:tcPr>
          <w:p>
            <w:pPr>
              <w:spacing w:line="440" w:lineRule="exact"/>
              <w:jc w:val="center"/>
              <w:rPr>
                <w:color w:val="auto"/>
                <w:szCs w:val="21"/>
                <w:highlight w:val="none"/>
              </w:rPr>
            </w:pPr>
            <w:r>
              <w:rPr>
                <w:color w:val="auto"/>
                <w:szCs w:val="21"/>
                <w:highlight w:val="none"/>
              </w:rPr>
              <w:t>级别</w:t>
            </w:r>
          </w:p>
        </w:tc>
        <w:tc>
          <w:tcPr>
            <w:tcW w:w="721" w:type="dxa"/>
            <w:vAlign w:val="center"/>
          </w:tcPr>
          <w:p>
            <w:pPr>
              <w:spacing w:line="440" w:lineRule="exact"/>
              <w:jc w:val="center"/>
              <w:rPr>
                <w:color w:val="auto"/>
                <w:szCs w:val="21"/>
                <w:highlight w:val="none"/>
              </w:rPr>
            </w:pPr>
            <w:r>
              <w:rPr>
                <w:color w:val="auto"/>
                <w:szCs w:val="21"/>
                <w:highlight w:val="none"/>
              </w:rPr>
              <w:t>证号</w:t>
            </w:r>
          </w:p>
        </w:tc>
        <w:tc>
          <w:tcPr>
            <w:tcW w:w="719" w:type="dxa"/>
            <w:vAlign w:val="center"/>
          </w:tcPr>
          <w:p>
            <w:pPr>
              <w:spacing w:line="440" w:lineRule="exact"/>
              <w:jc w:val="center"/>
              <w:rPr>
                <w:color w:val="auto"/>
                <w:szCs w:val="21"/>
                <w:highlight w:val="none"/>
              </w:rPr>
            </w:pPr>
            <w:r>
              <w:rPr>
                <w:color w:val="auto"/>
                <w:szCs w:val="21"/>
                <w:highlight w:val="none"/>
              </w:rPr>
              <w:t>专业</w:t>
            </w:r>
          </w:p>
        </w:tc>
        <w:tc>
          <w:tcPr>
            <w:tcW w:w="2523" w:type="dxa"/>
            <w:vAlign w:val="center"/>
          </w:tcPr>
          <w:p>
            <w:pPr>
              <w:spacing w:line="440" w:lineRule="exact"/>
              <w:jc w:val="center"/>
              <w:rPr>
                <w:color w:val="auto"/>
                <w:szCs w:val="21"/>
                <w:highlight w:val="none"/>
              </w:rPr>
            </w:pPr>
            <w:r>
              <w:rPr>
                <w:color w:val="auto"/>
                <w:szCs w:val="21"/>
                <w:highlight w:val="none"/>
              </w:rPr>
              <w:t>养老保险</w:t>
            </w:r>
          </w:p>
        </w:tc>
        <w:tc>
          <w:tcPr>
            <w:tcW w:w="672"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pPr>
              <w:spacing w:line="440" w:lineRule="exact"/>
              <w:jc w:val="center"/>
              <w:rPr>
                <w:color w:val="auto"/>
                <w:szCs w:val="21"/>
                <w:highlight w:val="none"/>
              </w:rPr>
            </w:pPr>
          </w:p>
        </w:tc>
        <w:tc>
          <w:tcPr>
            <w:tcW w:w="721" w:type="dxa"/>
            <w:vAlign w:val="center"/>
          </w:tcPr>
          <w:p>
            <w:pPr>
              <w:spacing w:line="440" w:lineRule="exact"/>
              <w:jc w:val="center"/>
              <w:rPr>
                <w:color w:val="auto"/>
                <w:szCs w:val="21"/>
                <w:highlight w:val="none"/>
              </w:rPr>
            </w:pPr>
          </w:p>
        </w:tc>
        <w:tc>
          <w:tcPr>
            <w:tcW w:w="719" w:type="dxa"/>
            <w:vAlign w:val="center"/>
          </w:tcPr>
          <w:p>
            <w:pPr>
              <w:spacing w:line="440" w:lineRule="exact"/>
              <w:jc w:val="center"/>
              <w:rPr>
                <w:color w:val="auto"/>
                <w:szCs w:val="21"/>
                <w:highlight w:val="none"/>
              </w:rPr>
            </w:pPr>
          </w:p>
        </w:tc>
        <w:tc>
          <w:tcPr>
            <w:tcW w:w="1081" w:type="dxa"/>
            <w:vAlign w:val="center"/>
          </w:tcPr>
          <w:p>
            <w:pPr>
              <w:spacing w:line="440" w:lineRule="exact"/>
              <w:jc w:val="center"/>
              <w:rPr>
                <w:color w:val="auto"/>
                <w:szCs w:val="21"/>
                <w:highlight w:val="none"/>
              </w:rPr>
            </w:pPr>
          </w:p>
        </w:tc>
        <w:tc>
          <w:tcPr>
            <w:tcW w:w="719" w:type="dxa"/>
            <w:vAlign w:val="center"/>
          </w:tcPr>
          <w:p>
            <w:pPr>
              <w:spacing w:line="440" w:lineRule="exact"/>
              <w:jc w:val="center"/>
              <w:rPr>
                <w:color w:val="auto"/>
                <w:szCs w:val="21"/>
                <w:highlight w:val="none"/>
              </w:rPr>
            </w:pPr>
          </w:p>
        </w:tc>
        <w:tc>
          <w:tcPr>
            <w:tcW w:w="721" w:type="dxa"/>
            <w:vAlign w:val="center"/>
          </w:tcPr>
          <w:p>
            <w:pPr>
              <w:spacing w:line="440" w:lineRule="exact"/>
              <w:jc w:val="center"/>
              <w:rPr>
                <w:color w:val="auto"/>
                <w:szCs w:val="21"/>
                <w:highlight w:val="none"/>
              </w:rPr>
            </w:pPr>
          </w:p>
        </w:tc>
        <w:tc>
          <w:tcPr>
            <w:tcW w:w="719" w:type="dxa"/>
            <w:vAlign w:val="center"/>
          </w:tcPr>
          <w:p>
            <w:pPr>
              <w:spacing w:line="440" w:lineRule="exact"/>
              <w:jc w:val="center"/>
              <w:rPr>
                <w:color w:val="auto"/>
                <w:szCs w:val="21"/>
                <w:highlight w:val="none"/>
              </w:rPr>
            </w:pPr>
          </w:p>
        </w:tc>
        <w:tc>
          <w:tcPr>
            <w:tcW w:w="2523" w:type="dxa"/>
            <w:vAlign w:val="center"/>
          </w:tcPr>
          <w:p>
            <w:pPr>
              <w:spacing w:line="440" w:lineRule="exact"/>
              <w:jc w:val="center"/>
              <w:rPr>
                <w:color w:val="auto"/>
                <w:szCs w:val="21"/>
                <w:highlight w:val="none"/>
              </w:rPr>
            </w:pPr>
          </w:p>
        </w:tc>
        <w:tc>
          <w:tcPr>
            <w:tcW w:w="672"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108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2523" w:type="dxa"/>
          </w:tcPr>
          <w:p>
            <w:pPr>
              <w:spacing w:line="440" w:lineRule="exact"/>
              <w:jc w:val="center"/>
              <w:rPr>
                <w:color w:val="auto"/>
                <w:szCs w:val="21"/>
                <w:highlight w:val="none"/>
              </w:rPr>
            </w:pPr>
          </w:p>
        </w:tc>
        <w:tc>
          <w:tcPr>
            <w:tcW w:w="672"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108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2523" w:type="dxa"/>
          </w:tcPr>
          <w:p>
            <w:pPr>
              <w:spacing w:line="440" w:lineRule="exact"/>
              <w:jc w:val="center"/>
              <w:rPr>
                <w:color w:val="auto"/>
                <w:szCs w:val="21"/>
                <w:highlight w:val="none"/>
              </w:rPr>
            </w:pPr>
          </w:p>
        </w:tc>
        <w:tc>
          <w:tcPr>
            <w:tcW w:w="672"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108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2523" w:type="dxa"/>
          </w:tcPr>
          <w:p>
            <w:pPr>
              <w:spacing w:line="440" w:lineRule="exact"/>
              <w:jc w:val="center"/>
              <w:rPr>
                <w:color w:val="auto"/>
                <w:szCs w:val="21"/>
                <w:highlight w:val="none"/>
              </w:rPr>
            </w:pPr>
          </w:p>
        </w:tc>
        <w:tc>
          <w:tcPr>
            <w:tcW w:w="672"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108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2523" w:type="dxa"/>
          </w:tcPr>
          <w:p>
            <w:pPr>
              <w:spacing w:line="440" w:lineRule="exact"/>
              <w:jc w:val="center"/>
              <w:rPr>
                <w:color w:val="auto"/>
                <w:szCs w:val="21"/>
                <w:highlight w:val="none"/>
              </w:rPr>
            </w:pPr>
          </w:p>
        </w:tc>
        <w:tc>
          <w:tcPr>
            <w:tcW w:w="672"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108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2523" w:type="dxa"/>
          </w:tcPr>
          <w:p>
            <w:pPr>
              <w:spacing w:line="440" w:lineRule="exact"/>
              <w:jc w:val="center"/>
              <w:rPr>
                <w:color w:val="auto"/>
                <w:szCs w:val="21"/>
                <w:highlight w:val="none"/>
              </w:rPr>
            </w:pPr>
          </w:p>
        </w:tc>
        <w:tc>
          <w:tcPr>
            <w:tcW w:w="672"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108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2523" w:type="dxa"/>
          </w:tcPr>
          <w:p>
            <w:pPr>
              <w:spacing w:line="440" w:lineRule="exact"/>
              <w:jc w:val="center"/>
              <w:rPr>
                <w:color w:val="auto"/>
                <w:szCs w:val="21"/>
                <w:highlight w:val="none"/>
              </w:rPr>
            </w:pPr>
          </w:p>
        </w:tc>
        <w:tc>
          <w:tcPr>
            <w:tcW w:w="672"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108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2523" w:type="dxa"/>
          </w:tcPr>
          <w:p>
            <w:pPr>
              <w:spacing w:line="440" w:lineRule="exact"/>
              <w:jc w:val="center"/>
              <w:rPr>
                <w:color w:val="auto"/>
                <w:szCs w:val="21"/>
                <w:highlight w:val="none"/>
              </w:rPr>
            </w:pPr>
          </w:p>
        </w:tc>
        <w:tc>
          <w:tcPr>
            <w:tcW w:w="672"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108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721" w:type="dxa"/>
          </w:tcPr>
          <w:p>
            <w:pPr>
              <w:spacing w:line="440" w:lineRule="exact"/>
              <w:jc w:val="center"/>
              <w:rPr>
                <w:color w:val="auto"/>
                <w:szCs w:val="21"/>
                <w:highlight w:val="none"/>
              </w:rPr>
            </w:pPr>
          </w:p>
        </w:tc>
        <w:tc>
          <w:tcPr>
            <w:tcW w:w="719" w:type="dxa"/>
          </w:tcPr>
          <w:p>
            <w:pPr>
              <w:spacing w:line="440" w:lineRule="exact"/>
              <w:jc w:val="center"/>
              <w:rPr>
                <w:color w:val="auto"/>
                <w:szCs w:val="21"/>
                <w:highlight w:val="none"/>
              </w:rPr>
            </w:pPr>
          </w:p>
        </w:tc>
        <w:tc>
          <w:tcPr>
            <w:tcW w:w="2523" w:type="dxa"/>
          </w:tcPr>
          <w:p>
            <w:pPr>
              <w:spacing w:line="440" w:lineRule="exact"/>
              <w:jc w:val="center"/>
              <w:rPr>
                <w:color w:val="auto"/>
                <w:szCs w:val="21"/>
                <w:highlight w:val="none"/>
              </w:rPr>
            </w:pPr>
          </w:p>
        </w:tc>
        <w:tc>
          <w:tcPr>
            <w:tcW w:w="672"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color w:val="auto"/>
                <w:szCs w:val="21"/>
                <w:highlight w:val="none"/>
              </w:rPr>
            </w:pPr>
          </w:p>
        </w:tc>
      </w:tr>
    </w:tbl>
    <w:p>
      <w:pPr>
        <w:pStyle w:val="6"/>
        <w:jc w:val="center"/>
        <w:rPr>
          <w:color w:val="auto"/>
          <w:highlight w:val="none"/>
        </w:rPr>
      </w:pPr>
      <w:r>
        <w:rPr>
          <w:color w:val="auto"/>
          <w:highlight w:val="none"/>
        </w:rPr>
        <w:br w:type="page"/>
      </w:r>
      <w:bookmarkStart w:id="1251" w:name="_Toc18214"/>
      <w:r>
        <w:rPr>
          <w:color w:val="auto"/>
          <w:highlight w:val="none"/>
        </w:rPr>
        <w:t>（</w:t>
      </w:r>
      <w:r>
        <w:rPr>
          <w:rFonts w:hint="eastAsia"/>
          <w:color w:val="auto"/>
          <w:highlight w:val="none"/>
        </w:rPr>
        <w:t>三</w:t>
      </w:r>
      <w:r>
        <w:rPr>
          <w:color w:val="auto"/>
          <w:highlight w:val="none"/>
        </w:rPr>
        <w:t>）</w:t>
      </w:r>
      <w:r>
        <w:rPr>
          <w:rFonts w:hint="eastAsia"/>
          <w:color w:val="auto"/>
          <w:highlight w:val="none"/>
        </w:rPr>
        <w:t>项目负责人</w:t>
      </w:r>
      <w:r>
        <w:rPr>
          <w:color w:val="auto"/>
          <w:highlight w:val="none"/>
        </w:rPr>
        <w:t>简历表</w:t>
      </w:r>
      <w:bookmarkEnd w:id="1250"/>
      <w:bookmarkEnd w:id="1251"/>
    </w:p>
    <w:tbl>
      <w:tblPr>
        <w:tblStyle w:val="7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53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姓  名</w:t>
            </w:r>
          </w:p>
        </w:tc>
        <w:tc>
          <w:tcPr>
            <w:tcW w:w="1259" w:type="dxa"/>
            <w:gridSpan w:val="2"/>
            <w:vAlign w:val="center"/>
          </w:tcPr>
          <w:p>
            <w:pPr>
              <w:spacing w:line="440" w:lineRule="exact"/>
              <w:jc w:val="center"/>
              <w:rPr>
                <w:rFonts w:hint="eastAsia" w:ascii="宋体" w:hAnsi="宋体"/>
                <w:color w:val="auto"/>
                <w:szCs w:val="21"/>
                <w:highlight w:val="none"/>
              </w:rPr>
            </w:pPr>
          </w:p>
        </w:tc>
        <w:tc>
          <w:tcPr>
            <w:tcW w:w="927"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年 龄</w:t>
            </w:r>
          </w:p>
        </w:tc>
        <w:tc>
          <w:tcPr>
            <w:tcW w:w="1065" w:type="dxa"/>
            <w:vAlign w:val="center"/>
          </w:tcPr>
          <w:p>
            <w:pPr>
              <w:spacing w:line="440" w:lineRule="exact"/>
              <w:jc w:val="center"/>
              <w:rPr>
                <w:rFonts w:hint="eastAsia" w:ascii="宋体" w:hAnsi="宋体"/>
                <w:color w:val="auto"/>
                <w:szCs w:val="21"/>
                <w:highlight w:val="none"/>
              </w:rPr>
            </w:pPr>
          </w:p>
        </w:tc>
        <w:tc>
          <w:tcPr>
            <w:tcW w:w="2130" w:type="dxa"/>
            <w:gridSpan w:val="3"/>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学历</w:t>
            </w:r>
          </w:p>
        </w:tc>
        <w:tc>
          <w:tcPr>
            <w:tcW w:w="2135" w:type="dxa"/>
            <w:vAlign w:val="center"/>
          </w:tcPr>
          <w:p>
            <w:pPr>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职  称</w:t>
            </w:r>
          </w:p>
        </w:tc>
        <w:tc>
          <w:tcPr>
            <w:tcW w:w="1259" w:type="dxa"/>
            <w:gridSpan w:val="2"/>
            <w:vAlign w:val="center"/>
          </w:tcPr>
          <w:p>
            <w:pPr>
              <w:spacing w:line="440" w:lineRule="exact"/>
              <w:jc w:val="center"/>
              <w:rPr>
                <w:rFonts w:hint="eastAsia" w:ascii="宋体" w:hAnsi="宋体"/>
                <w:color w:val="auto"/>
                <w:szCs w:val="21"/>
                <w:highlight w:val="none"/>
              </w:rPr>
            </w:pPr>
          </w:p>
        </w:tc>
        <w:tc>
          <w:tcPr>
            <w:tcW w:w="927"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职 务</w:t>
            </w:r>
          </w:p>
        </w:tc>
        <w:tc>
          <w:tcPr>
            <w:tcW w:w="1065" w:type="dxa"/>
            <w:vAlign w:val="center"/>
          </w:tcPr>
          <w:p>
            <w:pPr>
              <w:spacing w:line="440" w:lineRule="exact"/>
              <w:jc w:val="center"/>
              <w:rPr>
                <w:rFonts w:hint="eastAsia" w:ascii="宋体" w:hAnsi="宋体"/>
                <w:color w:val="auto"/>
                <w:szCs w:val="21"/>
                <w:highlight w:val="none"/>
              </w:rPr>
            </w:pPr>
          </w:p>
        </w:tc>
        <w:tc>
          <w:tcPr>
            <w:tcW w:w="2130" w:type="dxa"/>
            <w:gridSpan w:val="3"/>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拟在本合同任职</w:t>
            </w:r>
          </w:p>
        </w:tc>
        <w:tc>
          <w:tcPr>
            <w:tcW w:w="2135" w:type="dxa"/>
            <w:vAlign w:val="center"/>
          </w:tcPr>
          <w:p>
            <w:pPr>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pPr>
              <w:spacing w:line="440" w:lineRule="exact"/>
              <w:rPr>
                <w:rFonts w:hint="eastAsia" w:ascii="宋体" w:hAnsi="宋体"/>
                <w:color w:val="auto"/>
                <w:szCs w:val="21"/>
                <w:highlight w:val="none"/>
              </w:rPr>
            </w:pPr>
            <w:r>
              <w:rPr>
                <w:rFonts w:ascii="宋体" w:hAnsi="宋体"/>
                <w:color w:val="auto"/>
                <w:szCs w:val="21"/>
                <w:highlight w:val="none"/>
              </w:rPr>
              <w:t>毕业学校</w:t>
            </w:r>
          </w:p>
        </w:tc>
        <w:tc>
          <w:tcPr>
            <w:tcW w:w="7516" w:type="dxa"/>
            <w:gridSpan w:val="8"/>
          </w:tcPr>
          <w:p>
            <w:pPr>
              <w:spacing w:line="440" w:lineRule="exact"/>
              <w:rPr>
                <w:rFonts w:hint="eastAsia" w:ascii="宋体" w:hAnsi="宋体"/>
                <w:color w:val="auto"/>
                <w:szCs w:val="21"/>
                <w:highlight w:val="none"/>
              </w:rPr>
            </w:pPr>
            <w:r>
              <w:rPr>
                <w:rFonts w:ascii="宋体" w:hAnsi="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7" w:type="dxa"/>
            <w:gridSpan w:val="9"/>
            <w:vAlign w:val="center"/>
          </w:tcPr>
          <w:p>
            <w:pPr>
              <w:spacing w:line="440" w:lineRule="exact"/>
              <w:rPr>
                <w:rFonts w:hint="eastAsia" w:ascii="宋体" w:hAnsi="宋体"/>
                <w:color w:val="auto"/>
                <w:szCs w:val="21"/>
                <w:highlight w:val="none"/>
              </w:rPr>
            </w:pPr>
            <w:r>
              <w:rPr>
                <w:rFonts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vAlign w:val="center"/>
          </w:tcPr>
          <w:p>
            <w:pPr>
              <w:spacing w:line="440" w:lineRule="exact"/>
              <w:rPr>
                <w:rFonts w:hint="eastAsia" w:ascii="宋体" w:hAnsi="宋体"/>
                <w:color w:val="auto"/>
                <w:szCs w:val="21"/>
                <w:highlight w:val="none"/>
              </w:rPr>
            </w:pPr>
            <w:r>
              <w:rPr>
                <w:rFonts w:ascii="宋体" w:hAnsi="宋体"/>
                <w:color w:val="auto"/>
                <w:szCs w:val="21"/>
                <w:highlight w:val="none"/>
              </w:rPr>
              <w:t>时  间</w:t>
            </w:r>
          </w:p>
        </w:tc>
        <w:tc>
          <w:tcPr>
            <w:tcW w:w="3420" w:type="dxa"/>
            <w:gridSpan w:val="4"/>
            <w:vAlign w:val="center"/>
          </w:tcPr>
          <w:p>
            <w:pPr>
              <w:spacing w:line="440" w:lineRule="exact"/>
              <w:rPr>
                <w:rFonts w:hint="eastAsia" w:ascii="宋体" w:hAnsi="宋体"/>
                <w:color w:val="auto"/>
                <w:szCs w:val="21"/>
                <w:highlight w:val="none"/>
              </w:rPr>
            </w:pPr>
            <w:r>
              <w:rPr>
                <w:rFonts w:ascii="宋体" w:hAnsi="宋体"/>
                <w:color w:val="auto"/>
                <w:szCs w:val="21"/>
                <w:highlight w:val="none"/>
              </w:rPr>
              <w:t>参加过的类似项目</w:t>
            </w:r>
          </w:p>
        </w:tc>
        <w:tc>
          <w:tcPr>
            <w:tcW w:w="1261" w:type="dxa"/>
            <w:vAlign w:val="center"/>
          </w:tcPr>
          <w:p>
            <w:pPr>
              <w:spacing w:line="440" w:lineRule="exact"/>
              <w:rPr>
                <w:rFonts w:hint="eastAsia" w:ascii="宋体" w:hAnsi="宋体"/>
                <w:color w:val="auto"/>
                <w:szCs w:val="21"/>
                <w:highlight w:val="none"/>
              </w:rPr>
            </w:pPr>
            <w:r>
              <w:rPr>
                <w:rFonts w:ascii="宋体" w:hAnsi="宋体"/>
                <w:color w:val="auto"/>
                <w:szCs w:val="21"/>
                <w:highlight w:val="none"/>
              </w:rPr>
              <w:t>担任职务</w:t>
            </w:r>
          </w:p>
        </w:tc>
        <w:tc>
          <w:tcPr>
            <w:tcW w:w="2296" w:type="dxa"/>
            <w:gridSpan w:val="2"/>
            <w:vAlign w:val="center"/>
          </w:tcPr>
          <w:p>
            <w:pPr>
              <w:spacing w:line="440" w:lineRule="exact"/>
              <w:rPr>
                <w:rFonts w:hint="eastAsia" w:ascii="宋体" w:hAnsi="宋体"/>
                <w:color w:val="auto"/>
                <w:szCs w:val="21"/>
                <w:highlight w:val="none"/>
              </w:rPr>
            </w:pPr>
            <w:r>
              <w:rPr>
                <w:rFonts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bl>
    <w:p>
      <w:pPr>
        <w:widowControl/>
        <w:spacing w:line="360" w:lineRule="auto"/>
        <w:jc w:val="left"/>
        <w:rPr>
          <w:rFonts w:hint="eastAsia" w:ascii="宋体" w:hAnsi="宋体"/>
          <w:color w:val="auto"/>
          <w:szCs w:val="21"/>
          <w:highlight w:val="none"/>
        </w:rPr>
      </w:pPr>
      <w:r>
        <w:rPr>
          <w:rFonts w:hint="eastAsia" w:ascii="宋体" w:hAnsi="宋体" w:cs="宋体"/>
          <w:color w:val="auto"/>
          <w:kern w:val="0"/>
          <w:szCs w:val="21"/>
          <w:highlight w:val="none"/>
        </w:rPr>
        <w:t>注：</w:t>
      </w:r>
      <w:r>
        <w:rPr>
          <w:color w:val="auto"/>
          <w:szCs w:val="21"/>
          <w:highlight w:val="none"/>
        </w:rPr>
        <w:t>1</w:t>
      </w:r>
      <w:r>
        <w:rPr>
          <w:rFonts w:hint="eastAsia" w:ascii="宋体" w:hAnsi="宋体"/>
          <w:color w:val="auto"/>
          <w:szCs w:val="21"/>
          <w:highlight w:val="none"/>
        </w:rPr>
        <w:t>.</w:t>
      </w:r>
      <w:r>
        <w:rPr>
          <w:color w:val="auto"/>
          <w:szCs w:val="21"/>
          <w:highlight w:val="none"/>
        </w:rPr>
        <w:t>本表后应附项目</w:t>
      </w:r>
      <w:r>
        <w:rPr>
          <w:rFonts w:hint="eastAsia"/>
          <w:color w:val="auto"/>
          <w:szCs w:val="21"/>
          <w:highlight w:val="none"/>
        </w:rPr>
        <w:t>负责人</w:t>
      </w:r>
      <w:r>
        <w:rPr>
          <w:rFonts w:ascii="宋体" w:hAnsi="宋体"/>
          <w:color w:val="auto"/>
          <w:szCs w:val="21"/>
          <w:highlight w:val="none"/>
        </w:rPr>
        <w:t>身份证</w:t>
      </w:r>
      <w:r>
        <w:rPr>
          <w:color w:val="auto"/>
          <w:szCs w:val="21"/>
          <w:highlight w:val="none"/>
        </w:rPr>
        <w:t>、</w:t>
      </w:r>
      <w:r>
        <w:rPr>
          <w:rFonts w:hint="eastAsia"/>
          <w:color w:val="auto"/>
          <w:szCs w:val="21"/>
          <w:highlight w:val="none"/>
        </w:rPr>
        <w:t>技术</w:t>
      </w:r>
      <w:r>
        <w:rPr>
          <w:color w:val="auto"/>
          <w:szCs w:val="21"/>
          <w:highlight w:val="none"/>
        </w:rPr>
        <w:t>职称证书</w:t>
      </w:r>
      <w:r>
        <w:rPr>
          <w:rFonts w:hint="eastAsia"/>
          <w:color w:val="auto"/>
          <w:szCs w:val="21"/>
          <w:highlight w:val="none"/>
        </w:rPr>
        <w:t>、</w:t>
      </w:r>
      <w:r>
        <w:rPr>
          <w:rFonts w:hint="eastAsia" w:ascii="宋体" w:hAnsi="宋体"/>
          <w:color w:val="auto"/>
          <w:szCs w:val="21"/>
          <w:highlight w:val="none"/>
        </w:rPr>
        <w:t>建造师电子证书（在使用有效期内签署完整）、业绩证明材料（如有）</w:t>
      </w:r>
      <w:r>
        <w:rPr>
          <w:rFonts w:hint="eastAsia"/>
          <w:color w:val="auto"/>
          <w:szCs w:val="21"/>
          <w:highlight w:val="none"/>
        </w:rPr>
        <w:t>，</w:t>
      </w:r>
      <w:r>
        <w:rPr>
          <w:color w:val="auto"/>
          <w:szCs w:val="21"/>
          <w:highlight w:val="none"/>
        </w:rPr>
        <w:t>以及</w:t>
      </w:r>
      <w:r>
        <w:rPr>
          <w:rFonts w:hint="eastAsia"/>
          <w:color w:val="auto"/>
          <w:szCs w:val="21"/>
          <w:highlight w:val="none"/>
        </w:rPr>
        <w:t>投标人</w:t>
      </w:r>
      <w:r>
        <w:rPr>
          <w:color w:val="auto"/>
          <w:szCs w:val="21"/>
          <w:highlight w:val="none"/>
        </w:rPr>
        <w:t>资格所要求</w:t>
      </w:r>
      <w:r>
        <w:rPr>
          <w:rFonts w:hint="eastAsia"/>
          <w:color w:val="auto"/>
          <w:szCs w:val="21"/>
          <w:highlight w:val="none"/>
        </w:rPr>
        <w:t>的</w:t>
      </w:r>
      <w:r>
        <w:rPr>
          <w:color w:val="auto"/>
          <w:szCs w:val="21"/>
          <w:highlight w:val="none"/>
        </w:rPr>
        <w:t>其他相关证书的扫描件</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ascii="宋体" w:hAnsi="宋体"/>
          <w:color w:val="auto"/>
          <w:szCs w:val="21"/>
          <w:highlight w:val="none"/>
        </w:rPr>
        <w:t>2．</w:t>
      </w:r>
      <w:r>
        <w:rPr>
          <w:rFonts w:ascii="宋体" w:hAnsi="宋体"/>
          <w:color w:val="auto"/>
          <w:szCs w:val="21"/>
          <w:highlight w:val="none"/>
        </w:rPr>
        <w:t>本表后应附</w:t>
      </w:r>
      <w:r>
        <w:rPr>
          <w:rFonts w:hint="eastAsia" w:ascii="宋体" w:hAnsi="宋体"/>
          <w:color w:val="auto"/>
          <w:szCs w:val="21"/>
          <w:highlight w:val="none"/>
        </w:rPr>
        <w:t>投标</w:t>
      </w:r>
      <w:r>
        <w:rPr>
          <w:rFonts w:ascii="宋体" w:hAnsi="宋体"/>
          <w:color w:val="auto"/>
          <w:szCs w:val="21"/>
          <w:highlight w:val="none"/>
        </w:rPr>
        <w:t>人所属社保机构出具的拟委任的项目</w:t>
      </w:r>
      <w:r>
        <w:rPr>
          <w:rFonts w:hint="eastAsia" w:ascii="宋体" w:hAnsi="宋体"/>
          <w:color w:val="auto"/>
          <w:szCs w:val="21"/>
          <w:highlight w:val="none"/>
        </w:rPr>
        <w:t>负责人</w:t>
      </w:r>
      <w:r>
        <w:rPr>
          <w:rFonts w:ascii="宋体" w:hAnsi="宋体"/>
          <w:color w:val="auto"/>
          <w:szCs w:val="21"/>
          <w:highlight w:val="none"/>
        </w:rPr>
        <w:t>的社保缴费证明</w:t>
      </w:r>
      <w:r>
        <w:rPr>
          <w:rFonts w:hint="eastAsia" w:ascii="宋体" w:hAnsi="宋体"/>
          <w:color w:val="auto"/>
          <w:szCs w:val="21"/>
          <w:highlight w:val="none"/>
        </w:rPr>
        <w:t>：</w:t>
      </w:r>
      <w:r>
        <w:rPr>
          <w:rFonts w:hint="eastAsia"/>
          <w:color w:val="auto"/>
          <w:szCs w:val="21"/>
          <w:highlight w:val="none"/>
        </w:rPr>
        <w:t>由社保机构出具的在投标单位缴纳社保的证明材料，社保时段为投标文件递交截止日前半年时间内连续不少于3个月</w:t>
      </w:r>
      <w:r>
        <w:rPr>
          <w:rFonts w:hint="eastAsia" w:ascii="宋体" w:hAnsi="Courier New"/>
          <w:color w:val="auto"/>
          <w:szCs w:val="21"/>
          <w:highlight w:val="none"/>
        </w:rPr>
        <w:t>。</w:t>
      </w:r>
    </w:p>
    <w:p>
      <w:pPr>
        <w:pStyle w:val="6"/>
        <w:jc w:val="center"/>
        <w:rPr>
          <w:color w:val="auto"/>
          <w:highlight w:val="none"/>
        </w:rPr>
      </w:pPr>
      <w:r>
        <w:rPr>
          <w:color w:val="auto"/>
          <w:highlight w:val="none"/>
        </w:rPr>
        <w:br w:type="page"/>
      </w:r>
      <w:bookmarkStart w:id="1252" w:name="_Toc55505208"/>
      <w:bookmarkStart w:id="1253" w:name="_Toc25899"/>
      <w:r>
        <w:rPr>
          <w:color w:val="auto"/>
          <w:highlight w:val="none"/>
        </w:rPr>
        <w:t>（</w:t>
      </w:r>
      <w:r>
        <w:rPr>
          <w:rFonts w:hint="eastAsia"/>
          <w:color w:val="auto"/>
          <w:highlight w:val="none"/>
        </w:rPr>
        <w:t>四</w:t>
      </w:r>
      <w:r>
        <w:rPr>
          <w:color w:val="auto"/>
          <w:highlight w:val="none"/>
        </w:rPr>
        <w:t>）</w:t>
      </w:r>
      <w:r>
        <w:rPr>
          <w:rFonts w:hint="eastAsia"/>
          <w:color w:val="auto"/>
          <w:highlight w:val="none"/>
        </w:rPr>
        <w:t>技术负责人</w:t>
      </w:r>
      <w:r>
        <w:rPr>
          <w:color w:val="auto"/>
          <w:highlight w:val="none"/>
        </w:rPr>
        <w:t>简历表</w:t>
      </w:r>
      <w:bookmarkEnd w:id="1252"/>
      <w:bookmarkEnd w:id="1253"/>
    </w:p>
    <w:tbl>
      <w:tblPr>
        <w:tblStyle w:val="7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53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姓  名</w:t>
            </w:r>
          </w:p>
        </w:tc>
        <w:tc>
          <w:tcPr>
            <w:tcW w:w="1259" w:type="dxa"/>
            <w:gridSpan w:val="2"/>
            <w:vAlign w:val="center"/>
          </w:tcPr>
          <w:p>
            <w:pPr>
              <w:spacing w:line="440" w:lineRule="exact"/>
              <w:jc w:val="center"/>
              <w:rPr>
                <w:rFonts w:hint="eastAsia" w:ascii="宋体" w:hAnsi="宋体"/>
                <w:color w:val="auto"/>
                <w:szCs w:val="21"/>
                <w:highlight w:val="none"/>
              </w:rPr>
            </w:pPr>
          </w:p>
        </w:tc>
        <w:tc>
          <w:tcPr>
            <w:tcW w:w="927"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年 龄</w:t>
            </w:r>
          </w:p>
        </w:tc>
        <w:tc>
          <w:tcPr>
            <w:tcW w:w="1065" w:type="dxa"/>
            <w:vAlign w:val="center"/>
          </w:tcPr>
          <w:p>
            <w:pPr>
              <w:spacing w:line="440" w:lineRule="exact"/>
              <w:jc w:val="center"/>
              <w:rPr>
                <w:rFonts w:hint="eastAsia" w:ascii="宋体" w:hAnsi="宋体"/>
                <w:color w:val="auto"/>
                <w:szCs w:val="21"/>
                <w:highlight w:val="none"/>
              </w:rPr>
            </w:pPr>
          </w:p>
        </w:tc>
        <w:tc>
          <w:tcPr>
            <w:tcW w:w="2130" w:type="dxa"/>
            <w:gridSpan w:val="3"/>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学历</w:t>
            </w:r>
          </w:p>
        </w:tc>
        <w:tc>
          <w:tcPr>
            <w:tcW w:w="2135" w:type="dxa"/>
            <w:vAlign w:val="center"/>
          </w:tcPr>
          <w:p>
            <w:pPr>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职  称</w:t>
            </w:r>
          </w:p>
        </w:tc>
        <w:tc>
          <w:tcPr>
            <w:tcW w:w="1259" w:type="dxa"/>
            <w:gridSpan w:val="2"/>
            <w:vAlign w:val="center"/>
          </w:tcPr>
          <w:p>
            <w:pPr>
              <w:spacing w:line="440" w:lineRule="exact"/>
              <w:jc w:val="center"/>
              <w:rPr>
                <w:rFonts w:hint="eastAsia" w:ascii="宋体" w:hAnsi="宋体"/>
                <w:color w:val="auto"/>
                <w:szCs w:val="21"/>
                <w:highlight w:val="none"/>
              </w:rPr>
            </w:pPr>
          </w:p>
        </w:tc>
        <w:tc>
          <w:tcPr>
            <w:tcW w:w="927"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职 务</w:t>
            </w:r>
          </w:p>
        </w:tc>
        <w:tc>
          <w:tcPr>
            <w:tcW w:w="1065" w:type="dxa"/>
            <w:vAlign w:val="center"/>
          </w:tcPr>
          <w:p>
            <w:pPr>
              <w:spacing w:line="440" w:lineRule="exact"/>
              <w:jc w:val="center"/>
              <w:rPr>
                <w:rFonts w:hint="eastAsia" w:ascii="宋体" w:hAnsi="宋体"/>
                <w:color w:val="auto"/>
                <w:szCs w:val="21"/>
                <w:highlight w:val="none"/>
              </w:rPr>
            </w:pPr>
          </w:p>
        </w:tc>
        <w:tc>
          <w:tcPr>
            <w:tcW w:w="2130" w:type="dxa"/>
            <w:gridSpan w:val="3"/>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拟在本合同任职</w:t>
            </w:r>
          </w:p>
        </w:tc>
        <w:tc>
          <w:tcPr>
            <w:tcW w:w="2135" w:type="dxa"/>
            <w:vAlign w:val="center"/>
          </w:tcPr>
          <w:p>
            <w:pPr>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pPr>
              <w:spacing w:line="440" w:lineRule="exact"/>
              <w:rPr>
                <w:rFonts w:hint="eastAsia" w:ascii="宋体" w:hAnsi="宋体"/>
                <w:color w:val="auto"/>
                <w:szCs w:val="21"/>
                <w:highlight w:val="none"/>
              </w:rPr>
            </w:pPr>
            <w:r>
              <w:rPr>
                <w:rFonts w:ascii="宋体" w:hAnsi="宋体"/>
                <w:color w:val="auto"/>
                <w:szCs w:val="21"/>
                <w:highlight w:val="none"/>
              </w:rPr>
              <w:t>毕业学校</w:t>
            </w:r>
          </w:p>
        </w:tc>
        <w:tc>
          <w:tcPr>
            <w:tcW w:w="7516" w:type="dxa"/>
            <w:gridSpan w:val="8"/>
          </w:tcPr>
          <w:p>
            <w:pPr>
              <w:spacing w:line="440" w:lineRule="exact"/>
              <w:rPr>
                <w:rFonts w:hint="eastAsia" w:ascii="宋体" w:hAnsi="宋体"/>
                <w:color w:val="auto"/>
                <w:szCs w:val="21"/>
                <w:highlight w:val="none"/>
              </w:rPr>
            </w:pPr>
            <w:r>
              <w:rPr>
                <w:rFonts w:ascii="宋体" w:hAnsi="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7" w:type="dxa"/>
            <w:gridSpan w:val="9"/>
            <w:vAlign w:val="center"/>
          </w:tcPr>
          <w:p>
            <w:pPr>
              <w:spacing w:line="440" w:lineRule="exact"/>
              <w:rPr>
                <w:rFonts w:hint="eastAsia" w:ascii="宋体" w:hAnsi="宋体"/>
                <w:color w:val="auto"/>
                <w:szCs w:val="21"/>
                <w:highlight w:val="none"/>
              </w:rPr>
            </w:pPr>
            <w:r>
              <w:rPr>
                <w:rFonts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vAlign w:val="center"/>
          </w:tcPr>
          <w:p>
            <w:pPr>
              <w:spacing w:line="440" w:lineRule="exact"/>
              <w:rPr>
                <w:rFonts w:hint="eastAsia" w:ascii="宋体" w:hAnsi="宋体"/>
                <w:color w:val="auto"/>
                <w:szCs w:val="21"/>
                <w:highlight w:val="none"/>
              </w:rPr>
            </w:pPr>
            <w:r>
              <w:rPr>
                <w:rFonts w:ascii="宋体" w:hAnsi="宋体"/>
                <w:color w:val="auto"/>
                <w:szCs w:val="21"/>
                <w:highlight w:val="none"/>
              </w:rPr>
              <w:t>时  间</w:t>
            </w:r>
          </w:p>
        </w:tc>
        <w:tc>
          <w:tcPr>
            <w:tcW w:w="3420" w:type="dxa"/>
            <w:gridSpan w:val="4"/>
            <w:vAlign w:val="center"/>
          </w:tcPr>
          <w:p>
            <w:pPr>
              <w:spacing w:line="440" w:lineRule="exact"/>
              <w:rPr>
                <w:rFonts w:hint="eastAsia" w:ascii="宋体" w:hAnsi="宋体"/>
                <w:color w:val="auto"/>
                <w:szCs w:val="21"/>
                <w:highlight w:val="none"/>
              </w:rPr>
            </w:pPr>
            <w:r>
              <w:rPr>
                <w:rFonts w:ascii="宋体" w:hAnsi="宋体"/>
                <w:color w:val="auto"/>
                <w:szCs w:val="21"/>
                <w:highlight w:val="none"/>
              </w:rPr>
              <w:t>参加过的类似项目</w:t>
            </w:r>
          </w:p>
        </w:tc>
        <w:tc>
          <w:tcPr>
            <w:tcW w:w="1261" w:type="dxa"/>
            <w:vAlign w:val="center"/>
          </w:tcPr>
          <w:p>
            <w:pPr>
              <w:spacing w:line="440" w:lineRule="exact"/>
              <w:rPr>
                <w:rFonts w:hint="eastAsia" w:ascii="宋体" w:hAnsi="宋体"/>
                <w:color w:val="auto"/>
                <w:szCs w:val="21"/>
                <w:highlight w:val="none"/>
              </w:rPr>
            </w:pPr>
            <w:r>
              <w:rPr>
                <w:rFonts w:ascii="宋体" w:hAnsi="宋体"/>
                <w:color w:val="auto"/>
                <w:szCs w:val="21"/>
                <w:highlight w:val="none"/>
              </w:rPr>
              <w:t>担任职务</w:t>
            </w:r>
          </w:p>
        </w:tc>
        <w:tc>
          <w:tcPr>
            <w:tcW w:w="2296" w:type="dxa"/>
            <w:gridSpan w:val="2"/>
            <w:vAlign w:val="center"/>
          </w:tcPr>
          <w:p>
            <w:pPr>
              <w:spacing w:line="440" w:lineRule="exact"/>
              <w:rPr>
                <w:rFonts w:hint="eastAsia" w:ascii="宋体" w:hAnsi="宋体"/>
                <w:color w:val="auto"/>
                <w:szCs w:val="21"/>
                <w:highlight w:val="none"/>
              </w:rPr>
            </w:pPr>
            <w:r>
              <w:rPr>
                <w:rFonts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bl>
    <w:p>
      <w:pPr>
        <w:widowControl/>
        <w:spacing w:line="360" w:lineRule="auto"/>
        <w:jc w:val="left"/>
        <w:rPr>
          <w:rFonts w:hint="eastAsia" w:ascii="宋体" w:hAnsi="宋体"/>
          <w:color w:val="auto"/>
          <w:szCs w:val="21"/>
          <w:highlight w:val="none"/>
        </w:rPr>
      </w:pPr>
      <w:r>
        <w:rPr>
          <w:rFonts w:hint="eastAsia" w:ascii="宋体" w:hAnsi="宋体" w:cs="宋体"/>
          <w:color w:val="auto"/>
          <w:kern w:val="0"/>
          <w:szCs w:val="21"/>
          <w:highlight w:val="none"/>
        </w:rPr>
        <w:t>注：</w:t>
      </w:r>
      <w:r>
        <w:rPr>
          <w:color w:val="auto"/>
          <w:szCs w:val="21"/>
          <w:highlight w:val="none"/>
        </w:rPr>
        <w:t>1</w:t>
      </w:r>
      <w:r>
        <w:rPr>
          <w:rFonts w:hint="eastAsia" w:ascii="宋体" w:hAnsi="宋体"/>
          <w:color w:val="auto"/>
          <w:szCs w:val="21"/>
          <w:highlight w:val="none"/>
        </w:rPr>
        <w:t>.</w:t>
      </w:r>
      <w:r>
        <w:rPr>
          <w:color w:val="auto"/>
          <w:szCs w:val="21"/>
          <w:highlight w:val="none"/>
        </w:rPr>
        <w:t>本表后应附</w:t>
      </w:r>
      <w:r>
        <w:rPr>
          <w:rFonts w:hint="eastAsia"/>
          <w:color w:val="auto"/>
          <w:szCs w:val="21"/>
          <w:highlight w:val="none"/>
        </w:rPr>
        <w:t>技术负责人</w:t>
      </w:r>
      <w:r>
        <w:rPr>
          <w:rFonts w:ascii="宋体" w:hAnsi="宋体"/>
          <w:color w:val="auto"/>
          <w:szCs w:val="21"/>
          <w:highlight w:val="none"/>
        </w:rPr>
        <w:t>身份证</w:t>
      </w:r>
      <w:r>
        <w:rPr>
          <w:color w:val="auto"/>
          <w:szCs w:val="21"/>
          <w:highlight w:val="none"/>
        </w:rPr>
        <w:t>、</w:t>
      </w:r>
      <w:r>
        <w:rPr>
          <w:rFonts w:hint="eastAsia"/>
          <w:color w:val="auto"/>
          <w:szCs w:val="21"/>
          <w:highlight w:val="none"/>
        </w:rPr>
        <w:t>技术</w:t>
      </w:r>
      <w:r>
        <w:rPr>
          <w:color w:val="auto"/>
          <w:szCs w:val="21"/>
          <w:highlight w:val="none"/>
        </w:rPr>
        <w:t>职称证书</w:t>
      </w:r>
      <w:r>
        <w:rPr>
          <w:rFonts w:hint="eastAsia"/>
          <w:color w:val="auto"/>
          <w:szCs w:val="21"/>
          <w:highlight w:val="none"/>
        </w:rPr>
        <w:t>、</w:t>
      </w:r>
      <w:r>
        <w:rPr>
          <w:color w:val="auto"/>
          <w:szCs w:val="21"/>
          <w:highlight w:val="none"/>
        </w:rPr>
        <w:t>资格证书</w:t>
      </w:r>
      <w:r>
        <w:rPr>
          <w:rFonts w:hint="eastAsia" w:ascii="宋体" w:hAnsi="宋体"/>
          <w:color w:val="auto"/>
          <w:szCs w:val="21"/>
          <w:highlight w:val="none"/>
        </w:rPr>
        <w:t>、业绩证明材料（如有）</w:t>
      </w:r>
      <w:r>
        <w:rPr>
          <w:rFonts w:hint="eastAsia"/>
          <w:color w:val="auto"/>
          <w:szCs w:val="21"/>
          <w:highlight w:val="none"/>
        </w:rPr>
        <w:t>，</w:t>
      </w:r>
      <w:r>
        <w:rPr>
          <w:color w:val="auto"/>
          <w:szCs w:val="21"/>
          <w:highlight w:val="none"/>
        </w:rPr>
        <w:t>以及</w:t>
      </w:r>
      <w:r>
        <w:rPr>
          <w:rFonts w:hint="eastAsia"/>
          <w:color w:val="auto"/>
          <w:szCs w:val="21"/>
          <w:highlight w:val="none"/>
        </w:rPr>
        <w:t>投标人</w:t>
      </w:r>
      <w:r>
        <w:rPr>
          <w:color w:val="auto"/>
          <w:szCs w:val="21"/>
          <w:highlight w:val="none"/>
        </w:rPr>
        <w:t>资格所要求</w:t>
      </w:r>
      <w:r>
        <w:rPr>
          <w:rFonts w:hint="eastAsia"/>
          <w:color w:val="auto"/>
          <w:szCs w:val="21"/>
          <w:highlight w:val="none"/>
        </w:rPr>
        <w:t>的</w:t>
      </w:r>
      <w:r>
        <w:rPr>
          <w:color w:val="auto"/>
          <w:szCs w:val="21"/>
          <w:highlight w:val="none"/>
        </w:rPr>
        <w:t>其他相关证书的扫描件</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ascii="宋体" w:hAnsi="宋体"/>
          <w:color w:val="auto"/>
          <w:szCs w:val="21"/>
          <w:highlight w:val="none"/>
        </w:rPr>
        <w:t>2．</w:t>
      </w:r>
      <w:r>
        <w:rPr>
          <w:rFonts w:ascii="宋体" w:hAnsi="宋体"/>
          <w:color w:val="auto"/>
          <w:szCs w:val="21"/>
          <w:highlight w:val="none"/>
        </w:rPr>
        <w:t>本表后应附</w:t>
      </w:r>
      <w:r>
        <w:rPr>
          <w:rFonts w:hint="eastAsia" w:ascii="宋体" w:hAnsi="宋体"/>
          <w:color w:val="auto"/>
          <w:szCs w:val="21"/>
          <w:highlight w:val="none"/>
        </w:rPr>
        <w:t>投标</w:t>
      </w:r>
      <w:r>
        <w:rPr>
          <w:rFonts w:ascii="宋体" w:hAnsi="宋体"/>
          <w:color w:val="auto"/>
          <w:szCs w:val="21"/>
          <w:highlight w:val="none"/>
        </w:rPr>
        <w:t>人所属社保机构出具的拟委任的</w:t>
      </w:r>
      <w:r>
        <w:rPr>
          <w:rFonts w:hint="eastAsia" w:ascii="宋体" w:hAnsi="宋体"/>
          <w:color w:val="auto"/>
          <w:szCs w:val="21"/>
          <w:highlight w:val="none"/>
        </w:rPr>
        <w:t>技术负责人</w:t>
      </w:r>
      <w:r>
        <w:rPr>
          <w:rFonts w:ascii="宋体" w:hAnsi="宋体"/>
          <w:color w:val="auto"/>
          <w:szCs w:val="21"/>
          <w:highlight w:val="none"/>
        </w:rPr>
        <w:t>的社保缴费证明</w:t>
      </w:r>
      <w:r>
        <w:rPr>
          <w:rFonts w:hint="eastAsia" w:ascii="宋体" w:hAnsi="宋体"/>
          <w:color w:val="auto"/>
          <w:szCs w:val="21"/>
          <w:highlight w:val="none"/>
        </w:rPr>
        <w:t>：</w:t>
      </w:r>
      <w:r>
        <w:rPr>
          <w:rFonts w:hint="eastAsia"/>
          <w:color w:val="auto"/>
          <w:szCs w:val="21"/>
          <w:highlight w:val="none"/>
        </w:rPr>
        <w:t>由社保机构出具的在投标单位缴纳社保的证明材料，社保时段为投标文件递交截止日前半年时间内连续不少于3个月</w:t>
      </w:r>
      <w:r>
        <w:rPr>
          <w:rFonts w:hint="eastAsia" w:ascii="宋体" w:hAnsi="Courier New"/>
          <w:color w:val="auto"/>
          <w:szCs w:val="21"/>
          <w:highlight w:val="none"/>
        </w:rPr>
        <w:t>。</w:t>
      </w:r>
    </w:p>
    <w:p>
      <w:pPr>
        <w:pStyle w:val="6"/>
        <w:jc w:val="center"/>
        <w:rPr>
          <w:color w:val="auto"/>
          <w:highlight w:val="none"/>
        </w:rPr>
      </w:pPr>
      <w:r>
        <w:rPr>
          <w:color w:val="auto"/>
          <w:highlight w:val="none"/>
        </w:rPr>
        <w:br w:type="page"/>
      </w:r>
      <w:bookmarkStart w:id="1254" w:name="_Toc55505209"/>
      <w:bookmarkStart w:id="1255" w:name="_Toc21501"/>
      <w:r>
        <w:rPr>
          <w:color w:val="auto"/>
          <w:highlight w:val="none"/>
        </w:rPr>
        <w:t>（</w:t>
      </w:r>
      <w:r>
        <w:rPr>
          <w:rFonts w:hint="eastAsia"/>
          <w:color w:val="auto"/>
          <w:highlight w:val="none"/>
        </w:rPr>
        <w:t>五</w:t>
      </w:r>
      <w:r>
        <w:rPr>
          <w:color w:val="auto"/>
          <w:highlight w:val="none"/>
        </w:rPr>
        <w:t>）专职</w:t>
      </w:r>
      <w:r>
        <w:rPr>
          <w:rFonts w:hint="eastAsia"/>
          <w:color w:val="auto"/>
          <w:highlight w:val="none"/>
        </w:rPr>
        <w:t>安全员</w:t>
      </w:r>
      <w:r>
        <w:rPr>
          <w:color w:val="auto"/>
          <w:highlight w:val="none"/>
        </w:rPr>
        <w:t>简历表</w:t>
      </w:r>
      <w:bookmarkEnd w:id="1254"/>
      <w:bookmarkEnd w:id="1255"/>
    </w:p>
    <w:tbl>
      <w:tblPr>
        <w:tblStyle w:val="7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53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姓  名</w:t>
            </w:r>
          </w:p>
        </w:tc>
        <w:tc>
          <w:tcPr>
            <w:tcW w:w="1259" w:type="dxa"/>
            <w:gridSpan w:val="2"/>
            <w:vAlign w:val="center"/>
          </w:tcPr>
          <w:p>
            <w:pPr>
              <w:spacing w:line="440" w:lineRule="exact"/>
              <w:jc w:val="center"/>
              <w:rPr>
                <w:rFonts w:hint="eastAsia" w:ascii="宋体" w:hAnsi="宋体"/>
                <w:color w:val="auto"/>
                <w:szCs w:val="21"/>
                <w:highlight w:val="none"/>
              </w:rPr>
            </w:pPr>
          </w:p>
        </w:tc>
        <w:tc>
          <w:tcPr>
            <w:tcW w:w="927"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年 龄</w:t>
            </w:r>
          </w:p>
        </w:tc>
        <w:tc>
          <w:tcPr>
            <w:tcW w:w="1065" w:type="dxa"/>
            <w:vAlign w:val="center"/>
          </w:tcPr>
          <w:p>
            <w:pPr>
              <w:spacing w:line="440" w:lineRule="exact"/>
              <w:jc w:val="center"/>
              <w:rPr>
                <w:rFonts w:hint="eastAsia" w:ascii="宋体" w:hAnsi="宋体"/>
                <w:color w:val="auto"/>
                <w:szCs w:val="21"/>
                <w:highlight w:val="none"/>
              </w:rPr>
            </w:pPr>
          </w:p>
        </w:tc>
        <w:tc>
          <w:tcPr>
            <w:tcW w:w="2130" w:type="dxa"/>
            <w:gridSpan w:val="3"/>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学历</w:t>
            </w:r>
          </w:p>
        </w:tc>
        <w:tc>
          <w:tcPr>
            <w:tcW w:w="2135" w:type="dxa"/>
            <w:vAlign w:val="center"/>
          </w:tcPr>
          <w:p>
            <w:pPr>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职  称</w:t>
            </w:r>
          </w:p>
        </w:tc>
        <w:tc>
          <w:tcPr>
            <w:tcW w:w="1259" w:type="dxa"/>
            <w:gridSpan w:val="2"/>
            <w:vAlign w:val="center"/>
          </w:tcPr>
          <w:p>
            <w:pPr>
              <w:spacing w:line="440" w:lineRule="exact"/>
              <w:jc w:val="center"/>
              <w:rPr>
                <w:rFonts w:hint="eastAsia" w:ascii="宋体" w:hAnsi="宋体"/>
                <w:color w:val="auto"/>
                <w:szCs w:val="21"/>
                <w:highlight w:val="none"/>
              </w:rPr>
            </w:pPr>
          </w:p>
        </w:tc>
        <w:tc>
          <w:tcPr>
            <w:tcW w:w="927" w:type="dxa"/>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职 务</w:t>
            </w:r>
          </w:p>
        </w:tc>
        <w:tc>
          <w:tcPr>
            <w:tcW w:w="1065" w:type="dxa"/>
            <w:vAlign w:val="center"/>
          </w:tcPr>
          <w:p>
            <w:pPr>
              <w:spacing w:line="440" w:lineRule="exact"/>
              <w:jc w:val="center"/>
              <w:rPr>
                <w:rFonts w:hint="eastAsia" w:ascii="宋体" w:hAnsi="宋体"/>
                <w:color w:val="auto"/>
                <w:szCs w:val="21"/>
                <w:highlight w:val="none"/>
              </w:rPr>
            </w:pPr>
          </w:p>
        </w:tc>
        <w:tc>
          <w:tcPr>
            <w:tcW w:w="2130" w:type="dxa"/>
            <w:gridSpan w:val="3"/>
            <w:vAlign w:val="center"/>
          </w:tcPr>
          <w:p>
            <w:pPr>
              <w:spacing w:line="440" w:lineRule="exact"/>
              <w:jc w:val="center"/>
              <w:rPr>
                <w:rFonts w:hint="eastAsia" w:ascii="宋体" w:hAnsi="宋体"/>
                <w:color w:val="auto"/>
                <w:szCs w:val="21"/>
                <w:highlight w:val="none"/>
              </w:rPr>
            </w:pPr>
            <w:r>
              <w:rPr>
                <w:rFonts w:ascii="宋体" w:hAnsi="宋体"/>
                <w:color w:val="auto"/>
                <w:szCs w:val="21"/>
                <w:highlight w:val="none"/>
              </w:rPr>
              <w:t>拟在本合同任职</w:t>
            </w:r>
          </w:p>
        </w:tc>
        <w:tc>
          <w:tcPr>
            <w:tcW w:w="2135" w:type="dxa"/>
            <w:vAlign w:val="center"/>
          </w:tcPr>
          <w:p>
            <w:pPr>
              <w:spacing w:line="44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pPr>
              <w:spacing w:line="440" w:lineRule="exact"/>
              <w:rPr>
                <w:rFonts w:hint="eastAsia" w:ascii="宋体" w:hAnsi="宋体"/>
                <w:color w:val="auto"/>
                <w:szCs w:val="21"/>
                <w:highlight w:val="none"/>
              </w:rPr>
            </w:pPr>
            <w:r>
              <w:rPr>
                <w:rFonts w:ascii="宋体" w:hAnsi="宋体"/>
                <w:color w:val="auto"/>
                <w:szCs w:val="21"/>
                <w:highlight w:val="none"/>
              </w:rPr>
              <w:t>毕业学校</w:t>
            </w:r>
          </w:p>
        </w:tc>
        <w:tc>
          <w:tcPr>
            <w:tcW w:w="7516" w:type="dxa"/>
            <w:gridSpan w:val="8"/>
          </w:tcPr>
          <w:p>
            <w:pPr>
              <w:spacing w:line="440" w:lineRule="exact"/>
              <w:rPr>
                <w:rFonts w:hint="eastAsia" w:ascii="宋体" w:hAnsi="宋体"/>
                <w:color w:val="auto"/>
                <w:szCs w:val="21"/>
                <w:highlight w:val="none"/>
              </w:rPr>
            </w:pPr>
            <w:r>
              <w:rPr>
                <w:rFonts w:ascii="宋体" w:hAnsi="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7" w:type="dxa"/>
            <w:gridSpan w:val="9"/>
            <w:vAlign w:val="center"/>
          </w:tcPr>
          <w:p>
            <w:pPr>
              <w:spacing w:line="440" w:lineRule="exact"/>
              <w:rPr>
                <w:rFonts w:hint="eastAsia" w:ascii="宋体" w:hAnsi="宋体"/>
                <w:color w:val="auto"/>
                <w:szCs w:val="21"/>
                <w:highlight w:val="none"/>
              </w:rPr>
            </w:pPr>
            <w:r>
              <w:rPr>
                <w:rFonts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vAlign w:val="center"/>
          </w:tcPr>
          <w:p>
            <w:pPr>
              <w:spacing w:line="440" w:lineRule="exact"/>
              <w:rPr>
                <w:rFonts w:hint="eastAsia" w:ascii="宋体" w:hAnsi="宋体"/>
                <w:color w:val="auto"/>
                <w:szCs w:val="21"/>
                <w:highlight w:val="none"/>
              </w:rPr>
            </w:pPr>
            <w:r>
              <w:rPr>
                <w:rFonts w:ascii="宋体" w:hAnsi="宋体"/>
                <w:color w:val="auto"/>
                <w:szCs w:val="21"/>
                <w:highlight w:val="none"/>
              </w:rPr>
              <w:t>时  间</w:t>
            </w:r>
          </w:p>
        </w:tc>
        <w:tc>
          <w:tcPr>
            <w:tcW w:w="3420" w:type="dxa"/>
            <w:gridSpan w:val="4"/>
            <w:vAlign w:val="center"/>
          </w:tcPr>
          <w:p>
            <w:pPr>
              <w:spacing w:line="440" w:lineRule="exact"/>
              <w:rPr>
                <w:rFonts w:hint="eastAsia" w:ascii="宋体" w:hAnsi="宋体"/>
                <w:color w:val="auto"/>
                <w:szCs w:val="21"/>
                <w:highlight w:val="none"/>
              </w:rPr>
            </w:pPr>
            <w:r>
              <w:rPr>
                <w:rFonts w:ascii="宋体" w:hAnsi="宋体"/>
                <w:color w:val="auto"/>
                <w:szCs w:val="21"/>
                <w:highlight w:val="none"/>
              </w:rPr>
              <w:t>参加过的类似项目</w:t>
            </w:r>
          </w:p>
        </w:tc>
        <w:tc>
          <w:tcPr>
            <w:tcW w:w="1261" w:type="dxa"/>
            <w:vAlign w:val="center"/>
          </w:tcPr>
          <w:p>
            <w:pPr>
              <w:spacing w:line="440" w:lineRule="exact"/>
              <w:rPr>
                <w:rFonts w:hint="eastAsia" w:ascii="宋体" w:hAnsi="宋体"/>
                <w:color w:val="auto"/>
                <w:szCs w:val="21"/>
                <w:highlight w:val="none"/>
              </w:rPr>
            </w:pPr>
            <w:r>
              <w:rPr>
                <w:rFonts w:ascii="宋体" w:hAnsi="宋体"/>
                <w:color w:val="auto"/>
                <w:szCs w:val="21"/>
                <w:highlight w:val="none"/>
              </w:rPr>
              <w:t>担任职务</w:t>
            </w:r>
          </w:p>
        </w:tc>
        <w:tc>
          <w:tcPr>
            <w:tcW w:w="2296" w:type="dxa"/>
            <w:gridSpan w:val="2"/>
            <w:vAlign w:val="center"/>
          </w:tcPr>
          <w:p>
            <w:pPr>
              <w:spacing w:line="440" w:lineRule="exact"/>
              <w:rPr>
                <w:rFonts w:hint="eastAsia" w:ascii="宋体" w:hAnsi="宋体"/>
                <w:color w:val="auto"/>
                <w:szCs w:val="21"/>
                <w:highlight w:val="none"/>
              </w:rPr>
            </w:pPr>
            <w:r>
              <w:rPr>
                <w:rFonts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pPr>
              <w:spacing w:line="440" w:lineRule="exact"/>
              <w:rPr>
                <w:rFonts w:eastAsia="黑体"/>
                <w:color w:val="auto"/>
                <w:szCs w:val="21"/>
                <w:highlight w:val="none"/>
              </w:rPr>
            </w:pPr>
          </w:p>
        </w:tc>
        <w:tc>
          <w:tcPr>
            <w:tcW w:w="3420" w:type="dxa"/>
            <w:gridSpan w:val="4"/>
          </w:tcPr>
          <w:p>
            <w:pPr>
              <w:spacing w:line="440" w:lineRule="exact"/>
              <w:rPr>
                <w:rFonts w:eastAsia="黑体"/>
                <w:color w:val="auto"/>
                <w:szCs w:val="21"/>
                <w:highlight w:val="none"/>
              </w:rPr>
            </w:pPr>
          </w:p>
        </w:tc>
        <w:tc>
          <w:tcPr>
            <w:tcW w:w="1261" w:type="dxa"/>
          </w:tcPr>
          <w:p>
            <w:pPr>
              <w:spacing w:line="440" w:lineRule="exact"/>
              <w:rPr>
                <w:rFonts w:eastAsia="黑体"/>
                <w:color w:val="auto"/>
                <w:szCs w:val="21"/>
                <w:highlight w:val="none"/>
              </w:rPr>
            </w:pPr>
          </w:p>
        </w:tc>
        <w:tc>
          <w:tcPr>
            <w:tcW w:w="2296" w:type="dxa"/>
            <w:gridSpan w:val="2"/>
          </w:tcPr>
          <w:p>
            <w:pPr>
              <w:spacing w:line="440" w:lineRule="exact"/>
              <w:rPr>
                <w:rFonts w:eastAsia="黑体"/>
                <w:color w:val="auto"/>
                <w:szCs w:val="21"/>
                <w:highlight w:val="none"/>
              </w:rPr>
            </w:pPr>
          </w:p>
        </w:tc>
      </w:tr>
    </w:tbl>
    <w:p>
      <w:pPr>
        <w:widowControl/>
        <w:spacing w:line="360" w:lineRule="auto"/>
        <w:jc w:val="left"/>
        <w:rPr>
          <w:rFonts w:hint="eastAsia" w:ascii="宋体" w:hAnsi="宋体"/>
          <w:color w:val="auto"/>
          <w:szCs w:val="21"/>
          <w:highlight w:val="none"/>
        </w:rPr>
      </w:pPr>
      <w:r>
        <w:rPr>
          <w:rFonts w:hint="eastAsia" w:ascii="宋体" w:hAnsi="宋体" w:cs="宋体"/>
          <w:color w:val="auto"/>
          <w:kern w:val="0"/>
          <w:szCs w:val="21"/>
          <w:highlight w:val="none"/>
        </w:rPr>
        <w:t>注：</w:t>
      </w:r>
      <w:r>
        <w:rPr>
          <w:color w:val="auto"/>
          <w:szCs w:val="21"/>
          <w:highlight w:val="none"/>
        </w:rPr>
        <w:t>1</w:t>
      </w:r>
      <w:r>
        <w:rPr>
          <w:rFonts w:hint="eastAsia" w:ascii="宋体" w:hAnsi="宋体"/>
          <w:color w:val="auto"/>
          <w:szCs w:val="21"/>
          <w:highlight w:val="none"/>
        </w:rPr>
        <w:t>.</w:t>
      </w:r>
      <w:r>
        <w:rPr>
          <w:color w:val="auto"/>
          <w:szCs w:val="21"/>
          <w:highlight w:val="none"/>
        </w:rPr>
        <w:t>本表后应附</w:t>
      </w:r>
      <w:r>
        <w:rPr>
          <w:rFonts w:hint="eastAsia"/>
          <w:color w:val="auto"/>
          <w:szCs w:val="21"/>
          <w:highlight w:val="none"/>
        </w:rPr>
        <w:t>安全员</w:t>
      </w:r>
      <w:r>
        <w:rPr>
          <w:rFonts w:ascii="宋体" w:hAnsi="宋体"/>
          <w:color w:val="auto"/>
          <w:szCs w:val="21"/>
          <w:highlight w:val="none"/>
        </w:rPr>
        <w:t>身份证</w:t>
      </w:r>
      <w:r>
        <w:rPr>
          <w:color w:val="auto"/>
          <w:szCs w:val="21"/>
          <w:highlight w:val="none"/>
        </w:rPr>
        <w:t>、</w:t>
      </w:r>
      <w:r>
        <w:rPr>
          <w:rFonts w:hint="eastAsia"/>
          <w:color w:val="auto"/>
          <w:szCs w:val="21"/>
          <w:highlight w:val="none"/>
        </w:rPr>
        <w:t>技术</w:t>
      </w:r>
      <w:r>
        <w:rPr>
          <w:color w:val="auto"/>
          <w:szCs w:val="21"/>
          <w:highlight w:val="none"/>
        </w:rPr>
        <w:t>职称证书</w:t>
      </w:r>
      <w:r>
        <w:rPr>
          <w:rFonts w:hint="eastAsia"/>
          <w:color w:val="auto"/>
          <w:szCs w:val="21"/>
          <w:highlight w:val="none"/>
        </w:rPr>
        <w:t>、</w:t>
      </w:r>
      <w:r>
        <w:rPr>
          <w:color w:val="auto"/>
          <w:szCs w:val="21"/>
          <w:highlight w:val="none"/>
        </w:rPr>
        <w:t>资格证书</w:t>
      </w:r>
      <w:r>
        <w:rPr>
          <w:rFonts w:hint="eastAsia"/>
          <w:color w:val="auto"/>
          <w:szCs w:val="21"/>
          <w:highlight w:val="none"/>
        </w:rPr>
        <w:t>、</w:t>
      </w:r>
      <w:r>
        <w:rPr>
          <w:rFonts w:hint="eastAsia" w:ascii="宋体" w:hAnsi="宋体"/>
          <w:color w:val="auto"/>
          <w:szCs w:val="21"/>
          <w:highlight w:val="none"/>
        </w:rPr>
        <w:t>业绩证明材料（如有）</w:t>
      </w:r>
      <w:r>
        <w:rPr>
          <w:rFonts w:hint="eastAsia"/>
          <w:color w:val="auto"/>
          <w:szCs w:val="21"/>
          <w:highlight w:val="none"/>
        </w:rPr>
        <w:t>，</w:t>
      </w:r>
      <w:r>
        <w:rPr>
          <w:color w:val="auto"/>
          <w:szCs w:val="21"/>
          <w:highlight w:val="none"/>
        </w:rPr>
        <w:t>以及</w:t>
      </w:r>
      <w:r>
        <w:rPr>
          <w:rFonts w:hint="eastAsia"/>
          <w:color w:val="auto"/>
          <w:szCs w:val="21"/>
          <w:highlight w:val="none"/>
        </w:rPr>
        <w:t>投标人</w:t>
      </w:r>
      <w:r>
        <w:rPr>
          <w:color w:val="auto"/>
          <w:szCs w:val="21"/>
          <w:highlight w:val="none"/>
        </w:rPr>
        <w:t>资格所要求</w:t>
      </w:r>
      <w:r>
        <w:rPr>
          <w:rFonts w:hint="eastAsia"/>
          <w:color w:val="auto"/>
          <w:szCs w:val="21"/>
          <w:highlight w:val="none"/>
        </w:rPr>
        <w:t>的</w:t>
      </w:r>
      <w:r>
        <w:rPr>
          <w:color w:val="auto"/>
          <w:szCs w:val="21"/>
          <w:highlight w:val="none"/>
        </w:rPr>
        <w:t>其他相关证书的扫描件</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ascii="宋体" w:hAnsi="宋体"/>
          <w:color w:val="auto"/>
          <w:szCs w:val="21"/>
          <w:highlight w:val="none"/>
        </w:rPr>
        <w:t>2．</w:t>
      </w:r>
      <w:r>
        <w:rPr>
          <w:rFonts w:ascii="宋体" w:hAnsi="宋体"/>
          <w:color w:val="auto"/>
          <w:szCs w:val="21"/>
          <w:highlight w:val="none"/>
        </w:rPr>
        <w:t>本表后应附</w:t>
      </w:r>
      <w:r>
        <w:rPr>
          <w:rFonts w:hint="eastAsia" w:ascii="宋体" w:hAnsi="宋体"/>
          <w:color w:val="auto"/>
          <w:szCs w:val="21"/>
          <w:highlight w:val="none"/>
        </w:rPr>
        <w:t>投标</w:t>
      </w:r>
      <w:r>
        <w:rPr>
          <w:rFonts w:ascii="宋体" w:hAnsi="宋体"/>
          <w:color w:val="auto"/>
          <w:szCs w:val="21"/>
          <w:highlight w:val="none"/>
        </w:rPr>
        <w:t>人所属社保机构出具的拟委任的</w:t>
      </w:r>
      <w:r>
        <w:rPr>
          <w:rFonts w:hint="eastAsia" w:ascii="宋体" w:hAnsi="宋体"/>
          <w:color w:val="auto"/>
          <w:szCs w:val="21"/>
          <w:highlight w:val="none"/>
        </w:rPr>
        <w:t>安全员</w:t>
      </w:r>
      <w:r>
        <w:rPr>
          <w:rFonts w:ascii="宋体" w:hAnsi="宋体"/>
          <w:color w:val="auto"/>
          <w:szCs w:val="21"/>
          <w:highlight w:val="none"/>
        </w:rPr>
        <w:t>的社保缴费证明</w:t>
      </w:r>
      <w:r>
        <w:rPr>
          <w:rFonts w:hint="eastAsia" w:ascii="宋体" w:hAnsi="宋体"/>
          <w:color w:val="auto"/>
          <w:szCs w:val="21"/>
          <w:highlight w:val="none"/>
        </w:rPr>
        <w:t>：</w:t>
      </w:r>
      <w:r>
        <w:rPr>
          <w:rFonts w:hint="eastAsia"/>
          <w:color w:val="auto"/>
          <w:szCs w:val="21"/>
          <w:highlight w:val="none"/>
        </w:rPr>
        <w:t>由社保机构出具的在投标单位缴纳社保的证明材料，社保时段为投标文件递交截止日前半年时间内连续不少于3个月</w:t>
      </w:r>
      <w:r>
        <w:rPr>
          <w:rFonts w:hint="eastAsia" w:ascii="宋体" w:hAnsi="Courier New"/>
          <w:color w:val="auto"/>
          <w:szCs w:val="21"/>
          <w:highlight w:val="none"/>
        </w:rPr>
        <w:t>。</w:t>
      </w:r>
    </w:p>
    <w:p>
      <w:pPr>
        <w:pStyle w:val="6"/>
        <w:jc w:val="center"/>
        <w:rPr>
          <w:color w:val="auto"/>
          <w:highlight w:val="none"/>
        </w:rPr>
      </w:pPr>
      <w:r>
        <w:rPr>
          <w:rFonts w:eastAsia="黑体"/>
          <w:color w:val="auto"/>
          <w:sz w:val="27"/>
          <w:szCs w:val="27"/>
          <w:highlight w:val="none"/>
        </w:rPr>
        <w:br w:type="page"/>
      </w:r>
      <w:bookmarkStart w:id="1256" w:name="_Toc55505210"/>
      <w:bookmarkStart w:id="1257" w:name="_Toc1493"/>
      <w:r>
        <w:rPr>
          <w:color w:val="auto"/>
          <w:highlight w:val="none"/>
        </w:rPr>
        <w:t>（</w:t>
      </w:r>
      <w:r>
        <w:rPr>
          <w:rFonts w:hint="eastAsia"/>
          <w:color w:val="auto"/>
          <w:highlight w:val="none"/>
        </w:rPr>
        <w:t>六</w:t>
      </w:r>
      <w:r>
        <w:rPr>
          <w:color w:val="auto"/>
          <w:highlight w:val="none"/>
        </w:rPr>
        <w:t>）其他主要管理人员和技术人员汇总表</w:t>
      </w:r>
      <w:bookmarkEnd w:id="1256"/>
      <w:bookmarkEnd w:id="1257"/>
    </w:p>
    <w:tbl>
      <w:tblPr>
        <w:tblStyle w:val="7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248"/>
        <w:gridCol w:w="1530"/>
        <w:gridCol w:w="1416"/>
        <w:gridCol w:w="152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07" w:type="dxa"/>
            <w:vAlign w:val="center"/>
          </w:tcPr>
          <w:p>
            <w:pPr>
              <w:spacing w:line="400" w:lineRule="atLeast"/>
              <w:jc w:val="center"/>
              <w:rPr>
                <w:color w:val="auto"/>
                <w:szCs w:val="21"/>
                <w:highlight w:val="none"/>
              </w:rPr>
            </w:pPr>
            <w:r>
              <w:rPr>
                <w:color w:val="auto"/>
                <w:szCs w:val="21"/>
                <w:highlight w:val="none"/>
              </w:rPr>
              <w:t>姓名</w:t>
            </w:r>
          </w:p>
        </w:tc>
        <w:tc>
          <w:tcPr>
            <w:tcW w:w="1248" w:type="dxa"/>
            <w:vAlign w:val="center"/>
          </w:tcPr>
          <w:p>
            <w:pPr>
              <w:pStyle w:val="423"/>
              <w:autoSpaceDE/>
              <w:autoSpaceDN/>
              <w:adjustRightInd/>
              <w:snapToGrid/>
              <w:spacing w:line="400" w:lineRule="atLeast"/>
              <w:textAlignment w:val="auto"/>
              <w:rPr>
                <w:color w:val="auto"/>
                <w:spacing w:val="0"/>
                <w:kern w:val="2"/>
                <w:szCs w:val="21"/>
                <w:highlight w:val="none"/>
              </w:rPr>
            </w:pPr>
            <w:r>
              <w:rPr>
                <w:rFonts w:hint="eastAsia"/>
                <w:color w:val="auto"/>
                <w:spacing w:val="0"/>
                <w:kern w:val="2"/>
                <w:szCs w:val="21"/>
                <w:highlight w:val="none"/>
              </w:rPr>
              <w:t>出生年月</w:t>
            </w:r>
          </w:p>
        </w:tc>
        <w:tc>
          <w:tcPr>
            <w:tcW w:w="1530" w:type="dxa"/>
            <w:vAlign w:val="center"/>
          </w:tcPr>
          <w:p>
            <w:pPr>
              <w:spacing w:line="400" w:lineRule="atLeast"/>
              <w:jc w:val="center"/>
              <w:rPr>
                <w:color w:val="auto"/>
                <w:szCs w:val="21"/>
                <w:highlight w:val="none"/>
              </w:rPr>
            </w:pPr>
            <w:r>
              <w:rPr>
                <w:color w:val="auto"/>
                <w:szCs w:val="21"/>
                <w:highlight w:val="none"/>
              </w:rPr>
              <w:t>拟在本项目中担任的职务</w:t>
            </w:r>
          </w:p>
        </w:tc>
        <w:tc>
          <w:tcPr>
            <w:tcW w:w="1416" w:type="dxa"/>
            <w:vAlign w:val="center"/>
          </w:tcPr>
          <w:p>
            <w:pPr>
              <w:spacing w:line="400" w:lineRule="atLeast"/>
              <w:jc w:val="center"/>
              <w:rPr>
                <w:color w:val="auto"/>
                <w:szCs w:val="21"/>
                <w:highlight w:val="none"/>
              </w:rPr>
            </w:pPr>
            <w:r>
              <w:rPr>
                <w:color w:val="auto"/>
                <w:szCs w:val="21"/>
                <w:highlight w:val="none"/>
              </w:rPr>
              <w:t>职称</w:t>
            </w:r>
          </w:p>
        </w:tc>
        <w:tc>
          <w:tcPr>
            <w:tcW w:w="1521" w:type="dxa"/>
            <w:vAlign w:val="center"/>
          </w:tcPr>
          <w:p>
            <w:pPr>
              <w:spacing w:line="400" w:lineRule="atLeast"/>
              <w:jc w:val="center"/>
              <w:rPr>
                <w:color w:val="auto"/>
                <w:szCs w:val="21"/>
                <w:highlight w:val="none"/>
              </w:rPr>
            </w:pPr>
            <w:r>
              <w:rPr>
                <w:rFonts w:hint="eastAsia"/>
                <w:color w:val="auto"/>
                <w:szCs w:val="21"/>
                <w:highlight w:val="none"/>
              </w:rPr>
              <w:t>参加工作时间</w:t>
            </w:r>
          </w:p>
        </w:tc>
        <w:tc>
          <w:tcPr>
            <w:tcW w:w="1478" w:type="dxa"/>
            <w:vAlign w:val="center"/>
          </w:tcPr>
          <w:p>
            <w:pPr>
              <w:spacing w:line="400" w:lineRule="atLeast"/>
              <w:jc w:val="center"/>
              <w:rPr>
                <w:color w:val="auto"/>
                <w:szCs w:val="21"/>
                <w:highlight w:val="none"/>
              </w:rPr>
            </w:pPr>
            <w:r>
              <w:rPr>
                <w:color w:val="auto"/>
                <w:szCs w:val="21"/>
                <w:highlight w:val="none"/>
              </w:rPr>
              <w:t>类似施工</w:t>
            </w:r>
          </w:p>
          <w:p>
            <w:pPr>
              <w:spacing w:line="400" w:lineRule="atLeast"/>
              <w:jc w:val="center"/>
              <w:rPr>
                <w:color w:val="auto"/>
                <w:szCs w:val="21"/>
                <w:highlight w:val="none"/>
              </w:rPr>
            </w:pPr>
            <w:r>
              <w:rPr>
                <w:color w:val="auto"/>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7" w:type="dxa"/>
            <w:vAlign w:val="center"/>
          </w:tcPr>
          <w:p>
            <w:pPr>
              <w:spacing w:line="400" w:lineRule="atLeast"/>
              <w:jc w:val="center"/>
              <w:rPr>
                <w:color w:val="auto"/>
                <w:szCs w:val="21"/>
                <w:highlight w:val="none"/>
              </w:rPr>
            </w:pPr>
          </w:p>
        </w:tc>
        <w:tc>
          <w:tcPr>
            <w:tcW w:w="1248" w:type="dxa"/>
            <w:vAlign w:val="center"/>
          </w:tcPr>
          <w:p>
            <w:pPr>
              <w:spacing w:line="400" w:lineRule="atLeast"/>
              <w:jc w:val="center"/>
              <w:rPr>
                <w:color w:val="auto"/>
                <w:szCs w:val="21"/>
                <w:highlight w:val="none"/>
              </w:rPr>
            </w:pPr>
          </w:p>
        </w:tc>
        <w:tc>
          <w:tcPr>
            <w:tcW w:w="1530" w:type="dxa"/>
            <w:vAlign w:val="center"/>
          </w:tcPr>
          <w:p>
            <w:pPr>
              <w:spacing w:line="400" w:lineRule="atLeast"/>
              <w:jc w:val="center"/>
              <w:rPr>
                <w:color w:val="auto"/>
                <w:szCs w:val="21"/>
                <w:highlight w:val="none"/>
              </w:rPr>
            </w:pPr>
          </w:p>
        </w:tc>
        <w:tc>
          <w:tcPr>
            <w:tcW w:w="1416" w:type="dxa"/>
            <w:vAlign w:val="center"/>
          </w:tcPr>
          <w:p>
            <w:pPr>
              <w:spacing w:line="400" w:lineRule="atLeast"/>
              <w:jc w:val="center"/>
              <w:rPr>
                <w:color w:val="auto"/>
                <w:szCs w:val="21"/>
                <w:highlight w:val="none"/>
              </w:rPr>
            </w:pPr>
          </w:p>
        </w:tc>
        <w:tc>
          <w:tcPr>
            <w:tcW w:w="1521" w:type="dxa"/>
            <w:vAlign w:val="center"/>
          </w:tcPr>
          <w:p>
            <w:pPr>
              <w:spacing w:line="400" w:lineRule="atLeast"/>
              <w:jc w:val="center"/>
              <w:rPr>
                <w:color w:val="auto"/>
                <w:szCs w:val="21"/>
                <w:highlight w:val="none"/>
              </w:rPr>
            </w:pPr>
          </w:p>
        </w:tc>
        <w:tc>
          <w:tcPr>
            <w:tcW w:w="1478" w:type="dxa"/>
            <w:vAlign w:val="center"/>
          </w:tcPr>
          <w:p>
            <w:pPr>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07" w:type="dxa"/>
            <w:vAlign w:val="center"/>
          </w:tcPr>
          <w:p>
            <w:pPr>
              <w:spacing w:line="400" w:lineRule="atLeast"/>
              <w:jc w:val="center"/>
              <w:rPr>
                <w:color w:val="auto"/>
                <w:szCs w:val="21"/>
                <w:highlight w:val="none"/>
              </w:rPr>
            </w:pPr>
          </w:p>
        </w:tc>
        <w:tc>
          <w:tcPr>
            <w:tcW w:w="1248" w:type="dxa"/>
            <w:vAlign w:val="center"/>
          </w:tcPr>
          <w:p>
            <w:pPr>
              <w:spacing w:line="400" w:lineRule="atLeast"/>
              <w:jc w:val="center"/>
              <w:rPr>
                <w:color w:val="auto"/>
                <w:szCs w:val="21"/>
                <w:highlight w:val="none"/>
              </w:rPr>
            </w:pPr>
          </w:p>
        </w:tc>
        <w:tc>
          <w:tcPr>
            <w:tcW w:w="1530" w:type="dxa"/>
            <w:vAlign w:val="center"/>
          </w:tcPr>
          <w:p>
            <w:pPr>
              <w:spacing w:line="400" w:lineRule="atLeast"/>
              <w:jc w:val="center"/>
              <w:rPr>
                <w:color w:val="auto"/>
                <w:szCs w:val="21"/>
                <w:highlight w:val="none"/>
              </w:rPr>
            </w:pPr>
          </w:p>
        </w:tc>
        <w:tc>
          <w:tcPr>
            <w:tcW w:w="1416" w:type="dxa"/>
            <w:vAlign w:val="center"/>
          </w:tcPr>
          <w:p>
            <w:pPr>
              <w:spacing w:line="400" w:lineRule="atLeast"/>
              <w:jc w:val="center"/>
              <w:rPr>
                <w:color w:val="auto"/>
                <w:szCs w:val="21"/>
                <w:highlight w:val="none"/>
              </w:rPr>
            </w:pPr>
          </w:p>
        </w:tc>
        <w:tc>
          <w:tcPr>
            <w:tcW w:w="1521" w:type="dxa"/>
            <w:vAlign w:val="center"/>
          </w:tcPr>
          <w:p>
            <w:pPr>
              <w:spacing w:line="400" w:lineRule="atLeast"/>
              <w:jc w:val="center"/>
              <w:rPr>
                <w:color w:val="auto"/>
                <w:szCs w:val="21"/>
                <w:highlight w:val="none"/>
              </w:rPr>
            </w:pPr>
          </w:p>
        </w:tc>
        <w:tc>
          <w:tcPr>
            <w:tcW w:w="1478" w:type="dxa"/>
            <w:vAlign w:val="center"/>
          </w:tcPr>
          <w:p>
            <w:pPr>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07" w:type="dxa"/>
            <w:vAlign w:val="center"/>
          </w:tcPr>
          <w:p>
            <w:pPr>
              <w:spacing w:line="400" w:lineRule="atLeast"/>
              <w:jc w:val="center"/>
              <w:rPr>
                <w:color w:val="auto"/>
                <w:szCs w:val="21"/>
                <w:highlight w:val="none"/>
              </w:rPr>
            </w:pPr>
          </w:p>
        </w:tc>
        <w:tc>
          <w:tcPr>
            <w:tcW w:w="1248" w:type="dxa"/>
            <w:vAlign w:val="center"/>
          </w:tcPr>
          <w:p>
            <w:pPr>
              <w:spacing w:line="400" w:lineRule="atLeast"/>
              <w:jc w:val="center"/>
              <w:rPr>
                <w:color w:val="auto"/>
                <w:szCs w:val="21"/>
                <w:highlight w:val="none"/>
              </w:rPr>
            </w:pPr>
          </w:p>
        </w:tc>
        <w:tc>
          <w:tcPr>
            <w:tcW w:w="1530" w:type="dxa"/>
            <w:vAlign w:val="center"/>
          </w:tcPr>
          <w:p>
            <w:pPr>
              <w:spacing w:line="400" w:lineRule="atLeast"/>
              <w:jc w:val="center"/>
              <w:rPr>
                <w:color w:val="auto"/>
                <w:szCs w:val="21"/>
                <w:highlight w:val="none"/>
              </w:rPr>
            </w:pPr>
          </w:p>
        </w:tc>
        <w:tc>
          <w:tcPr>
            <w:tcW w:w="1416" w:type="dxa"/>
            <w:vAlign w:val="center"/>
          </w:tcPr>
          <w:p>
            <w:pPr>
              <w:spacing w:line="400" w:lineRule="atLeast"/>
              <w:jc w:val="center"/>
              <w:rPr>
                <w:color w:val="auto"/>
                <w:szCs w:val="21"/>
                <w:highlight w:val="none"/>
              </w:rPr>
            </w:pPr>
          </w:p>
        </w:tc>
        <w:tc>
          <w:tcPr>
            <w:tcW w:w="1521" w:type="dxa"/>
            <w:vAlign w:val="center"/>
          </w:tcPr>
          <w:p>
            <w:pPr>
              <w:spacing w:line="400" w:lineRule="atLeast"/>
              <w:jc w:val="center"/>
              <w:rPr>
                <w:color w:val="auto"/>
                <w:szCs w:val="21"/>
                <w:highlight w:val="none"/>
              </w:rPr>
            </w:pPr>
          </w:p>
        </w:tc>
        <w:tc>
          <w:tcPr>
            <w:tcW w:w="1478" w:type="dxa"/>
            <w:vAlign w:val="center"/>
          </w:tcPr>
          <w:p>
            <w:pPr>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07" w:type="dxa"/>
            <w:vAlign w:val="center"/>
          </w:tcPr>
          <w:p>
            <w:pPr>
              <w:spacing w:line="400" w:lineRule="atLeast"/>
              <w:jc w:val="center"/>
              <w:rPr>
                <w:color w:val="auto"/>
                <w:szCs w:val="21"/>
                <w:highlight w:val="none"/>
              </w:rPr>
            </w:pPr>
          </w:p>
        </w:tc>
        <w:tc>
          <w:tcPr>
            <w:tcW w:w="1248" w:type="dxa"/>
            <w:vAlign w:val="center"/>
          </w:tcPr>
          <w:p>
            <w:pPr>
              <w:spacing w:line="400" w:lineRule="atLeast"/>
              <w:jc w:val="center"/>
              <w:rPr>
                <w:color w:val="auto"/>
                <w:szCs w:val="21"/>
                <w:highlight w:val="none"/>
              </w:rPr>
            </w:pPr>
          </w:p>
        </w:tc>
        <w:tc>
          <w:tcPr>
            <w:tcW w:w="1530" w:type="dxa"/>
            <w:vAlign w:val="center"/>
          </w:tcPr>
          <w:p>
            <w:pPr>
              <w:spacing w:line="400" w:lineRule="atLeast"/>
              <w:jc w:val="center"/>
              <w:rPr>
                <w:color w:val="auto"/>
                <w:szCs w:val="21"/>
                <w:highlight w:val="none"/>
              </w:rPr>
            </w:pPr>
          </w:p>
        </w:tc>
        <w:tc>
          <w:tcPr>
            <w:tcW w:w="1416" w:type="dxa"/>
            <w:vAlign w:val="center"/>
          </w:tcPr>
          <w:p>
            <w:pPr>
              <w:spacing w:line="400" w:lineRule="atLeast"/>
              <w:jc w:val="center"/>
              <w:rPr>
                <w:color w:val="auto"/>
                <w:szCs w:val="21"/>
                <w:highlight w:val="none"/>
              </w:rPr>
            </w:pPr>
          </w:p>
        </w:tc>
        <w:tc>
          <w:tcPr>
            <w:tcW w:w="1521" w:type="dxa"/>
            <w:vAlign w:val="center"/>
          </w:tcPr>
          <w:p>
            <w:pPr>
              <w:spacing w:line="400" w:lineRule="atLeast"/>
              <w:jc w:val="center"/>
              <w:rPr>
                <w:color w:val="auto"/>
                <w:szCs w:val="21"/>
                <w:highlight w:val="none"/>
              </w:rPr>
            </w:pPr>
          </w:p>
        </w:tc>
        <w:tc>
          <w:tcPr>
            <w:tcW w:w="1478" w:type="dxa"/>
            <w:vAlign w:val="center"/>
          </w:tcPr>
          <w:p>
            <w:pPr>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807" w:type="dxa"/>
            <w:vAlign w:val="center"/>
          </w:tcPr>
          <w:p>
            <w:pPr>
              <w:spacing w:line="400" w:lineRule="atLeast"/>
              <w:jc w:val="center"/>
              <w:rPr>
                <w:color w:val="auto"/>
                <w:szCs w:val="21"/>
                <w:highlight w:val="none"/>
              </w:rPr>
            </w:pPr>
          </w:p>
        </w:tc>
        <w:tc>
          <w:tcPr>
            <w:tcW w:w="1248" w:type="dxa"/>
            <w:vAlign w:val="center"/>
          </w:tcPr>
          <w:p>
            <w:pPr>
              <w:spacing w:line="400" w:lineRule="atLeast"/>
              <w:jc w:val="center"/>
              <w:rPr>
                <w:color w:val="auto"/>
                <w:szCs w:val="21"/>
                <w:highlight w:val="none"/>
              </w:rPr>
            </w:pPr>
          </w:p>
        </w:tc>
        <w:tc>
          <w:tcPr>
            <w:tcW w:w="1530" w:type="dxa"/>
            <w:vAlign w:val="center"/>
          </w:tcPr>
          <w:p>
            <w:pPr>
              <w:spacing w:line="400" w:lineRule="atLeast"/>
              <w:jc w:val="center"/>
              <w:rPr>
                <w:color w:val="auto"/>
                <w:szCs w:val="21"/>
                <w:highlight w:val="none"/>
              </w:rPr>
            </w:pPr>
          </w:p>
        </w:tc>
        <w:tc>
          <w:tcPr>
            <w:tcW w:w="1416" w:type="dxa"/>
            <w:vAlign w:val="center"/>
          </w:tcPr>
          <w:p>
            <w:pPr>
              <w:spacing w:line="400" w:lineRule="atLeast"/>
              <w:jc w:val="center"/>
              <w:rPr>
                <w:color w:val="auto"/>
                <w:szCs w:val="21"/>
                <w:highlight w:val="none"/>
              </w:rPr>
            </w:pPr>
          </w:p>
        </w:tc>
        <w:tc>
          <w:tcPr>
            <w:tcW w:w="1521" w:type="dxa"/>
            <w:vAlign w:val="center"/>
          </w:tcPr>
          <w:p>
            <w:pPr>
              <w:spacing w:line="400" w:lineRule="atLeast"/>
              <w:jc w:val="center"/>
              <w:rPr>
                <w:color w:val="auto"/>
                <w:szCs w:val="21"/>
                <w:highlight w:val="none"/>
              </w:rPr>
            </w:pPr>
          </w:p>
        </w:tc>
        <w:tc>
          <w:tcPr>
            <w:tcW w:w="1478" w:type="dxa"/>
            <w:vAlign w:val="center"/>
          </w:tcPr>
          <w:p>
            <w:pPr>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807" w:type="dxa"/>
            <w:vAlign w:val="center"/>
          </w:tcPr>
          <w:p>
            <w:pPr>
              <w:spacing w:line="400" w:lineRule="atLeast"/>
              <w:jc w:val="center"/>
              <w:rPr>
                <w:color w:val="auto"/>
                <w:szCs w:val="21"/>
                <w:highlight w:val="none"/>
              </w:rPr>
            </w:pPr>
          </w:p>
        </w:tc>
        <w:tc>
          <w:tcPr>
            <w:tcW w:w="1248" w:type="dxa"/>
            <w:vAlign w:val="center"/>
          </w:tcPr>
          <w:p>
            <w:pPr>
              <w:spacing w:line="400" w:lineRule="atLeast"/>
              <w:jc w:val="center"/>
              <w:rPr>
                <w:color w:val="auto"/>
                <w:szCs w:val="21"/>
                <w:highlight w:val="none"/>
              </w:rPr>
            </w:pPr>
          </w:p>
        </w:tc>
        <w:tc>
          <w:tcPr>
            <w:tcW w:w="1530" w:type="dxa"/>
            <w:vAlign w:val="center"/>
          </w:tcPr>
          <w:p>
            <w:pPr>
              <w:spacing w:line="400" w:lineRule="atLeast"/>
              <w:jc w:val="center"/>
              <w:rPr>
                <w:color w:val="auto"/>
                <w:szCs w:val="21"/>
                <w:highlight w:val="none"/>
              </w:rPr>
            </w:pPr>
          </w:p>
        </w:tc>
        <w:tc>
          <w:tcPr>
            <w:tcW w:w="1416" w:type="dxa"/>
            <w:vAlign w:val="center"/>
          </w:tcPr>
          <w:p>
            <w:pPr>
              <w:spacing w:line="400" w:lineRule="atLeast"/>
              <w:jc w:val="center"/>
              <w:rPr>
                <w:color w:val="auto"/>
                <w:szCs w:val="21"/>
                <w:highlight w:val="none"/>
              </w:rPr>
            </w:pPr>
          </w:p>
        </w:tc>
        <w:tc>
          <w:tcPr>
            <w:tcW w:w="1521" w:type="dxa"/>
            <w:vAlign w:val="center"/>
          </w:tcPr>
          <w:p>
            <w:pPr>
              <w:spacing w:line="400" w:lineRule="atLeast"/>
              <w:jc w:val="center"/>
              <w:rPr>
                <w:color w:val="auto"/>
                <w:szCs w:val="21"/>
                <w:highlight w:val="none"/>
              </w:rPr>
            </w:pPr>
          </w:p>
        </w:tc>
        <w:tc>
          <w:tcPr>
            <w:tcW w:w="1478" w:type="dxa"/>
            <w:vAlign w:val="center"/>
          </w:tcPr>
          <w:p>
            <w:pPr>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807" w:type="dxa"/>
            <w:vAlign w:val="center"/>
          </w:tcPr>
          <w:p>
            <w:pPr>
              <w:spacing w:line="400" w:lineRule="atLeast"/>
              <w:jc w:val="center"/>
              <w:rPr>
                <w:color w:val="auto"/>
                <w:szCs w:val="21"/>
                <w:highlight w:val="none"/>
              </w:rPr>
            </w:pPr>
          </w:p>
        </w:tc>
        <w:tc>
          <w:tcPr>
            <w:tcW w:w="1248" w:type="dxa"/>
            <w:vAlign w:val="center"/>
          </w:tcPr>
          <w:p>
            <w:pPr>
              <w:spacing w:line="400" w:lineRule="atLeast"/>
              <w:jc w:val="center"/>
              <w:rPr>
                <w:color w:val="auto"/>
                <w:szCs w:val="21"/>
                <w:highlight w:val="none"/>
              </w:rPr>
            </w:pPr>
          </w:p>
        </w:tc>
        <w:tc>
          <w:tcPr>
            <w:tcW w:w="1530" w:type="dxa"/>
            <w:vAlign w:val="center"/>
          </w:tcPr>
          <w:p>
            <w:pPr>
              <w:spacing w:line="400" w:lineRule="atLeast"/>
              <w:jc w:val="center"/>
              <w:rPr>
                <w:color w:val="auto"/>
                <w:szCs w:val="21"/>
                <w:highlight w:val="none"/>
              </w:rPr>
            </w:pPr>
          </w:p>
        </w:tc>
        <w:tc>
          <w:tcPr>
            <w:tcW w:w="1416" w:type="dxa"/>
            <w:vAlign w:val="center"/>
          </w:tcPr>
          <w:p>
            <w:pPr>
              <w:spacing w:line="400" w:lineRule="atLeast"/>
              <w:jc w:val="center"/>
              <w:rPr>
                <w:color w:val="auto"/>
                <w:szCs w:val="21"/>
                <w:highlight w:val="none"/>
              </w:rPr>
            </w:pPr>
          </w:p>
        </w:tc>
        <w:tc>
          <w:tcPr>
            <w:tcW w:w="1521" w:type="dxa"/>
            <w:vAlign w:val="center"/>
          </w:tcPr>
          <w:p>
            <w:pPr>
              <w:spacing w:line="400" w:lineRule="atLeast"/>
              <w:jc w:val="center"/>
              <w:rPr>
                <w:color w:val="auto"/>
                <w:szCs w:val="21"/>
                <w:highlight w:val="none"/>
              </w:rPr>
            </w:pPr>
          </w:p>
        </w:tc>
        <w:tc>
          <w:tcPr>
            <w:tcW w:w="1478" w:type="dxa"/>
            <w:vAlign w:val="center"/>
          </w:tcPr>
          <w:p>
            <w:pPr>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807" w:type="dxa"/>
            <w:vAlign w:val="center"/>
          </w:tcPr>
          <w:p>
            <w:pPr>
              <w:spacing w:line="400" w:lineRule="atLeast"/>
              <w:jc w:val="center"/>
              <w:rPr>
                <w:color w:val="auto"/>
                <w:szCs w:val="21"/>
                <w:highlight w:val="none"/>
              </w:rPr>
            </w:pPr>
          </w:p>
        </w:tc>
        <w:tc>
          <w:tcPr>
            <w:tcW w:w="1248" w:type="dxa"/>
            <w:vAlign w:val="center"/>
          </w:tcPr>
          <w:p>
            <w:pPr>
              <w:spacing w:line="400" w:lineRule="atLeast"/>
              <w:jc w:val="center"/>
              <w:rPr>
                <w:color w:val="auto"/>
                <w:szCs w:val="21"/>
                <w:highlight w:val="none"/>
              </w:rPr>
            </w:pPr>
          </w:p>
        </w:tc>
        <w:tc>
          <w:tcPr>
            <w:tcW w:w="1530" w:type="dxa"/>
            <w:vAlign w:val="center"/>
          </w:tcPr>
          <w:p>
            <w:pPr>
              <w:spacing w:line="400" w:lineRule="atLeast"/>
              <w:jc w:val="center"/>
              <w:rPr>
                <w:color w:val="auto"/>
                <w:szCs w:val="21"/>
                <w:highlight w:val="none"/>
              </w:rPr>
            </w:pPr>
          </w:p>
        </w:tc>
        <w:tc>
          <w:tcPr>
            <w:tcW w:w="1416" w:type="dxa"/>
            <w:vAlign w:val="center"/>
          </w:tcPr>
          <w:p>
            <w:pPr>
              <w:spacing w:line="400" w:lineRule="atLeast"/>
              <w:jc w:val="center"/>
              <w:rPr>
                <w:color w:val="auto"/>
                <w:szCs w:val="21"/>
                <w:highlight w:val="none"/>
              </w:rPr>
            </w:pPr>
          </w:p>
        </w:tc>
        <w:tc>
          <w:tcPr>
            <w:tcW w:w="1521" w:type="dxa"/>
            <w:vAlign w:val="center"/>
          </w:tcPr>
          <w:p>
            <w:pPr>
              <w:spacing w:line="400" w:lineRule="atLeast"/>
              <w:jc w:val="center"/>
              <w:rPr>
                <w:color w:val="auto"/>
                <w:szCs w:val="21"/>
                <w:highlight w:val="none"/>
              </w:rPr>
            </w:pPr>
          </w:p>
        </w:tc>
        <w:tc>
          <w:tcPr>
            <w:tcW w:w="1478" w:type="dxa"/>
            <w:vAlign w:val="center"/>
          </w:tcPr>
          <w:p>
            <w:pPr>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7" w:type="dxa"/>
            <w:vAlign w:val="center"/>
          </w:tcPr>
          <w:p>
            <w:pPr>
              <w:spacing w:line="400" w:lineRule="atLeast"/>
              <w:jc w:val="center"/>
              <w:rPr>
                <w:color w:val="auto"/>
                <w:szCs w:val="21"/>
                <w:highlight w:val="none"/>
              </w:rPr>
            </w:pPr>
          </w:p>
        </w:tc>
        <w:tc>
          <w:tcPr>
            <w:tcW w:w="1248" w:type="dxa"/>
            <w:vAlign w:val="center"/>
          </w:tcPr>
          <w:p>
            <w:pPr>
              <w:spacing w:line="400" w:lineRule="atLeast"/>
              <w:jc w:val="center"/>
              <w:rPr>
                <w:color w:val="auto"/>
                <w:szCs w:val="21"/>
                <w:highlight w:val="none"/>
              </w:rPr>
            </w:pPr>
          </w:p>
        </w:tc>
        <w:tc>
          <w:tcPr>
            <w:tcW w:w="1530" w:type="dxa"/>
            <w:vAlign w:val="center"/>
          </w:tcPr>
          <w:p>
            <w:pPr>
              <w:spacing w:line="400" w:lineRule="atLeast"/>
              <w:jc w:val="center"/>
              <w:rPr>
                <w:color w:val="auto"/>
                <w:szCs w:val="21"/>
                <w:highlight w:val="none"/>
              </w:rPr>
            </w:pPr>
          </w:p>
        </w:tc>
        <w:tc>
          <w:tcPr>
            <w:tcW w:w="1416" w:type="dxa"/>
            <w:vAlign w:val="center"/>
          </w:tcPr>
          <w:p>
            <w:pPr>
              <w:spacing w:line="400" w:lineRule="atLeast"/>
              <w:jc w:val="center"/>
              <w:rPr>
                <w:color w:val="auto"/>
                <w:szCs w:val="21"/>
                <w:highlight w:val="none"/>
              </w:rPr>
            </w:pPr>
          </w:p>
        </w:tc>
        <w:tc>
          <w:tcPr>
            <w:tcW w:w="1521" w:type="dxa"/>
            <w:vAlign w:val="center"/>
          </w:tcPr>
          <w:p>
            <w:pPr>
              <w:spacing w:line="400" w:lineRule="atLeast"/>
              <w:jc w:val="center"/>
              <w:rPr>
                <w:color w:val="auto"/>
                <w:szCs w:val="21"/>
                <w:highlight w:val="none"/>
              </w:rPr>
            </w:pPr>
          </w:p>
        </w:tc>
        <w:tc>
          <w:tcPr>
            <w:tcW w:w="1478" w:type="dxa"/>
            <w:vAlign w:val="center"/>
          </w:tcPr>
          <w:p>
            <w:pPr>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7" w:type="dxa"/>
            <w:vAlign w:val="center"/>
          </w:tcPr>
          <w:p>
            <w:pPr>
              <w:spacing w:line="400" w:lineRule="atLeast"/>
              <w:jc w:val="center"/>
              <w:rPr>
                <w:color w:val="auto"/>
                <w:szCs w:val="21"/>
                <w:highlight w:val="none"/>
              </w:rPr>
            </w:pPr>
          </w:p>
        </w:tc>
        <w:tc>
          <w:tcPr>
            <w:tcW w:w="1248" w:type="dxa"/>
            <w:vAlign w:val="center"/>
          </w:tcPr>
          <w:p>
            <w:pPr>
              <w:spacing w:line="400" w:lineRule="atLeast"/>
              <w:jc w:val="center"/>
              <w:rPr>
                <w:color w:val="auto"/>
                <w:szCs w:val="21"/>
                <w:highlight w:val="none"/>
              </w:rPr>
            </w:pPr>
          </w:p>
        </w:tc>
        <w:tc>
          <w:tcPr>
            <w:tcW w:w="1530" w:type="dxa"/>
            <w:vAlign w:val="center"/>
          </w:tcPr>
          <w:p>
            <w:pPr>
              <w:spacing w:line="400" w:lineRule="atLeast"/>
              <w:jc w:val="center"/>
              <w:rPr>
                <w:color w:val="auto"/>
                <w:szCs w:val="21"/>
                <w:highlight w:val="none"/>
              </w:rPr>
            </w:pPr>
          </w:p>
        </w:tc>
        <w:tc>
          <w:tcPr>
            <w:tcW w:w="1416" w:type="dxa"/>
            <w:vAlign w:val="center"/>
          </w:tcPr>
          <w:p>
            <w:pPr>
              <w:spacing w:line="400" w:lineRule="atLeast"/>
              <w:jc w:val="center"/>
              <w:rPr>
                <w:color w:val="auto"/>
                <w:szCs w:val="21"/>
                <w:highlight w:val="none"/>
              </w:rPr>
            </w:pPr>
          </w:p>
        </w:tc>
        <w:tc>
          <w:tcPr>
            <w:tcW w:w="1521" w:type="dxa"/>
            <w:vAlign w:val="center"/>
          </w:tcPr>
          <w:p>
            <w:pPr>
              <w:spacing w:line="400" w:lineRule="atLeast"/>
              <w:jc w:val="center"/>
              <w:rPr>
                <w:color w:val="auto"/>
                <w:szCs w:val="21"/>
                <w:highlight w:val="none"/>
              </w:rPr>
            </w:pPr>
          </w:p>
        </w:tc>
        <w:tc>
          <w:tcPr>
            <w:tcW w:w="1478" w:type="dxa"/>
            <w:vAlign w:val="center"/>
          </w:tcPr>
          <w:p>
            <w:pPr>
              <w:spacing w:line="400" w:lineRule="atLeas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7" w:type="dxa"/>
            <w:vAlign w:val="center"/>
          </w:tcPr>
          <w:p>
            <w:pPr>
              <w:spacing w:line="400" w:lineRule="atLeast"/>
              <w:jc w:val="center"/>
              <w:rPr>
                <w:color w:val="auto"/>
                <w:szCs w:val="21"/>
                <w:highlight w:val="none"/>
              </w:rPr>
            </w:pPr>
          </w:p>
        </w:tc>
        <w:tc>
          <w:tcPr>
            <w:tcW w:w="1248" w:type="dxa"/>
            <w:vAlign w:val="center"/>
          </w:tcPr>
          <w:p>
            <w:pPr>
              <w:spacing w:line="400" w:lineRule="atLeast"/>
              <w:jc w:val="center"/>
              <w:rPr>
                <w:color w:val="auto"/>
                <w:szCs w:val="21"/>
                <w:highlight w:val="none"/>
              </w:rPr>
            </w:pPr>
          </w:p>
        </w:tc>
        <w:tc>
          <w:tcPr>
            <w:tcW w:w="1530" w:type="dxa"/>
            <w:vAlign w:val="center"/>
          </w:tcPr>
          <w:p>
            <w:pPr>
              <w:spacing w:line="400" w:lineRule="atLeast"/>
              <w:jc w:val="center"/>
              <w:rPr>
                <w:color w:val="auto"/>
                <w:szCs w:val="21"/>
                <w:highlight w:val="none"/>
              </w:rPr>
            </w:pPr>
          </w:p>
        </w:tc>
        <w:tc>
          <w:tcPr>
            <w:tcW w:w="1416" w:type="dxa"/>
            <w:vAlign w:val="center"/>
          </w:tcPr>
          <w:p>
            <w:pPr>
              <w:spacing w:line="400" w:lineRule="atLeast"/>
              <w:jc w:val="center"/>
              <w:rPr>
                <w:color w:val="auto"/>
                <w:szCs w:val="21"/>
                <w:highlight w:val="none"/>
              </w:rPr>
            </w:pPr>
          </w:p>
        </w:tc>
        <w:tc>
          <w:tcPr>
            <w:tcW w:w="1521" w:type="dxa"/>
            <w:vAlign w:val="center"/>
          </w:tcPr>
          <w:p>
            <w:pPr>
              <w:spacing w:line="400" w:lineRule="atLeast"/>
              <w:jc w:val="center"/>
              <w:rPr>
                <w:color w:val="auto"/>
                <w:szCs w:val="21"/>
                <w:highlight w:val="none"/>
              </w:rPr>
            </w:pPr>
          </w:p>
        </w:tc>
        <w:tc>
          <w:tcPr>
            <w:tcW w:w="1478" w:type="dxa"/>
            <w:vAlign w:val="center"/>
          </w:tcPr>
          <w:p>
            <w:pPr>
              <w:spacing w:line="400" w:lineRule="atLeast"/>
              <w:jc w:val="center"/>
              <w:rPr>
                <w:color w:val="auto"/>
                <w:szCs w:val="21"/>
                <w:highlight w:val="none"/>
              </w:rPr>
            </w:pPr>
          </w:p>
        </w:tc>
      </w:tr>
    </w:tbl>
    <w:p>
      <w:pPr>
        <w:pStyle w:val="28"/>
        <w:spacing w:after="0" w:line="360" w:lineRule="exact"/>
        <w:ind w:left="0" w:leftChars="0"/>
        <w:rPr>
          <w:rFonts w:hint="eastAsia" w:ascii="宋体" w:hAnsi="宋体"/>
          <w:color w:val="auto"/>
          <w:szCs w:val="21"/>
          <w:highlight w:val="none"/>
        </w:rPr>
      </w:pPr>
      <w:r>
        <w:rPr>
          <w:rFonts w:ascii="宋体" w:hAnsi="宋体"/>
          <w:color w:val="auto"/>
          <w:szCs w:val="21"/>
          <w:highlight w:val="none"/>
        </w:rPr>
        <w:t>注：</w:t>
      </w:r>
      <w:r>
        <w:rPr>
          <w:rFonts w:hint="eastAsia" w:ascii="宋体" w:hAnsi="宋体"/>
          <w:color w:val="auto"/>
          <w:szCs w:val="21"/>
          <w:highlight w:val="none"/>
        </w:rPr>
        <w:t>（1）</w:t>
      </w:r>
      <w:r>
        <w:rPr>
          <w:rFonts w:ascii="宋体" w:hAnsi="宋体"/>
          <w:color w:val="auto"/>
          <w:szCs w:val="21"/>
          <w:highlight w:val="none"/>
        </w:rPr>
        <w:t>本表填报的其他主要管理人员和技术人员应满足</w:t>
      </w:r>
      <w:r>
        <w:rPr>
          <w:rFonts w:hint="eastAsia" w:ascii="宋体" w:hAnsi="宋体"/>
          <w:color w:val="auto"/>
          <w:szCs w:val="21"/>
          <w:highlight w:val="none"/>
        </w:rPr>
        <w:t>招标文件</w:t>
      </w:r>
      <w:r>
        <w:rPr>
          <w:rFonts w:ascii="宋体" w:hAnsi="宋体"/>
          <w:color w:val="auto"/>
          <w:szCs w:val="21"/>
          <w:highlight w:val="none"/>
        </w:rPr>
        <w:t>要求</w:t>
      </w:r>
      <w:r>
        <w:rPr>
          <w:rFonts w:hint="eastAsia" w:ascii="宋体" w:hAnsi="宋体"/>
          <w:color w:val="auto"/>
          <w:szCs w:val="21"/>
          <w:highlight w:val="none"/>
        </w:rPr>
        <w:t>，</w:t>
      </w:r>
      <w:r>
        <w:rPr>
          <w:rFonts w:ascii="宋体" w:hAnsi="宋体"/>
          <w:color w:val="auto"/>
          <w:szCs w:val="21"/>
          <w:highlight w:val="none"/>
        </w:rPr>
        <w:t>并后附招标文件要求的相关证书</w:t>
      </w:r>
      <w:r>
        <w:rPr>
          <w:rFonts w:hint="eastAsia" w:ascii="宋体" w:hAnsi="宋体"/>
          <w:color w:val="auto"/>
          <w:szCs w:val="21"/>
          <w:highlight w:val="none"/>
        </w:rPr>
        <w:t>、业绩证明材料（如有）</w:t>
      </w:r>
      <w:r>
        <w:rPr>
          <w:rFonts w:ascii="宋体" w:hAnsi="宋体"/>
          <w:color w:val="auto"/>
          <w:szCs w:val="21"/>
          <w:highlight w:val="none"/>
        </w:rPr>
        <w:t>的扫描件。</w:t>
      </w:r>
    </w:p>
    <w:p>
      <w:pPr>
        <w:spacing w:line="440" w:lineRule="exact"/>
        <w:ind w:firstLine="420" w:firstLineChars="200"/>
        <w:rPr>
          <w:rFonts w:eastAsia="黑体"/>
          <w:color w:val="auto"/>
          <w:sz w:val="23"/>
          <w:szCs w:val="23"/>
          <w:highlight w:val="none"/>
        </w:rPr>
      </w:pPr>
      <w:r>
        <w:rPr>
          <w:rFonts w:hint="eastAsia" w:ascii="宋体" w:hAnsi="宋体"/>
          <w:color w:val="auto"/>
          <w:szCs w:val="21"/>
          <w:highlight w:val="none"/>
        </w:rPr>
        <w:t>（2）</w:t>
      </w:r>
      <w:r>
        <w:rPr>
          <w:rFonts w:ascii="宋体" w:hAnsi="宋体"/>
          <w:color w:val="auto"/>
          <w:szCs w:val="21"/>
          <w:highlight w:val="none"/>
        </w:rPr>
        <w:t>本表后应附</w:t>
      </w:r>
      <w:r>
        <w:rPr>
          <w:rFonts w:hint="eastAsia" w:ascii="宋体" w:hAnsi="宋体"/>
          <w:color w:val="auto"/>
          <w:szCs w:val="21"/>
          <w:highlight w:val="none"/>
        </w:rPr>
        <w:t>投标</w:t>
      </w:r>
      <w:r>
        <w:rPr>
          <w:rFonts w:ascii="宋体" w:hAnsi="宋体"/>
          <w:color w:val="auto"/>
          <w:szCs w:val="21"/>
          <w:highlight w:val="none"/>
        </w:rPr>
        <w:t>人所属社保机构出具的其他主要管理人员和技术人员的社保缴费证明</w:t>
      </w:r>
      <w:r>
        <w:rPr>
          <w:rFonts w:hint="eastAsia" w:ascii="宋体" w:hAnsi="宋体"/>
          <w:color w:val="auto"/>
          <w:szCs w:val="21"/>
          <w:highlight w:val="none"/>
        </w:rPr>
        <w:t>：</w:t>
      </w:r>
      <w:r>
        <w:rPr>
          <w:rFonts w:hint="eastAsia"/>
          <w:color w:val="auto"/>
          <w:szCs w:val="21"/>
          <w:highlight w:val="none"/>
        </w:rPr>
        <w:t>由社保机构出具的在投标单位缴纳社保的证明材料，社保时段为投标文件递交截止日前半年时间内连续不少于3个月</w:t>
      </w:r>
      <w:r>
        <w:rPr>
          <w:rFonts w:hint="eastAsia" w:ascii="宋体" w:hAnsi="Courier New"/>
          <w:color w:val="auto"/>
          <w:szCs w:val="21"/>
          <w:highlight w:val="none"/>
        </w:rPr>
        <w:t>。</w:t>
      </w:r>
    </w:p>
    <w:p>
      <w:pPr>
        <w:pStyle w:val="5"/>
        <w:spacing w:before="100" w:beforeAutospacing="1" w:after="0"/>
        <w:jc w:val="center"/>
        <w:rPr>
          <w:rFonts w:ascii="Times New Roman" w:hAnsi="Times New Roman"/>
          <w:color w:val="auto"/>
          <w:highlight w:val="none"/>
        </w:rPr>
      </w:pPr>
      <w:r>
        <w:rPr>
          <w:color w:val="auto"/>
          <w:sz w:val="27"/>
          <w:szCs w:val="27"/>
          <w:highlight w:val="none"/>
        </w:rPr>
        <w:br w:type="page"/>
      </w:r>
      <w:bookmarkStart w:id="1258" w:name="_Toc164585899"/>
      <w:bookmarkStart w:id="1259" w:name="_Toc10906"/>
      <w:bookmarkStart w:id="1260" w:name="_Toc166243679"/>
      <w:bookmarkStart w:id="1261" w:name="_Toc165042433"/>
      <w:bookmarkStart w:id="1262" w:name="_Toc18411082"/>
      <w:r>
        <w:rPr>
          <w:rFonts w:ascii="Times New Roman" w:hAnsi="Times New Roman"/>
          <w:color w:val="auto"/>
          <w:highlight w:val="none"/>
        </w:rPr>
        <w:t>九</w:t>
      </w:r>
      <w:r>
        <w:rPr>
          <w:rFonts w:hint="eastAsia" w:ascii="Times New Roman" w:hAnsi="Times New Roman"/>
          <w:color w:val="auto"/>
          <w:highlight w:val="none"/>
        </w:rPr>
        <w:t>、投标人承诺书</w:t>
      </w:r>
      <w:bookmarkEnd w:id="1258"/>
      <w:bookmarkEnd w:id="1259"/>
      <w:bookmarkEnd w:id="1260"/>
      <w:bookmarkEnd w:id="1261"/>
    </w:p>
    <w:p>
      <w:pPr>
        <w:spacing w:after="156" w:afterLines="50" w:line="560" w:lineRule="exact"/>
        <w:rPr>
          <w:rFonts w:hint="eastAsia" w:ascii="宋体" w:hAnsi="宋体" w:cs="仿宋_GB2312"/>
          <w:b/>
          <w:bCs/>
          <w:color w:val="auto"/>
          <w:sz w:val="24"/>
          <w:highlight w:val="none"/>
        </w:rPr>
      </w:pPr>
      <w:r>
        <w:rPr>
          <w:rFonts w:hint="eastAsia" w:ascii="宋体" w:hAnsi="宋体" w:cs="仿宋_GB2312"/>
          <w:b/>
          <w:bCs/>
          <w:color w:val="auto"/>
          <w:sz w:val="24"/>
          <w:highlight w:val="none"/>
        </w:rPr>
        <w:t>致：</w:t>
      </w:r>
      <w:r>
        <w:rPr>
          <w:rFonts w:hint="eastAsia" w:ascii="宋体" w:hAnsi="宋体" w:cs="仿宋_GB2312"/>
          <w:b/>
          <w:bCs/>
          <w:color w:val="auto"/>
          <w:sz w:val="24"/>
          <w:highlight w:val="none"/>
          <w:u w:val="single"/>
          <w:lang w:eastAsia="zh-CN"/>
        </w:rPr>
        <w:t>（招标人）、（</w:t>
      </w:r>
      <w:r>
        <w:rPr>
          <w:rFonts w:hint="eastAsia" w:ascii="宋体" w:hAnsi="宋体" w:cs="仿宋_GB2312"/>
          <w:b/>
          <w:bCs/>
          <w:color w:val="auto"/>
          <w:sz w:val="24"/>
          <w:highlight w:val="none"/>
          <w:u w:val="single"/>
        </w:rPr>
        <w:t>招标监管机构</w:t>
      </w:r>
      <w:r>
        <w:rPr>
          <w:rFonts w:hint="eastAsia" w:ascii="宋体" w:hAnsi="宋体" w:cs="仿宋_GB2312"/>
          <w:b/>
          <w:bCs/>
          <w:color w:val="auto"/>
          <w:sz w:val="24"/>
          <w:highlight w:val="none"/>
          <w:u w:val="single"/>
          <w:lang w:eastAsia="zh-CN"/>
        </w:rPr>
        <w:t>）</w:t>
      </w:r>
    </w:p>
    <w:p>
      <w:pPr>
        <w:widowControl/>
        <w:spacing w:line="560" w:lineRule="exact"/>
        <w:ind w:firstLine="463" w:firstLineChars="193"/>
        <w:jc w:val="left"/>
        <w:rPr>
          <w:rFonts w:hint="eastAsia" w:ascii="宋体" w:hAnsi="宋体" w:cs="仿宋_GB2312"/>
          <w:color w:val="auto"/>
          <w:sz w:val="24"/>
          <w:highlight w:val="none"/>
        </w:rPr>
      </w:pPr>
      <w:r>
        <w:rPr>
          <w:rFonts w:hint="eastAsia" w:ascii="宋体" w:hAnsi="宋体" w:cs="仿宋_GB2312"/>
          <w:color w:val="auto"/>
          <w:kern w:val="0"/>
          <w:sz w:val="24"/>
          <w:highlight w:val="none"/>
        </w:rPr>
        <w:t>我公司参与本次</w:t>
      </w:r>
      <w:r>
        <w:rPr>
          <w:rFonts w:hint="eastAsia" w:ascii="宋体" w:hAnsi="宋体" w:cs="仿宋_GB2312"/>
          <w:color w:val="auto"/>
          <w:kern w:val="0"/>
          <w:sz w:val="24"/>
          <w:highlight w:val="none"/>
          <w:u w:val="single"/>
        </w:rPr>
        <w:t xml:space="preserve">         （项目名称）      </w:t>
      </w:r>
      <w:r>
        <w:rPr>
          <w:rFonts w:hint="eastAsia" w:ascii="宋体" w:hAnsi="宋体" w:cs="仿宋_GB2312"/>
          <w:color w:val="auto"/>
          <w:sz w:val="24"/>
          <w:highlight w:val="none"/>
        </w:rPr>
        <w:t>项目</w:t>
      </w:r>
      <w:r>
        <w:rPr>
          <w:rFonts w:hint="eastAsia" w:ascii="宋体" w:hAnsi="宋体" w:cs="仿宋_GB2312"/>
          <w:color w:val="auto"/>
          <w:kern w:val="0"/>
          <w:sz w:val="24"/>
          <w:highlight w:val="none"/>
        </w:rPr>
        <w:t>（项目编号：</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）投标活动，郑重承诺及声明如下：</w:t>
      </w:r>
    </w:p>
    <w:p>
      <w:pPr>
        <w:widowControl/>
        <w:spacing w:line="560" w:lineRule="exact"/>
        <w:ind w:firstLine="465" w:firstLineChars="193"/>
        <w:jc w:val="left"/>
        <w:rPr>
          <w:rFonts w:hint="eastAsia" w:ascii="宋体" w:hAnsi="宋体" w:cs="仿宋_GB2312"/>
          <w:b/>
          <w:color w:val="auto"/>
          <w:sz w:val="24"/>
          <w:highlight w:val="none"/>
        </w:rPr>
      </w:pPr>
      <w:r>
        <w:rPr>
          <w:rFonts w:hint="eastAsia" w:ascii="宋体" w:hAnsi="宋体" w:cs="仿宋_GB2312"/>
          <w:b/>
          <w:color w:val="auto"/>
          <w:sz w:val="24"/>
          <w:highlight w:val="none"/>
        </w:rPr>
        <w:t>一、投标文件真实、准确</w:t>
      </w:r>
    </w:p>
    <w:p>
      <w:pPr>
        <w:widowControl/>
        <w:spacing w:line="560" w:lineRule="exact"/>
        <w:ind w:firstLine="463" w:firstLineChars="193"/>
        <w:jc w:val="left"/>
        <w:rPr>
          <w:rFonts w:hint="eastAsia" w:ascii="宋体" w:hAnsi="宋体" w:cs="仿宋_GB2312"/>
          <w:color w:val="auto"/>
          <w:sz w:val="24"/>
          <w:highlight w:val="none"/>
        </w:rPr>
      </w:pPr>
      <w:r>
        <w:rPr>
          <w:rFonts w:hint="eastAsia" w:ascii="宋体" w:hAnsi="宋体" w:cs="仿宋_GB2312"/>
          <w:color w:val="auto"/>
          <w:sz w:val="24"/>
          <w:highlight w:val="none"/>
        </w:rPr>
        <w:t>我公司保证本次投标提供的所有资料与信息都是真实、准确完整的。如因提供虚假、失实的材料导致我公司投标无效或对招标活动造成损失，我公司愿意承担一切相关法律和经济责任。</w:t>
      </w:r>
    </w:p>
    <w:p>
      <w:pPr>
        <w:widowControl/>
        <w:spacing w:line="560" w:lineRule="exact"/>
        <w:ind w:firstLine="465" w:firstLineChars="193"/>
        <w:jc w:val="left"/>
        <w:rPr>
          <w:rFonts w:hint="eastAsia" w:ascii="宋体" w:hAnsi="宋体" w:cs="仿宋_GB2312"/>
          <w:b/>
          <w:color w:val="auto"/>
          <w:sz w:val="24"/>
          <w:highlight w:val="none"/>
        </w:rPr>
      </w:pPr>
      <w:r>
        <w:rPr>
          <w:rFonts w:hint="eastAsia" w:ascii="宋体" w:hAnsi="宋体" w:cs="仿宋_GB2312"/>
          <w:b/>
          <w:color w:val="auto"/>
          <w:sz w:val="24"/>
          <w:highlight w:val="none"/>
        </w:rPr>
        <w:t>二、不出让资质、不挂靠单位、不参与围标或串标活动</w:t>
      </w:r>
    </w:p>
    <w:p>
      <w:pPr>
        <w:widowControl/>
        <w:spacing w:line="560" w:lineRule="exact"/>
        <w:ind w:firstLine="463" w:firstLineChars="193"/>
        <w:jc w:val="left"/>
        <w:rPr>
          <w:rFonts w:hint="eastAsia" w:ascii="宋体" w:hAnsi="宋体" w:cs="仿宋_GB2312"/>
          <w:color w:val="auto"/>
          <w:sz w:val="24"/>
          <w:highlight w:val="none"/>
        </w:rPr>
      </w:pPr>
      <w:r>
        <w:rPr>
          <w:rFonts w:hint="eastAsia" w:ascii="宋体" w:hAnsi="宋体" w:cs="仿宋_GB2312"/>
          <w:color w:val="auto"/>
          <w:sz w:val="24"/>
          <w:highlight w:val="none"/>
        </w:rPr>
        <w:t>我公司</w:t>
      </w:r>
      <w:r>
        <w:rPr>
          <w:rFonts w:hint="eastAsia" w:ascii="宋体" w:hAnsi="宋体" w:cs="仿宋_GB2312"/>
          <w:color w:val="auto"/>
          <w:kern w:val="0"/>
          <w:sz w:val="24"/>
          <w:highlight w:val="none"/>
        </w:rPr>
        <w:t>以诚信为原则参与本次招投标活动，</w:t>
      </w:r>
      <w:r>
        <w:rPr>
          <w:rFonts w:hint="eastAsia" w:ascii="宋体" w:hAnsi="宋体" w:cs="仿宋_GB2312"/>
          <w:color w:val="auto"/>
          <w:sz w:val="24"/>
          <w:highlight w:val="none"/>
        </w:rPr>
        <w:t>保证不出让资质给其他公司使用，不挂靠（借用）其他公司资质参与投标，不与其他单位围标、串标，不哄抬或恶意压低投标报价。</w:t>
      </w:r>
    </w:p>
    <w:p>
      <w:pPr>
        <w:widowControl/>
        <w:spacing w:line="560" w:lineRule="exact"/>
        <w:ind w:firstLine="465" w:firstLineChars="193"/>
        <w:jc w:val="left"/>
        <w:rPr>
          <w:rFonts w:hint="eastAsia" w:ascii="宋体" w:hAnsi="宋体" w:cs="仿宋_GB2312"/>
          <w:b/>
          <w:color w:val="auto"/>
          <w:sz w:val="24"/>
          <w:highlight w:val="none"/>
        </w:rPr>
      </w:pPr>
      <w:r>
        <w:rPr>
          <w:rFonts w:hint="eastAsia" w:ascii="宋体" w:hAnsi="宋体" w:cs="仿宋_GB2312"/>
          <w:b/>
          <w:color w:val="auto"/>
          <w:sz w:val="24"/>
          <w:highlight w:val="none"/>
        </w:rPr>
        <w:t>三、不通过非法手段获取中标</w:t>
      </w:r>
    </w:p>
    <w:p>
      <w:pPr>
        <w:widowControl/>
        <w:spacing w:line="560" w:lineRule="exact"/>
        <w:ind w:firstLine="463" w:firstLineChars="193"/>
        <w:jc w:val="left"/>
        <w:rPr>
          <w:rFonts w:hint="eastAsia" w:ascii="宋体" w:hAnsi="宋体" w:cs="仿宋_GB2312"/>
          <w:color w:val="auto"/>
          <w:sz w:val="24"/>
          <w:highlight w:val="none"/>
        </w:rPr>
      </w:pPr>
      <w:r>
        <w:rPr>
          <w:rFonts w:hint="eastAsia" w:ascii="宋体" w:hAnsi="宋体" w:cs="仿宋_GB2312"/>
          <w:color w:val="auto"/>
          <w:sz w:val="24"/>
          <w:highlight w:val="none"/>
        </w:rPr>
        <w:t>我公司自觉遵守国家法律法规及有关廉政建设制度，保证不向招标人及其上级主管单位、评标委员会成员或招标代理机构行贿，不与招标人串通投标，不以任何方式干扰、影响评标工作，正当竞争，不通过非法手段获取中标。</w:t>
      </w:r>
    </w:p>
    <w:p>
      <w:pPr>
        <w:widowControl/>
        <w:spacing w:line="560" w:lineRule="exact"/>
        <w:ind w:firstLine="465" w:firstLineChars="193"/>
        <w:jc w:val="left"/>
        <w:rPr>
          <w:rFonts w:hint="eastAsia" w:ascii="宋体" w:hAnsi="宋体" w:cs="仿宋_GB2312"/>
          <w:b/>
          <w:color w:val="auto"/>
          <w:sz w:val="24"/>
          <w:highlight w:val="none"/>
        </w:rPr>
      </w:pPr>
      <w:r>
        <w:rPr>
          <w:rFonts w:hint="eastAsia" w:ascii="宋体" w:hAnsi="宋体" w:cs="仿宋_GB2312"/>
          <w:b/>
          <w:color w:val="auto"/>
          <w:sz w:val="24"/>
          <w:highlight w:val="none"/>
        </w:rPr>
        <w:t>四、按法律法规及投标文件承诺开展施工活动</w:t>
      </w:r>
    </w:p>
    <w:p>
      <w:pPr>
        <w:widowControl/>
        <w:spacing w:line="560" w:lineRule="exact"/>
        <w:ind w:firstLine="463" w:firstLineChars="193"/>
        <w:jc w:val="left"/>
        <w:rPr>
          <w:rFonts w:hint="eastAsia" w:ascii="宋体" w:hAnsi="宋体" w:cs="仿宋_GB2312"/>
          <w:color w:val="auto"/>
          <w:sz w:val="24"/>
          <w:highlight w:val="none"/>
        </w:rPr>
      </w:pPr>
      <w:r>
        <w:rPr>
          <w:rFonts w:hint="eastAsia" w:ascii="宋体" w:hAnsi="宋体" w:cs="仿宋_GB2312"/>
          <w:color w:val="auto"/>
          <w:sz w:val="24"/>
          <w:highlight w:val="none"/>
        </w:rPr>
        <w:t>我公司承诺，投标文件中已明确拟分包的子项工程，中标后不转包或违法分包，未经项目单位允许，不将投标文件约定之外的其他子项分包给其他单位或个人。施工过程中，严格执行安全生产相关管理规定；依法按照国家、省、市的有关规定发包劳务或使用自有劳务队伍，建立合法劳务关系，依法按时足额支付工程款给分包单位（如有）和支付工资给工人，不以工程款未到位为由克扣或拖欠工人工资。按照投标文件承诺全力以赴确保工程质量、工期，接受招标人及建设行政主管部门的监督、检查。</w:t>
      </w:r>
    </w:p>
    <w:p>
      <w:pPr>
        <w:widowControl/>
        <w:spacing w:line="560" w:lineRule="exact"/>
        <w:ind w:firstLine="465" w:firstLineChars="193"/>
        <w:jc w:val="left"/>
        <w:rPr>
          <w:rFonts w:hint="eastAsia" w:ascii="宋体" w:hAnsi="宋体" w:cs="仿宋_GB2312"/>
          <w:b/>
          <w:color w:val="auto"/>
          <w:sz w:val="24"/>
          <w:highlight w:val="none"/>
        </w:rPr>
      </w:pPr>
      <w:r>
        <w:rPr>
          <w:rFonts w:hint="eastAsia" w:ascii="宋体" w:hAnsi="宋体" w:cs="仿宋_GB2312"/>
          <w:b/>
          <w:color w:val="auto"/>
          <w:sz w:val="24"/>
          <w:highlight w:val="none"/>
        </w:rPr>
        <w:t>五、严格落实保密措施</w:t>
      </w:r>
    </w:p>
    <w:p>
      <w:pPr>
        <w:widowControl/>
        <w:spacing w:line="560" w:lineRule="exact"/>
        <w:ind w:firstLine="463" w:firstLineChars="193"/>
        <w:jc w:val="left"/>
        <w:rPr>
          <w:rFonts w:hint="eastAsia" w:ascii="宋体" w:hAnsi="宋体" w:cs="仿宋_GB2312"/>
          <w:color w:val="auto"/>
          <w:sz w:val="24"/>
          <w:highlight w:val="none"/>
        </w:rPr>
      </w:pPr>
      <w:r>
        <w:rPr>
          <w:rFonts w:hint="eastAsia" w:ascii="宋体" w:hAnsi="宋体" w:cs="仿宋_GB2312"/>
          <w:color w:val="auto"/>
          <w:sz w:val="24"/>
          <w:highlight w:val="none"/>
        </w:rPr>
        <w:t>我公司保证严格落实保密规定及采取相关措施，未经招标人同意，不发布项目敏感信息，不私自使用与招标人或项目有关的敏感信息进行宣传、广告。</w:t>
      </w:r>
    </w:p>
    <w:p>
      <w:pPr>
        <w:widowControl/>
        <w:spacing w:line="560" w:lineRule="exact"/>
        <w:ind w:firstLine="465" w:firstLineChars="193"/>
        <w:jc w:val="left"/>
        <w:rPr>
          <w:rFonts w:hint="eastAsia" w:ascii="宋体" w:hAnsi="宋体" w:cs="仿宋_GB2312"/>
          <w:b/>
          <w:color w:val="auto"/>
          <w:sz w:val="24"/>
          <w:highlight w:val="none"/>
        </w:rPr>
      </w:pPr>
      <w:r>
        <w:rPr>
          <w:rFonts w:hint="eastAsia" w:ascii="宋体" w:hAnsi="宋体" w:cs="仿宋_GB2312"/>
          <w:b/>
          <w:color w:val="auto"/>
          <w:sz w:val="24"/>
          <w:highlight w:val="none"/>
        </w:rPr>
        <w:t>六、项目人员健康承诺</w:t>
      </w:r>
    </w:p>
    <w:p>
      <w:pPr>
        <w:widowControl/>
        <w:spacing w:line="560" w:lineRule="exact"/>
        <w:ind w:firstLine="463" w:firstLineChars="193"/>
        <w:jc w:val="left"/>
        <w:rPr>
          <w:rFonts w:hint="eastAsia" w:ascii="宋体" w:hAnsi="宋体" w:cs="仿宋_GB2312"/>
          <w:color w:val="auto"/>
          <w:sz w:val="24"/>
          <w:highlight w:val="none"/>
        </w:rPr>
      </w:pPr>
      <w:r>
        <w:rPr>
          <w:rFonts w:hint="eastAsia" w:ascii="宋体" w:hAnsi="宋体" w:cs="仿宋_GB2312"/>
          <w:color w:val="auto"/>
          <w:sz w:val="24"/>
          <w:highlight w:val="none"/>
        </w:rPr>
        <w:t>我公司承诺拟派项目负责人及项目管理机构重要人员身体状态良好，无患有心脏病、严重的心脑血管疾病及无法自控的精神疾病等重大疾病，能够胜任本项目工作岗位要求。</w:t>
      </w:r>
    </w:p>
    <w:p>
      <w:pPr>
        <w:widowControl/>
        <w:spacing w:line="560" w:lineRule="exact"/>
        <w:ind w:firstLine="463" w:firstLineChars="193"/>
        <w:jc w:val="left"/>
        <w:rPr>
          <w:rFonts w:hint="eastAsia" w:ascii="宋体" w:hAnsi="宋体" w:cs="仿宋_GB2312"/>
          <w:color w:val="auto"/>
          <w:sz w:val="24"/>
          <w:highlight w:val="none"/>
        </w:rPr>
      </w:pPr>
    </w:p>
    <w:p>
      <w:pPr>
        <w:widowControl/>
        <w:spacing w:line="560" w:lineRule="exact"/>
        <w:ind w:firstLine="463" w:firstLineChars="193"/>
        <w:jc w:val="left"/>
        <w:rPr>
          <w:rFonts w:hint="eastAsia" w:ascii="宋体" w:hAnsi="宋体" w:cs="仿宋_GB2312"/>
          <w:color w:val="auto"/>
          <w:sz w:val="24"/>
          <w:highlight w:val="none"/>
        </w:rPr>
      </w:pPr>
      <w:r>
        <w:rPr>
          <w:rFonts w:hint="eastAsia" w:ascii="宋体" w:hAnsi="宋体" w:cs="仿宋_GB2312"/>
          <w:color w:val="auto"/>
          <w:sz w:val="24"/>
          <w:highlight w:val="none"/>
        </w:rPr>
        <w:t>特此声明。</w:t>
      </w:r>
    </w:p>
    <w:p>
      <w:pPr>
        <w:widowControl/>
        <w:spacing w:line="560" w:lineRule="exact"/>
        <w:ind w:firstLine="463" w:firstLineChars="193"/>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adjustRightInd w:val="0"/>
        <w:snapToGrid w:val="0"/>
        <w:spacing w:line="560" w:lineRule="exact"/>
        <w:ind w:firstLine="480"/>
        <w:rPr>
          <w:rFonts w:hint="eastAsia" w:ascii="宋体" w:hAnsi="宋体" w:cs="仿宋_GB2312"/>
          <w:color w:val="auto"/>
          <w:kern w:val="0"/>
          <w:sz w:val="24"/>
          <w:highlight w:val="none"/>
        </w:rPr>
      </w:pPr>
      <w:r>
        <w:rPr>
          <w:rFonts w:hint="eastAsia" w:ascii="宋体" w:hAnsi="宋体" w:cs="仿宋_GB2312"/>
          <w:color w:val="auto"/>
          <w:kern w:val="0"/>
          <w:sz w:val="24"/>
          <w:highlight w:val="none"/>
        </w:rPr>
        <w:t>投标人名称（公章）：</w:t>
      </w:r>
      <w:r>
        <w:rPr>
          <w:rFonts w:hint="eastAsia" w:ascii="宋体" w:hAnsi="宋体" w:cs="仿宋_GB2312"/>
          <w:color w:val="auto"/>
          <w:kern w:val="0"/>
          <w:sz w:val="24"/>
          <w:highlight w:val="none"/>
          <w:u w:val="single"/>
        </w:rPr>
        <w:t xml:space="preserve">                           </w:t>
      </w:r>
    </w:p>
    <w:p>
      <w:pPr>
        <w:adjustRightInd w:val="0"/>
        <w:snapToGrid w:val="0"/>
        <w:spacing w:line="560" w:lineRule="exact"/>
        <w:ind w:firstLine="480"/>
        <w:rPr>
          <w:rFonts w:hint="eastAsia" w:ascii="宋体" w:hAnsi="宋体" w:cs="仿宋_GB2312"/>
          <w:color w:val="auto"/>
          <w:kern w:val="0"/>
          <w:sz w:val="24"/>
          <w:highlight w:val="none"/>
        </w:rPr>
      </w:pPr>
      <w:r>
        <w:rPr>
          <w:rFonts w:hint="eastAsia" w:ascii="宋体" w:hAnsi="宋体" w:cs="仿宋_GB2312"/>
          <w:color w:val="auto"/>
          <w:kern w:val="0"/>
          <w:sz w:val="24"/>
          <w:highlight w:val="none"/>
        </w:rPr>
        <w:t>法定代表人或授权代表（签字或盖章）：</w:t>
      </w:r>
      <w:r>
        <w:rPr>
          <w:rFonts w:hint="eastAsia" w:ascii="宋体" w:hAnsi="宋体" w:cs="仿宋_GB2312"/>
          <w:color w:val="auto"/>
          <w:kern w:val="0"/>
          <w:sz w:val="24"/>
          <w:highlight w:val="none"/>
          <w:u w:val="single"/>
        </w:rPr>
        <w:t xml:space="preserve">           </w:t>
      </w:r>
    </w:p>
    <w:p>
      <w:pPr>
        <w:adjustRightInd w:val="0"/>
        <w:snapToGrid w:val="0"/>
        <w:spacing w:line="560" w:lineRule="exact"/>
        <w:ind w:firstLine="480"/>
        <w:rPr>
          <w:rFonts w:hint="eastAsia" w:ascii="宋体" w:hAnsi="宋体" w:cs="仿宋_GB2312"/>
          <w:color w:val="auto"/>
          <w:kern w:val="0"/>
          <w:sz w:val="24"/>
          <w:highlight w:val="none"/>
        </w:rPr>
      </w:pPr>
      <w:r>
        <w:rPr>
          <w:rFonts w:hint="eastAsia" w:ascii="宋体" w:hAnsi="宋体" w:cs="仿宋_GB2312"/>
          <w:color w:val="auto"/>
          <w:kern w:val="0"/>
          <w:sz w:val="24"/>
          <w:highlight w:val="none"/>
        </w:rPr>
        <w:t>日期：</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年</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月</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日</w:t>
      </w:r>
    </w:p>
    <w:p>
      <w:pPr>
        <w:widowControl/>
        <w:jc w:val="left"/>
        <w:rPr>
          <w:rFonts w:ascii="Arial" w:hAnsi="Arial" w:eastAsia="黑体"/>
          <w:b/>
          <w:bCs/>
          <w:color w:val="auto"/>
          <w:sz w:val="27"/>
          <w:szCs w:val="27"/>
          <w:highlight w:val="none"/>
        </w:rPr>
      </w:pPr>
      <w:r>
        <w:rPr>
          <w:color w:val="auto"/>
          <w:sz w:val="27"/>
          <w:szCs w:val="27"/>
          <w:highlight w:val="none"/>
        </w:rPr>
        <w:br w:type="page"/>
      </w:r>
    </w:p>
    <w:p>
      <w:pPr>
        <w:pStyle w:val="5"/>
        <w:jc w:val="center"/>
        <w:rPr>
          <w:color w:val="auto"/>
          <w:highlight w:val="none"/>
        </w:rPr>
      </w:pPr>
      <w:bookmarkStart w:id="1263" w:name="_Toc11731"/>
      <w:r>
        <w:rPr>
          <w:rFonts w:hint="eastAsia"/>
          <w:color w:val="auto"/>
          <w:highlight w:val="none"/>
        </w:rPr>
        <w:t>十</w:t>
      </w:r>
      <w:r>
        <w:rPr>
          <w:color w:val="auto"/>
          <w:highlight w:val="none"/>
        </w:rPr>
        <w:t>、</w:t>
      </w:r>
      <w:r>
        <w:rPr>
          <w:rFonts w:hint="eastAsia"/>
          <w:color w:val="auto"/>
          <w:highlight w:val="none"/>
        </w:rPr>
        <w:t>中标候选人</w:t>
      </w:r>
      <w:r>
        <w:rPr>
          <w:color w:val="auto"/>
          <w:highlight w:val="none"/>
        </w:rPr>
        <w:t>公示资料表</w:t>
      </w:r>
      <w:bookmarkEnd w:id="1262"/>
      <w:bookmarkEnd w:id="1263"/>
    </w:p>
    <w:p>
      <w:pPr>
        <w:jc w:val="center"/>
        <w:rPr>
          <w:rFonts w:hint="eastAsia" w:ascii="宋体" w:hAnsi="宋体"/>
          <w:b/>
          <w:color w:val="auto"/>
          <w:sz w:val="28"/>
          <w:szCs w:val="28"/>
          <w:highlight w:val="none"/>
        </w:rPr>
      </w:pPr>
      <w:r>
        <w:rPr>
          <w:rFonts w:hint="eastAsia" w:ascii="宋体" w:hAnsi="宋体"/>
          <w:b/>
          <w:color w:val="auto"/>
          <w:sz w:val="28"/>
          <w:szCs w:val="28"/>
          <w:highlight w:val="none"/>
        </w:rPr>
        <w:t>投标响应</w:t>
      </w:r>
      <w:r>
        <w:rPr>
          <w:rFonts w:ascii="宋体" w:hAnsi="宋体"/>
          <w:b/>
          <w:color w:val="auto"/>
          <w:sz w:val="28"/>
          <w:szCs w:val="28"/>
          <w:highlight w:val="none"/>
        </w:rPr>
        <w:t>情况</w:t>
      </w:r>
      <w:r>
        <w:rPr>
          <w:rFonts w:hint="eastAsia" w:ascii="宋体" w:hAnsi="宋体"/>
          <w:b/>
          <w:color w:val="auto"/>
          <w:sz w:val="28"/>
          <w:szCs w:val="28"/>
          <w:highlight w:val="none"/>
        </w:rPr>
        <w:t>表</w:t>
      </w:r>
    </w:p>
    <w:tbl>
      <w:tblPr>
        <w:tblStyle w:val="74"/>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5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项目</w:t>
            </w:r>
          </w:p>
        </w:tc>
        <w:tc>
          <w:tcPr>
            <w:tcW w:w="5992"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单位名称</w:t>
            </w:r>
          </w:p>
        </w:tc>
        <w:tc>
          <w:tcPr>
            <w:tcW w:w="5992" w:type="dxa"/>
            <w:vAlign w:val="center"/>
          </w:tcPr>
          <w:p>
            <w:pPr>
              <w:spacing w:line="340" w:lineRule="exact"/>
              <w:jc w:val="center"/>
              <w:rPr>
                <w:rFonts w:hint="eastAsia" w:ascii="宋体" w:hAnsi="宋体"/>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企业资质情况</w:t>
            </w:r>
            <w:r>
              <w:rPr>
                <w:rFonts w:ascii="宋体" w:hAnsi="宋体"/>
                <w:color w:val="auto"/>
                <w:spacing w:val="4"/>
                <w:sz w:val="24"/>
                <w:highlight w:val="none"/>
              </w:rPr>
              <w:t>及资质证书编号</w:t>
            </w:r>
          </w:p>
        </w:tc>
        <w:tc>
          <w:tcPr>
            <w:tcW w:w="5992" w:type="dxa"/>
            <w:vAlign w:val="center"/>
          </w:tcPr>
          <w:p>
            <w:pPr>
              <w:spacing w:line="340" w:lineRule="exact"/>
              <w:jc w:val="center"/>
              <w:rPr>
                <w:rFonts w:hint="eastAsia" w:ascii="宋体" w:hAnsi="宋体"/>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pPr>
              <w:spacing w:line="340" w:lineRule="exact"/>
              <w:jc w:val="center"/>
              <w:rPr>
                <w:rFonts w:hint="eastAsia" w:ascii="宋体" w:hAnsi="宋体"/>
                <w:color w:val="auto"/>
                <w:spacing w:val="4"/>
                <w:sz w:val="24"/>
                <w:highlight w:val="none"/>
              </w:rPr>
            </w:pPr>
            <w:r>
              <w:rPr>
                <w:rFonts w:ascii="宋体" w:hAnsi="宋体"/>
                <w:color w:val="auto"/>
                <w:spacing w:val="4"/>
                <w:sz w:val="24"/>
                <w:highlight w:val="none"/>
              </w:rPr>
              <w:t>工期</w:t>
            </w:r>
          </w:p>
        </w:tc>
        <w:tc>
          <w:tcPr>
            <w:tcW w:w="5992" w:type="dxa"/>
            <w:vAlign w:val="center"/>
          </w:tcPr>
          <w:p>
            <w:pPr>
              <w:spacing w:line="340" w:lineRule="exact"/>
              <w:jc w:val="center"/>
              <w:rPr>
                <w:rFonts w:hint="eastAsia" w:ascii="宋体" w:hAnsi="宋体"/>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pPr>
              <w:spacing w:line="340" w:lineRule="exact"/>
              <w:jc w:val="center"/>
              <w:rPr>
                <w:rFonts w:hint="eastAsia" w:ascii="宋体" w:hAnsi="宋体"/>
                <w:color w:val="auto"/>
                <w:spacing w:val="4"/>
                <w:sz w:val="24"/>
                <w:highlight w:val="none"/>
              </w:rPr>
            </w:pPr>
            <w:r>
              <w:rPr>
                <w:rFonts w:ascii="宋体" w:hAnsi="宋体"/>
                <w:color w:val="auto"/>
                <w:spacing w:val="4"/>
                <w:sz w:val="24"/>
                <w:highlight w:val="none"/>
              </w:rPr>
              <w:t>质量标准</w:t>
            </w:r>
          </w:p>
        </w:tc>
        <w:tc>
          <w:tcPr>
            <w:tcW w:w="5992" w:type="dxa"/>
            <w:vAlign w:val="center"/>
          </w:tcPr>
          <w:p>
            <w:pPr>
              <w:spacing w:line="340" w:lineRule="exact"/>
              <w:jc w:val="center"/>
              <w:rPr>
                <w:rFonts w:hint="eastAsia" w:ascii="宋体" w:hAnsi="宋体"/>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项目负责人姓名及</w:t>
            </w:r>
            <w:r>
              <w:rPr>
                <w:rFonts w:hint="eastAsia" w:ascii="宋体" w:hAnsi="宋体"/>
                <w:color w:val="auto"/>
                <w:sz w:val="24"/>
                <w:highlight w:val="none"/>
              </w:rPr>
              <w:t>资格</w:t>
            </w:r>
            <w:r>
              <w:rPr>
                <w:rFonts w:ascii="宋体" w:hAnsi="宋体"/>
                <w:color w:val="auto"/>
                <w:sz w:val="24"/>
                <w:highlight w:val="none"/>
              </w:rPr>
              <w:t>证书</w:t>
            </w:r>
            <w:r>
              <w:rPr>
                <w:rFonts w:ascii="宋体" w:hAnsi="宋体"/>
                <w:color w:val="auto"/>
                <w:spacing w:val="4"/>
                <w:sz w:val="24"/>
                <w:highlight w:val="none"/>
              </w:rPr>
              <w:t>编号</w:t>
            </w:r>
          </w:p>
        </w:tc>
        <w:tc>
          <w:tcPr>
            <w:tcW w:w="5992" w:type="dxa"/>
            <w:vAlign w:val="center"/>
          </w:tcPr>
          <w:p>
            <w:pPr>
              <w:spacing w:line="340" w:lineRule="exact"/>
              <w:jc w:val="center"/>
              <w:rPr>
                <w:rFonts w:hint="eastAsia" w:ascii="宋体" w:hAnsi="宋体"/>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项目</w:t>
            </w:r>
            <w:r>
              <w:rPr>
                <w:rFonts w:ascii="宋体" w:hAnsi="宋体"/>
                <w:color w:val="auto"/>
                <w:spacing w:val="4"/>
                <w:sz w:val="24"/>
                <w:highlight w:val="none"/>
              </w:rPr>
              <w:t>负责人</w:t>
            </w:r>
            <w:r>
              <w:rPr>
                <w:rFonts w:hint="eastAsia" w:ascii="宋体" w:hAnsi="宋体"/>
                <w:color w:val="auto"/>
                <w:spacing w:val="4"/>
                <w:sz w:val="24"/>
                <w:highlight w:val="none"/>
              </w:rPr>
              <w:t>类似项目业绩（名称）</w:t>
            </w:r>
          </w:p>
        </w:tc>
        <w:tc>
          <w:tcPr>
            <w:tcW w:w="5992" w:type="dxa"/>
            <w:vAlign w:val="center"/>
          </w:tcPr>
          <w:p>
            <w:pPr>
              <w:spacing w:line="340" w:lineRule="exact"/>
              <w:jc w:val="left"/>
              <w:rPr>
                <w:rFonts w:hint="eastAsia" w:ascii="宋体" w:hAnsi="宋体"/>
                <w:color w:val="auto"/>
                <w:spacing w:val="4"/>
                <w:sz w:val="24"/>
                <w:highlight w:val="none"/>
              </w:rPr>
            </w:pPr>
            <w:r>
              <w:rPr>
                <w:rFonts w:hint="eastAsia" w:ascii="宋体" w:hAnsi="宋体"/>
                <w:color w:val="auto"/>
                <w:spacing w:val="4"/>
                <w:sz w:val="24"/>
                <w:highlight w:val="none"/>
              </w:rPr>
              <w:t>1、</w:t>
            </w:r>
          </w:p>
          <w:p>
            <w:pPr>
              <w:spacing w:line="340" w:lineRule="exact"/>
              <w:jc w:val="left"/>
              <w:rPr>
                <w:rFonts w:hint="eastAsia" w:ascii="宋体" w:hAnsi="宋体"/>
                <w:color w:val="auto"/>
                <w:spacing w:val="4"/>
                <w:sz w:val="24"/>
                <w:highlight w:val="none"/>
              </w:rPr>
            </w:pPr>
            <w:r>
              <w:rPr>
                <w:rFonts w:hint="eastAsia" w:ascii="宋体" w:hAnsi="宋体"/>
                <w:color w:val="auto"/>
                <w:spacing w:val="4"/>
                <w:sz w:val="24"/>
                <w:highlight w:val="none"/>
              </w:rPr>
              <w:t>2、</w:t>
            </w:r>
          </w:p>
          <w:p>
            <w:pPr>
              <w:spacing w:line="340" w:lineRule="exact"/>
              <w:jc w:val="left"/>
              <w:rPr>
                <w:rFonts w:hint="eastAsia" w:ascii="宋体" w:hAnsi="宋体"/>
                <w:color w:val="auto"/>
                <w:spacing w:val="4"/>
                <w:sz w:val="24"/>
                <w:highlight w:val="none"/>
              </w:rPr>
            </w:pPr>
            <w:r>
              <w:rPr>
                <w:rFonts w:hint="eastAsia" w:ascii="宋体" w:hAnsi="宋体"/>
                <w:color w:val="auto"/>
                <w:spacing w:val="4"/>
                <w:sz w:val="24"/>
                <w:highlight w:val="none"/>
              </w:rPr>
              <w:t>...</w:t>
            </w:r>
          </w:p>
        </w:tc>
      </w:tr>
    </w:tbl>
    <w:p>
      <w:pPr>
        <w:jc w:val="center"/>
        <w:rPr>
          <w:rFonts w:hint="eastAsia" w:ascii="宋体" w:hAnsi="宋体"/>
          <w:b/>
          <w:color w:val="auto"/>
          <w:sz w:val="28"/>
          <w:szCs w:val="28"/>
          <w:highlight w:val="none"/>
        </w:rPr>
      </w:pP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企业类似项目业绩情况表</w:t>
      </w:r>
    </w:p>
    <w:tbl>
      <w:tblPr>
        <w:tblStyle w:val="74"/>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序号</w:t>
            </w:r>
          </w:p>
        </w:tc>
        <w:tc>
          <w:tcPr>
            <w:tcW w:w="7808"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企业类似业绩名称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pPr>
              <w:spacing w:line="340" w:lineRule="exact"/>
              <w:jc w:val="center"/>
              <w:rPr>
                <w:rFonts w:hint="eastAsia" w:ascii="宋体" w:hAnsi="宋体"/>
                <w:color w:val="auto"/>
                <w:spacing w:val="4"/>
                <w:sz w:val="24"/>
                <w:highlight w:val="none"/>
              </w:rPr>
            </w:pPr>
            <w:r>
              <w:rPr>
                <w:rFonts w:ascii="宋体" w:hAnsi="宋体"/>
                <w:color w:val="auto"/>
                <w:spacing w:val="4"/>
                <w:sz w:val="24"/>
                <w:highlight w:val="none"/>
              </w:rPr>
              <w:t>1</w:t>
            </w:r>
          </w:p>
        </w:tc>
        <w:tc>
          <w:tcPr>
            <w:tcW w:w="7808" w:type="dxa"/>
            <w:vAlign w:val="center"/>
          </w:tcPr>
          <w:p>
            <w:pPr>
              <w:spacing w:line="340" w:lineRule="exact"/>
              <w:jc w:val="left"/>
              <w:rPr>
                <w:rFonts w:hint="eastAsia" w:ascii="宋体" w:hAnsi="宋体"/>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pPr>
              <w:spacing w:line="340" w:lineRule="exact"/>
              <w:jc w:val="center"/>
              <w:rPr>
                <w:rFonts w:hint="eastAsia" w:ascii="宋体" w:hAnsi="宋体"/>
                <w:color w:val="auto"/>
                <w:spacing w:val="4"/>
                <w:sz w:val="24"/>
                <w:highlight w:val="none"/>
              </w:rPr>
            </w:pPr>
            <w:r>
              <w:rPr>
                <w:rFonts w:ascii="宋体" w:hAnsi="宋体"/>
                <w:color w:val="auto"/>
                <w:spacing w:val="4"/>
                <w:sz w:val="24"/>
                <w:highlight w:val="none"/>
              </w:rPr>
              <w:t>2</w:t>
            </w:r>
          </w:p>
        </w:tc>
        <w:tc>
          <w:tcPr>
            <w:tcW w:w="7808" w:type="dxa"/>
            <w:vAlign w:val="center"/>
          </w:tcPr>
          <w:p>
            <w:pPr>
              <w:spacing w:line="340" w:lineRule="exact"/>
              <w:jc w:val="left"/>
              <w:rPr>
                <w:rFonts w:hint="eastAsia" w:ascii="宋体" w:hAnsi="宋体"/>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w:t>
            </w:r>
          </w:p>
        </w:tc>
        <w:tc>
          <w:tcPr>
            <w:tcW w:w="7808" w:type="dxa"/>
            <w:vAlign w:val="center"/>
          </w:tcPr>
          <w:p>
            <w:pPr>
              <w:spacing w:line="300" w:lineRule="exact"/>
              <w:jc w:val="left"/>
              <w:rPr>
                <w:rFonts w:hint="eastAsia" w:ascii="宋体" w:hAnsi="宋体"/>
                <w:color w:val="auto"/>
                <w:sz w:val="24"/>
                <w:highlight w:val="none"/>
              </w:rPr>
            </w:pPr>
          </w:p>
        </w:tc>
      </w:tr>
    </w:tbl>
    <w:p>
      <w:pPr>
        <w:ind w:left="945" w:hanging="945" w:hangingChars="450"/>
        <w:rPr>
          <w:color w:val="auto"/>
          <w:highlight w:val="none"/>
        </w:rPr>
      </w:pP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企业资信、奖项情况表</w:t>
      </w:r>
    </w:p>
    <w:tbl>
      <w:tblPr>
        <w:tblStyle w:val="74"/>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序号</w:t>
            </w:r>
          </w:p>
        </w:tc>
        <w:tc>
          <w:tcPr>
            <w:tcW w:w="7808"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企业资信、奖项信息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pPr>
              <w:spacing w:line="340" w:lineRule="exact"/>
              <w:jc w:val="center"/>
              <w:rPr>
                <w:rFonts w:hint="eastAsia" w:ascii="宋体" w:hAnsi="宋体"/>
                <w:color w:val="auto"/>
                <w:spacing w:val="4"/>
                <w:sz w:val="24"/>
                <w:highlight w:val="none"/>
              </w:rPr>
            </w:pPr>
            <w:r>
              <w:rPr>
                <w:rFonts w:ascii="宋体" w:hAnsi="宋体"/>
                <w:color w:val="auto"/>
                <w:spacing w:val="4"/>
                <w:sz w:val="24"/>
                <w:highlight w:val="none"/>
              </w:rPr>
              <w:t>1</w:t>
            </w:r>
          </w:p>
        </w:tc>
        <w:tc>
          <w:tcPr>
            <w:tcW w:w="7808" w:type="dxa"/>
            <w:vAlign w:val="center"/>
          </w:tcPr>
          <w:p>
            <w:pPr>
              <w:spacing w:line="340" w:lineRule="exact"/>
              <w:jc w:val="left"/>
              <w:rPr>
                <w:rFonts w:hint="eastAsia" w:ascii="宋体" w:hAnsi="宋体"/>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pPr>
              <w:spacing w:line="340" w:lineRule="exact"/>
              <w:jc w:val="center"/>
              <w:rPr>
                <w:rFonts w:hint="eastAsia" w:ascii="宋体" w:hAnsi="宋体"/>
                <w:color w:val="auto"/>
                <w:spacing w:val="4"/>
                <w:sz w:val="24"/>
                <w:highlight w:val="none"/>
              </w:rPr>
            </w:pPr>
            <w:r>
              <w:rPr>
                <w:rFonts w:ascii="宋体" w:hAnsi="宋体"/>
                <w:color w:val="auto"/>
                <w:spacing w:val="4"/>
                <w:sz w:val="24"/>
                <w:highlight w:val="none"/>
              </w:rPr>
              <w:t>2</w:t>
            </w:r>
          </w:p>
        </w:tc>
        <w:tc>
          <w:tcPr>
            <w:tcW w:w="7808" w:type="dxa"/>
            <w:vAlign w:val="center"/>
          </w:tcPr>
          <w:p>
            <w:pPr>
              <w:spacing w:line="340" w:lineRule="exact"/>
              <w:jc w:val="left"/>
              <w:rPr>
                <w:rFonts w:hint="eastAsia" w:ascii="宋体" w:hAnsi="宋体"/>
                <w:color w:val="auto"/>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pPr>
              <w:spacing w:line="340" w:lineRule="exact"/>
              <w:jc w:val="center"/>
              <w:rPr>
                <w:rFonts w:hint="eastAsia" w:ascii="宋体" w:hAnsi="宋体"/>
                <w:color w:val="auto"/>
                <w:spacing w:val="4"/>
                <w:sz w:val="24"/>
                <w:highlight w:val="none"/>
              </w:rPr>
            </w:pPr>
            <w:r>
              <w:rPr>
                <w:rFonts w:hint="eastAsia" w:ascii="宋体" w:hAnsi="宋体"/>
                <w:color w:val="auto"/>
                <w:spacing w:val="4"/>
                <w:sz w:val="24"/>
                <w:highlight w:val="none"/>
              </w:rPr>
              <w:t>...</w:t>
            </w:r>
          </w:p>
        </w:tc>
        <w:tc>
          <w:tcPr>
            <w:tcW w:w="7808" w:type="dxa"/>
            <w:vAlign w:val="center"/>
          </w:tcPr>
          <w:p>
            <w:pPr>
              <w:spacing w:line="300" w:lineRule="exact"/>
              <w:jc w:val="left"/>
              <w:rPr>
                <w:rFonts w:hint="eastAsia" w:ascii="宋体" w:hAnsi="宋体"/>
                <w:color w:val="auto"/>
                <w:sz w:val="24"/>
                <w:highlight w:val="none"/>
              </w:rPr>
            </w:pPr>
          </w:p>
        </w:tc>
      </w:tr>
    </w:tbl>
    <w:p>
      <w:pPr>
        <w:ind w:left="945" w:hanging="945" w:hangingChars="450"/>
        <w:rPr>
          <w:color w:val="auto"/>
          <w:highlight w:val="none"/>
        </w:rPr>
      </w:pPr>
    </w:p>
    <w:p>
      <w:pPr>
        <w:spacing w:line="440" w:lineRule="exact"/>
        <w:ind w:left="840" w:hanging="840" w:hangingChars="400"/>
        <w:rPr>
          <w:color w:val="auto"/>
          <w:szCs w:val="21"/>
          <w:highlight w:val="none"/>
        </w:rPr>
      </w:pPr>
      <w:r>
        <w:rPr>
          <w:rFonts w:hint="eastAsia"/>
          <w:color w:val="auto"/>
          <w:szCs w:val="21"/>
          <w:highlight w:val="none"/>
        </w:rPr>
        <w:t>注：（1）上述表格内容由投标人填写，必须与投标人递交的投标文件所列投标响应</w:t>
      </w:r>
      <w:r>
        <w:rPr>
          <w:color w:val="auto"/>
          <w:szCs w:val="21"/>
          <w:highlight w:val="none"/>
        </w:rPr>
        <w:t>情况</w:t>
      </w:r>
      <w:r>
        <w:rPr>
          <w:rFonts w:hint="eastAsia"/>
          <w:color w:val="auto"/>
          <w:szCs w:val="21"/>
          <w:highlight w:val="none"/>
        </w:rPr>
        <w:t>、企业类似业绩情况一致且确保其真实性。</w:t>
      </w:r>
    </w:p>
    <w:p>
      <w:pPr>
        <w:spacing w:line="440" w:lineRule="exact"/>
        <w:ind w:left="840" w:leftChars="200" w:hanging="420" w:hangingChars="200"/>
        <w:rPr>
          <w:color w:val="auto"/>
          <w:szCs w:val="21"/>
          <w:highlight w:val="none"/>
        </w:rPr>
      </w:pPr>
      <w:r>
        <w:rPr>
          <w:rFonts w:hint="eastAsia"/>
          <w:color w:val="auto"/>
          <w:szCs w:val="21"/>
          <w:highlight w:val="none"/>
        </w:rPr>
        <w:t>（2）拟派人员情况以投标文件所附的“</w:t>
      </w:r>
      <w:r>
        <w:rPr>
          <w:color w:val="auto"/>
          <w:highlight w:val="none"/>
        </w:rPr>
        <w:t>项目管理机构组成表</w:t>
      </w:r>
      <w:r>
        <w:rPr>
          <w:rFonts w:hint="eastAsia"/>
          <w:color w:val="auto"/>
          <w:szCs w:val="21"/>
          <w:highlight w:val="none"/>
        </w:rPr>
        <w:t>”相关内容为准。</w:t>
      </w:r>
    </w:p>
    <w:p>
      <w:pPr>
        <w:spacing w:line="440" w:lineRule="exact"/>
        <w:ind w:left="840" w:leftChars="200" w:hanging="420" w:hanging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）如果投标人被推荐为中标候选人，上述信息及相关内容将予以公示。</w:t>
      </w:r>
    </w:p>
    <w:p>
      <w:pPr>
        <w:widowControl/>
        <w:jc w:val="left"/>
        <w:rPr>
          <w:rFonts w:eastAsia="黑体"/>
          <w:color w:val="auto"/>
          <w:sz w:val="27"/>
          <w:szCs w:val="27"/>
          <w:highlight w:val="none"/>
        </w:rPr>
      </w:pPr>
      <w:r>
        <w:rPr>
          <w:rFonts w:eastAsia="黑体"/>
          <w:color w:val="auto"/>
          <w:sz w:val="27"/>
          <w:szCs w:val="27"/>
          <w:highlight w:val="none"/>
        </w:rPr>
        <w:br w:type="page"/>
      </w:r>
    </w:p>
    <w:p>
      <w:pPr>
        <w:pStyle w:val="5"/>
        <w:jc w:val="center"/>
        <w:rPr>
          <w:color w:val="auto"/>
          <w:highlight w:val="none"/>
        </w:rPr>
      </w:pPr>
      <w:bookmarkStart w:id="1264" w:name="_Toc11840"/>
      <w:r>
        <w:rPr>
          <w:rFonts w:hint="eastAsia"/>
          <w:color w:val="auto"/>
          <w:highlight w:val="none"/>
        </w:rPr>
        <w:t>十一、投标人认为应提供的其他商务资料</w:t>
      </w:r>
      <w:bookmarkEnd w:id="1264"/>
    </w:p>
    <w:p>
      <w:pPr>
        <w:widowControl/>
        <w:jc w:val="left"/>
        <w:rPr>
          <w:rFonts w:ascii="Arial" w:hAnsi="Arial" w:eastAsia="黑体"/>
          <w:b/>
          <w:bCs/>
          <w:color w:val="auto"/>
          <w:sz w:val="32"/>
          <w:szCs w:val="32"/>
          <w:highlight w:val="none"/>
        </w:rPr>
      </w:pPr>
      <w:bookmarkStart w:id="1265" w:name="_Toc247085881"/>
      <w:bookmarkStart w:id="1266" w:name="_Toc179632815"/>
      <w:bookmarkStart w:id="1267" w:name="_Toc152045795"/>
      <w:bookmarkStart w:id="1268" w:name="_Toc246996363"/>
      <w:bookmarkStart w:id="1269" w:name="_Toc152042584"/>
      <w:bookmarkStart w:id="1270" w:name="_Toc246997106"/>
      <w:bookmarkStart w:id="1271" w:name="_Toc144974863"/>
      <w:r>
        <w:rPr>
          <w:color w:val="auto"/>
          <w:highlight w:val="none"/>
        </w:rPr>
        <w:br w:type="page"/>
      </w:r>
    </w:p>
    <w:p>
      <w:pPr>
        <w:pStyle w:val="5"/>
        <w:jc w:val="center"/>
        <w:rPr>
          <w:color w:val="auto"/>
          <w:highlight w:val="none"/>
        </w:rPr>
      </w:pPr>
      <w:bookmarkStart w:id="1272" w:name="_Toc12958"/>
      <w:r>
        <w:rPr>
          <w:rFonts w:hint="eastAsia"/>
          <w:color w:val="auto"/>
          <w:highlight w:val="none"/>
        </w:rPr>
        <w:t>十二</w:t>
      </w:r>
      <w:r>
        <w:rPr>
          <w:color w:val="auto"/>
          <w:highlight w:val="none"/>
        </w:rPr>
        <w:t>、已标价工程量清单</w:t>
      </w:r>
      <w:bookmarkEnd w:id="1265"/>
      <w:bookmarkEnd w:id="1266"/>
      <w:bookmarkEnd w:id="1267"/>
      <w:bookmarkEnd w:id="1268"/>
      <w:bookmarkEnd w:id="1269"/>
      <w:bookmarkEnd w:id="1270"/>
      <w:bookmarkEnd w:id="1271"/>
      <w:bookmarkEnd w:id="1272"/>
    </w:p>
    <w:p>
      <w:pPr>
        <w:spacing w:line="360" w:lineRule="auto"/>
        <w:ind w:firstLine="480" w:firstLineChars="200"/>
        <w:jc w:val="left"/>
        <w:rPr>
          <w:color w:val="auto"/>
          <w:sz w:val="24"/>
          <w:highlight w:val="none"/>
        </w:rPr>
      </w:pPr>
      <w:r>
        <w:rPr>
          <w:rFonts w:hint="eastAsia"/>
          <w:color w:val="auto"/>
          <w:sz w:val="24"/>
          <w:highlight w:val="none"/>
        </w:rPr>
        <w:t>一、工程量清单的组成、编制、计价、格式、项目编码、项目名称、工程内容、计量单位和工程量计算规则按照招标人给出的工程量清单及中华人民共和国国家标准《建设工程量清单计价规范》（GB50500-201</w:t>
      </w:r>
      <w:r>
        <w:rPr>
          <w:color w:val="auto"/>
          <w:sz w:val="24"/>
          <w:highlight w:val="none"/>
        </w:rPr>
        <w:t>3</w:t>
      </w:r>
      <w:r>
        <w:rPr>
          <w:rFonts w:hint="eastAsia"/>
          <w:color w:val="auto"/>
          <w:sz w:val="24"/>
          <w:highlight w:val="none"/>
        </w:rPr>
        <w:t>）。</w:t>
      </w:r>
    </w:p>
    <w:p>
      <w:pPr>
        <w:spacing w:line="360" w:lineRule="auto"/>
        <w:ind w:firstLine="480" w:firstLineChars="200"/>
        <w:jc w:val="left"/>
        <w:rPr>
          <w:color w:val="auto"/>
          <w:sz w:val="24"/>
          <w:highlight w:val="none"/>
        </w:rPr>
      </w:pPr>
      <w:r>
        <w:rPr>
          <w:color w:val="auto"/>
          <w:sz w:val="24"/>
          <w:highlight w:val="none"/>
        </w:rPr>
        <w:t>二</w:t>
      </w:r>
      <w:r>
        <w:rPr>
          <w:rFonts w:hint="eastAsia"/>
          <w:color w:val="auto"/>
          <w:sz w:val="24"/>
          <w:highlight w:val="none"/>
        </w:rPr>
        <w:t>、</w:t>
      </w:r>
      <w:r>
        <w:rPr>
          <w:color w:val="auto"/>
          <w:sz w:val="24"/>
          <w:highlight w:val="none"/>
        </w:rPr>
        <w:t>计价依据</w:t>
      </w:r>
      <w:r>
        <w:rPr>
          <w:rFonts w:hint="eastAsia"/>
          <w:color w:val="auto"/>
          <w:sz w:val="24"/>
          <w:highlight w:val="none"/>
        </w:rPr>
        <w:t>：《广东省房屋建筑与装饰工程综合定额（2018）》、《广东省市政工程综合定额（2018）》、《广东省通用安装工程综合定额（2018）》、《广东省园林绿化工程综合定额（2018）》、《广东省建设工程施工机具台班费用编制规则（2018）》等执行。</w:t>
      </w:r>
    </w:p>
    <w:p>
      <w:pPr>
        <w:spacing w:line="360" w:lineRule="auto"/>
        <w:ind w:firstLine="480" w:firstLineChars="200"/>
        <w:jc w:val="left"/>
        <w:rPr>
          <w:color w:val="auto"/>
          <w:sz w:val="24"/>
          <w:highlight w:val="none"/>
        </w:rPr>
      </w:pPr>
      <w:r>
        <w:rPr>
          <w:rFonts w:hint="eastAsia"/>
          <w:color w:val="auto"/>
          <w:sz w:val="24"/>
          <w:highlight w:val="none"/>
        </w:rPr>
        <w:t>三、综合单价分析表：在投标时应提供电子版形式。</w:t>
      </w:r>
    </w:p>
    <w:p>
      <w:pPr>
        <w:jc w:val="left"/>
        <w:rPr>
          <w:color w:val="auto"/>
          <w:sz w:val="24"/>
          <w:highlight w:val="none"/>
        </w:rPr>
      </w:pPr>
    </w:p>
    <w:p>
      <w:pPr>
        <w:pStyle w:val="5"/>
        <w:rPr>
          <w:rFonts w:hint="eastAsia" w:ascii="宋体" w:hAnsi="宋体" w:eastAsia="宋体"/>
          <w:color w:val="auto"/>
          <w:sz w:val="28"/>
          <w:highlight w:val="none"/>
        </w:rPr>
      </w:pPr>
      <w:r>
        <w:rPr>
          <w:color w:val="auto"/>
          <w:sz w:val="20"/>
          <w:szCs w:val="20"/>
          <w:highlight w:val="none"/>
        </w:rPr>
        <w:br w:type="page"/>
      </w:r>
      <w:bookmarkStart w:id="1273" w:name="_Toc26815"/>
      <w:r>
        <w:rPr>
          <w:rFonts w:hint="eastAsia" w:ascii="宋体" w:hAnsi="宋体" w:eastAsia="宋体"/>
          <w:color w:val="auto"/>
          <w:sz w:val="28"/>
          <w:highlight w:val="none"/>
        </w:rPr>
        <w:t>技术</w:t>
      </w:r>
      <w:r>
        <w:rPr>
          <w:rFonts w:ascii="宋体" w:hAnsi="宋体" w:eastAsia="宋体"/>
          <w:color w:val="auto"/>
          <w:sz w:val="28"/>
          <w:highlight w:val="none"/>
        </w:rPr>
        <w:t>部分</w:t>
      </w:r>
      <w:bookmarkEnd w:id="1273"/>
    </w:p>
    <w:p>
      <w:pPr>
        <w:pStyle w:val="5"/>
        <w:jc w:val="center"/>
        <w:rPr>
          <w:color w:val="auto"/>
          <w:szCs w:val="21"/>
          <w:highlight w:val="none"/>
        </w:rPr>
      </w:pPr>
      <w:bookmarkStart w:id="1274" w:name="_Toc16415"/>
      <w:r>
        <w:rPr>
          <w:rFonts w:hint="eastAsia"/>
          <w:color w:val="auto"/>
          <w:highlight w:val="none"/>
        </w:rPr>
        <w:t>一</w:t>
      </w:r>
      <w:r>
        <w:rPr>
          <w:color w:val="auto"/>
          <w:highlight w:val="none"/>
        </w:rPr>
        <w:t>、</w:t>
      </w:r>
      <w:r>
        <w:rPr>
          <w:rFonts w:hint="eastAsia"/>
          <w:color w:val="auto"/>
          <w:highlight w:val="none"/>
        </w:rPr>
        <w:t>施工</w:t>
      </w:r>
      <w:r>
        <w:rPr>
          <w:color w:val="auto"/>
          <w:highlight w:val="none"/>
        </w:rPr>
        <w:t>组织设计</w:t>
      </w:r>
      <w:bookmarkEnd w:id="1274"/>
    </w:p>
    <w:p>
      <w:pPr>
        <w:tabs>
          <w:tab w:val="left" w:pos="720"/>
        </w:tabs>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 xml:space="preserve"> </w:t>
      </w:r>
      <w:r>
        <w:rPr>
          <w:rFonts w:hint="eastAsia"/>
          <w:color w:val="auto"/>
          <w:szCs w:val="21"/>
          <w:highlight w:val="none"/>
        </w:rPr>
        <w:tab/>
      </w:r>
      <w:r>
        <w:rPr>
          <w:rFonts w:hint="eastAsia"/>
          <w:color w:val="auto"/>
          <w:szCs w:val="21"/>
          <w:highlight w:val="none"/>
        </w:rPr>
        <w:t>投标人编造技术部分的要求：编制时应采用文字并结合图形说明施工方法；拟投入本标段的主要施工设备情况、拟配置本标段的试验和检验仪器设备情况、劳动力计划等，同时应对关键工序、复杂环节重点提出相应技术措施。内容包括但不限于：</w:t>
      </w:r>
    </w:p>
    <w:p>
      <w:pPr>
        <w:tabs>
          <w:tab w:val="left" w:pos="72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（1）施工准备方案</w:t>
      </w:r>
    </w:p>
    <w:p>
      <w:pPr>
        <w:tabs>
          <w:tab w:val="left" w:pos="72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（2）施工实施方案</w:t>
      </w:r>
    </w:p>
    <w:p>
      <w:pPr>
        <w:tabs>
          <w:tab w:val="left" w:pos="72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（3）安全生产方案</w:t>
      </w:r>
    </w:p>
    <w:p>
      <w:pPr>
        <w:tabs>
          <w:tab w:val="left" w:pos="72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（4）施工进度方案</w:t>
      </w:r>
    </w:p>
    <w:p>
      <w:pPr>
        <w:tabs>
          <w:tab w:val="left" w:pos="72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（5）施工质量方案</w:t>
      </w:r>
    </w:p>
    <w:p>
      <w:pPr>
        <w:tabs>
          <w:tab w:val="left" w:pos="72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（6）材料控制方案</w:t>
      </w:r>
    </w:p>
    <w:p>
      <w:pPr>
        <w:tabs>
          <w:tab w:val="left" w:pos="72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（7）施工组织方案</w:t>
      </w:r>
    </w:p>
    <w:p>
      <w:pPr>
        <w:tabs>
          <w:tab w:val="left" w:pos="72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（8）工地维稳做法</w:t>
      </w:r>
    </w:p>
    <w:p>
      <w:pPr>
        <w:tabs>
          <w:tab w:val="left" w:pos="72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（9）设计效果图</w:t>
      </w:r>
    </w:p>
    <w:p>
      <w:pPr>
        <w:tabs>
          <w:tab w:val="left" w:pos="720"/>
        </w:tabs>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 xml:space="preserve"> </w:t>
      </w:r>
      <w:r>
        <w:rPr>
          <w:rFonts w:hint="eastAsia"/>
          <w:color w:val="auto"/>
          <w:szCs w:val="21"/>
          <w:highlight w:val="none"/>
        </w:rPr>
        <w:tab/>
      </w:r>
      <w:r>
        <w:rPr>
          <w:rFonts w:hint="eastAsia"/>
          <w:color w:val="auto"/>
          <w:szCs w:val="21"/>
          <w:highlight w:val="none"/>
        </w:rPr>
        <w:t>技术部分</w:t>
      </w:r>
      <w:r>
        <w:rPr>
          <w:color w:val="auto"/>
          <w:szCs w:val="21"/>
          <w:highlight w:val="none"/>
        </w:rPr>
        <w:t>除采用文字表述外可附下列图表，图表及格式要求附后。</w:t>
      </w:r>
    </w:p>
    <w:p>
      <w:pPr>
        <w:tabs>
          <w:tab w:val="left" w:pos="720"/>
        </w:tabs>
        <w:spacing w:line="360" w:lineRule="auto"/>
        <w:ind w:firstLine="756" w:firstLineChars="360"/>
        <w:rPr>
          <w:color w:val="auto"/>
          <w:szCs w:val="21"/>
          <w:highlight w:val="none"/>
        </w:rPr>
      </w:pPr>
      <w:r>
        <w:rPr>
          <w:color w:val="auto"/>
          <w:szCs w:val="21"/>
          <w:highlight w:val="none"/>
        </w:rPr>
        <w:t>附表一  拟投入本标段的主要施工设备表</w:t>
      </w:r>
    </w:p>
    <w:p>
      <w:pPr>
        <w:tabs>
          <w:tab w:val="left" w:pos="720"/>
        </w:tabs>
        <w:spacing w:line="360" w:lineRule="auto"/>
        <w:ind w:firstLine="756" w:firstLineChars="360"/>
        <w:rPr>
          <w:color w:val="auto"/>
          <w:szCs w:val="21"/>
          <w:highlight w:val="none"/>
        </w:rPr>
      </w:pPr>
      <w:r>
        <w:rPr>
          <w:color w:val="auto"/>
          <w:szCs w:val="21"/>
          <w:highlight w:val="none"/>
        </w:rPr>
        <w:t>附表二  拟配备本标段的试验和检测仪器设备表</w:t>
      </w:r>
    </w:p>
    <w:p>
      <w:pPr>
        <w:tabs>
          <w:tab w:val="left" w:pos="720"/>
        </w:tabs>
        <w:spacing w:line="360" w:lineRule="auto"/>
        <w:ind w:firstLine="756" w:firstLineChars="360"/>
        <w:rPr>
          <w:color w:val="auto"/>
          <w:szCs w:val="21"/>
          <w:highlight w:val="none"/>
        </w:rPr>
      </w:pPr>
      <w:r>
        <w:rPr>
          <w:color w:val="auto"/>
          <w:szCs w:val="21"/>
          <w:highlight w:val="none"/>
        </w:rPr>
        <w:t>附表三  劳动力计划表</w:t>
      </w:r>
    </w:p>
    <w:p>
      <w:pPr>
        <w:tabs>
          <w:tab w:val="left" w:pos="720"/>
        </w:tabs>
        <w:spacing w:line="360" w:lineRule="auto"/>
        <w:ind w:firstLine="756" w:firstLineChars="360"/>
        <w:rPr>
          <w:color w:val="auto"/>
          <w:szCs w:val="21"/>
          <w:highlight w:val="none"/>
        </w:rPr>
      </w:pPr>
      <w:r>
        <w:rPr>
          <w:color w:val="auto"/>
          <w:szCs w:val="21"/>
          <w:highlight w:val="none"/>
        </w:rPr>
        <w:t>附表四  计划开、</w:t>
      </w:r>
      <w:r>
        <w:rPr>
          <w:rFonts w:hint="eastAsia"/>
          <w:color w:val="auto"/>
          <w:szCs w:val="21"/>
          <w:highlight w:val="none"/>
        </w:rPr>
        <w:t>竣工</w:t>
      </w:r>
      <w:r>
        <w:rPr>
          <w:color w:val="auto"/>
          <w:szCs w:val="21"/>
          <w:highlight w:val="none"/>
        </w:rPr>
        <w:t>日期和施工进度网络图</w:t>
      </w:r>
    </w:p>
    <w:p>
      <w:pPr>
        <w:tabs>
          <w:tab w:val="left" w:pos="720"/>
        </w:tabs>
        <w:spacing w:line="360" w:lineRule="auto"/>
        <w:ind w:firstLine="756" w:firstLineChars="360"/>
        <w:rPr>
          <w:color w:val="auto"/>
          <w:szCs w:val="21"/>
          <w:highlight w:val="none"/>
        </w:rPr>
      </w:pPr>
      <w:r>
        <w:rPr>
          <w:color w:val="auto"/>
          <w:szCs w:val="21"/>
          <w:highlight w:val="none"/>
        </w:rPr>
        <w:t>附表五  施工总平面图</w:t>
      </w:r>
    </w:p>
    <w:p>
      <w:pPr>
        <w:autoSpaceDE w:val="0"/>
        <w:autoSpaceDN w:val="0"/>
        <w:adjustRightInd w:val="0"/>
        <w:ind w:firstLine="420" w:firstLineChars="200"/>
        <w:jc w:val="left"/>
        <w:rPr>
          <w:rFonts w:eastAsia="仿宋_GB2312"/>
          <w:color w:val="auto"/>
          <w:szCs w:val="21"/>
          <w:highlight w:val="none"/>
        </w:rPr>
      </w:pPr>
    </w:p>
    <w:p>
      <w:pPr>
        <w:tabs>
          <w:tab w:val="left" w:pos="720"/>
        </w:tabs>
        <w:spacing w:line="440" w:lineRule="exact"/>
        <w:ind w:firstLine="756" w:firstLineChars="360"/>
        <w:rPr>
          <w:color w:val="auto"/>
          <w:szCs w:val="21"/>
          <w:highlight w:val="none"/>
        </w:rPr>
      </w:pPr>
    </w:p>
    <w:p>
      <w:pPr>
        <w:spacing w:line="440" w:lineRule="exact"/>
        <w:rPr>
          <w:color w:val="auto"/>
          <w:szCs w:val="21"/>
          <w:highlight w:val="none"/>
        </w:rPr>
      </w:pPr>
    </w:p>
    <w:p>
      <w:pPr>
        <w:keepNext/>
        <w:keepLines/>
        <w:spacing w:line="400" w:lineRule="exact"/>
        <w:outlineLvl w:val="2"/>
        <w:rPr>
          <w:rFonts w:eastAsia="黑体" w:cs="宋体"/>
          <w:color w:val="auto"/>
          <w:sz w:val="24"/>
          <w:highlight w:val="none"/>
        </w:rPr>
      </w:pPr>
      <w:bookmarkStart w:id="1275" w:name="_Toc144974865"/>
      <w:bookmarkStart w:id="1276" w:name="_Toc152045797"/>
      <w:bookmarkStart w:id="1277" w:name="_Toc152042586"/>
      <w:r>
        <w:rPr>
          <w:rFonts w:eastAsia="黑体" w:cs="宋体"/>
          <w:color w:val="auto"/>
          <w:sz w:val="24"/>
          <w:highlight w:val="none"/>
        </w:rPr>
        <w:br w:type="page"/>
      </w:r>
      <w:bookmarkStart w:id="1278" w:name="_Toc37947285"/>
      <w:bookmarkStart w:id="1279" w:name="_Toc113286291"/>
      <w:bookmarkStart w:id="1280" w:name="_Toc17000"/>
      <w:bookmarkStart w:id="1281" w:name="_Toc183772582"/>
      <w:bookmarkStart w:id="1282" w:name="_Toc101107399"/>
      <w:bookmarkStart w:id="1283" w:name="_Toc183770801"/>
      <w:r>
        <w:rPr>
          <w:rFonts w:eastAsia="黑体" w:cs="宋体"/>
          <w:color w:val="auto"/>
          <w:sz w:val="24"/>
          <w:highlight w:val="none"/>
        </w:rPr>
        <w:t>附表一：拟投入本</w:t>
      </w:r>
      <w:r>
        <w:rPr>
          <w:rFonts w:hint="eastAsia" w:eastAsia="黑体" w:cs="宋体"/>
          <w:color w:val="auto"/>
          <w:sz w:val="24"/>
          <w:highlight w:val="none"/>
        </w:rPr>
        <w:t>项目</w:t>
      </w:r>
      <w:r>
        <w:rPr>
          <w:rFonts w:eastAsia="黑体" w:cs="宋体"/>
          <w:color w:val="auto"/>
          <w:sz w:val="24"/>
          <w:highlight w:val="none"/>
        </w:rPr>
        <w:t>的主要施工设备表</w:t>
      </w:r>
      <w:bookmarkEnd w:id="1275"/>
      <w:bookmarkEnd w:id="1276"/>
      <w:bookmarkEnd w:id="1277"/>
      <w:bookmarkEnd w:id="1278"/>
      <w:bookmarkEnd w:id="1279"/>
      <w:bookmarkEnd w:id="1280"/>
      <w:bookmarkEnd w:id="1281"/>
      <w:bookmarkEnd w:id="1282"/>
      <w:bookmarkEnd w:id="1283"/>
    </w:p>
    <w:p>
      <w:pPr>
        <w:spacing w:line="440" w:lineRule="exact"/>
        <w:rPr>
          <w:color w:val="auto"/>
          <w:szCs w:val="21"/>
          <w:highlight w:val="none"/>
        </w:rPr>
      </w:pPr>
    </w:p>
    <w:tbl>
      <w:tblPr>
        <w:tblStyle w:val="74"/>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56"/>
        <w:gridCol w:w="880"/>
        <w:gridCol w:w="1144"/>
        <w:gridCol w:w="776"/>
        <w:gridCol w:w="853"/>
        <w:gridCol w:w="1401"/>
        <w:gridCol w:w="1011"/>
        <w:gridCol w:w="1219"/>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440" w:lineRule="exact"/>
              <w:rPr>
                <w:color w:val="auto"/>
                <w:szCs w:val="21"/>
                <w:highlight w:val="none"/>
              </w:rPr>
            </w:pPr>
            <w:r>
              <w:rPr>
                <w:color w:val="auto"/>
                <w:szCs w:val="21"/>
                <w:highlight w:val="none"/>
              </w:rPr>
              <w:t>序号</w:t>
            </w:r>
          </w:p>
        </w:tc>
        <w:tc>
          <w:tcPr>
            <w:tcW w:w="1256" w:type="dxa"/>
            <w:vAlign w:val="center"/>
          </w:tcPr>
          <w:p>
            <w:pPr>
              <w:spacing w:line="440" w:lineRule="exact"/>
              <w:rPr>
                <w:color w:val="auto"/>
                <w:szCs w:val="21"/>
                <w:highlight w:val="none"/>
              </w:rPr>
            </w:pPr>
            <w:r>
              <w:rPr>
                <w:color w:val="auto"/>
                <w:szCs w:val="21"/>
                <w:highlight w:val="none"/>
              </w:rPr>
              <w:t>设备名称</w:t>
            </w:r>
          </w:p>
        </w:tc>
        <w:tc>
          <w:tcPr>
            <w:tcW w:w="880" w:type="dxa"/>
            <w:vAlign w:val="center"/>
          </w:tcPr>
          <w:p>
            <w:pPr>
              <w:spacing w:line="440" w:lineRule="exact"/>
              <w:rPr>
                <w:color w:val="auto"/>
                <w:szCs w:val="21"/>
                <w:highlight w:val="none"/>
              </w:rPr>
            </w:pPr>
            <w:r>
              <w:rPr>
                <w:color w:val="auto"/>
                <w:szCs w:val="21"/>
                <w:highlight w:val="none"/>
              </w:rPr>
              <w:t>型号</w:t>
            </w:r>
          </w:p>
          <w:p>
            <w:pPr>
              <w:spacing w:line="440" w:lineRule="exact"/>
              <w:rPr>
                <w:color w:val="auto"/>
                <w:szCs w:val="21"/>
                <w:highlight w:val="none"/>
              </w:rPr>
            </w:pPr>
            <w:r>
              <w:rPr>
                <w:color w:val="auto"/>
                <w:szCs w:val="21"/>
                <w:highlight w:val="none"/>
              </w:rPr>
              <w:t>规格</w:t>
            </w:r>
          </w:p>
        </w:tc>
        <w:tc>
          <w:tcPr>
            <w:tcW w:w="1144" w:type="dxa"/>
            <w:vAlign w:val="center"/>
          </w:tcPr>
          <w:p>
            <w:pPr>
              <w:spacing w:line="440" w:lineRule="exact"/>
              <w:rPr>
                <w:color w:val="auto"/>
                <w:szCs w:val="21"/>
                <w:highlight w:val="none"/>
              </w:rPr>
            </w:pPr>
            <w:r>
              <w:rPr>
                <w:color w:val="auto"/>
                <w:szCs w:val="21"/>
                <w:highlight w:val="none"/>
              </w:rPr>
              <w:t>数量</w:t>
            </w:r>
          </w:p>
        </w:tc>
        <w:tc>
          <w:tcPr>
            <w:tcW w:w="776" w:type="dxa"/>
            <w:vAlign w:val="center"/>
          </w:tcPr>
          <w:p>
            <w:pPr>
              <w:spacing w:line="440" w:lineRule="exact"/>
              <w:rPr>
                <w:color w:val="auto"/>
                <w:szCs w:val="21"/>
                <w:highlight w:val="none"/>
              </w:rPr>
            </w:pPr>
            <w:r>
              <w:rPr>
                <w:color w:val="auto"/>
                <w:szCs w:val="21"/>
                <w:highlight w:val="none"/>
              </w:rPr>
              <w:t>国别</w:t>
            </w:r>
          </w:p>
          <w:p>
            <w:pPr>
              <w:spacing w:line="440" w:lineRule="exact"/>
              <w:rPr>
                <w:color w:val="auto"/>
                <w:szCs w:val="21"/>
                <w:highlight w:val="none"/>
              </w:rPr>
            </w:pPr>
            <w:r>
              <w:rPr>
                <w:color w:val="auto"/>
                <w:szCs w:val="21"/>
                <w:highlight w:val="none"/>
              </w:rPr>
              <w:t>产地</w:t>
            </w:r>
          </w:p>
        </w:tc>
        <w:tc>
          <w:tcPr>
            <w:tcW w:w="853" w:type="dxa"/>
            <w:vAlign w:val="center"/>
          </w:tcPr>
          <w:p>
            <w:pPr>
              <w:spacing w:line="440" w:lineRule="exact"/>
              <w:rPr>
                <w:color w:val="auto"/>
                <w:szCs w:val="21"/>
                <w:highlight w:val="none"/>
              </w:rPr>
            </w:pPr>
            <w:r>
              <w:rPr>
                <w:color w:val="auto"/>
                <w:szCs w:val="21"/>
                <w:highlight w:val="none"/>
              </w:rPr>
              <w:t>制造</w:t>
            </w:r>
          </w:p>
          <w:p>
            <w:pPr>
              <w:spacing w:line="440" w:lineRule="exact"/>
              <w:rPr>
                <w:color w:val="auto"/>
                <w:szCs w:val="21"/>
                <w:highlight w:val="none"/>
              </w:rPr>
            </w:pPr>
            <w:r>
              <w:rPr>
                <w:color w:val="auto"/>
                <w:szCs w:val="21"/>
                <w:highlight w:val="none"/>
              </w:rPr>
              <w:t>年份</w:t>
            </w:r>
          </w:p>
        </w:tc>
        <w:tc>
          <w:tcPr>
            <w:tcW w:w="1401" w:type="dxa"/>
            <w:vAlign w:val="center"/>
          </w:tcPr>
          <w:p>
            <w:pPr>
              <w:spacing w:line="440" w:lineRule="exact"/>
              <w:rPr>
                <w:color w:val="auto"/>
                <w:szCs w:val="21"/>
                <w:highlight w:val="none"/>
              </w:rPr>
            </w:pPr>
            <w:r>
              <w:rPr>
                <w:color w:val="auto"/>
                <w:szCs w:val="21"/>
                <w:highlight w:val="none"/>
              </w:rPr>
              <w:t>额定功率（</w:t>
            </w:r>
            <w:r>
              <w:rPr>
                <w:rFonts w:hint="eastAsia"/>
                <w:color w:val="auto"/>
                <w:szCs w:val="21"/>
                <w:highlight w:val="none"/>
              </w:rPr>
              <w:t>K</w:t>
            </w:r>
            <w:r>
              <w:rPr>
                <w:color w:val="auto"/>
                <w:szCs w:val="21"/>
                <w:highlight w:val="none"/>
              </w:rPr>
              <w:t>W）</w:t>
            </w:r>
          </w:p>
        </w:tc>
        <w:tc>
          <w:tcPr>
            <w:tcW w:w="1011" w:type="dxa"/>
            <w:vAlign w:val="center"/>
          </w:tcPr>
          <w:p>
            <w:pPr>
              <w:spacing w:line="440" w:lineRule="exact"/>
              <w:rPr>
                <w:color w:val="auto"/>
                <w:szCs w:val="21"/>
                <w:highlight w:val="none"/>
              </w:rPr>
            </w:pPr>
            <w:r>
              <w:rPr>
                <w:color w:val="auto"/>
                <w:szCs w:val="21"/>
                <w:highlight w:val="none"/>
              </w:rPr>
              <w:t>生产</w:t>
            </w:r>
          </w:p>
          <w:p>
            <w:pPr>
              <w:spacing w:line="440" w:lineRule="exact"/>
              <w:rPr>
                <w:color w:val="auto"/>
                <w:szCs w:val="21"/>
                <w:highlight w:val="none"/>
              </w:rPr>
            </w:pPr>
            <w:r>
              <w:rPr>
                <w:color w:val="auto"/>
                <w:szCs w:val="21"/>
                <w:highlight w:val="none"/>
              </w:rPr>
              <w:t>能力</w:t>
            </w:r>
          </w:p>
        </w:tc>
        <w:tc>
          <w:tcPr>
            <w:tcW w:w="1219" w:type="dxa"/>
            <w:vAlign w:val="center"/>
          </w:tcPr>
          <w:p>
            <w:pPr>
              <w:spacing w:line="440" w:lineRule="exact"/>
              <w:rPr>
                <w:color w:val="auto"/>
                <w:szCs w:val="21"/>
                <w:highlight w:val="none"/>
              </w:rPr>
            </w:pPr>
            <w:r>
              <w:rPr>
                <w:color w:val="auto"/>
                <w:szCs w:val="21"/>
                <w:highlight w:val="none"/>
              </w:rPr>
              <w:t>用于施工部位</w:t>
            </w:r>
          </w:p>
        </w:tc>
        <w:tc>
          <w:tcPr>
            <w:tcW w:w="799" w:type="dxa"/>
            <w:vAlign w:val="center"/>
          </w:tcPr>
          <w:p>
            <w:pPr>
              <w:spacing w:line="440" w:lineRule="exact"/>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440" w:lineRule="exact"/>
              <w:rPr>
                <w:color w:val="auto"/>
                <w:szCs w:val="21"/>
                <w:highlight w:val="none"/>
              </w:rPr>
            </w:pPr>
          </w:p>
        </w:tc>
        <w:tc>
          <w:tcPr>
            <w:tcW w:w="1256" w:type="dxa"/>
            <w:vAlign w:val="center"/>
          </w:tcPr>
          <w:p>
            <w:pPr>
              <w:spacing w:line="440" w:lineRule="exact"/>
              <w:rPr>
                <w:color w:val="auto"/>
                <w:szCs w:val="21"/>
                <w:highlight w:val="none"/>
              </w:rPr>
            </w:pPr>
          </w:p>
        </w:tc>
        <w:tc>
          <w:tcPr>
            <w:tcW w:w="880" w:type="dxa"/>
            <w:vAlign w:val="center"/>
          </w:tcPr>
          <w:p>
            <w:pPr>
              <w:spacing w:line="440" w:lineRule="exact"/>
              <w:rPr>
                <w:color w:val="auto"/>
                <w:szCs w:val="21"/>
                <w:highlight w:val="none"/>
              </w:rPr>
            </w:pPr>
          </w:p>
        </w:tc>
        <w:tc>
          <w:tcPr>
            <w:tcW w:w="1144" w:type="dxa"/>
            <w:vAlign w:val="center"/>
          </w:tcPr>
          <w:p>
            <w:pPr>
              <w:spacing w:line="440" w:lineRule="exact"/>
              <w:rPr>
                <w:color w:val="auto"/>
                <w:szCs w:val="21"/>
                <w:highlight w:val="none"/>
              </w:rPr>
            </w:pPr>
          </w:p>
        </w:tc>
        <w:tc>
          <w:tcPr>
            <w:tcW w:w="776" w:type="dxa"/>
            <w:vAlign w:val="center"/>
          </w:tcPr>
          <w:p>
            <w:pPr>
              <w:spacing w:line="440" w:lineRule="exact"/>
              <w:rPr>
                <w:color w:val="auto"/>
                <w:szCs w:val="21"/>
                <w:highlight w:val="none"/>
              </w:rPr>
            </w:pPr>
          </w:p>
        </w:tc>
        <w:tc>
          <w:tcPr>
            <w:tcW w:w="853" w:type="dxa"/>
            <w:vAlign w:val="center"/>
          </w:tcPr>
          <w:p>
            <w:pPr>
              <w:spacing w:line="440" w:lineRule="exact"/>
              <w:rPr>
                <w:color w:val="auto"/>
                <w:szCs w:val="21"/>
                <w:highlight w:val="none"/>
              </w:rPr>
            </w:pPr>
          </w:p>
        </w:tc>
        <w:tc>
          <w:tcPr>
            <w:tcW w:w="1401" w:type="dxa"/>
            <w:vAlign w:val="center"/>
          </w:tcPr>
          <w:p>
            <w:pPr>
              <w:spacing w:line="440" w:lineRule="exact"/>
              <w:rPr>
                <w:color w:val="auto"/>
                <w:szCs w:val="21"/>
                <w:highlight w:val="none"/>
              </w:rPr>
            </w:pPr>
          </w:p>
        </w:tc>
        <w:tc>
          <w:tcPr>
            <w:tcW w:w="1011" w:type="dxa"/>
            <w:vAlign w:val="center"/>
          </w:tcPr>
          <w:p>
            <w:pPr>
              <w:spacing w:line="440" w:lineRule="exact"/>
              <w:rPr>
                <w:color w:val="auto"/>
                <w:szCs w:val="21"/>
                <w:highlight w:val="none"/>
              </w:rPr>
            </w:pPr>
          </w:p>
        </w:tc>
        <w:tc>
          <w:tcPr>
            <w:tcW w:w="1219" w:type="dxa"/>
            <w:vAlign w:val="center"/>
          </w:tcPr>
          <w:p>
            <w:pPr>
              <w:spacing w:line="440" w:lineRule="exact"/>
              <w:rPr>
                <w:color w:val="auto"/>
                <w:szCs w:val="21"/>
                <w:highlight w:val="none"/>
              </w:rPr>
            </w:pPr>
          </w:p>
        </w:tc>
        <w:tc>
          <w:tcPr>
            <w:tcW w:w="799" w:type="dxa"/>
            <w:vAlign w:val="center"/>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440" w:lineRule="exact"/>
              <w:rPr>
                <w:color w:val="auto"/>
                <w:szCs w:val="21"/>
                <w:highlight w:val="none"/>
              </w:rPr>
            </w:pPr>
          </w:p>
        </w:tc>
        <w:tc>
          <w:tcPr>
            <w:tcW w:w="1256" w:type="dxa"/>
            <w:vAlign w:val="center"/>
          </w:tcPr>
          <w:p>
            <w:pPr>
              <w:spacing w:line="440" w:lineRule="exact"/>
              <w:rPr>
                <w:color w:val="auto"/>
                <w:szCs w:val="21"/>
                <w:highlight w:val="none"/>
              </w:rPr>
            </w:pPr>
          </w:p>
        </w:tc>
        <w:tc>
          <w:tcPr>
            <w:tcW w:w="880" w:type="dxa"/>
            <w:vAlign w:val="center"/>
          </w:tcPr>
          <w:p>
            <w:pPr>
              <w:spacing w:line="440" w:lineRule="exact"/>
              <w:rPr>
                <w:color w:val="auto"/>
                <w:szCs w:val="21"/>
                <w:highlight w:val="none"/>
              </w:rPr>
            </w:pPr>
          </w:p>
        </w:tc>
        <w:tc>
          <w:tcPr>
            <w:tcW w:w="1144" w:type="dxa"/>
            <w:vAlign w:val="center"/>
          </w:tcPr>
          <w:p>
            <w:pPr>
              <w:spacing w:line="440" w:lineRule="exact"/>
              <w:rPr>
                <w:color w:val="auto"/>
                <w:szCs w:val="21"/>
                <w:highlight w:val="none"/>
              </w:rPr>
            </w:pPr>
          </w:p>
        </w:tc>
        <w:tc>
          <w:tcPr>
            <w:tcW w:w="776" w:type="dxa"/>
            <w:vAlign w:val="center"/>
          </w:tcPr>
          <w:p>
            <w:pPr>
              <w:spacing w:line="440" w:lineRule="exact"/>
              <w:rPr>
                <w:color w:val="auto"/>
                <w:szCs w:val="21"/>
                <w:highlight w:val="none"/>
              </w:rPr>
            </w:pPr>
          </w:p>
        </w:tc>
        <w:tc>
          <w:tcPr>
            <w:tcW w:w="853" w:type="dxa"/>
            <w:vAlign w:val="center"/>
          </w:tcPr>
          <w:p>
            <w:pPr>
              <w:spacing w:line="440" w:lineRule="exact"/>
              <w:rPr>
                <w:color w:val="auto"/>
                <w:szCs w:val="21"/>
                <w:highlight w:val="none"/>
              </w:rPr>
            </w:pPr>
          </w:p>
        </w:tc>
        <w:tc>
          <w:tcPr>
            <w:tcW w:w="1401" w:type="dxa"/>
            <w:vAlign w:val="center"/>
          </w:tcPr>
          <w:p>
            <w:pPr>
              <w:spacing w:line="440" w:lineRule="exact"/>
              <w:rPr>
                <w:color w:val="auto"/>
                <w:szCs w:val="21"/>
                <w:highlight w:val="none"/>
              </w:rPr>
            </w:pPr>
          </w:p>
        </w:tc>
        <w:tc>
          <w:tcPr>
            <w:tcW w:w="1011" w:type="dxa"/>
            <w:vAlign w:val="center"/>
          </w:tcPr>
          <w:p>
            <w:pPr>
              <w:spacing w:line="440" w:lineRule="exact"/>
              <w:rPr>
                <w:color w:val="auto"/>
                <w:szCs w:val="21"/>
                <w:highlight w:val="none"/>
              </w:rPr>
            </w:pPr>
          </w:p>
        </w:tc>
        <w:tc>
          <w:tcPr>
            <w:tcW w:w="1219" w:type="dxa"/>
            <w:vAlign w:val="center"/>
          </w:tcPr>
          <w:p>
            <w:pPr>
              <w:spacing w:line="440" w:lineRule="exact"/>
              <w:rPr>
                <w:color w:val="auto"/>
                <w:szCs w:val="21"/>
                <w:highlight w:val="none"/>
              </w:rPr>
            </w:pPr>
          </w:p>
        </w:tc>
        <w:tc>
          <w:tcPr>
            <w:tcW w:w="799" w:type="dxa"/>
            <w:vAlign w:val="center"/>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440" w:lineRule="exact"/>
              <w:rPr>
                <w:color w:val="auto"/>
                <w:szCs w:val="21"/>
                <w:highlight w:val="none"/>
              </w:rPr>
            </w:pPr>
          </w:p>
        </w:tc>
        <w:tc>
          <w:tcPr>
            <w:tcW w:w="1256" w:type="dxa"/>
          </w:tcPr>
          <w:p>
            <w:pPr>
              <w:spacing w:line="440" w:lineRule="exact"/>
              <w:rPr>
                <w:color w:val="auto"/>
                <w:szCs w:val="21"/>
                <w:highlight w:val="none"/>
              </w:rPr>
            </w:pPr>
          </w:p>
        </w:tc>
        <w:tc>
          <w:tcPr>
            <w:tcW w:w="880" w:type="dxa"/>
          </w:tcPr>
          <w:p>
            <w:pPr>
              <w:spacing w:line="440" w:lineRule="exact"/>
              <w:rPr>
                <w:color w:val="auto"/>
                <w:szCs w:val="21"/>
                <w:highlight w:val="none"/>
              </w:rPr>
            </w:pPr>
          </w:p>
        </w:tc>
        <w:tc>
          <w:tcPr>
            <w:tcW w:w="1144" w:type="dxa"/>
          </w:tcPr>
          <w:p>
            <w:pPr>
              <w:spacing w:line="440" w:lineRule="exact"/>
              <w:rPr>
                <w:color w:val="auto"/>
                <w:szCs w:val="21"/>
                <w:highlight w:val="none"/>
              </w:rPr>
            </w:pPr>
          </w:p>
        </w:tc>
        <w:tc>
          <w:tcPr>
            <w:tcW w:w="776" w:type="dxa"/>
          </w:tcPr>
          <w:p>
            <w:pPr>
              <w:spacing w:line="440" w:lineRule="exact"/>
              <w:rPr>
                <w:color w:val="auto"/>
                <w:szCs w:val="21"/>
                <w:highlight w:val="none"/>
              </w:rPr>
            </w:pPr>
          </w:p>
        </w:tc>
        <w:tc>
          <w:tcPr>
            <w:tcW w:w="853" w:type="dxa"/>
          </w:tcPr>
          <w:p>
            <w:pPr>
              <w:spacing w:line="440" w:lineRule="exact"/>
              <w:rPr>
                <w:color w:val="auto"/>
                <w:szCs w:val="21"/>
                <w:highlight w:val="none"/>
              </w:rPr>
            </w:pPr>
          </w:p>
        </w:tc>
        <w:tc>
          <w:tcPr>
            <w:tcW w:w="1401" w:type="dxa"/>
          </w:tcPr>
          <w:p>
            <w:pPr>
              <w:spacing w:line="440" w:lineRule="exact"/>
              <w:rPr>
                <w:color w:val="auto"/>
                <w:szCs w:val="21"/>
                <w:highlight w:val="none"/>
              </w:rPr>
            </w:pPr>
          </w:p>
        </w:tc>
        <w:tc>
          <w:tcPr>
            <w:tcW w:w="1011" w:type="dxa"/>
          </w:tcPr>
          <w:p>
            <w:pPr>
              <w:spacing w:line="440" w:lineRule="exact"/>
              <w:rPr>
                <w:color w:val="auto"/>
                <w:szCs w:val="21"/>
                <w:highlight w:val="none"/>
              </w:rPr>
            </w:pPr>
          </w:p>
        </w:tc>
        <w:tc>
          <w:tcPr>
            <w:tcW w:w="1219" w:type="dxa"/>
          </w:tcPr>
          <w:p>
            <w:pPr>
              <w:spacing w:line="440" w:lineRule="exact"/>
              <w:rPr>
                <w:color w:val="auto"/>
                <w:szCs w:val="21"/>
                <w:highlight w:val="none"/>
              </w:rPr>
            </w:pPr>
          </w:p>
        </w:tc>
        <w:tc>
          <w:tcPr>
            <w:tcW w:w="799" w:type="dxa"/>
          </w:tcPr>
          <w:p>
            <w:pPr>
              <w:spacing w:line="440" w:lineRule="exact"/>
              <w:rPr>
                <w:color w:val="auto"/>
                <w:szCs w:val="21"/>
                <w:highlight w:val="none"/>
              </w:rPr>
            </w:pPr>
          </w:p>
        </w:tc>
      </w:tr>
    </w:tbl>
    <w:p>
      <w:pPr>
        <w:spacing w:line="440" w:lineRule="exact"/>
        <w:rPr>
          <w:rFonts w:eastAsia="黑体"/>
          <w:color w:val="auto"/>
          <w:szCs w:val="21"/>
          <w:highlight w:val="none"/>
        </w:rPr>
      </w:pPr>
    </w:p>
    <w:p>
      <w:pPr>
        <w:spacing w:line="440" w:lineRule="exact"/>
        <w:outlineLvl w:val="2"/>
        <w:rPr>
          <w:color w:val="auto"/>
          <w:sz w:val="24"/>
          <w:highlight w:val="none"/>
        </w:rPr>
      </w:pPr>
      <w:r>
        <w:rPr>
          <w:rFonts w:eastAsia="黑体"/>
          <w:color w:val="auto"/>
          <w:szCs w:val="21"/>
          <w:highlight w:val="none"/>
        </w:rPr>
        <w:br w:type="page"/>
      </w:r>
      <w:bookmarkStart w:id="1284" w:name="_Toc152045798"/>
      <w:bookmarkStart w:id="1285" w:name="_Toc144974866"/>
      <w:bookmarkStart w:id="1286" w:name="_Toc152042587"/>
      <w:bookmarkStart w:id="1287" w:name="_Toc317"/>
      <w:bookmarkStart w:id="1288" w:name="_Toc113286292"/>
      <w:bookmarkStart w:id="1289" w:name="_Toc183772583"/>
      <w:bookmarkStart w:id="1290" w:name="_Toc37947286"/>
      <w:bookmarkStart w:id="1291" w:name="_Toc101107400"/>
      <w:bookmarkStart w:id="1292" w:name="_Toc183770802"/>
      <w:r>
        <w:rPr>
          <w:rFonts w:eastAsia="黑体" w:cs="宋体"/>
          <w:color w:val="auto"/>
          <w:sz w:val="24"/>
          <w:highlight w:val="none"/>
        </w:rPr>
        <w:t>附表二：拟配备本</w:t>
      </w:r>
      <w:r>
        <w:rPr>
          <w:rFonts w:hint="eastAsia" w:eastAsia="黑体" w:cs="宋体"/>
          <w:color w:val="auto"/>
          <w:sz w:val="24"/>
          <w:highlight w:val="none"/>
        </w:rPr>
        <w:t>项目</w:t>
      </w:r>
      <w:r>
        <w:rPr>
          <w:rFonts w:eastAsia="黑体" w:cs="宋体"/>
          <w:color w:val="auto"/>
          <w:sz w:val="24"/>
          <w:highlight w:val="none"/>
        </w:rPr>
        <w:t>的试验和检测仪器设备表</w:t>
      </w:r>
      <w:bookmarkEnd w:id="1284"/>
      <w:bookmarkEnd w:id="1285"/>
      <w:bookmarkEnd w:id="1286"/>
      <w:bookmarkEnd w:id="1287"/>
      <w:bookmarkEnd w:id="1288"/>
      <w:bookmarkEnd w:id="1289"/>
      <w:bookmarkEnd w:id="1290"/>
      <w:bookmarkEnd w:id="1291"/>
      <w:bookmarkEnd w:id="1292"/>
    </w:p>
    <w:p>
      <w:pPr>
        <w:spacing w:line="440" w:lineRule="exact"/>
        <w:rPr>
          <w:color w:val="auto"/>
          <w:szCs w:val="21"/>
          <w:highlight w:val="none"/>
        </w:rPr>
      </w:pPr>
    </w:p>
    <w:tbl>
      <w:tblPr>
        <w:tblStyle w:val="74"/>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57"/>
        <w:gridCol w:w="879"/>
        <w:gridCol w:w="1146"/>
        <w:gridCol w:w="777"/>
        <w:gridCol w:w="854"/>
        <w:gridCol w:w="1402"/>
        <w:gridCol w:w="191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spacing w:line="440" w:lineRule="exact"/>
              <w:rPr>
                <w:color w:val="auto"/>
                <w:szCs w:val="21"/>
                <w:highlight w:val="none"/>
              </w:rPr>
            </w:pPr>
            <w:r>
              <w:rPr>
                <w:color w:val="auto"/>
                <w:szCs w:val="21"/>
                <w:highlight w:val="none"/>
              </w:rPr>
              <w:t>序号</w:t>
            </w:r>
          </w:p>
        </w:tc>
        <w:tc>
          <w:tcPr>
            <w:tcW w:w="1257" w:type="dxa"/>
            <w:vAlign w:val="center"/>
          </w:tcPr>
          <w:p>
            <w:pPr>
              <w:spacing w:line="440" w:lineRule="exact"/>
              <w:rPr>
                <w:color w:val="auto"/>
                <w:szCs w:val="21"/>
                <w:highlight w:val="none"/>
              </w:rPr>
            </w:pPr>
            <w:r>
              <w:rPr>
                <w:color w:val="auto"/>
                <w:szCs w:val="21"/>
                <w:highlight w:val="none"/>
              </w:rPr>
              <w:t>仪器设备名称</w:t>
            </w:r>
          </w:p>
        </w:tc>
        <w:tc>
          <w:tcPr>
            <w:tcW w:w="879" w:type="dxa"/>
            <w:vAlign w:val="center"/>
          </w:tcPr>
          <w:p>
            <w:pPr>
              <w:spacing w:line="440" w:lineRule="exact"/>
              <w:rPr>
                <w:color w:val="auto"/>
                <w:szCs w:val="21"/>
                <w:highlight w:val="none"/>
              </w:rPr>
            </w:pPr>
            <w:r>
              <w:rPr>
                <w:color w:val="auto"/>
                <w:szCs w:val="21"/>
                <w:highlight w:val="none"/>
              </w:rPr>
              <w:t>型号</w:t>
            </w:r>
          </w:p>
          <w:p>
            <w:pPr>
              <w:spacing w:line="440" w:lineRule="exact"/>
              <w:rPr>
                <w:color w:val="auto"/>
                <w:szCs w:val="21"/>
                <w:highlight w:val="none"/>
              </w:rPr>
            </w:pPr>
            <w:r>
              <w:rPr>
                <w:color w:val="auto"/>
                <w:szCs w:val="21"/>
                <w:highlight w:val="none"/>
              </w:rPr>
              <w:t>规格</w:t>
            </w:r>
          </w:p>
        </w:tc>
        <w:tc>
          <w:tcPr>
            <w:tcW w:w="1146" w:type="dxa"/>
            <w:vAlign w:val="center"/>
          </w:tcPr>
          <w:p>
            <w:pPr>
              <w:spacing w:line="440" w:lineRule="exact"/>
              <w:rPr>
                <w:color w:val="auto"/>
                <w:szCs w:val="21"/>
                <w:highlight w:val="none"/>
              </w:rPr>
            </w:pPr>
            <w:r>
              <w:rPr>
                <w:color w:val="auto"/>
                <w:szCs w:val="21"/>
                <w:highlight w:val="none"/>
              </w:rPr>
              <w:t>数量</w:t>
            </w:r>
          </w:p>
        </w:tc>
        <w:tc>
          <w:tcPr>
            <w:tcW w:w="777" w:type="dxa"/>
            <w:vAlign w:val="center"/>
          </w:tcPr>
          <w:p>
            <w:pPr>
              <w:spacing w:line="440" w:lineRule="exact"/>
              <w:rPr>
                <w:color w:val="auto"/>
                <w:szCs w:val="21"/>
                <w:highlight w:val="none"/>
              </w:rPr>
            </w:pPr>
            <w:r>
              <w:rPr>
                <w:color w:val="auto"/>
                <w:szCs w:val="21"/>
                <w:highlight w:val="none"/>
              </w:rPr>
              <w:t>国别</w:t>
            </w:r>
          </w:p>
          <w:p>
            <w:pPr>
              <w:spacing w:line="440" w:lineRule="exact"/>
              <w:rPr>
                <w:color w:val="auto"/>
                <w:szCs w:val="21"/>
                <w:highlight w:val="none"/>
              </w:rPr>
            </w:pPr>
            <w:r>
              <w:rPr>
                <w:color w:val="auto"/>
                <w:szCs w:val="21"/>
                <w:highlight w:val="none"/>
              </w:rPr>
              <w:t>产地</w:t>
            </w:r>
          </w:p>
        </w:tc>
        <w:tc>
          <w:tcPr>
            <w:tcW w:w="854" w:type="dxa"/>
            <w:vAlign w:val="center"/>
          </w:tcPr>
          <w:p>
            <w:pPr>
              <w:spacing w:line="440" w:lineRule="exact"/>
              <w:rPr>
                <w:color w:val="auto"/>
                <w:szCs w:val="21"/>
                <w:highlight w:val="none"/>
              </w:rPr>
            </w:pPr>
            <w:r>
              <w:rPr>
                <w:color w:val="auto"/>
                <w:szCs w:val="21"/>
                <w:highlight w:val="none"/>
              </w:rPr>
              <w:t>制造</w:t>
            </w:r>
          </w:p>
          <w:p>
            <w:pPr>
              <w:spacing w:line="440" w:lineRule="exact"/>
              <w:rPr>
                <w:color w:val="auto"/>
                <w:szCs w:val="21"/>
                <w:highlight w:val="none"/>
              </w:rPr>
            </w:pPr>
            <w:r>
              <w:rPr>
                <w:color w:val="auto"/>
                <w:szCs w:val="21"/>
                <w:highlight w:val="none"/>
              </w:rPr>
              <w:t>年份</w:t>
            </w:r>
          </w:p>
        </w:tc>
        <w:tc>
          <w:tcPr>
            <w:tcW w:w="1402" w:type="dxa"/>
            <w:vAlign w:val="center"/>
          </w:tcPr>
          <w:p>
            <w:pPr>
              <w:spacing w:line="440" w:lineRule="exact"/>
              <w:rPr>
                <w:color w:val="auto"/>
                <w:szCs w:val="21"/>
                <w:highlight w:val="none"/>
              </w:rPr>
            </w:pPr>
            <w:r>
              <w:rPr>
                <w:color w:val="auto"/>
                <w:szCs w:val="21"/>
                <w:highlight w:val="none"/>
              </w:rPr>
              <w:t>已使用台时数</w:t>
            </w:r>
          </w:p>
        </w:tc>
        <w:tc>
          <w:tcPr>
            <w:tcW w:w="1911" w:type="dxa"/>
            <w:vAlign w:val="center"/>
          </w:tcPr>
          <w:p>
            <w:pPr>
              <w:spacing w:line="440" w:lineRule="exact"/>
              <w:rPr>
                <w:color w:val="auto"/>
                <w:szCs w:val="21"/>
                <w:highlight w:val="none"/>
              </w:rPr>
            </w:pPr>
            <w:r>
              <w:rPr>
                <w:color w:val="auto"/>
                <w:szCs w:val="21"/>
                <w:highlight w:val="none"/>
              </w:rPr>
              <w:t>用途</w:t>
            </w:r>
          </w:p>
        </w:tc>
        <w:tc>
          <w:tcPr>
            <w:tcW w:w="795" w:type="dxa"/>
            <w:vAlign w:val="center"/>
          </w:tcPr>
          <w:p>
            <w:pPr>
              <w:spacing w:line="440" w:lineRule="exact"/>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spacing w:line="440" w:lineRule="exact"/>
              <w:rPr>
                <w:color w:val="auto"/>
                <w:szCs w:val="21"/>
                <w:highlight w:val="none"/>
              </w:rPr>
            </w:pPr>
          </w:p>
        </w:tc>
        <w:tc>
          <w:tcPr>
            <w:tcW w:w="1257" w:type="dxa"/>
            <w:vAlign w:val="center"/>
          </w:tcPr>
          <w:p>
            <w:pPr>
              <w:spacing w:line="440" w:lineRule="exact"/>
              <w:rPr>
                <w:color w:val="auto"/>
                <w:szCs w:val="21"/>
                <w:highlight w:val="none"/>
              </w:rPr>
            </w:pPr>
          </w:p>
        </w:tc>
        <w:tc>
          <w:tcPr>
            <w:tcW w:w="879" w:type="dxa"/>
            <w:vAlign w:val="center"/>
          </w:tcPr>
          <w:p>
            <w:pPr>
              <w:spacing w:line="440" w:lineRule="exact"/>
              <w:rPr>
                <w:color w:val="auto"/>
                <w:szCs w:val="21"/>
                <w:highlight w:val="none"/>
              </w:rPr>
            </w:pPr>
          </w:p>
        </w:tc>
        <w:tc>
          <w:tcPr>
            <w:tcW w:w="1146" w:type="dxa"/>
            <w:vAlign w:val="center"/>
          </w:tcPr>
          <w:p>
            <w:pPr>
              <w:spacing w:line="440" w:lineRule="exact"/>
              <w:rPr>
                <w:color w:val="auto"/>
                <w:szCs w:val="21"/>
                <w:highlight w:val="none"/>
              </w:rPr>
            </w:pPr>
          </w:p>
        </w:tc>
        <w:tc>
          <w:tcPr>
            <w:tcW w:w="777" w:type="dxa"/>
            <w:vAlign w:val="center"/>
          </w:tcPr>
          <w:p>
            <w:pPr>
              <w:spacing w:line="440" w:lineRule="exact"/>
              <w:rPr>
                <w:color w:val="auto"/>
                <w:szCs w:val="21"/>
                <w:highlight w:val="none"/>
              </w:rPr>
            </w:pPr>
          </w:p>
        </w:tc>
        <w:tc>
          <w:tcPr>
            <w:tcW w:w="854" w:type="dxa"/>
            <w:vAlign w:val="center"/>
          </w:tcPr>
          <w:p>
            <w:pPr>
              <w:spacing w:line="440" w:lineRule="exact"/>
              <w:rPr>
                <w:color w:val="auto"/>
                <w:szCs w:val="21"/>
                <w:highlight w:val="none"/>
              </w:rPr>
            </w:pPr>
          </w:p>
        </w:tc>
        <w:tc>
          <w:tcPr>
            <w:tcW w:w="1402" w:type="dxa"/>
            <w:vAlign w:val="center"/>
          </w:tcPr>
          <w:p>
            <w:pPr>
              <w:spacing w:line="440" w:lineRule="exact"/>
              <w:rPr>
                <w:color w:val="auto"/>
                <w:szCs w:val="21"/>
                <w:highlight w:val="none"/>
              </w:rPr>
            </w:pPr>
          </w:p>
        </w:tc>
        <w:tc>
          <w:tcPr>
            <w:tcW w:w="1911" w:type="dxa"/>
            <w:vAlign w:val="center"/>
          </w:tcPr>
          <w:p>
            <w:pPr>
              <w:spacing w:line="440" w:lineRule="exact"/>
              <w:rPr>
                <w:color w:val="auto"/>
                <w:szCs w:val="21"/>
                <w:highlight w:val="none"/>
              </w:rPr>
            </w:pPr>
          </w:p>
        </w:tc>
        <w:tc>
          <w:tcPr>
            <w:tcW w:w="795" w:type="dxa"/>
            <w:vAlign w:val="center"/>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spacing w:line="440" w:lineRule="exact"/>
              <w:rPr>
                <w:color w:val="auto"/>
                <w:szCs w:val="21"/>
                <w:highlight w:val="none"/>
              </w:rPr>
            </w:pPr>
          </w:p>
        </w:tc>
        <w:tc>
          <w:tcPr>
            <w:tcW w:w="1257" w:type="dxa"/>
            <w:vAlign w:val="center"/>
          </w:tcPr>
          <w:p>
            <w:pPr>
              <w:spacing w:line="440" w:lineRule="exact"/>
              <w:rPr>
                <w:color w:val="auto"/>
                <w:szCs w:val="21"/>
                <w:highlight w:val="none"/>
              </w:rPr>
            </w:pPr>
          </w:p>
        </w:tc>
        <w:tc>
          <w:tcPr>
            <w:tcW w:w="879" w:type="dxa"/>
            <w:vAlign w:val="center"/>
          </w:tcPr>
          <w:p>
            <w:pPr>
              <w:spacing w:line="440" w:lineRule="exact"/>
              <w:rPr>
                <w:color w:val="auto"/>
                <w:szCs w:val="21"/>
                <w:highlight w:val="none"/>
              </w:rPr>
            </w:pPr>
          </w:p>
        </w:tc>
        <w:tc>
          <w:tcPr>
            <w:tcW w:w="1146" w:type="dxa"/>
            <w:vAlign w:val="center"/>
          </w:tcPr>
          <w:p>
            <w:pPr>
              <w:spacing w:line="440" w:lineRule="exact"/>
              <w:rPr>
                <w:color w:val="auto"/>
                <w:szCs w:val="21"/>
                <w:highlight w:val="none"/>
              </w:rPr>
            </w:pPr>
          </w:p>
        </w:tc>
        <w:tc>
          <w:tcPr>
            <w:tcW w:w="777" w:type="dxa"/>
            <w:vAlign w:val="center"/>
          </w:tcPr>
          <w:p>
            <w:pPr>
              <w:spacing w:line="440" w:lineRule="exact"/>
              <w:rPr>
                <w:color w:val="auto"/>
                <w:szCs w:val="21"/>
                <w:highlight w:val="none"/>
              </w:rPr>
            </w:pPr>
          </w:p>
        </w:tc>
        <w:tc>
          <w:tcPr>
            <w:tcW w:w="854" w:type="dxa"/>
            <w:vAlign w:val="center"/>
          </w:tcPr>
          <w:p>
            <w:pPr>
              <w:spacing w:line="440" w:lineRule="exact"/>
              <w:rPr>
                <w:color w:val="auto"/>
                <w:szCs w:val="21"/>
                <w:highlight w:val="none"/>
              </w:rPr>
            </w:pPr>
          </w:p>
        </w:tc>
        <w:tc>
          <w:tcPr>
            <w:tcW w:w="1402" w:type="dxa"/>
            <w:vAlign w:val="center"/>
          </w:tcPr>
          <w:p>
            <w:pPr>
              <w:spacing w:line="440" w:lineRule="exact"/>
              <w:rPr>
                <w:color w:val="auto"/>
                <w:szCs w:val="21"/>
                <w:highlight w:val="none"/>
              </w:rPr>
            </w:pPr>
          </w:p>
        </w:tc>
        <w:tc>
          <w:tcPr>
            <w:tcW w:w="1911" w:type="dxa"/>
            <w:vAlign w:val="center"/>
          </w:tcPr>
          <w:p>
            <w:pPr>
              <w:spacing w:line="440" w:lineRule="exact"/>
              <w:rPr>
                <w:color w:val="auto"/>
                <w:szCs w:val="21"/>
                <w:highlight w:val="none"/>
              </w:rPr>
            </w:pPr>
          </w:p>
        </w:tc>
        <w:tc>
          <w:tcPr>
            <w:tcW w:w="795" w:type="dxa"/>
            <w:vAlign w:val="center"/>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spacing w:line="440" w:lineRule="exact"/>
              <w:rPr>
                <w:color w:val="auto"/>
                <w:szCs w:val="21"/>
                <w:highlight w:val="none"/>
              </w:rPr>
            </w:pPr>
          </w:p>
        </w:tc>
        <w:tc>
          <w:tcPr>
            <w:tcW w:w="1257" w:type="dxa"/>
          </w:tcPr>
          <w:p>
            <w:pPr>
              <w:spacing w:line="440" w:lineRule="exact"/>
              <w:rPr>
                <w:color w:val="auto"/>
                <w:szCs w:val="21"/>
                <w:highlight w:val="none"/>
              </w:rPr>
            </w:pPr>
          </w:p>
        </w:tc>
        <w:tc>
          <w:tcPr>
            <w:tcW w:w="879" w:type="dxa"/>
          </w:tcPr>
          <w:p>
            <w:pPr>
              <w:spacing w:line="440" w:lineRule="exact"/>
              <w:rPr>
                <w:color w:val="auto"/>
                <w:szCs w:val="21"/>
                <w:highlight w:val="none"/>
              </w:rPr>
            </w:pPr>
          </w:p>
        </w:tc>
        <w:tc>
          <w:tcPr>
            <w:tcW w:w="1146" w:type="dxa"/>
          </w:tcPr>
          <w:p>
            <w:pPr>
              <w:spacing w:line="440" w:lineRule="exact"/>
              <w:rPr>
                <w:color w:val="auto"/>
                <w:szCs w:val="21"/>
                <w:highlight w:val="none"/>
              </w:rPr>
            </w:pPr>
          </w:p>
        </w:tc>
        <w:tc>
          <w:tcPr>
            <w:tcW w:w="777" w:type="dxa"/>
          </w:tcPr>
          <w:p>
            <w:pPr>
              <w:spacing w:line="440" w:lineRule="exact"/>
              <w:rPr>
                <w:color w:val="auto"/>
                <w:szCs w:val="21"/>
                <w:highlight w:val="none"/>
              </w:rPr>
            </w:pPr>
          </w:p>
        </w:tc>
        <w:tc>
          <w:tcPr>
            <w:tcW w:w="854" w:type="dxa"/>
          </w:tcPr>
          <w:p>
            <w:pPr>
              <w:spacing w:line="440" w:lineRule="exact"/>
              <w:rPr>
                <w:color w:val="auto"/>
                <w:szCs w:val="21"/>
                <w:highlight w:val="none"/>
              </w:rPr>
            </w:pPr>
          </w:p>
        </w:tc>
        <w:tc>
          <w:tcPr>
            <w:tcW w:w="1402" w:type="dxa"/>
          </w:tcPr>
          <w:p>
            <w:pPr>
              <w:spacing w:line="440" w:lineRule="exact"/>
              <w:rPr>
                <w:color w:val="auto"/>
                <w:szCs w:val="21"/>
                <w:highlight w:val="none"/>
              </w:rPr>
            </w:pPr>
          </w:p>
        </w:tc>
        <w:tc>
          <w:tcPr>
            <w:tcW w:w="1911" w:type="dxa"/>
          </w:tcPr>
          <w:p>
            <w:pPr>
              <w:spacing w:line="440" w:lineRule="exact"/>
              <w:rPr>
                <w:color w:val="auto"/>
                <w:szCs w:val="21"/>
                <w:highlight w:val="none"/>
              </w:rPr>
            </w:pPr>
          </w:p>
        </w:tc>
        <w:tc>
          <w:tcPr>
            <w:tcW w:w="795" w:type="dxa"/>
          </w:tcPr>
          <w:p>
            <w:pPr>
              <w:spacing w:line="440" w:lineRule="exact"/>
              <w:rPr>
                <w:color w:val="auto"/>
                <w:szCs w:val="21"/>
                <w:highlight w:val="none"/>
              </w:rPr>
            </w:pPr>
          </w:p>
        </w:tc>
      </w:tr>
    </w:tbl>
    <w:p>
      <w:pPr>
        <w:spacing w:line="440" w:lineRule="exact"/>
        <w:outlineLvl w:val="2"/>
        <w:rPr>
          <w:rFonts w:eastAsia="黑体" w:cs="宋体"/>
          <w:color w:val="auto"/>
          <w:sz w:val="24"/>
          <w:highlight w:val="none"/>
        </w:rPr>
      </w:pPr>
      <w:r>
        <w:rPr>
          <w:rFonts w:eastAsia="黑体"/>
          <w:color w:val="auto"/>
          <w:szCs w:val="21"/>
          <w:highlight w:val="none"/>
        </w:rPr>
        <w:br w:type="page"/>
      </w:r>
      <w:bookmarkStart w:id="1293" w:name="_Toc101107401"/>
      <w:bookmarkStart w:id="1294" w:name="_Toc5857"/>
      <w:bookmarkStart w:id="1295" w:name="_Toc113286293"/>
      <w:bookmarkStart w:id="1296" w:name="_Toc152045799"/>
      <w:bookmarkStart w:id="1297" w:name="_Toc152042588"/>
      <w:bookmarkStart w:id="1298" w:name="_Toc37947287"/>
      <w:bookmarkStart w:id="1299" w:name="_Toc144974867"/>
      <w:bookmarkStart w:id="1300" w:name="_Toc183772584"/>
      <w:bookmarkStart w:id="1301" w:name="_Toc183770803"/>
      <w:r>
        <w:rPr>
          <w:rFonts w:eastAsia="黑体" w:cs="宋体"/>
          <w:color w:val="auto"/>
          <w:sz w:val="24"/>
          <w:highlight w:val="none"/>
        </w:rPr>
        <w:t>附表三：劳动力计划表</w:t>
      </w:r>
      <w:bookmarkEnd w:id="1293"/>
      <w:bookmarkEnd w:id="1294"/>
      <w:bookmarkEnd w:id="1295"/>
      <w:bookmarkEnd w:id="1296"/>
      <w:bookmarkEnd w:id="1297"/>
      <w:bookmarkEnd w:id="1298"/>
      <w:bookmarkEnd w:id="1299"/>
      <w:bookmarkEnd w:id="1300"/>
      <w:bookmarkEnd w:id="1301"/>
    </w:p>
    <w:p>
      <w:pPr>
        <w:spacing w:line="440" w:lineRule="exact"/>
        <w:ind w:right="200"/>
        <w:jc w:val="right"/>
        <w:rPr>
          <w:rFonts w:eastAsia="黑体"/>
          <w:color w:val="auto"/>
          <w:szCs w:val="21"/>
          <w:highlight w:val="none"/>
        </w:rPr>
      </w:pPr>
      <w:r>
        <w:rPr>
          <w:rFonts w:eastAsia="黑体"/>
          <w:color w:val="auto"/>
          <w:szCs w:val="21"/>
          <w:highlight w:val="none"/>
        </w:rPr>
        <w:t>单位：人</w:t>
      </w:r>
    </w:p>
    <w:tbl>
      <w:tblPr>
        <w:tblStyle w:val="7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507"/>
        <w:gridCol w:w="1232"/>
        <w:gridCol w:w="1232"/>
        <w:gridCol w:w="1232"/>
        <w:gridCol w:w="1232"/>
        <w:gridCol w:w="123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spacing w:line="440" w:lineRule="exact"/>
              <w:rPr>
                <w:color w:val="auto"/>
                <w:szCs w:val="21"/>
                <w:highlight w:val="none"/>
              </w:rPr>
            </w:pPr>
            <w:r>
              <w:rPr>
                <w:color w:val="auto"/>
                <w:szCs w:val="21"/>
                <w:highlight w:val="none"/>
              </w:rPr>
              <w:t>工种</w:t>
            </w:r>
          </w:p>
        </w:tc>
        <w:tc>
          <w:tcPr>
            <w:tcW w:w="8897" w:type="dxa"/>
            <w:gridSpan w:val="7"/>
            <w:vAlign w:val="center"/>
          </w:tcPr>
          <w:p>
            <w:pPr>
              <w:spacing w:line="440" w:lineRule="exact"/>
              <w:rPr>
                <w:color w:val="auto"/>
                <w:szCs w:val="21"/>
                <w:highlight w:val="none"/>
              </w:rPr>
            </w:pPr>
            <w:r>
              <w:rPr>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spacing w:line="440" w:lineRule="exact"/>
              <w:rPr>
                <w:color w:val="auto"/>
                <w:szCs w:val="21"/>
                <w:highlight w:val="none"/>
              </w:rPr>
            </w:pPr>
          </w:p>
        </w:tc>
        <w:tc>
          <w:tcPr>
            <w:tcW w:w="1507" w:type="dxa"/>
            <w:vAlign w:val="center"/>
          </w:tcPr>
          <w:p>
            <w:pPr>
              <w:spacing w:line="440" w:lineRule="exact"/>
              <w:rPr>
                <w:color w:val="auto"/>
                <w:szCs w:val="21"/>
                <w:highlight w:val="none"/>
              </w:rPr>
            </w:pPr>
          </w:p>
        </w:tc>
        <w:tc>
          <w:tcPr>
            <w:tcW w:w="1232" w:type="dxa"/>
            <w:vAlign w:val="center"/>
          </w:tcPr>
          <w:p>
            <w:pPr>
              <w:spacing w:line="440" w:lineRule="exact"/>
              <w:rPr>
                <w:color w:val="auto"/>
                <w:szCs w:val="21"/>
                <w:highlight w:val="none"/>
              </w:rPr>
            </w:pPr>
          </w:p>
        </w:tc>
        <w:tc>
          <w:tcPr>
            <w:tcW w:w="1232" w:type="dxa"/>
            <w:vAlign w:val="center"/>
          </w:tcPr>
          <w:p>
            <w:pPr>
              <w:spacing w:line="440" w:lineRule="exact"/>
              <w:rPr>
                <w:color w:val="auto"/>
                <w:szCs w:val="21"/>
                <w:highlight w:val="none"/>
              </w:rPr>
            </w:pPr>
          </w:p>
        </w:tc>
        <w:tc>
          <w:tcPr>
            <w:tcW w:w="1232" w:type="dxa"/>
            <w:vAlign w:val="center"/>
          </w:tcPr>
          <w:p>
            <w:pPr>
              <w:spacing w:line="440" w:lineRule="exact"/>
              <w:rPr>
                <w:color w:val="auto"/>
                <w:szCs w:val="21"/>
                <w:highlight w:val="none"/>
              </w:rPr>
            </w:pPr>
          </w:p>
        </w:tc>
        <w:tc>
          <w:tcPr>
            <w:tcW w:w="1232" w:type="dxa"/>
            <w:vAlign w:val="center"/>
          </w:tcPr>
          <w:p>
            <w:pPr>
              <w:spacing w:line="440" w:lineRule="exact"/>
              <w:rPr>
                <w:color w:val="auto"/>
                <w:szCs w:val="21"/>
                <w:highlight w:val="none"/>
              </w:rPr>
            </w:pPr>
          </w:p>
        </w:tc>
        <w:tc>
          <w:tcPr>
            <w:tcW w:w="1232" w:type="dxa"/>
            <w:vAlign w:val="center"/>
          </w:tcPr>
          <w:p>
            <w:pPr>
              <w:spacing w:line="440" w:lineRule="exact"/>
              <w:rPr>
                <w:color w:val="auto"/>
                <w:szCs w:val="21"/>
                <w:highlight w:val="none"/>
              </w:rPr>
            </w:pPr>
          </w:p>
        </w:tc>
        <w:tc>
          <w:tcPr>
            <w:tcW w:w="1230" w:type="dxa"/>
            <w:vAlign w:val="center"/>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spacing w:line="440" w:lineRule="exact"/>
              <w:rPr>
                <w:color w:val="auto"/>
                <w:szCs w:val="21"/>
                <w:highlight w:val="none"/>
              </w:rPr>
            </w:pPr>
          </w:p>
        </w:tc>
        <w:tc>
          <w:tcPr>
            <w:tcW w:w="1507" w:type="dxa"/>
            <w:vAlign w:val="center"/>
          </w:tcPr>
          <w:p>
            <w:pPr>
              <w:spacing w:line="440" w:lineRule="exact"/>
              <w:rPr>
                <w:color w:val="auto"/>
                <w:szCs w:val="21"/>
                <w:highlight w:val="none"/>
              </w:rPr>
            </w:pPr>
          </w:p>
        </w:tc>
        <w:tc>
          <w:tcPr>
            <w:tcW w:w="1232" w:type="dxa"/>
            <w:vAlign w:val="center"/>
          </w:tcPr>
          <w:p>
            <w:pPr>
              <w:spacing w:line="440" w:lineRule="exact"/>
              <w:rPr>
                <w:color w:val="auto"/>
                <w:szCs w:val="21"/>
                <w:highlight w:val="none"/>
              </w:rPr>
            </w:pPr>
          </w:p>
        </w:tc>
        <w:tc>
          <w:tcPr>
            <w:tcW w:w="1232" w:type="dxa"/>
            <w:vAlign w:val="center"/>
          </w:tcPr>
          <w:p>
            <w:pPr>
              <w:spacing w:line="440" w:lineRule="exact"/>
              <w:rPr>
                <w:color w:val="auto"/>
                <w:szCs w:val="21"/>
                <w:highlight w:val="none"/>
              </w:rPr>
            </w:pPr>
          </w:p>
        </w:tc>
        <w:tc>
          <w:tcPr>
            <w:tcW w:w="1232" w:type="dxa"/>
            <w:vAlign w:val="center"/>
          </w:tcPr>
          <w:p>
            <w:pPr>
              <w:spacing w:line="440" w:lineRule="exact"/>
              <w:rPr>
                <w:color w:val="auto"/>
                <w:szCs w:val="21"/>
                <w:highlight w:val="none"/>
              </w:rPr>
            </w:pPr>
          </w:p>
        </w:tc>
        <w:tc>
          <w:tcPr>
            <w:tcW w:w="1232" w:type="dxa"/>
            <w:vAlign w:val="center"/>
          </w:tcPr>
          <w:p>
            <w:pPr>
              <w:spacing w:line="440" w:lineRule="exact"/>
              <w:rPr>
                <w:color w:val="auto"/>
                <w:szCs w:val="21"/>
                <w:highlight w:val="none"/>
              </w:rPr>
            </w:pPr>
          </w:p>
        </w:tc>
        <w:tc>
          <w:tcPr>
            <w:tcW w:w="1232" w:type="dxa"/>
            <w:vAlign w:val="center"/>
          </w:tcPr>
          <w:p>
            <w:pPr>
              <w:spacing w:line="440" w:lineRule="exact"/>
              <w:rPr>
                <w:color w:val="auto"/>
                <w:szCs w:val="21"/>
                <w:highlight w:val="none"/>
              </w:rPr>
            </w:pPr>
          </w:p>
        </w:tc>
        <w:tc>
          <w:tcPr>
            <w:tcW w:w="1230" w:type="dxa"/>
            <w:vAlign w:val="center"/>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spacing w:line="440" w:lineRule="exact"/>
              <w:rPr>
                <w:color w:val="auto"/>
                <w:szCs w:val="21"/>
                <w:highlight w:val="none"/>
              </w:rPr>
            </w:pPr>
          </w:p>
        </w:tc>
        <w:tc>
          <w:tcPr>
            <w:tcW w:w="1507"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2" w:type="dxa"/>
          </w:tcPr>
          <w:p>
            <w:pPr>
              <w:spacing w:line="440" w:lineRule="exact"/>
              <w:rPr>
                <w:color w:val="auto"/>
                <w:szCs w:val="21"/>
                <w:highlight w:val="none"/>
              </w:rPr>
            </w:pPr>
          </w:p>
        </w:tc>
        <w:tc>
          <w:tcPr>
            <w:tcW w:w="1230" w:type="dxa"/>
          </w:tcPr>
          <w:p>
            <w:pPr>
              <w:spacing w:line="440" w:lineRule="exact"/>
              <w:rPr>
                <w:color w:val="auto"/>
                <w:szCs w:val="21"/>
                <w:highlight w:val="none"/>
              </w:rPr>
            </w:pPr>
          </w:p>
        </w:tc>
      </w:tr>
    </w:tbl>
    <w:p>
      <w:pPr>
        <w:spacing w:line="440" w:lineRule="exact"/>
        <w:rPr>
          <w:rFonts w:eastAsia="黑体"/>
          <w:color w:val="auto"/>
          <w:szCs w:val="21"/>
          <w:highlight w:val="none"/>
        </w:rPr>
      </w:pPr>
    </w:p>
    <w:p>
      <w:pPr>
        <w:spacing w:line="440" w:lineRule="exact"/>
        <w:rPr>
          <w:rFonts w:eastAsia="黑体"/>
          <w:color w:val="auto"/>
          <w:szCs w:val="21"/>
          <w:highlight w:val="none"/>
        </w:rPr>
      </w:pPr>
    </w:p>
    <w:p>
      <w:pPr>
        <w:spacing w:line="440" w:lineRule="exact"/>
        <w:rPr>
          <w:rFonts w:eastAsia="黑体"/>
          <w:color w:val="auto"/>
          <w:szCs w:val="21"/>
          <w:highlight w:val="none"/>
        </w:rPr>
      </w:pPr>
    </w:p>
    <w:p>
      <w:pPr>
        <w:topLinePunct/>
        <w:spacing w:line="440" w:lineRule="exact"/>
        <w:jc w:val="center"/>
        <w:rPr>
          <w:color w:val="auto"/>
          <w:szCs w:val="21"/>
          <w:highlight w:val="none"/>
        </w:rPr>
      </w:pPr>
    </w:p>
    <w:p>
      <w:pPr>
        <w:spacing w:line="440" w:lineRule="exact"/>
        <w:outlineLvl w:val="2"/>
        <w:rPr>
          <w:color w:val="auto"/>
          <w:szCs w:val="21"/>
          <w:highlight w:val="none"/>
        </w:rPr>
      </w:pPr>
      <w:bookmarkStart w:id="1302" w:name="_Toc152042589"/>
      <w:bookmarkStart w:id="1303" w:name="_Toc37947288"/>
      <w:bookmarkStart w:id="1304" w:name="_Toc183772585"/>
      <w:bookmarkStart w:id="1305" w:name="_Toc152045800"/>
      <w:bookmarkStart w:id="1306" w:name="_Toc101107402"/>
      <w:bookmarkStart w:id="1307" w:name="_Toc113286294"/>
      <w:bookmarkStart w:id="1308" w:name="_Toc183770804"/>
      <w:bookmarkStart w:id="1309" w:name="_Toc13821"/>
      <w:bookmarkStart w:id="1310" w:name="_Toc144974868"/>
      <w:r>
        <w:rPr>
          <w:rFonts w:eastAsia="黑体" w:cs="宋体"/>
          <w:color w:val="auto"/>
          <w:sz w:val="24"/>
          <w:highlight w:val="none"/>
        </w:rPr>
        <w:t>附表四：计划开、</w:t>
      </w:r>
      <w:r>
        <w:rPr>
          <w:rFonts w:hint="eastAsia" w:eastAsia="黑体" w:cs="宋体"/>
          <w:color w:val="auto"/>
          <w:sz w:val="24"/>
          <w:highlight w:val="none"/>
        </w:rPr>
        <w:t>竣工</w:t>
      </w:r>
      <w:r>
        <w:rPr>
          <w:rFonts w:eastAsia="黑体" w:cs="宋体"/>
          <w:color w:val="auto"/>
          <w:sz w:val="24"/>
          <w:highlight w:val="none"/>
        </w:rPr>
        <w:t>日期和施工进度网络图</w:t>
      </w:r>
      <w:bookmarkEnd w:id="1302"/>
      <w:bookmarkEnd w:id="1303"/>
      <w:bookmarkEnd w:id="1304"/>
      <w:bookmarkEnd w:id="1305"/>
      <w:bookmarkEnd w:id="1306"/>
      <w:bookmarkEnd w:id="1307"/>
      <w:bookmarkEnd w:id="1308"/>
      <w:bookmarkEnd w:id="1309"/>
      <w:bookmarkEnd w:id="1310"/>
    </w:p>
    <w:p>
      <w:pPr>
        <w:spacing w:line="440" w:lineRule="exact"/>
        <w:rPr>
          <w:rFonts w:eastAsia="黑体"/>
          <w:color w:val="auto"/>
          <w:szCs w:val="21"/>
          <w:highlight w:val="none"/>
        </w:rPr>
      </w:pPr>
    </w:p>
    <w:p>
      <w:pPr>
        <w:spacing w:line="440" w:lineRule="exact"/>
        <w:ind w:firstLine="420" w:firstLineChars="200"/>
        <w:rPr>
          <w:color w:val="auto"/>
          <w:szCs w:val="21"/>
          <w:highlight w:val="none"/>
        </w:rPr>
      </w:pPr>
      <w:r>
        <w:rPr>
          <w:color w:val="auto"/>
          <w:szCs w:val="21"/>
          <w:highlight w:val="none"/>
        </w:rPr>
        <w:t>1. 投标人应递交施工进度网络图或施工进度表，说明按招标文件要求的计划工期进行施工的各个关键日期。</w:t>
      </w:r>
    </w:p>
    <w:p>
      <w:pPr>
        <w:spacing w:line="440" w:lineRule="exact"/>
        <w:ind w:firstLine="420" w:firstLineChars="200"/>
        <w:rPr>
          <w:color w:val="auto"/>
          <w:szCs w:val="21"/>
          <w:highlight w:val="none"/>
        </w:rPr>
      </w:pPr>
      <w:r>
        <w:rPr>
          <w:color w:val="auto"/>
          <w:szCs w:val="21"/>
          <w:highlight w:val="none"/>
        </w:rPr>
        <w:t>2. 施工进度表可采用网络图（或横道图）表示。</w:t>
      </w:r>
    </w:p>
    <w:p>
      <w:pPr>
        <w:spacing w:line="440" w:lineRule="exact"/>
        <w:rPr>
          <w:color w:val="auto"/>
          <w:szCs w:val="21"/>
          <w:highlight w:val="none"/>
        </w:rPr>
      </w:pPr>
    </w:p>
    <w:p>
      <w:pPr>
        <w:spacing w:line="440" w:lineRule="exact"/>
        <w:rPr>
          <w:rFonts w:eastAsia="黑体"/>
          <w:color w:val="auto"/>
          <w:szCs w:val="21"/>
          <w:highlight w:val="none"/>
        </w:rPr>
      </w:pPr>
    </w:p>
    <w:p>
      <w:pPr>
        <w:spacing w:line="440" w:lineRule="exact"/>
        <w:rPr>
          <w:rFonts w:eastAsia="黑体"/>
          <w:color w:val="auto"/>
          <w:szCs w:val="21"/>
          <w:highlight w:val="none"/>
        </w:rPr>
      </w:pPr>
    </w:p>
    <w:p>
      <w:pPr>
        <w:spacing w:line="440" w:lineRule="exact"/>
        <w:outlineLvl w:val="2"/>
        <w:rPr>
          <w:rFonts w:eastAsia="黑体" w:cs="宋体"/>
          <w:color w:val="auto"/>
          <w:sz w:val="24"/>
          <w:highlight w:val="none"/>
        </w:rPr>
      </w:pPr>
      <w:bookmarkStart w:id="1311" w:name="_Toc152045801"/>
      <w:bookmarkStart w:id="1312" w:name="_Toc144974869"/>
      <w:bookmarkStart w:id="1313" w:name="_Toc152042590"/>
      <w:r>
        <w:rPr>
          <w:rFonts w:eastAsia="黑体" w:cs="宋体"/>
          <w:color w:val="auto"/>
          <w:sz w:val="24"/>
          <w:highlight w:val="none"/>
        </w:rPr>
        <w:br w:type="page"/>
      </w:r>
      <w:bookmarkStart w:id="1314" w:name="_Toc183770805"/>
      <w:bookmarkStart w:id="1315" w:name="_Toc37947289"/>
      <w:bookmarkStart w:id="1316" w:name="_Toc27544"/>
      <w:bookmarkStart w:id="1317" w:name="_Toc183772586"/>
      <w:bookmarkStart w:id="1318" w:name="_Toc101107403"/>
      <w:bookmarkStart w:id="1319" w:name="_Toc113286295"/>
      <w:r>
        <w:rPr>
          <w:rFonts w:eastAsia="黑体" w:cs="宋体"/>
          <w:color w:val="auto"/>
          <w:sz w:val="24"/>
          <w:highlight w:val="none"/>
        </w:rPr>
        <w:t>附表五：施工总平面图</w:t>
      </w:r>
      <w:bookmarkEnd w:id="1311"/>
      <w:bookmarkEnd w:id="1312"/>
      <w:bookmarkEnd w:id="1313"/>
      <w:bookmarkEnd w:id="1314"/>
      <w:bookmarkEnd w:id="1315"/>
      <w:bookmarkEnd w:id="1316"/>
      <w:bookmarkEnd w:id="1317"/>
      <w:bookmarkEnd w:id="1318"/>
      <w:bookmarkEnd w:id="1319"/>
    </w:p>
    <w:p>
      <w:pPr>
        <w:spacing w:line="440" w:lineRule="exact"/>
        <w:rPr>
          <w:rFonts w:eastAsia="黑体"/>
          <w:color w:val="auto"/>
          <w:szCs w:val="21"/>
          <w:highlight w:val="none"/>
        </w:rPr>
      </w:pPr>
      <w:r>
        <w:rPr>
          <w:rFonts w:eastAsia="黑体"/>
          <w:color w:val="auto"/>
          <w:szCs w:val="21"/>
          <w:highlight w:val="none"/>
        </w:rPr>
        <w:tab/>
      </w:r>
    </w:p>
    <w:p>
      <w:pPr>
        <w:spacing w:line="440" w:lineRule="exact"/>
        <w:ind w:firstLine="420" w:firstLineChars="200"/>
        <w:rPr>
          <w:color w:val="auto"/>
          <w:szCs w:val="21"/>
          <w:highlight w:val="none"/>
        </w:rPr>
      </w:pPr>
      <w:r>
        <w:rPr>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pPr>
        <w:spacing w:line="440" w:lineRule="exact"/>
        <w:rPr>
          <w:rFonts w:eastAsia="黑体"/>
          <w:color w:val="auto"/>
          <w:szCs w:val="21"/>
          <w:highlight w:val="none"/>
        </w:rPr>
      </w:pPr>
    </w:p>
    <w:p>
      <w:pPr>
        <w:widowControl/>
        <w:jc w:val="left"/>
        <w:rPr>
          <w:rFonts w:hint="eastAsia" w:ascii="宋体" w:hAnsi="宋体" w:eastAsia="黑体"/>
          <w:b/>
          <w:bCs/>
          <w:color w:val="auto"/>
          <w:sz w:val="32"/>
          <w:szCs w:val="21"/>
          <w:highlight w:val="none"/>
        </w:rPr>
      </w:pPr>
      <w:r>
        <w:rPr>
          <w:rFonts w:eastAsia="黑体"/>
          <w:color w:val="auto"/>
          <w:szCs w:val="21"/>
          <w:highlight w:val="none"/>
        </w:rPr>
        <w:br w:type="page"/>
      </w:r>
    </w:p>
    <w:p>
      <w:pPr>
        <w:pStyle w:val="5"/>
        <w:jc w:val="center"/>
        <w:rPr>
          <w:rFonts w:hint="eastAsia" w:ascii="宋体" w:hAnsi="宋体"/>
          <w:b w:val="0"/>
          <w:color w:val="auto"/>
          <w:sz w:val="28"/>
          <w:szCs w:val="28"/>
          <w:highlight w:val="none"/>
        </w:rPr>
      </w:pPr>
      <w:bookmarkStart w:id="1320" w:name="_Toc3677"/>
      <w:r>
        <w:rPr>
          <w:rFonts w:hint="eastAsia" w:ascii="宋体" w:hAnsi="宋体"/>
          <w:color w:val="auto"/>
          <w:szCs w:val="21"/>
          <w:highlight w:val="none"/>
          <w:lang w:val="en-US" w:eastAsia="zh-CN"/>
        </w:rPr>
        <w:t>二</w:t>
      </w:r>
      <w:r>
        <w:rPr>
          <w:rFonts w:hint="eastAsia" w:ascii="宋体" w:hAnsi="宋体"/>
          <w:color w:val="auto"/>
          <w:szCs w:val="21"/>
          <w:highlight w:val="none"/>
        </w:rPr>
        <w:t>、</w:t>
      </w:r>
      <w:r>
        <w:rPr>
          <w:rFonts w:hint="eastAsia"/>
          <w:color w:val="auto"/>
          <w:highlight w:val="none"/>
        </w:rPr>
        <w:t>投标人认为应提供的其他技术资料</w:t>
      </w:r>
      <w:bookmarkEnd w:id="1320"/>
    </w:p>
    <w:p>
      <w:pPr>
        <w:rPr>
          <w:color w:val="auto"/>
          <w:highlight w:val="none"/>
        </w:rPr>
      </w:pPr>
    </w:p>
    <w:sectPr>
      <w:pgSz w:w="11906" w:h="16838"/>
      <w:pgMar w:top="1440" w:right="1559" w:bottom="1440"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MS Sans Serif">
    <w:altName w:val="Segoe Print"/>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smartSimSun">
    <w:altName w:val="@宋体"/>
    <w:panose1 w:val="00000000000000000000"/>
    <w:charset w:val="86"/>
    <w:family w:val="auto"/>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体">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center" w:y="1"/>
      <w:rPr>
        <w:rStyle w:val="79"/>
      </w:rPr>
    </w:pPr>
    <w:r>
      <w:fldChar w:fldCharType="begin"/>
    </w:r>
    <w:r>
      <w:rPr>
        <w:rStyle w:val="79"/>
      </w:rPr>
      <w:instrText xml:space="preserve">PAGE  </w:instrText>
    </w:r>
    <w:r>
      <w:fldChar w:fldCharType="end"/>
    </w:r>
  </w:p>
  <w:p>
    <w:pPr>
      <w:pStyle w:val="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7"/>
                            <w:pBdr>
                              <w:top w:val="single" w:color="auto" w:sz="4" w:space="1"/>
                            </w:pBdr>
                            <w:jc w:val="center"/>
                          </w:pPr>
                          <w:r>
                            <w:fldChar w:fldCharType="begin"/>
                          </w:r>
                          <w:r>
                            <w:instrText xml:space="preserve">PAGE   \* MERGEFORMAT</w:instrText>
                          </w:r>
                          <w:r>
                            <w:fldChar w:fldCharType="separate"/>
                          </w:r>
                          <w:r>
                            <w:rPr>
                              <w:lang w:val="zh-CN"/>
                            </w:rP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7"/>
                      <w:pBdr>
                        <w:top w:val="single" w:color="auto" w:sz="4" w:space="1"/>
                      </w:pBdr>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C0FC1"/>
    <w:multiLevelType w:val="multilevel"/>
    <w:tmpl w:val="15BC0FC1"/>
    <w:lvl w:ilvl="0" w:tentative="0">
      <w:start w:val="1"/>
      <w:numFmt w:val="decimal"/>
      <w:lvlText w:val="%1、"/>
      <w:lvlJc w:val="left"/>
      <w:pPr>
        <w:tabs>
          <w:tab w:val="left" w:pos="680"/>
        </w:tabs>
        <w:ind w:left="680" w:hanging="68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46C739E"/>
    <w:multiLevelType w:val="singleLevel"/>
    <w:tmpl w:val="246C739E"/>
    <w:lvl w:ilvl="0" w:tentative="0">
      <w:start w:val="7"/>
      <w:numFmt w:val="decimal"/>
      <w:lvlText w:val="%1."/>
      <w:lvlJc w:val="left"/>
      <w:pPr>
        <w:tabs>
          <w:tab w:val="left" w:pos="312"/>
        </w:tabs>
      </w:pPr>
    </w:lvl>
  </w:abstractNum>
  <w:abstractNum w:abstractNumId="2">
    <w:nsid w:val="3DAE7315"/>
    <w:multiLevelType w:val="multilevel"/>
    <w:tmpl w:val="3DAE7315"/>
    <w:lvl w:ilvl="0" w:tentative="0">
      <w:start w:val="1"/>
      <w:numFmt w:val="decimal"/>
      <w:pStyle w:val="321"/>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3">
    <w:nsid w:val="53E2713A"/>
    <w:multiLevelType w:val="singleLevel"/>
    <w:tmpl w:val="53E2713A"/>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OGQxNjQ3YmE2YjViMDhmZmJiMDlkMjkyNzVmMzQifQ=="/>
  </w:docVars>
  <w:rsids>
    <w:rsidRoot w:val="00172A27"/>
    <w:rsid w:val="000007A2"/>
    <w:rsid w:val="00000C78"/>
    <w:rsid w:val="00006D39"/>
    <w:rsid w:val="0000793D"/>
    <w:rsid w:val="00010831"/>
    <w:rsid w:val="00010A4A"/>
    <w:rsid w:val="000124BE"/>
    <w:rsid w:val="0001387F"/>
    <w:rsid w:val="00014724"/>
    <w:rsid w:val="00014ECB"/>
    <w:rsid w:val="0001512B"/>
    <w:rsid w:val="000155F7"/>
    <w:rsid w:val="000166A4"/>
    <w:rsid w:val="000201D5"/>
    <w:rsid w:val="000210A0"/>
    <w:rsid w:val="0002352C"/>
    <w:rsid w:val="0002549F"/>
    <w:rsid w:val="00025564"/>
    <w:rsid w:val="000272B0"/>
    <w:rsid w:val="000276AD"/>
    <w:rsid w:val="00030AC0"/>
    <w:rsid w:val="00033443"/>
    <w:rsid w:val="000337D1"/>
    <w:rsid w:val="00034602"/>
    <w:rsid w:val="00035563"/>
    <w:rsid w:val="00037888"/>
    <w:rsid w:val="000378FB"/>
    <w:rsid w:val="00041CBE"/>
    <w:rsid w:val="00041F85"/>
    <w:rsid w:val="000458C5"/>
    <w:rsid w:val="00051435"/>
    <w:rsid w:val="00051544"/>
    <w:rsid w:val="00054A65"/>
    <w:rsid w:val="00055370"/>
    <w:rsid w:val="00056FDB"/>
    <w:rsid w:val="00062446"/>
    <w:rsid w:val="00062BB8"/>
    <w:rsid w:val="0006473A"/>
    <w:rsid w:val="0006609F"/>
    <w:rsid w:val="000732B5"/>
    <w:rsid w:val="00073750"/>
    <w:rsid w:val="00073CAE"/>
    <w:rsid w:val="00076D4C"/>
    <w:rsid w:val="000772C8"/>
    <w:rsid w:val="00077B5C"/>
    <w:rsid w:val="00080A56"/>
    <w:rsid w:val="000844BC"/>
    <w:rsid w:val="00086E08"/>
    <w:rsid w:val="000919F0"/>
    <w:rsid w:val="00093EBB"/>
    <w:rsid w:val="00094A65"/>
    <w:rsid w:val="00097037"/>
    <w:rsid w:val="000A2482"/>
    <w:rsid w:val="000A2680"/>
    <w:rsid w:val="000A30E3"/>
    <w:rsid w:val="000A397F"/>
    <w:rsid w:val="000A39C2"/>
    <w:rsid w:val="000A43EA"/>
    <w:rsid w:val="000A5690"/>
    <w:rsid w:val="000B0C96"/>
    <w:rsid w:val="000B2B04"/>
    <w:rsid w:val="000B3225"/>
    <w:rsid w:val="000B5A5C"/>
    <w:rsid w:val="000B5CEE"/>
    <w:rsid w:val="000B5EF6"/>
    <w:rsid w:val="000B6635"/>
    <w:rsid w:val="000B6B9F"/>
    <w:rsid w:val="000C0025"/>
    <w:rsid w:val="000C141C"/>
    <w:rsid w:val="000C23D3"/>
    <w:rsid w:val="000C278F"/>
    <w:rsid w:val="000C7996"/>
    <w:rsid w:val="000D0A5C"/>
    <w:rsid w:val="000D20C6"/>
    <w:rsid w:val="000D39F6"/>
    <w:rsid w:val="000D3ED4"/>
    <w:rsid w:val="000D7BB0"/>
    <w:rsid w:val="000E06A4"/>
    <w:rsid w:val="000E07EF"/>
    <w:rsid w:val="000E4101"/>
    <w:rsid w:val="000E4988"/>
    <w:rsid w:val="000E5DCE"/>
    <w:rsid w:val="000E7AA4"/>
    <w:rsid w:val="000F0440"/>
    <w:rsid w:val="000F216E"/>
    <w:rsid w:val="000F2E9E"/>
    <w:rsid w:val="000F2EF9"/>
    <w:rsid w:val="000F4FFF"/>
    <w:rsid w:val="000F5E18"/>
    <w:rsid w:val="000F5FB0"/>
    <w:rsid w:val="000F6203"/>
    <w:rsid w:val="000F6BD7"/>
    <w:rsid w:val="000F6DBF"/>
    <w:rsid w:val="001001E2"/>
    <w:rsid w:val="00102EC1"/>
    <w:rsid w:val="001038D9"/>
    <w:rsid w:val="00104381"/>
    <w:rsid w:val="00104944"/>
    <w:rsid w:val="00105304"/>
    <w:rsid w:val="00106F5D"/>
    <w:rsid w:val="0011072F"/>
    <w:rsid w:val="00111728"/>
    <w:rsid w:val="00111F02"/>
    <w:rsid w:val="00112CB8"/>
    <w:rsid w:val="001137CF"/>
    <w:rsid w:val="00114ED1"/>
    <w:rsid w:val="00115B89"/>
    <w:rsid w:val="00115CF2"/>
    <w:rsid w:val="00115FB1"/>
    <w:rsid w:val="001175F5"/>
    <w:rsid w:val="001220E4"/>
    <w:rsid w:val="0012282E"/>
    <w:rsid w:val="001278D4"/>
    <w:rsid w:val="00127E81"/>
    <w:rsid w:val="001317E2"/>
    <w:rsid w:val="00132F60"/>
    <w:rsid w:val="00134BB0"/>
    <w:rsid w:val="00136A42"/>
    <w:rsid w:val="00141B7D"/>
    <w:rsid w:val="001433D5"/>
    <w:rsid w:val="00143D17"/>
    <w:rsid w:val="001461A4"/>
    <w:rsid w:val="00147A45"/>
    <w:rsid w:val="00151168"/>
    <w:rsid w:val="00152E12"/>
    <w:rsid w:val="00154637"/>
    <w:rsid w:val="00154852"/>
    <w:rsid w:val="001551A8"/>
    <w:rsid w:val="001566AE"/>
    <w:rsid w:val="0016009F"/>
    <w:rsid w:val="001664C1"/>
    <w:rsid w:val="00166CF0"/>
    <w:rsid w:val="00167428"/>
    <w:rsid w:val="00172A27"/>
    <w:rsid w:val="00175FCB"/>
    <w:rsid w:val="00176A4A"/>
    <w:rsid w:val="00176BB8"/>
    <w:rsid w:val="00177562"/>
    <w:rsid w:val="001800D3"/>
    <w:rsid w:val="00182173"/>
    <w:rsid w:val="00182FED"/>
    <w:rsid w:val="00183FEA"/>
    <w:rsid w:val="0018499B"/>
    <w:rsid w:val="001850F0"/>
    <w:rsid w:val="00187312"/>
    <w:rsid w:val="0019000E"/>
    <w:rsid w:val="00190420"/>
    <w:rsid w:val="00190679"/>
    <w:rsid w:val="00192891"/>
    <w:rsid w:val="00195E78"/>
    <w:rsid w:val="0019705D"/>
    <w:rsid w:val="00197E97"/>
    <w:rsid w:val="001A0028"/>
    <w:rsid w:val="001A12CE"/>
    <w:rsid w:val="001A293D"/>
    <w:rsid w:val="001A651A"/>
    <w:rsid w:val="001B02F9"/>
    <w:rsid w:val="001B06BD"/>
    <w:rsid w:val="001B06D5"/>
    <w:rsid w:val="001B5199"/>
    <w:rsid w:val="001B5D80"/>
    <w:rsid w:val="001B7047"/>
    <w:rsid w:val="001C014A"/>
    <w:rsid w:val="001C15C7"/>
    <w:rsid w:val="001C2B30"/>
    <w:rsid w:val="001C4DE3"/>
    <w:rsid w:val="001C6AD6"/>
    <w:rsid w:val="001D0F98"/>
    <w:rsid w:val="001D1551"/>
    <w:rsid w:val="001E2842"/>
    <w:rsid w:val="001E29A3"/>
    <w:rsid w:val="001E2CBC"/>
    <w:rsid w:val="001E4E8B"/>
    <w:rsid w:val="001E56A6"/>
    <w:rsid w:val="001E7C8D"/>
    <w:rsid w:val="001F071E"/>
    <w:rsid w:val="001F237F"/>
    <w:rsid w:val="001F30E6"/>
    <w:rsid w:val="001F349A"/>
    <w:rsid w:val="0020016E"/>
    <w:rsid w:val="00204312"/>
    <w:rsid w:val="002059CC"/>
    <w:rsid w:val="00207C2C"/>
    <w:rsid w:val="00211985"/>
    <w:rsid w:val="00212E46"/>
    <w:rsid w:val="00215D5F"/>
    <w:rsid w:val="0021607F"/>
    <w:rsid w:val="00216C65"/>
    <w:rsid w:val="0021795D"/>
    <w:rsid w:val="00224C9D"/>
    <w:rsid w:val="00225C3B"/>
    <w:rsid w:val="0022688E"/>
    <w:rsid w:val="002274C9"/>
    <w:rsid w:val="002320AA"/>
    <w:rsid w:val="002325CA"/>
    <w:rsid w:val="002326DF"/>
    <w:rsid w:val="002329DA"/>
    <w:rsid w:val="00232DDC"/>
    <w:rsid w:val="00233076"/>
    <w:rsid w:val="002345E7"/>
    <w:rsid w:val="00241C99"/>
    <w:rsid w:val="0024759F"/>
    <w:rsid w:val="0025215E"/>
    <w:rsid w:val="0025218B"/>
    <w:rsid w:val="002525C6"/>
    <w:rsid w:val="0025433B"/>
    <w:rsid w:val="0025452B"/>
    <w:rsid w:val="002629EB"/>
    <w:rsid w:val="002630B5"/>
    <w:rsid w:val="00263280"/>
    <w:rsid w:val="00264D1F"/>
    <w:rsid w:val="00265E18"/>
    <w:rsid w:val="00271BE5"/>
    <w:rsid w:val="00273441"/>
    <w:rsid w:val="0027394E"/>
    <w:rsid w:val="002760A2"/>
    <w:rsid w:val="002760F1"/>
    <w:rsid w:val="002763EC"/>
    <w:rsid w:val="002766D9"/>
    <w:rsid w:val="00276E84"/>
    <w:rsid w:val="00281A40"/>
    <w:rsid w:val="00283736"/>
    <w:rsid w:val="00284468"/>
    <w:rsid w:val="00284B6D"/>
    <w:rsid w:val="0028581B"/>
    <w:rsid w:val="00286AB4"/>
    <w:rsid w:val="002912B6"/>
    <w:rsid w:val="00294FD9"/>
    <w:rsid w:val="00295F21"/>
    <w:rsid w:val="0029686C"/>
    <w:rsid w:val="00296FDD"/>
    <w:rsid w:val="002977A7"/>
    <w:rsid w:val="002A033A"/>
    <w:rsid w:val="002A0632"/>
    <w:rsid w:val="002A1F31"/>
    <w:rsid w:val="002A221F"/>
    <w:rsid w:val="002A3801"/>
    <w:rsid w:val="002A454F"/>
    <w:rsid w:val="002A5B39"/>
    <w:rsid w:val="002A6703"/>
    <w:rsid w:val="002B0C68"/>
    <w:rsid w:val="002B69AD"/>
    <w:rsid w:val="002C1B71"/>
    <w:rsid w:val="002C3E17"/>
    <w:rsid w:val="002C5EFA"/>
    <w:rsid w:val="002D0254"/>
    <w:rsid w:val="002D0663"/>
    <w:rsid w:val="002D32F3"/>
    <w:rsid w:val="002D4730"/>
    <w:rsid w:val="002D6E71"/>
    <w:rsid w:val="002E14AF"/>
    <w:rsid w:val="002E16DE"/>
    <w:rsid w:val="002E23F9"/>
    <w:rsid w:val="002E308D"/>
    <w:rsid w:val="002E3173"/>
    <w:rsid w:val="002E3738"/>
    <w:rsid w:val="002E4F89"/>
    <w:rsid w:val="002E74CE"/>
    <w:rsid w:val="002F086E"/>
    <w:rsid w:val="002F1747"/>
    <w:rsid w:val="002F2343"/>
    <w:rsid w:val="002F294C"/>
    <w:rsid w:val="002F42EC"/>
    <w:rsid w:val="002F527C"/>
    <w:rsid w:val="00301710"/>
    <w:rsid w:val="00302C97"/>
    <w:rsid w:val="00302CC6"/>
    <w:rsid w:val="003032FD"/>
    <w:rsid w:val="00303A16"/>
    <w:rsid w:val="00306675"/>
    <w:rsid w:val="00306A39"/>
    <w:rsid w:val="00314C48"/>
    <w:rsid w:val="00315719"/>
    <w:rsid w:val="00316075"/>
    <w:rsid w:val="0032036F"/>
    <w:rsid w:val="00321E35"/>
    <w:rsid w:val="00321ECE"/>
    <w:rsid w:val="00324416"/>
    <w:rsid w:val="00324F55"/>
    <w:rsid w:val="00325DEA"/>
    <w:rsid w:val="00331311"/>
    <w:rsid w:val="00332DFA"/>
    <w:rsid w:val="00335763"/>
    <w:rsid w:val="003360CD"/>
    <w:rsid w:val="00337AFC"/>
    <w:rsid w:val="00340395"/>
    <w:rsid w:val="0034392A"/>
    <w:rsid w:val="00343CED"/>
    <w:rsid w:val="00346065"/>
    <w:rsid w:val="00346F62"/>
    <w:rsid w:val="0035064A"/>
    <w:rsid w:val="00350AC6"/>
    <w:rsid w:val="003538C4"/>
    <w:rsid w:val="00355540"/>
    <w:rsid w:val="00356468"/>
    <w:rsid w:val="00361C7C"/>
    <w:rsid w:val="00362DAB"/>
    <w:rsid w:val="00364E5F"/>
    <w:rsid w:val="0036558A"/>
    <w:rsid w:val="00366B1F"/>
    <w:rsid w:val="0037294E"/>
    <w:rsid w:val="003729C2"/>
    <w:rsid w:val="00373FDE"/>
    <w:rsid w:val="0037663B"/>
    <w:rsid w:val="00380ADA"/>
    <w:rsid w:val="00381524"/>
    <w:rsid w:val="00381A84"/>
    <w:rsid w:val="003845D5"/>
    <w:rsid w:val="00386246"/>
    <w:rsid w:val="00391124"/>
    <w:rsid w:val="00391270"/>
    <w:rsid w:val="00392371"/>
    <w:rsid w:val="00392B21"/>
    <w:rsid w:val="00393118"/>
    <w:rsid w:val="00394C65"/>
    <w:rsid w:val="00395D77"/>
    <w:rsid w:val="00395EAF"/>
    <w:rsid w:val="003976CD"/>
    <w:rsid w:val="003A0AE0"/>
    <w:rsid w:val="003A1DAA"/>
    <w:rsid w:val="003A26C4"/>
    <w:rsid w:val="003A6E6B"/>
    <w:rsid w:val="003A7619"/>
    <w:rsid w:val="003A7E31"/>
    <w:rsid w:val="003B0F9B"/>
    <w:rsid w:val="003B1807"/>
    <w:rsid w:val="003B3B11"/>
    <w:rsid w:val="003B3B83"/>
    <w:rsid w:val="003C1125"/>
    <w:rsid w:val="003C182B"/>
    <w:rsid w:val="003C2717"/>
    <w:rsid w:val="003C3243"/>
    <w:rsid w:val="003C3AEE"/>
    <w:rsid w:val="003D0C6B"/>
    <w:rsid w:val="003D0E69"/>
    <w:rsid w:val="003D1980"/>
    <w:rsid w:val="003D3E0D"/>
    <w:rsid w:val="003D6234"/>
    <w:rsid w:val="003D6980"/>
    <w:rsid w:val="003E1687"/>
    <w:rsid w:val="003E4066"/>
    <w:rsid w:val="003E434C"/>
    <w:rsid w:val="003E4C1F"/>
    <w:rsid w:val="003E4DE0"/>
    <w:rsid w:val="003E7AB8"/>
    <w:rsid w:val="003E7C80"/>
    <w:rsid w:val="003E7D37"/>
    <w:rsid w:val="003F36EA"/>
    <w:rsid w:val="003F387B"/>
    <w:rsid w:val="003F42DD"/>
    <w:rsid w:val="003F4614"/>
    <w:rsid w:val="003F507F"/>
    <w:rsid w:val="0040040D"/>
    <w:rsid w:val="004021CB"/>
    <w:rsid w:val="0040472C"/>
    <w:rsid w:val="00404A4F"/>
    <w:rsid w:val="0040675E"/>
    <w:rsid w:val="0040740A"/>
    <w:rsid w:val="00412F54"/>
    <w:rsid w:val="00414A6C"/>
    <w:rsid w:val="004156B3"/>
    <w:rsid w:val="00417DC6"/>
    <w:rsid w:val="00421A9C"/>
    <w:rsid w:val="004226E9"/>
    <w:rsid w:val="004228B6"/>
    <w:rsid w:val="00423F35"/>
    <w:rsid w:val="00424C32"/>
    <w:rsid w:val="00424EAB"/>
    <w:rsid w:val="00425108"/>
    <w:rsid w:val="00426189"/>
    <w:rsid w:val="004268F6"/>
    <w:rsid w:val="0043252B"/>
    <w:rsid w:val="00433F2D"/>
    <w:rsid w:val="004353CF"/>
    <w:rsid w:val="004358A4"/>
    <w:rsid w:val="0043603E"/>
    <w:rsid w:val="004367A5"/>
    <w:rsid w:val="00436EA5"/>
    <w:rsid w:val="00440F98"/>
    <w:rsid w:val="0044300F"/>
    <w:rsid w:val="004444D1"/>
    <w:rsid w:val="00444E22"/>
    <w:rsid w:val="00445EF1"/>
    <w:rsid w:val="00446AB1"/>
    <w:rsid w:val="0045066B"/>
    <w:rsid w:val="00452264"/>
    <w:rsid w:val="00452418"/>
    <w:rsid w:val="00454D66"/>
    <w:rsid w:val="00456EE1"/>
    <w:rsid w:val="0046039C"/>
    <w:rsid w:val="00462BAC"/>
    <w:rsid w:val="00463E42"/>
    <w:rsid w:val="004640AD"/>
    <w:rsid w:val="00464973"/>
    <w:rsid w:val="00464DE1"/>
    <w:rsid w:val="0046533B"/>
    <w:rsid w:val="0046556D"/>
    <w:rsid w:val="004723E2"/>
    <w:rsid w:val="00472656"/>
    <w:rsid w:val="00474235"/>
    <w:rsid w:val="0047441A"/>
    <w:rsid w:val="00474F62"/>
    <w:rsid w:val="0047566B"/>
    <w:rsid w:val="0047637B"/>
    <w:rsid w:val="00480191"/>
    <w:rsid w:val="00480D45"/>
    <w:rsid w:val="00480E1C"/>
    <w:rsid w:val="004823E2"/>
    <w:rsid w:val="0048294F"/>
    <w:rsid w:val="00483080"/>
    <w:rsid w:val="00483883"/>
    <w:rsid w:val="00483CE9"/>
    <w:rsid w:val="00484B62"/>
    <w:rsid w:val="00484ECD"/>
    <w:rsid w:val="00485E4C"/>
    <w:rsid w:val="00485EE3"/>
    <w:rsid w:val="00487E51"/>
    <w:rsid w:val="00490358"/>
    <w:rsid w:val="00490EA3"/>
    <w:rsid w:val="00491C15"/>
    <w:rsid w:val="00492B58"/>
    <w:rsid w:val="0049435B"/>
    <w:rsid w:val="0049506B"/>
    <w:rsid w:val="00496B7E"/>
    <w:rsid w:val="00497916"/>
    <w:rsid w:val="00497C82"/>
    <w:rsid w:val="004A1B0E"/>
    <w:rsid w:val="004A3F90"/>
    <w:rsid w:val="004A41E1"/>
    <w:rsid w:val="004A496D"/>
    <w:rsid w:val="004A58C6"/>
    <w:rsid w:val="004A6347"/>
    <w:rsid w:val="004A72CE"/>
    <w:rsid w:val="004A7EC4"/>
    <w:rsid w:val="004B1564"/>
    <w:rsid w:val="004B2C94"/>
    <w:rsid w:val="004B445F"/>
    <w:rsid w:val="004B48A7"/>
    <w:rsid w:val="004B48DB"/>
    <w:rsid w:val="004B5CF3"/>
    <w:rsid w:val="004C1661"/>
    <w:rsid w:val="004C1788"/>
    <w:rsid w:val="004C3903"/>
    <w:rsid w:val="004C401C"/>
    <w:rsid w:val="004C441D"/>
    <w:rsid w:val="004C60BF"/>
    <w:rsid w:val="004C6DF7"/>
    <w:rsid w:val="004C7076"/>
    <w:rsid w:val="004C75B2"/>
    <w:rsid w:val="004D0B01"/>
    <w:rsid w:val="004D42E3"/>
    <w:rsid w:val="004E09F3"/>
    <w:rsid w:val="004E1480"/>
    <w:rsid w:val="004E1767"/>
    <w:rsid w:val="004E182D"/>
    <w:rsid w:val="004E280C"/>
    <w:rsid w:val="004E3737"/>
    <w:rsid w:val="004E4C67"/>
    <w:rsid w:val="004E5BEF"/>
    <w:rsid w:val="004E6511"/>
    <w:rsid w:val="004E75CE"/>
    <w:rsid w:val="004F1CB8"/>
    <w:rsid w:val="004F2372"/>
    <w:rsid w:val="004F25EA"/>
    <w:rsid w:val="004F32EF"/>
    <w:rsid w:val="004F57EF"/>
    <w:rsid w:val="004F64F9"/>
    <w:rsid w:val="005034F9"/>
    <w:rsid w:val="0050456D"/>
    <w:rsid w:val="00507B56"/>
    <w:rsid w:val="00511700"/>
    <w:rsid w:val="00512BE6"/>
    <w:rsid w:val="00512DF0"/>
    <w:rsid w:val="005145C8"/>
    <w:rsid w:val="00515442"/>
    <w:rsid w:val="005154C6"/>
    <w:rsid w:val="005155C6"/>
    <w:rsid w:val="00516119"/>
    <w:rsid w:val="0052020B"/>
    <w:rsid w:val="00522C35"/>
    <w:rsid w:val="0052397B"/>
    <w:rsid w:val="005243E8"/>
    <w:rsid w:val="00524FFC"/>
    <w:rsid w:val="00525824"/>
    <w:rsid w:val="00525A96"/>
    <w:rsid w:val="005273DF"/>
    <w:rsid w:val="00530529"/>
    <w:rsid w:val="00532AC5"/>
    <w:rsid w:val="00534AB2"/>
    <w:rsid w:val="00534D53"/>
    <w:rsid w:val="0053678C"/>
    <w:rsid w:val="005409FC"/>
    <w:rsid w:val="00542AD4"/>
    <w:rsid w:val="00543CFC"/>
    <w:rsid w:val="005502BA"/>
    <w:rsid w:val="005510FF"/>
    <w:rsid w:val="00551150"/>
    <w:rsid w:val="005515B6"/>
    <w:rsid w:val="0055223B"/>
    <w:rsid w:val="00554C7C"/>
    <w:rsid w:val="00556D26"/>
    <w:rsid w:val="00561AC9"/>
    <w:rsid w:val="00564A3E"/>
    <w:rsid w:val="00566D20"/>
    <w:rsid w:val="0056778F"/>
    <w:rsid w:val="00567E9C"/>
    <w:rsid w:val="0057128A"/>
    <w:rsid w:val="00571C14"/>
    <w:rsid w:val="005730BB"/>
    <w:rsid w:val="00573673"/>
    <w:rsid w:val="00573EBF"/>
    <w:rsid w:val="005743EB"/>
    <w:rsid w:val="00580712"/>
    <w:rsid w:val="0058103A"/>
    <w:rsid w:val="005824A0"/>
    <w:rsid w:val="00585BDA"/>
    <w:rsid w:val="00586C96"/>
    <w:rsid w:val="00587970"/>
    <w:rsid w:val="0059015D"/>
    <w:rsid w:val="0059257E"/>
    <w:rsid w:val="00592752"/>
    <w:rsid w:val="00592931"/>
    <w:rsid w:val="005929F6"/>
    <w:rsid w:val="0059356B"/>
    <w:rsid w:val="0059379A"/>
    <w:rsid w:val="005939DF"/>
    <w:rsid w:val="00594667"/>
    <w:rsid w:val="00594F49"/>
    <w:rsid w:val="00595A8F"/>
    <w:rsid w:val="005965FC"/>
    <w:rsid w:val="00596B62"/>
    <w:rsid w:val="00597A46"/>
    <w:rsid w:val="005A0DCD"/>
    <w:rsid w:val="005A23B1"/>
    <w:rsid w:val="005A3308"/>
    <w:rsid w:val="005A52BD"/>
    <w:rsid w:val="005A67DC"/>
    <w:rsid w:val="005A71C2"/>
    <w:rsid w:val="005B30FE"/>
    <w:rsid w:val="005B4990"/>
    <w:rsid w:val="005B4F04"/>
    <w:rsid w:val="005B51A6"/>
    <w:rsid w:val="005B6224"/>
    <w:rsid w:val="005B71CB"/>
    <w:rsid w:val="005B73C1"/>
    <w:rsid w:val="005B7655"/>
    <w:rsid w:val="005C0756"/>
    <w:rsid w:val="005C1C36"/>
    <w:rsid w:val="005C2234"/>
    <w:rsid w:val="005C3919"/>
    <w:rsid w:val="005C687E"/>
    <w:rsid w:val="005C7281"/>
    <w:rsid w:val="005C7C0A"/>
    <w:rsid w:val="005D1B4C"/>
    <w:rsid w:val="005D587A"/>
    <w:rsid w:val="005D5E2A"/>
    <w:rsid w:val="005E0AB4"/>
    <w:rsid w:val="005E1BE4"/>
    <w:rsid w:val="005E26B5"/>
    <w:rsid w:val="005E2A86"/>
    <w:rsid w:val="005E30E1"/>
    <w:rsid w:val="005E403E"/>
    <w:rsid w:val="005E4450"/>
    <w:rsid w:val="005E5204"/>
    <w:rsid w:val="005E60A2"/>
    <w:rsid w:val="005E6184"/>
    <w:rsid w:val="005E6D48"/>
    <w:rsid w:val="005F02A8"/>
    <w:rsid w:val="005F0AEF"/>
    <w:rsid w:val="005F1FB7"/>
    <w:rsid w:val="005F3607"/>
    <w:rsid w:val="005F39DC"/>
    <w:rsid w:val="005F4E0D"/>
    <w:rsid w:val="005F64C5"/>
    <w:rsid w:val="005F6CEC"/>
    <w:rsid w:val="00604019"/>
    <w:rsid w:val="00604C5D"/>
    <w:rsid w:val="00605889"/>
    <w:rsid w:val="00606DA2"/>
    <w:rsid w:val="00610B63"/>
    <w:rsid w:val="00611A9C"/>
    <w:rsid w:val="00611FAC"/>
    <w:rsid w:val="00612409"/>
    <w:rsid w:val="006129F3"/>
    <w:rsid w:val="006133E3"/>
    <w:rsid w:val="00613696"/>
    <w:rsid w:val="00613876"/>
    <w:rsid w:val="006147D8"/>
    <w:rsid w:val="00615117"/>
    <w:rsid w:val="00615FE5"/>
    <w:rsid w:val="00616ACC"/>
    <w:rsid w:val="00616FE0"/>
    <w:rsid w:val="00617247"/>
    <w:rsid w:val="00617F70"/>
    <w:rsid w:val="00620552"/>
    <w:rsid w:val="00623ADB"/>
    <w:rsid w:val="00623B1E"/>
    <w:rsid w:val="00624D17"/>
    <w:rsid w:val="00630772"/>
    <w:rsid w:val="006345CD"/>
    <w:rsid w:val="00647F56"/>
    <w:rsid w:val="00650AE0"/>
    <w:rsid w:val="006512B6"/>
    <w:rsid w:val="00651CF3"/>
    <w:rsid w:val="00653F9D"/>
    <w:rsid w:val="00654937"/>
    <w:rsid w:val="0065685E"/>
    <w:rsid w:val="00657D47"/>
    <w:rsid w:val="00660F77"/>
    <w:rsid w:val="00663B52"/>
    <w:rsid w:val="0066441B"/>
    <w:rsid w:val="006645CB"/>
    <w:rsid w:val="00665288"/>
    <w:rsid w:val="006660D7"/>
    <w:rsid w:val="0067007C"/>
    <w:rsid w:val="00672CB2"/>
    <w:rsid w:val="006754CE"/>
    <w:rsid w:val="006815C2"/>
    <w:rsid w:val="006828E9"/>
    <w:rsid w:val="00683973"/>
    <w:rsid w:val="00683DEA"/>
    <w:rsid w:val="006842F3"/>
    <w:rsid w:val="00684B60"/>
    <w:rsid w:val="006910CB"/>
    <w:rsid w:val="00694BB2"/>
    <w:rsid w:val="006951C5"/>
    <w:rsid w:val="006A0E6B"/>
    <w:rsid w:val="006A1180"/>
    <w:rsid w:val="006A17A1"/>
    <w:rsid w:val="006A1C38"/>
    <w:rsid w:val="006A39D0"/>
    <w:rsid w:val="006A7AF8"/>
    <w:rsid w:val="006B07EA"/>
    <w:rsid w:val="006B0B35"/>
    <w:rsid w:val="006B1462"/>
    <w:rsid w:val="006B2271"/>
    <w:rsid w:val="006B5CFA"/>
    <w:rsid w:val="006B64D1"/>
    <w:rsid w:val="006B7CB3"/>
    <w:rsid w:val="006B7E0D"/>
    <w:rsid w:val="006C0AD8"/>
    <w:rsid w:val="006C32E6"/>
    <w:rsid w:val="006C4EDE"/>
    <w:rsid w:val="006C514E"/>
    <w:rsid w:val="006C56B4"/>
    <w:rsid w:val="006C70F6"/>
    <w:rsid w:val="006D05DF"/>
    <w:rsid w:val="006D0CB8"/>
    <w:rsid w:val="006D1538"/>
    <w:rsid w:val="006D3FFC"/>
    <w:rsid w:val="006D7111"/>
    <w:rsid w:val="006D7B2C"/>
    <w:rsid w:val="006E0633"/>
    <w:rsid w:val="006E1CF3"/>
    <w:rsid w:val="006E27D6"/>
    <w:rsid w:val="006E343B"/>
    <w:rsid w:val="006E5B90"/>
    <w:rsid w:val="006E634E"/>
    <w:rsid w:val="006E6DEE"/>
    <w:rsid w:val="006F0EE3"/>
    <w:rsid w:val="006F11B7"/>
    <w:rsid w:val="006F3CFA"/>
    <w:rsid w:val="006F407C"/>
    <w:rsid w:val="006F70E0"/>
    <w:rsid w:val="006F74F4"/>
    <w:rsid w:val="007019DE"/>
    <w:rsid w:val="00702379"/>
    <w:rsid w:val="00702ED9"/>
    <w:rsid w:val="00703520"/>
    <w:rsid w:val="007035F8"/>
    <w:rsid w:val="0070584E"/>
    <w:rsid w:val="007104DD"/>
    <w:rsid w:val="007129A3"/>
    <w:rsid w:val="00712DEF"/>
    <w:rsid w:val="0071322C"/>
    <w:rsid w:val="007140AC"/>
    <w:rsid w:val="007146AC"/>
    <w:rsid w:val="00715638"/>
    <w:rsid w:val="00715D35"/>
    <w:rsid w:val="00716270"/>
    <w:rsid w:val="0072349F"/>
    <w:rsid w:val="00724249"/>
    <w:rsid w:val="00725026"/>
    <w:rsid w:val="00725F44"/>
    <w:rsid w:val="007262F9"/>
    <w:rsid w:val="007327CD"/>
    <w:rsid w:val="00732818"/>
    <w:rsid w:val="00734D8B"/>
    <w:rsid w:val="00735C8C"/>
    <w:rsid w:val="00737F6A"/>
    <w:rsid w:val="00740A82"/>
    <w:rsid w:val="00743DCB"/>
    <w:rsid w:val="007451BB"/>
    <w:rsid w:val="007467EE"/>
    <w:rsid w:val="007523E9"/>
    <w:rsid w:val="00753CF8"/>
    <w:rsid w:val="00754A93"/>
    <w:rsid w:val="00754FCE"/>
    <w:rsid w:val="0075632F"/>
    <w:rsid w:val="007567CF"/>
    <w:rsid w:val="007603D2"/>
    <w:rsid w:val="00761954"/>
    <w:rsid w:val="0076366A"/>
    <w:rsid w:val="00765DCA"/>
    <w:rsid w:val="007671DC"/>
    <w:rsid w:val="00770373"/>
    <w:rsid w:val="00771626"/>
    <w:rsid w:val="00771D95"/>
    <w:rsid w:val="00772CB7"/>
    <w:rsid w:val="007744E5"/>
    <w:rsid w:val="007755BA"/>
    <w:rsid w:val="00775726"/>
    <w:rsid w:val="00775B43"/>
    <w:rsid w:val="0078059E"/>
    <w:rsid w:val="007807BC"/>
    <w:rsid w:val="0078219D"/>
    <w:rsid w:val="0078377E"/>
    <w:rsid w:val="007852C0"/>
    <w:rsid w:val="00785E7C"/>
    <w:rsid w:val="00790CFB"/>
    <w:rsid w:val="007931C3"/>
    <w:rsid w:val="00794FF3"/>
    <w:rsid w:val="00795A5F"/>
    <w:rsid w:val="00795CF9"/>
    <w:rsid w:val="007A14AE"/>
    <w:rsid w:val="007A1876"/>
    <w:rsid w:val="007A4255"/>
    <w:rsid w:val="007A477F"/>
    <w:rsid w:val="007A5268"/>
    <w:rsid w:val="007A67FA"/>
    <w:rsid w:val="007A7FA8"/>
    <w:rsid w:val="007B0071"/>
    <w:rsid w:val="007B152D"/>
    <w:rsid w:val="007B5F6D"/>
    <w:rsid w:val="007B6E4B"/>
    <w:rsid w:val="007C01B3"/>
    <w:rsid w:val="007C073F"/>
    <w:rsid w:val="007C12F6"/>
    <w:rsid w:val="007C380B"/>
    <w:rsid w:val="007C7B97"/>
    <w:rsid w:val="007D00B4"/>
    <w:rsid w:val="007D1082"/>
    <w:rsid w:val="007D19D3"/>
    <w:rsid w:val="007D1C2F"/>
    <w:rsid w:val="007D2663"/>
    <w:rsid w:val="007D2FD7"/>
    <w:rsid w:val="007D3701"/>
    <w:rsid w:val="007D4DBD"/>
    <w:rsid w:val="007D5B5C"/>
    <w:rsid w:val="007D7551"/>
    <w:rsid w:val="007D7B0F"/>
    <w:rsid w:val="007E014C"/>
    <w:rsid w:val="007E067B"/>
    <w:rsid w:val="007E0A98"/>
    <w:rsid w:val="007E0C9D"/>
    <w:rsid w:val="007E0CA3"/>
    <w:rsid w:val="007E11DC"/>
    <w:rsid w:val="007E183C"/>
    <w:rsid w:val="007E4D76"/>
    <w:rsid w:val="007E621C"/>
    <w:rsid w:val="007E6820"/>
    <w:rsid w:val="007E6940"/>
    <w:rsid w:val="007F085C"/>
    <w:rsid w:val="007F0888"/>
    <w:rsid w:val="007F1D2D"/>
    <w:rsid w:val="007F651E"/>
    <w:rsid w:val="007F6DA3"/>
    <w:rsid w:val="007F7505"/>
    <w:rsid w:val="007F7EE8"/>
    <w:rsid w:val="0080201F"/>
    <w:rsid w:val="0080219C"/>
    <w:rsid w:val="00803650"/>
    <w:rsid w:val="00804294"/>
    <w:rsid w:val="00806A6D"/>
    <w:rsid w:val="008077A7"/>
    <w:rsid w:val="00810FE4"/>
    <w:rsid w:val="00811C43"/>
    <w:rsid w:val="00817DC0"/>
    <w:rsid w:val="00821DE4"/>
    <w:rsid w:val="0082258C"/>
    <w:rsid w:val="00825369"/>
    <w:rsid w:val="00831C7D"/>
    <w:rsid w:val="0083274C"/>
    <w:rsid w:val="0083458D"/>
    <w:rsid w:val="00835E83"/>
    <w:rsid w:val="008438F3"/>
    <w:rsid w:val="00850BB9"/>
    <w:rsid w:val="00850DC5"/>
    <w:rsid w:val="0085178E"/>
    <w:rsid w:val="008529F4"/>
    <w:rsid w:val="008558F5"/>
    <w:rsid w:val="00855B99"/>
    <w:rsid w:val="00857063"/>
    <w:rsid w:val="00863121"/>
    <w:rsid w:val="0086592E"/>
    <w:rsid w:val="00866282"/>
    <w:rsid w:val="00867B25"/>
    <w:rsid w:val="0087148E"/>
    <w:rsid w:val="008741EB"/>
    <w:rsid w:val="008750FE"/>
    <w:rsid w:val="00875F9A"/>
    <w:rsid w:val="008811E9"/>
    <w:rsid w:val="00883C2B"/>
    <w:rsid w:val="00884127"/>
    <w:rsid w:val="00884A79"/>
    <w:rsid w:val="008877D6"/>
    <w:rsid w:val="0089228A"/>
    <w:rsid w:val="00892588"/>
    <w:rsid w:val="00894E8A"/>
    <w:rsid w:val="0089581C"/>
    <w:rsid w:val="008A1C80"/>
    <w:rsid w:val="008A5201"/>
    <w:rsid w:val="008A793F"/>
    <w:rsid w:val="008B04E7"/>
    <w:rsid w:val="008B0A7E"/>
    <w:rsid w:val="008B217E"/>
    <w:rsid w:val="008B2AA4"/>
    <w:rsid w:val="008B2F68"/>
    <w:rsid w:val="008B3718"/>
    <w:rsid w:val="008B43B1"/>
    <w:rsid w:val="008B5072"/>
    <w:rsid w:val="008B52AA"/>
    <w:rsid w:val="008C0F47"/>
    <w:rsid w:val="008C105A"/>
    <w:rsid w:val="008C15EE"/>
    <w:rsid w:val="008C32FD"/>
    <w:rsid w:val="008C3355"/>
    <w:rsid w:val="008C3C07"/>
    <w:rsid w:val="008C4028"/>
    <w:rsid w:val="008C4B21"/>
    <w:rsid w:val="008C6C08"/>
    <w:rsid w:val="008C77FE"/>
    <w:rsid w:val="008D08C4"/>
    <w:rsid w:val="008D37F9"/>
    <w:rsid w:val="008D4B07"/>
    <w:rsid w:val="008D6443"/>
    <w:rsid w:val="008D6DD8"/>
    <w:rsid w:val="008E008E"/>
    <w:rsid w:val="008E2D0A"/>
    <w:rsid w:val="008E41BF"/>
    <w:rsid w:val="008E4850"/>
    <w:rsid w:val="008E4866"/>
    <w:rsid w:val="008E4BC7"/>
    <w:rsid w:val="008E6486"/>
    <w:rsid w:val="008E6A17"/>
    <w:rsid w:val="008F0C57"/>
    <w:rsid w:val="008F1535"/>
    <w:rsid w:val="008F1FA0"/>
    <w:rsid w:val="008F2257"/>
    <w:rsid w:val="008F27B2"/>
    <w:rsid w:val="008F6D43"/>
    <w:rsid w:val="008F7980"/>
    <w:rsid w:val="0090391D"/>
    <w:rsid w:val="00903D35"/>
    <w:rsid w:val="00904B07"/>
    <w:rsid w:val="00911583"/>
    <w:rsid w:val="0091256C"/>
    <w:rsid w:val="00917589"/>
    <w:rsid w:val="00920AB5"/>
    <w:rsid w:val="00920C9B"/>
    <w:rsid w:val="00921028"/>
    <w:rsid w:val="00921B05"/>
    <w:rsid w:val="00922728"/>
    <w:rsid w:val="00922E49"/>
    <w:rsid w:val="0092359C"/>
    <w:rsid w:val="009235CA"/>
    <w:rsid w:val="00923FDF"/>
    <w:rsid w:val="00924A53"/>
    <w:rsid w:val="009250F0"/>
    <w:rsid w:val="0092633A"/>
    <w:rsid w:val="00927BF6"/>
    <w:rsid w:val="0093006B"/>
    <w:rsid w:val="00931D39"/>
    <w:rsid w:val="00932741"/>
    <w:rsid w:val="0093482B"/>
    <w:rsid w:val="00934DCF"/>
    <w:rsid w:val="009350B7"/>
    <w:rsid w:val="00935699"/>
    <w:rsid w:val="00935973"/>
    <w:rsid w:val="00935A8A"/>
    <w:rsid w:val="00937458"/>
    <w:rsid w:val="00937459"/>
    <w:rsid w:val="00941396"/>
    <w:rsid w:val="009430D4"/>
    <w:rsid w:val="00944A3F"/>
    <w:rsid w:val="00944D96"/>
    <w:rsid w:val="00947AC4"/>
    <w:rsid w:val="0095070E"/>
    <w:rsid w:val="00952256"/>
    <w:rsid w:val="0095596A"/>
    <w:rsid w:val="00956FC2"/>
    <w:rsid w:val="00960068"/>
    <w:rsid w:val="00960303"/>
    <w:rsid w:val="0096105D"/>
    <w:rsid w:val="00961589"/>
    <w:rsid w:val="0096333A"/>
    <w:rsid w:val="00963FF1"/>
    <w:rsid w:val="00964391"/>
    <w:rsid w:val="0096536D"/>
    <w:rsid w:val="00967066"/>
    <w:rsid w:val="009671A9"/>
    <w:rsid w:val="009702F1"/>
    <w:rsid w:val="00974E76"/>
    <w:rsid w:val="009753B6"/>
    <w:rsid w:val="0098271A"/>
    <w:rsid w:val="00982C3C"/>
    <w:rsid w:val="00983BA4"/>
    <w:rsid w:val="009858E9"/>
    <w:rsid w:val="00987AB3"/>
    <w:rsid w:val="0099091F"/>
    <w:rsid w:val="009924A2"/>
    <w:rsid w:val="009938C2"/>
    <w:rsid w:val="0099394C"/>
    <w:rsid w:val="00994328"/>
    <w:rsid w:val="009947E5"/>
    <w:rsid w:val="00995227"/>
    <w:rsid w:val="00997902"/>
    <w:rsid w:val="009A370A"/>
    <w:rsid w:val="009A3DDA"/>
    <w:rsid w:val="009A443D"/>
    <w:rsid w:val="009A4729"/>
    <w:rsid w:val="009A4787"/>
    <w:rsid w:val="009A4817"/>
    <w:rsid w:val="009B0755"/>
    <w:rsid w:val="009B0EE7"/>
    <w:rsid w:val="009B1F8B"/>
    <w:rsid w:val="009B3CE3"/>
    <w:rsid w:val="009B3DEE"/>
    <w:rsid w:val="009B3FAD"/>
    <w:rsid w:val="009C17F8"/>
    <w:rsid w:val="009C2974"/>
    <w:rsid w:val="009C51B6"/>
    <w:rsid w:val="009C6E74"/>
    <w:rsid w:val="009C7763"/>
    <w:rsid w:val="009D0419"/>
    <w:rsid w:val="009D1A1F"/>
    <w:rsid w:val="009D1D8B"/>
    <w:rsid w:val="009D1F39"/>
    <w:rsid w:val="009D2BA8"/>
    <w:rsid w:val="009D3564"/>
    <w:rsid w:val="009D4FCB"/>
    <w:rsid w:val="009D524A"/>
    <w:rsid w:val="009D6138"/>
    <w:rsid w:val="009E0F85"/>
    <w:rsid w:val="009E2A4C"/>
    <w:rsid w:val="009E3656"/>
    <w:rsid w:val="009E3AFC"/>
    <w:rsid w:val="009E44D0"/>
    <w:rsid w:val="009E4599"/>
    <w:rsid w:val="009E5D74"/>
    <w:rsid w:val="009E6425"/>
    <w:rsid w:val="009F32D6"/>
    <w:rsid w:val="009F3578"/>
    <w:rsid w:val="009F3CD4"/>
    <w:rsid w:val="009F4068"/>
    <w:rsid w:val="009F562E"/>
    <w:rsid w:val="009F7C51"/>
    <w:rsid w:val="009F7D5C"/>
    <w:rsid w:val="00A00F03"/>
    <w:rsid w:val="00A01F70"/>
    <w:rsid w:val="00A02879"/>
    <w:rsid w:val="00A03664"/>
    <w:rsid w:val="00A04B3D"/>
    <w:rsid w:val="00A1421F"/>
    <w:rsid w:val="00A14ED8"/>
    <w:rsid w:val="00A158C7"/>
    <w:rsid w:val="00A165EE"/>
    <w:rsid w:val="00A174C9"/>
    <w:rsid w:val="00A17D89"/>
    <w:rsid w:val="00A217B6"/>
    <w:rsid w:val="00A22E89"/>
    <w:rsid w:val="00A24BD8"/>
    <w:rsid w:val="00A26F7F"/>
    <w:rsid w:val="00A33595"/>
    <w:rsid w:val="00A34AC8"/>
    <w:rsid w:val="00A35189"/>
    <w:rsid w:val="00A35AD5"/>
    <w:rsid w:val="00A370B2"/>
    <w:rsid w:val="00A406D8"/>
    <w:rsid w:val="00A42B32"/>
    <w:rsid w:val="00A42DA1"/>
    <w:rsid w:val="00A44657"/>
    <w:rsid w:val="00A513D9"/>
    <w:rsid w:val="00A52EB8"/>
    <w:rsid w:val="00A537C3"/>
    <w:rsid w:val="00A559D5"/>
    <w:rsid w:val="00A559EE"/>
    <w:rsid w:val="00A560B5"/>
    <w:rsid w:val="00A57870"/>
    <w:rsid w:val="00A601B3"/>
    <w:rsid w:val="00A60F27"/>
    <w:rsid w:val="00A60F2A"/>
    <w:rsid w:val="00A61FB0"/>
    <w:rsid w:val="00A62C67"/>
    <w:rsid w:val="00A676C7"/>
    <w:rsid w:val="00A67EF2"/>
    <w:rsid w:val="00A70BC6"/>
    <w:rsid w:val="00A711D5"/>
    <w:rsid w:val="00A71438"/>
    <w:rsid w:val="00A71B75"/>
    <w:rsid w:val="00A7208C"/>
    <w:rsid w:val="00A7393E"/>
    <w:rsid w:val="00A73FFE"/>
    <w:rsid w:val="00A74284"/>
    <w:rsid w:val="00A75DDE"/>
    <w:rsid w:val="00A768C9"/>
    <w:rsid w:val="00A77D92"/>
    <w:rsid w:val="00A824FE"/>
    <w:rsid w:val="00A84E15"/>
    <w:rsid w:val="00A85024"/>
    <w:rsid w:val="00A85D80"/>
    <w:rsid w:val="00A86F34"/>
    <w:rsid w:val="00A915B8"/>
    <w:rsid w:val="00A922A3"/>
    <w:rsid w:val="00A934E3"/>
    <w:rsid w:val="00A93638"/>
    <w:rsid w:val="00A953DA"/>
    <w:rsid w:val="00A95803"/>
    <w:rsid w:val="00A96A2D"/>
    <w:rsid w:val="00A97F28"/>
    <w:rsid w:val="00AA1A8F"/>
    <w:rsid w:val="00AA2039"/>
    <w:rsid w:val="00AA2B7C"/>
    <w:rsid w:val="00AA369D"/>
    <w:rsid w:val="00AA36FA"/>
    <w:rsid w:val="00AA56F9"/>
    <w:rsid w:val="00AA70C2"/>
    <w:rsid w:val="00AA7F28"/>
    <w:rsid w:val="00AB20E0"/>
    <w:rsid w:val="00AB2D9C"/>
    <w:rsid w:val="00AB4127"/>
    <w:rsid w:val="00AB4BB5"/>
    <w:rsid w:val="00AB6B52"/>
    <w:rsid w:val="00AB6B7E"/>
    <w:rsid w:val="00AC1499"/>
    <w:rsid w:val="00AC2811"/>
    <w:rsid w:val="00AC3036"/>
    <w:rsid w:val="00AC4B7A"/>
    <w:rsid w:val="00AC54B2"/>
    <w:rsid w:val="00AC64DF"/>
    <w:rsid w:val="00AC6743"/>
    <w:rsid w:val="00AD0080"/>
    <w:rsid w:val="00AD0EA6"/>
    <w:rsid w:val="00AD2DFE"/>
    <w:rsid w:val="00AD3DAC"/>
    <w:rsid w:val="00AD3F44"/>
    <w:rsid w:val="00AD4726"/>
    <w:rsid w:val="00AD65E5"/>
    <w:rsid w:val="00AD6B09"/>
    <w:rsid w:val="00AD7D08"/>
    <w:rsid w:val="00AD7D68"/>
    <w:rsid w:val="00AE006F"/>
    <w:rsid w:val="00AE05C7"/>
    <w:rsid w:val="00AE0D66"/>
    <w:rsid w:val="00AE276E"/>
    <w:rsid w:val="00AE528C"/>
    <w:rsid w:val="00AE59E7"/>
    <w:rsid w:val="00AE5C70"/>
    <w:rsid w:val="00AE5F24"/>
    <w:rsid w:val="00AF0C4B"/>
    <w:rsid w:val="00AF1956"/>
    <w:rsid w:val="00AF2178"/>
    <w:rsid w:val="00AF5F88"/>
    <w:rsid w:val="00AF62C1"/>
    <w:rsid w:val="00AF6C4E"/>
    <w:rsid w:val="00B035DE"/>
    <w:rsid w:val="00B03645"/>
    <w:rsid w:val="00B04746"/>
    <w:rsid w:val="00B049FC"/>
    <w:rsid w:val="00B07926"/>
    <w:rsid w:val="00B13D29"/>
    <w:rsid w:val="00B1426F"/>
    <w:rsid w:val="00B16906"/>
    <w:rsid w:val="00B17452"/>
    <w:rsid w:val="00B20FCD"/>
    <w:rsid w:val="00B21770"/>
    <w:rsid w:val="00B224A9"/>
    <w:rsid w:val="00B22521"/>
    <w:rsid w:val="00B249F3"/>
    <w:rsid w:val="00B268D6"/>
    <w:rsid w:val="00B307DF"/>
    <w:rsid w:val="00B3207E"/>
    <w:rsid w:val="00B32D4F"/>
    <w:rsid w:val="00B33737"/>
    <w:rsid w:val="00B340CA"/>
    <w:rsid w:val="00B34A29"/>
    <w:rsid w:val="00B36531"/>
    <w:rsid w:val="00B412D1"/>
    <w:rsid w:val="00B416BC"/>
    <w:rsid w:val="00B41C7B"/>
    <w:rsid w:val="00B421BC"/>
    <w:rsid w:val="00B45C09"/>
    <w:rsid w:val="00B46084"/>
    <w:rsid w:val="00B464E1"/>
    <w:rsid w:val="00B477D1"/>
    <w:rsid w:val="00B52273"/>
    <w:rsid w:val="00B5227F"/>
    <w:rsid w:val="00B57C4E"/>
    <w:rsid w:val="00B62D21"/>
    <w:rsid w:val="00B63DC0"/>
    <w:rsid w:val="00B65D30"/>
    <w:rsid w:val="00B66FD7"/>
    <w:rsid w:val="00B70F7A"/>
    <w:rsid w:val="00B81B09"/>
    <w:rsid w:val="00B82078"/>
    <w:rsid w:val="00B832CE"/>
    <w:rsid w:val="00B8431D"/>
    <w:rsid w:val="00B847E2"/>
    <w:rsid w:val="00B87617"/>
    <w:rsid w:val="00B91A4C"/>
    <w:rsid w:val="00B91BC3"/>
    <w:rsid w:val="00B97EB6"/>
    <w:rsid w:val="00BA030F"/>
    <w:rsid w:val="00BA065C"/>
    <w:rsid w:val="00BA1381"/>
    <w:rsid w:val="00BA3193"/>
    <w:rsid w:val="00BA343B"/>
    <w:rsid w:val="00BB2F49"/>
    <w:rsid w:val="00BB31CB"/>
    <w:rsid w:val="00BB330B"/>
    <w:rsid w:val="00BB430B"/>
    <w:rsid w:val="00BB6254"/>
    <w:rsid w:val="00BB72CA"/>
    <w:rsid w:val="00BB7ABB"/>
    <w:rsid w:val="00BC0FEB"/>
    <w:rsid w:val="00BC48EE"/>
    <w:rsid w:val="00BC4AC0"/>
    <w:rsid w:val="00BD2E4F"/>
    <w:rsid w:val="00BD412F"/>
    <w:rsid w:val="00BD4293"/>
    <w:rsid w:val="00BD4B83"/>
    <w:rsid w:val="00BD5864"/>
    <w:rsid w:val="00BD64B8"/>
    <w:rsid w:val="00BD72DA"/>
    <w:rsid w:val="00BE2E8E"/>
    <w:rsid w:val="00BE3314"/>
    <w:rsid w:val="00BE50F3"/>
    <w:rsid w:val="00BE64D0"/>
    <w:rsid w:val="00BE6648"/>
    <w:rsid w:val="00BE7BA6"/>
    <w:rsid w:val="00BF0CE0"/>
    <w:rsid w:val="00BF26AA"/>
    <w:rsid w:val="00BF4DB3"/>
    <w:rsid w:val="00BF6758"/>
    <w:rsid w:val="00C00D75"/>
    <w:rsid w:val="00C01C73"/>
    <w:rsid w:val="00C03394"/>
    <w:rsid w:val="00C063CF"/>
    <w:rsid w:val="00C073DF"/>
    <w:rsid w:val="00C123EA"/>
    <w:rsid w:val="00C163B4"/>
    <w:rsid w:val="00C22B29"/>
    <w:rsid w:val="00C22FB6"/>
    <w:rsid w:val="00C24210"/>
    <w:rsid w:val="00C247C5"/>
    <w:rsid w:val="00C24E92"/>
    <w:rsid w:val="00C250E9"/>
    <w:rsid w:val="00C252E7"/>
    <w:rsid w:val="00C26F7F"/>
    <w:rsid w:val="00C2741C"/>
    <w:rsid w:val="00C303DC"/>
    <w:rsid w:val="00C31549"/>
    <w:rsid w:val="00C32587"/>
    <w:rsid w:val="00C334C7"/>
    <w:rsid w:val="00C348AB"/>
    <w:rsid w:val="00C34E5D"/>
    <w:rsid w:val="00C35109"/>
    <w:rsid w:val="00C354CB"/>
    <w:rsid w:val="00C35EBD"/>
    <w:rsid w:val="00C3652A"/>
    <w:rsid w:val="00C366B0"/>
    <w:rsid w:val="00C36737"/>
    <w:rsid w:val="00C36E42"/>
    <w:rsid w:val="00C40BF3"/>
    <w:rsid w:val="00C41388"/>
    <w:rsid w:val="00C42987"/>
    <w:rsid w:val="00C434E2"/>
    <w:rsid w:val="00C446E1"/>
    <w:rsid w:val="00C469F4"/>
    <w:rsid w:val="00C46B8A"/>
    <w:rsid w:val="00C46E22"/>
    <w:rsid w:val="00C47FB8"/>
    <w:rsid w:val="00C51D6F"/>
    <w:rsid w:val="00C54580"/>
    <w:rsid w:val="00C55B44"/>
    <w:rsid w:val="00C56562"/>
    <w:rsid w:val="00C56C75"/>
    <w:rsid w:val="00C5701C"/>
    <w:rsid w:val="00C57D6A"/>
    <w:rsid w:val="00C6161F"/>
    <w:rsid w:val="00C63F18"/>
    <w:rsid w:val="00C645D6"/>
    <w:rsid w:val="00C66287"/>
    <w:rsid w:val="00C66CEB"/>
    <w:rsid w:val="00C7203E"/>
    <w:rsid w:val="00C725D9"/>
    <w:rsid w:val="00C7571B"/>
    <w:rsid w:val="00C77106"/>
    <w:rsid w:val="00C80C3F"/>
    <w:rsid w:val="00C80D5C"/>
    <w:rsid w:val="00C81192"/>
    <w:rsid w:val="00C82283"/>
    <w:rsid w:val="00C82F48"/>
    <w:rsid w:val="00C83B95"/>
    <w:rsid w:val="00C85D16"/>
    <w:rsid w:val="00C926AB"/>
    <w:rsid w:val="00C93F75"/>
    <w:rsid w:val="00C94660"/>
    <w:rsid w:val="00C9474C"/>
    <w:rsid w:val="00C94B5D"/>
    <w:rsid w:val="00C961ED"/>
    <w:rsid w:val="00CA04BA"/>
    <w:rsid w:val="00CA06E2"/>
    <w:rsid w:val="00CA1029"/>
    <w:rsid w:val="00CA1A5B"/>
    <w:rsid w:val="00CA5C92"/>
    <w:rsid w:val="00CA5DC0"/>
    <w:rsid w:val="00CA756F"/>
    <w:rsid w:val="00CB044C"/>
    <w:rsid w:val="00CB092F"/>
    <w:rsid w:val="00CB1DB7"/>
    <w:rsid w:val="00CB1EE8"/>
    <w:rsid w:val="00CB4345"/>
    <w:rsid w:val="00CB6338"/>
    <w:rsid w:val="00CB66ED"/>
    <w:rsid w:val="00CC20A3"/>
    <w:rsid w:val="00CC3B6E"/>
    <w:rsid w:val="00CC541A"/>
    <w:rsid w:val="00CC5ABC"/>
    <w:rsid w:val="00CC73BF"/>
    <w:rsid w:val="00CC7750"/>
    <w:rsid w:val="00CC7DE8"/>
    <w:rsid w:val="00CD0044"/>
    <w:rsid w:val="00CD045C"/>
    <w:rsid w:val="00CD1A88"/>
    <w:rsid w:val="00CD3B32"/>
    <w:rsid w:val="00CD7434"/>
    <w:rsid w:val="00CE0101"/>
    <w:rsid w:val="00CE108C"/>
    <w:rsid w:val="00CE13F5"/>
    <w:rsid w:val="00CE143F"/>
    <w:rsid w:val="00CE158D"/>
    <w:rsid w:val="00CE37CF"/>
    <w:rsid w:val="00CE55B5"/>
    <w:rsid w:val="00CE5CBC"/>
    <w:rsid w:val="00CE69E1"/>
    <w:rsid w:val="00CE7F45"/>
    <w:rsid w:val="00CF099D"/>
    <w:rsid w:val="00CF196E"/>
    <w:rsid w:val="00CF1F8D"/>
    <w:rsid w:val="00CF3C9A"/>
    <w:rsid w:val="00CF4FEF"/>
    <w:rsid w:val="00CF5C55"/>
    <w:rsid w:val="00CF755D"/>
    <w:rsid w:val="00D01E8B"/>
    <w:rsid w:val="00D04882"/>
    <w:rsid w:val="00D0532A"/>
    <w:rsid w:val="00D1229C"/>
    <w:rsid w:val="00D124EE"/>
    <w:rsid w:val="00D157C3"/>
    <w:rsid w:val="00D204D9"/>
    <w:rsid w:val="00D2211D"/>
    <w:rsid w:val="00D22926"/>
    <w:rsid w:val="00D22A58"/>
    <w:rsid w:val="00D244E3"/>
    <w:rsid w:val="00D26013"/>
    <w:rsid w:val="00D26EFE"/>
    <w:rsid w:val="00D3288F"/>
    <w:rsid w:val="00D32A32"/>
    <w:rsid w:val="00D32B42"/>
    <w:rsid w:val="00D3573B"/>
    <w:rsid w:val="00D37BE1"/>
    <w:rsid w:val="00D37FF3"/>
    <w:rsid w:val="00D437F5"/>
    <w:rsid w:val="00D460C6"/>
    <w:rsid w:val="00D47F0A"/>
    <w:rsid w:val="00D5161A"/>
    <w:rsid w:val="00D54C70"/>
    <w:rsid w:val="00D57153"/>
    <w:rsid w:val="00D619FF"/>
    <w:rsid w:val="00D61D19"/>
    <w:rsid w:val="00D620AA"/>
    <w:rsid w:val="00D63544"/>
    <w:rsid w:val="00D635DB"/>
    <w:rsid w:val="00D650D6"/>
    <w:rsid w:val="00D652FF"/>
    <w:rsid w:val="00D66378"/>
    <w:rsid w:val="00D701AF"/>
    <w:rsid w:val="00D712C1"/>
    <w:rsid w:val="00D715B0"/>
    <w:rsid w:val="00D717B7"/>
    <w:rsid w:val="00D74437"/>
    <w:rsid w:val="00D74B8F"/>
    <w:rsid w:val="00D759B8"/>
    <w:rsid w:val="00D801FB"/>
    <w:rsid w:val="00D812C0"/>
    <w:rsid w:val="00D813E4"/>
    <w:rsid w:val="00D81B3C"/>
    <w:rsid w:val="00D81B65"/>
    <w:rsid w:val="00D8358D"/>
    <w:rsid w:val="00D8466D"/>
    <w:rsid w:val="00D8523E"/>
    <w:rsid w:val="00D8528A"/>
    <w:rsid w:val="00D9012C"/>
    <w:rsid w:val="00D93557"/>
    <w:rsid w:val="00D95494"/>
    <w:rsid w:val="00D9654D"/>
    <w:rsid w:val="00D97861"/>
    <w:rsid w:val="00DA1819"/>
    <w:rsid w:val="00DA3241"/>
    <w:rsid w:val="00DA4A5F"/>
    <w:rsid w:val="00DA5B04"/>
    <w:rsid w:val="00DB0FBC"/>
    <w:rsid w:val="00DB15FD"/>
    <w:rsid w:val="00DB182C"/>
    <w:rsid w:val="00DB420F"/>
    <w:rsid w:val="00DB4AFC"/>
    <w:rsid w:val="00DB5896"/>
    <w:rsid w:val="00DB6110"/>
    <w:rsid w:val="00DB655F"/>
    <w:rsid w:val="00DB7ABB"/>
    <w:rsid w:val="00DB7C81"/>
    <w:rsid w:val="00DC1196"/>
    <w:rsid w:val="00DC1919"/>
    <w:rsid w:val="00DC2CED"/>
    <w:rsid w:val="00DC3873"/>
    <w:rsid w:val="00DC4B9D"/>
    <w:rsid w:val="00DC604F"/>
    <w:rsid w:val="00DC76F9"/>
    <w:rsid w:val="00DD2B48"/>
    <w:rsid w:val="00DD6533"/>
    <w:rsid w:val="00DD6DAA"/>
    <w:rsid w:val="00DD7009"/>
    <w:rsid w:val="00DD7D57"/>
    <w:rsid w:val="00DE0837"/>
    <w:rsid w:val="00DE0F17"/>
    <w:rsid w:val="00DE1A22"/>
    <w:rsid w:val="00DE27B2"/>
    <w:rsid w:val="00DE356C"/>
    <w:rsid w:val="00DE3972"/>
    <w:rsid w:val="00DE5EB2"/>
    <w:rsid w:val="00DE7002"/>
    <w:rsid w:val="00DE7ADA"/>
    <w:rsid w:val="00DF0609"/>
    <w:rsid w:val="00DF14B1"/>
    <w:rsid w:val="00DF2F30"/>
    <w:rsid w:val="00DF2F6E"/>
    <w:rsid w:val="00DF5544"/>
    <w:rsid w:val="00E01ECF"/>
    <w:rsid w:val="00E04F07"/>
    <w:rsid w:val="00E051DE"/>
    <w:rsid w:val="00E078A0"/>
    <w:rsid w:val="00E078B9"/>
    <w:rsid w:val="00E10CCE"/>
    <w:rsid w:val="00E11A40"/>
    <w:rsid w:val="00E126EC"/>
    <w:rsid w:val="00E14CBD"/>
    <w:rsid w:val="00E23AEF"/>
    <w:rsid w:val="00E26795"/>
    <w:rsid w:val="00E307B8"/>
    <w:rsid w:val="00E30D6B"/>
    <w:rsid w:val="00E3661F"/>
    <w:rsid w:val="00E40A37"/>
    <w:rsid w:val="00E4358C"/>
    <w:rsid w:val="00E436F7"/>
    <w:rsid w:val="00E459CB"/>
    <w:rsid w:val="00E47298"/>
    <w:rsid w:val="00E51199"/>
    <w:rsid w:val="00E5374F"/>
    <w:rsid w:val="00E57C55"/>
    <w:rsid w:val="00E63C86"/>
    <w:rsid w:val="00E648EA"/>
    <w:rsid w:val="00E66301"/>
    <w:rsid w:val="00E6635D"/>
    <w:rsid w:val="00E669DC"/>
    <w:rsid w:val="00E72D17"/>
    <w:rsid w:val="00E74553"/>
    <w:rsid w:val="00E75C8F"/>
    <w:rsid w:val="00E81FCE"/>
    <w:rsid w:val="00E8325F"/>
    <w:rsid w:val="00E86301"/>
    <w:rsid w:val="00E86B76"/>
    <w:rsid w:val="00E920DF"/>
    <w:rsid w:val="00E92B77"/>
    <w:rsid w:val="00E92D27"/>
    <w:rsid w:val="00E93B76"/>
    <w:rsid w:val="00E943D1"/>
    <w:rsid w:val="00E949FD"/>
    <w:rsid w:val="00E96A95"/>
    <w:rsid w:val="00EA1690"/>
    <w:rsid w:val="00EA4F8E"/>
    <w:rsid w:val="00EA5D7D"/>
    <w:rsid w:val="00EA7E25"/>
    <w:rsid w:val="00EB0A23"/>
    <w:rsid w:val="00EB39F3"/>
    <w:rsid w:val="00EB3CB1"/>
    <w:rsid w:val="00EB3E66"/>
    <w:rsid w:val="00EB7379"/>
    <w:rsid w:val="00EB76A4"/>
    <w:rsid w:val="00EC182B"/>
    <w:rsid w:val="00EC2311"/>
    <w:rsid w:val="00EC38D3"/>
    <w:rsid w:val="00EC3C69"/>
    <w:rsid w:val="00ED0303"/>
    <w:rsid w:val="00ED070C"/>
    <w:rsid w:val="00ED5256"/>
    <w:rsid w:val="00ED5E08"/>
    <w:rsid w:val="00ED7944"/>
    <w:rsid w:val="00ED7F0F"/>
    <w:rsid w:val="00EE18AB"/>
    <w:rsid w:val="00EE18B0"/>
    <w:rsid w:val="00EE2429"/>
    <w:rsid w:val="00EE46F4"/>
    <w:rsid w:val="00EE7237"/>
    <w:rsid w:val="00EF0040"/>
    <w:rsid w:val="00EF1279"/>
    <w:rsid w:val="00EF1548"/>
    <w:rsid w:val="00EF3002"/>
    <w:rsid w:val="00EF5648"/>
    <w:rsid w:val="00F01F11"/>
    <w:rsid w:val="00F034E3"/>
    <w:rsid w:val="00F03BFC"/>
    <w:rsid w:val="00F03FDB"/>
    <w:rsid w:val="00F0555F"/>
    <w:rsid w:val="00F06A12"/>
    <w:rsid w:val="00F1026C"/>
    <w:rsid w:val="00F10B5B"/>
    <w:rsid w:val="00F1323D"/>
    <w:rsid w:val="00F13553"/>
    <w:rsid w:val="00F14485"/>
    <w:rsid w:val="00F15176"/>
    <w:rsid w:val="00F23FF4"/>
    <w:rsid w:val="00F2692F"/>
    <w:rsid w:val="00F27770"/>
    <w:rsid w:val="00F31B0F"/>
    <w:rsid w:val="00F33A52"/>
    <w:rsid w:val="00F36842"/>
    <w:rsid w:val="00F36A76"/>
    <w:rsid w:val="00F37205"/>
    <w:rsid w:val="00F40112"/>
    <w:rsid w:val="00F42889"/>
    <w:rsid w:val="00F44C65"/>
    <w:rsid w:val="00F47421"/>
    <w:rsid w:val="00F50B67"/>
    <w:rsid w:val="00F544F8"/>
    <w:rsid w:val="00F546FF"/>
    <w:rsid w:val="00F54B19"/>
    <w:rsid w:val="00F56459"/>
    <w:rsid w:val="00F57336"/>
    <w:rsid w:val="00F60CC7"/>
    <w:rsid w:val="00F613AD"/>
    <w:rsid w:val="00F613EC"/>
    <w:rsid w:val="00F619D9"/>
    <w:rsid w:val="00F651FC"/>
    <w:rsid w:val="00F67623"/>
    <w:rsid w:val="00F67ACC"/>
    <w:rsid w:val="00F703F2"/>
    <w:rsid w:val="00F73BEF"/>
    <w:rsid w:val="00F73DF4"/>
    <w:rsid w:val="00F7688B"/>
    <w:rsid w:val="00F76D0F"/>
    <w:rsid w:val="00F7721E"/>
    <w:rsid w:val="00F802ED"/>
    <w:rsid w:val="00F80F23"/>
    <w:rsid w:val="00F8241D"/>
    <w:rsid w:val="00F82502"/>
    <w:rsid w:val="00F83982"/>
    <w:rsid w:val="00F90F56"/>
    <w:rsid w:val="00F91466"/>
    <w:rsid w:val="00F919FD"/>
    <w:rsid w:val="00F92265"/>
    <w:rsid w:val="00F9258F"/>
    <w:rsid w:val="00F93E47"/>
    <w:rsid w:val="00F948F8"/>
    <w:rsid w:val="00F95DA3"/>
    <w:rsid w:val="00F96482"/>
    <w:rsid w:val="00F9663F"/>
    <w:rsid w:val="00F97397"/>
    <w:rsid w:val="00FA008F"/>
    <w:rsid w:val="00FA15ED"/>
    <w:rsid w:val="00FA22FC"/>
    <w:rsid w:val="00FA37A7"/>
    <w:rsid w:val="00FA4705"/>
    <w:rsid w:val="00FB2A37"/>
    <w:rsid w:val="00FB4E22"/>
    <w:rsid w:val="00FB5CD9"/>
    <w:rsid w:val="00FB685C"/>
    <w:rsid w:val="00FC0687"/>
    <w:rsid w:val="00FC1ACD"/>
    <w:rsid w:val="00FC3E7E"/>
    <w:rsid w:val="00FC40C6"/>
    <w:rsid w:val="00FC43F2"/>
    <w:rsid w:val="00FC5EF3"/>
    <w:rsid w:val="00FD103F"/>
    <w:rsid w:val="00FD20DA"/>
    <w:rsid w:val="00FD29FA"/>
    <w:rsid w:val="00FD2A4A"/>
    <w:rsid w:val="00FD3942"/>
    <w:rsid w:val="00FD411F"/>
    <w:rsid w:val="00FD4F0B"/>
    <w:rsid w:val="00FD7EEB"/>
    <w:rsid w:val="00FE07E3"/>
    <w:rsid w:val="00FE23F2"/>
    <w:rsid w:val="00FE268E"/>
    <w:rsid w:val="00FE2761"/>
    <w:rsid w:val="00FE5941"/>
    <w:rsid w:val="00FE5E3A"/>
    <w:rsid w:val="00FE65E5"/>
    <w:rsid w:val="00FE78DE"/>
    <w:rsid w:val="00FF0D5F"/>
    <w:rsid w:val="00FF5F39"/>
    <w:rsid w:val="00FF72C9"/>
    <w:rsid w:val="00FF784E"/>
    <w:rsid w:val="015C560C"/>
    <w:rsid w:val="01B37C77"/>
    <w:rsid w:val="01BB419E"/>
    <w:rsid w:val="01DC16F6"/>
    <w:rsid w:val="02ED446F"/>
    <w:rsid w:val="03276FA1"/>
    <w:rsid w:val="0416715D"/>
    <w:rsid w:val="04881638"/>
    <w:rsid w:val="04C62F31"/>
    <w:rsid w:val="05125BE6"/>
    <w:rsid w:val="053618C8"/>
    <w:rsid w:val="05E10BF1"/>
    <w:rsid w:val="061A1022"/>
    <w:rsid w:val="06EC5667"/>
    <w:rsid w:val="078D55BA"/>
    <w:rsid w:val="0893360A"/>
    <w:rsid w:val="09270F0D"/>
    <w:rsid w:val="09BF45BB"/>
    <w:rsid w:val="09C70F45"/>
    <w:rsid w:val="09DD347D"/>
    <w:rsid w:val="09FF4C60"/>
    <w:rsid w:val="0A113A72"/>
    <w:rsid w:val="0A563935"/>
    <w:rsid w:val="0A7E550F"/>
    <w:rsid w:val="0AD35EDC"/>
    <w:rsid w:val="0C9B3A6C"/>
    <w:rsid w:val="0CD663D6"/>
    <w:rsid w:val="0D8E183E"/>
    <w:rsid w:val="0DEB0C74"/>
    <w:rsid w:val="0E234106"/>
    <w:rsid w:val="0EDC3C2F"/>
    <w:rsid w:val="0EE9588D"/>
    <w:rsid w:val="0F2548B7"/>
    <w:rsid w:val="0F4137C1"/>
    <w:rsid w:val="0F865E31"/>
    <w:rsid w:val="109D6C04"/>
    <w:rsid w:val="11151C04"/>
    <w:rsid w:val="112A7DD0"/>
    <w:rsid w:val="113E30F0"/>
    <w:rsid w:val="117E1CD0"/>
    <w:rsid w:val="11B94A48"/>
    <w:rsid w:val="12090D2D"/>
    <w:rsid w:val="12804D83"/>
    <w:rsid w:val="12853050"/>
    <w:rsid w:val="12C430BC"/>
    <w:rsid w:val="1349179C"/>
    <w:rsid w:val="14110426"/>
    <w:rsid w:val="14467BA6"/>
    <w:rsid w:val="146101A7"/>
    <w:rsid w:val="14717C02"/>
    <w:rsid w:val="14FF32D1"/>
    <w:rsid w:val="15155054"/>
    <w:rsid w:val="157F3999"/>
    <w:rsid w:val="15E42A3E"/>
    <w:rsid w:val="161B30EF"/>
    <w:rsid w:val="16265FC9"/>
    <w:rsid w:val="16A8115A"/>
    <w:rsid w:val="18C95526"/>
    <w:rsid w:val="19110AE5"/>
    <w:rsid w:val="19330C3B"/>
    <w:rsid w:val="199020D6"/>
    <w:rsid w:val="19961E29"/>
    <w:rsid w:val="19AB19E9"/>
    <w:rsid w:val="1A69475F"/>
    <w:rsid w:val="1A7C363A"/>
    <w:rsid w:val="1B162EA3"/>
    <w:rsid w:val="1B1F73E6"/>
    <w:rsid w:val="1B8E0B0A"/>
    <w:rsid w:val="1C2035B6"/>
    <w:rsid w:val="1C342F72"/>
    <w:rsid w:val="1C643A82"/>
    <w:rsid w:val="1D811463"/>
    <w:rsid w:val="1DFC78A4"/>
    <w:rsid w:val="1E2A180C"/>
    <w:rsid w:val="1FE11ED2"/>
    <w:rsid w:val="204B5004"/>
    <w:rsid w:val="206E5088"/>
    <w:rsid w:val="208B217E"/>
    <w:rsid w:val="213E1596"/>
    <w:rsid w:val="218730B9"/>
    <w:rsid w:val="21EC7717"/>
    <w:rsid w:val="21F0266B"/>
    <w:rsid w:val="220650F4"/>
    <w:rsid w:val="222B321C"/>
    <w:rsid w:val="222E4C7C"/>
    <w:rsid w:val="227B2B13"/>
    <w:rsid w:val="22C05C07"/>
    <w:rsid w:val="238647F9"/>
    <w:rsid w:val="246445A6"/>
    <w:rsid w:val="247E4D02"/>
    <w:rsid w:val="24F03D58"/>
    <w:rsid w:val="24FF35AE"/>
    <w:rsid w:val="25A506D8"/>
    <w:rsid w:val="25A57CBD"/>
    <w:rsid w:val="263D56A0"/>
    <w:rsid w:val="27133FBE"/>
    <w:rsid w:val="27734D99"/>
    <w:rsid w:val="27D13DDF"/>
    <w:rsid w:val="27E95189"/>
    <w:rsid w:val="2838479E"/>
    <w:rsid w:val="28497451"/>
    <w:rsid w:val="28595B3C"/>
    <w:rsid w:val="285D1FAE"/>
    <w:rsid w:val="287D5314"/>
    <w:rsid w:val="28AD1745"/>
    <w:rsid w:val="28B04649"/>
    <w:rsid w:val="28D24424"/>
    <w:rsid w:val="28FC66AB"/>
    <w:rsid w:val="29846BEE"/>
    <w:rsid w:val="29C10810"/>
    <w:rsid w:val="2AA75D9C"/>
    <w:rsid w:val="2AF923A1"/>
    <w:rsid w:val="2BE66136"/>
    <w:rsid w:val="2BFA2908"/>
    <w:rsid w:val="2C397789"/>
    <w:rsid w:val="2C3A306D"/>
    <w:rsid w:val="2C4B0616"/>
    <w:rsid w:val="2CE7393D"/>
    <w:rsid w:val="2DD76C40"/>
    <w:rsid w:val="2DD94CDB"/>
    <w:rsid w:val="2DFB2625"/>
    <w:rsid w:val="2E9B6D22"/>
    <w:rsid w:val="2F0A08D4"/>
    <w:rsid w:val="2F881E8A"/>
    <w:rsid w:val="2F9278AD"/>
    <w:rsid w:val="31023688"/>
    <w:rsid w:val="314B1F09"/>
    <w:rsid w:val="31C475A0"/>
    <w:rsid w:val="32330EB0"/>
    <w:rsid w:val="32867E75"/>
    <w:rsid w:val="32904380"/>
    <w:rsid w:val="329C3557"/>
    <w:rsid w:val="33437C8B"/>
    <w:rsid w:val="33660306"/>
    <w:rsid w:val="33DE4A8C"/>
    <w:rsid w:val="340741B6"/>
    <w:rsid w:val="34425760"/>
    <w:rsid w:val="346207BB"/>
    <w:rsid w:val="359D67A8"/>
    <w:rsid w:val="35B35570"/>
    <w:rsid w:val="35C016CF"/>
    <w:rsid w:val="35D03150"/>
    <w:rsid w:val="35ED6F65"/>
    <w:rsid w:val="36C30281"/>
    <w:rsid w:val="36C765CD"/>
    <w:rsid w:val="36CE4AEA"/>
    <w:rsid w:val="37AC4F3B"/>
    <w:rsid w:val="37BA69F2"/>
    <w:rsid w:val="386A6FD8"/>
    <w:rsid w:val="388365F5"/>
    <w:rsid w:val="38E200AC"/>
    <w:rsid w:val="38F96AD2"/>
    <w:rsid w:val="39453E12"/>
    <w:rsid w:val="39915138"/>
    <w:rsid w:val="3A6F488C"/>
    <w:rsid w:val="3AC62449"/>
    <w:rsid w:val="3AC92194"/>
    <w:rsid w:val="3B13204B"/>
    <w:rsid w:val="3B464079"/>
    <w:rsid w:val="3B746242"/>
    <w:rsid w:val="3B7C4A8F"/>
    <w:rsid w:val="3BE7596C"/>
    <w:rsid w:val="3C964BE2"/>
    <w:rsid w:val="3CE23AD4"/>
    <w:rsid w:val="3CFC111B"/>
    <w:rsid w:val="3D260257"/>
    <w:rsid w:val="3D2A46E8"/>
    <w:rsid w:val="3D2E5A9E"/>
    <w:rsid w:val="3F925382"/>
    <w:rsid w:val="3F9F4D40"/>
    <w:rsid w:val="3FFD5A28"/>
    <w:rsid w:val="404C1FBC"/>
    <w:rsid w:val="40A23B64"/>
    <w:rsid w:val="413300EE"/>
    <w:rsid w:val="41457C0F"/>
    <w:rsid w:val="415202EB"/>
    <w:rsid w:val="42270B25"/>
    <w:rsid w:val="42303D0D"/>
    <w:rsid w:val="42784EF1"/>
    <w:rsid w:val="42834018"/>
    <w:rsid w:val="42D9696A"/>
    <w:rsid w:val="43755211"/>
    <w:rsid w:val="43D05632"/>
    <w:rsid w:val="43DA5053"/>
    <w:rsid w:val="43FB72EE"/>
    <w:rsid w:val="442530B4"/>
    <w:rsid w:val="44321BAA"/>
    <w:rsid w:val="446215A5"/>
    <w:rsid w:val="44631B5C"/>
    <w:rsid w:val="453507C6"/>
    <w:rsid w:val="45B71D4C"/>
    <w:rsid w:val="460E7747"/>
    <w:rsid w:val="46496F4B"/>
    <w:rsid w:val="46767EE6"/>
    <w:rsid w:val="469D7550"/>
    <w:rsid w:val="46FE3D85"/>
    <w:rsid w:val="474F4D60"/>
    <w:rsid w:val="47A23CEC"/>
    <w:rsid w:val="48132128"/>
    <w:rsid w:val="489A156D"/>
    <w:rsid w:val="48F504BF"/>
    <w:rsid w:val="497C6435"/>
    <w:rsid w:val="497E1C7D"/>
    <w:rsid w:val="4A55511A"/>
    <w:rsid w:val="4A857497"/>
    <w:rsid w:val="4AB90F71"/>
    <w:rsid w:val="4B152F13"/>
    <w:rsid w:val="4B5C0D12"/>
    <w:rsid w:val="4B8176E1"/>
    <w:rsid w:val="4BB01570"/>
    <w:rsid w:val="4BE02ED7"/>
    <w:rsid w:val="4C3842B3"/>
    <w:rsid w:val="4CC306FE"/>
    <w:rsid w:val="4D3606CE"/>
    <w:rsid w:val="4DA926B8"/>
    <w:rsid w:val="4DF718D7"/>
    <w:rsid w:val="4E5367CD"/>
    <w:rsid w:val="4EEA76CE"/>
    <w:rsid w:val="4F0164ED"/>
    <w:rsid w:val="4F070D0A"/>
    <w:rsid w:val="502C37D1"/>
    <w:rsid w:val="50CB62A6"/>
    <w:rsid w:val="50CF5AB1"/>
    <w:rsid w:val="50DF62F1"/>
    <w:rsid w:val="5124436E"/>
    <w:rsid w:val="513C18AA"/>
    <w:rsid w:val="515D621E"/>
    <w:rsid w:val="51620661"/>
    <w:rsid w:val="516F6795"/>
    <w:rsid w:val="522B09FE"/>
    <w:rsid w:val="524045EB"/>
    <w:rsid w:val="5272371C"/>
    <w:rsid w:val="52BE71F4"/>
    <w:rsid w:val="5304703B"/>
    <w:rsid w:val="53AB1AC0"/>
    <w:rsid w:val="53BD3A03"/>
    <w:rsid w:val="53C039B0"/>
    <w:rsid w:val="540256B7"/>
    <w:rsid w:val="544F4DFD"/>
    <w:rsid w:val="54BF4B28"/>
    <w:rsid w:val="55E17731"/>
    <w:rsid w:val="55F938C3"/>
    <w:rsid w:val="56417390"/>
    <w:rsid w:val="565B4866"/>
    <w:rsid w:val="566672A9"/>
    <w:rsid w:val="566B3CA2"/>
    <w:rsid w:val="572264D3"/>
    <w:rsid w:val="57515E5B"/>
    <w:rsid w:val="5769017D"/>
    <w:rsid w:val="577674E8"/>
    <w:rsid w:val="57CC32E8"/>
    <w:rsid w:val="57F93341"/>
    <w:rsid w:val="580729BA"/>
    <w:rsid w:val="58302511"/>
    <w:rsid w:val="586F4F6C"/>
    <w:rsid w:val="58B42643"/>
    <w:rsid w:val="598C4E3B"/>
    <w:rsid w:val="59BB6EC8"/>
    <w:rsid w:val="59D32E28"/>
    <w:rsid w:val="5A3827B3"/>
    <w:rsid w:val="5BE31E0F"/>
    <w:rsid w:val="5C033535"/>
    <w:rsid w:val="5C0D059B"/>
    <w:rsid w:val="5C2937AB"/>
    <w:rsid w:val="5C591F6C"/>
    <w:rsid w:val="5C886155"/>
    <w:rsid w:val="5CB702D0"/>
    <w:rsid w:val="5CD370A3"/>
    <w:rsid w:val="5CD863B9"/>
    <w:rsid w:val="5D466894"/>
    <w:rsid w:val="5D991B05"/>
    <w:rsid w:val="5D9E14E9"/>
    <w:rsid w:val="5DD73064"/>
    <w:rsid w:val="5E6D02AB"/>
    <w:rsid w:val="5E8A4E1F"/>
    <w:rsid w:val="5EB00456"/>
    <w:rsid w:val="5ED436DE"/>
    <w:rsid w:val="5FAF42B5"/>
    <w:rsid w:val="5FC80266"/>
    <w:rsid w:val="5FDC4537"/>
    <w:rsid w:val="603B2362"/>
    <w:rsid w:val="606F1104"/>
    <w:rsid w:val="60854D0C"/>
    <w:rsid w:val="61591C15"/>
    <w:rsid w:val="61FB30DC"/>
    <w:rsid w:val="627F727A"/>
    <w:rsid w:val="62C72905"/>
    <w:rsid w:val="62EC1504"/>
    <w:rsid w:val="63162AB5"/>
    <w:rsid w:val="63451167"/>
    <w:rsid w:val="63E3056C"/>
    <w:rsid w:val="642131D5"/>
    <w:rsid w:val="64602134"/>
    <w:rsid w:val="64631D69"/>
    <w:rsid w:val="64A5552C"/>
    <w:rsid w:val="65A1398D"/>
    <w:rsid w:val="65B14FB2"/>
    <w:rsid w:val="65DE6D65"/>
    <w:rsid w:val="65E150F7"/>
    <w:rsid w:val="669E188F"/>
    <w:rsid w:val="67401089"/>
    <w:rsid w:val="68231EF7"/>
    <w:rsid w:val="68ED3213"/>
    <w:rsid w:val="697D27D9"/>
    <w:rsid w:val="69A73CEB"/>
    <w:rsid w:val="69AD00B3"/>
    <w:rsid w:val="6A406AE2"/>
    <w:rsid w:val="6A5A1D7C"/>
    <w:rsid w:val="6A735326"/>
    <w:rsid w:val="6A94705E"/>
    <w:rsid w:val="6AB328C4"/>
    <w:rsid w:val="6AFD1D0B"/>
    <w:rsid w:val="6B167758"/>
    <w:rsid w:val="6B3B17FF"/>
    <w:rsid w:val="6B81676D"/>
    <w:rsid w:val="6BFC075F"/>
    <w:rsid w:val="6C273177"/>
    <w:rsid w:val="6C2A5E40"/>
    <w:rsid w:val="6C8A138E"/>
    <w:rsid w:val="6CF570A6"/>
    <w:rsid w:val="6D6C0943"/>
    <w:rsid w:val="6D906BFC"/>
    <w:rsid w:val="6E031DD3"/>
    <w:rsid w:val="6E3140DC"/>
    <w:rsid w:val="6E636BD2"/>
    <w:rsid w:val="6EFF16CA"/>
    <w:rsid w:val="6FC250B9"/>
    <w:rsid w:val="6FE178D1"/>
    <w:rsid w:val="6FE95A23"/>
    <w:rsid w:val="6FEE56EB"/>
    <w:rsid w:val="6FF12CFA"/>
    <w:rsid w:val="70624E1A"/>
    <w:rsid w:val="707E4256"/>
    <w:rsid w:val="709F3CA8"/>
    <w:rsid w:val="71C178B6"/>
    <w:rsid w:val="71FB1645"/>
    <w:rsid w:val="72706712"/>
    <w:rsid w:val="728809C7"/>
    <w:rsid w:val="72FA6253"/>
    <w:rsid w:val="74112725"/>
    <w:rsid w:val="74302809"/>
    <w:rsid w:val="74371F7A"/>
    <w:rsid w:val="746C158F"/>
    <w:rsid w:val="746D0E30"/>
    <w:rsid w:val="747502D3"/>
    <w:rsid w:val="74AB0B6C"/>
    <w:rsid w:val="74BB4445"/>
    <w:rsid w:val="74C13F0E"/>
    <w:rsid w:val="74E77DB5"/>
    <w:rsid w:val="751F7E51"/>
    <w:rsid w:val="75347A3D"/>
    <w:rsid w:val="758A0E29"/>
    <w:rsid w:val="75CA66ED"/>
    <w:rsid w:val="765E6911"/>
    <w:rsid w:val="76C429A9"/>
    <w:rsid w:val="76CC5440"/>
    <w:rsid w:val="76CE784F"/>
    <w:rsid w:val="76EC7775"/>
    <w:rsid w:val="77260F89"/>
    <w:rsid w:val="77486253"/>
    <w:rsid w:val="77573F04"/>
    <w:rsid w:val="77A96A5B"/>
    <w:rsid w:val="78677969"/>
    <w:rsid w:val="790D27DD"/>
    <w:rsid w:val="79493796"/>
    <w:rsid w:val="79545FC0"/>
    <w:rsid w:val="79593C6A"/>
    <w:rsid w:val="79AD2EC9"/>
    <w:rsid w:val="79B96003"/>
    <w:rsid w:val="79DC235D"/>
    <w:rsid w:val="7A2235E4"/>
    <w:rsid w:val="7A4E0004"/>
    <w:rsid w:val="7A5C567B"/>
    <w:rsid w:val="7A6F026F"/>
    <w:rsid w:val="7A960C19"/>
    <w:rsid w:val="7A9869B5"/>
    <w:rsid w:val="7B007056"/>
    <w:rsid w:val="7B673420"/>
    <w:rsid w:val="7B7E1B81"/>
    <w:rsid w:val="7BDF17A5"/>
    <w:rsid w:val="7C16157F"/>
    <w:rsid w:val="7C1F0348"/>
    <w:rsid w:val="7CDE69CD"/>
    <w:rsid w:val="7D4956CF"/>
    <w:rsid w:val="7D7A466F"/>
    <w:rsid w:val="7F0325D7"/>
    <w:rsid w:val="7F2473C5"/>
    <w:rsid w:val="7F5014CB"/>
    <w:rsid w:val="7FBF7242"/>
    <w:rsid w:val="7FDA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qFormat="1" w:unhideWhenUsed="0" w:uiPriority="99"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9"/>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116"/>
    <w:qFormat/>
    <w:uiPriority w:val="99"/>
    <w:pPr>
      <w:keepNext/>
      <w:keepLines/>
      <w:spacing w:before="260" w:after="260" w:line="413" w:lineRule="auto"/>
      <w:outlineLvl w:val="1"/>
    </w:pPr>
    <w:rPr>
      <w:rFonts w:ascii="Arial" w:hAnsi="Arial" w:eastAsia="黑体"/>
      <w:b/>
      <w:bCs/>
      <w:sz w:val="32"/>
      <w:szCs w:val="32"/>
    </w:rPr>
  </w:style>
  <w:style w:type="paragraph" w:styleId="6">
    <w:name w:val="heading 3"/>
    <w:basedOn w:val="1"/>
    <w:next w:val="7"/>
    <w:link w:val="248"/>
    <w:qFormat/>
    <w:uiPriority w:val="99"/>
    <w:pPr>
      <w:keepNext/>
      <w:keepLines/>
      <w:spacing w:before="260" w:after="260" w:line="413" w:lineRule="auto"/>
      <w:outlineLvl w:val="2"/>
    </w:pPr>
    <w:rPr>
      <w:b/>
      <w:bCs/>
      <w:sz w:val="32"/>
      <w:szCs w:val="32"/>
    </w:rPr>
  </w:style>
  <w:style w:type="paragraph" w:styleId="8">
    <w:name w:val="heading 4"/>
    <w:basedOn w:val="1"/>
    <w:next w:val="1"/>
    <w:link w:val="260"/>
    <w:qFormat/>
    <w:uiPriority w:val="99"/>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link w:val="214"/>
    <w:qFormat/>
    <w:uiPriority w:val="99"/>
    <w:pPr>
      <w:keepNext/>
      <w:keepLines/>
      <w:spacing w:before="280" w:after="290" w:line="376" w:lineRule="auto"/>
      <w:outlineLvl w:val="4"/>
    </w:pPr>
    <w:rPr>
      <w:b/>
      <w:bCs/>
      <w:sz w:val="28"/>
      <w:szCs w:val="28"/>
    </w:rPr>
  </w:style>
  <w:style w:type="paragraph" w:styleId="10">
    <w:name w:val="heading 6"/>
    <w:basedOn w:val="1"/>
    <w:next w:val="1"/>
    <w:link w:val="191"/>
    <w:qFormat/>
    <w:uiPriority w:val="99"/>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1">
    <w:name w:val="heading 7"/>
    <w:basedOn w:val="1"/>
    <w:next w:val="1"/>
    <w:link w:val="216"/>
    <w:qFormat/>
    <w:uiPriority w:val="99"/>
    <w:pPr>
      <w:keepNext/>
      <w:keepLines/>
      <w:widowControl/>
      <w:tabs>
        <w:tab w:val="left" w:pos="2520"/>
      </w:tabs>
      <w:spacing w:before="240" w:after="64" w:line="317" w:lineRule="auto"/>
      <w:ind w:left="1296" w:hanging="1296"/>
      <w:jc w:val="left"/>
      <w:outlineLvl w:val="6"/>
    </w:pPr>
    <w:rPr>
      <w:b/>
      <w:bCs/>
      <w:kern w:val="0"/>
      <w:sz w:val="24"/>
    </w:rPr>
  </w:style>
  <w:style w:type="paragraph" w:styleId="12">
    <w:name w:val="heading 8"/>
    <w:basedOn w:val="1"/>
    <w:next w:val="1"/>
    <w:link w:val="207"/>
    <w:qFormat/>
    <w:uiPriority w:val="99"/>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278"/>
    <w:qFormat/>
    <w:uiPriority w:val="9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76">
    <w:name w:val="Default Paragraph Font"/>
    <w:semiHidden/>
    <w:unhideWhenUsed/>
    <w:qFormat/>
    <w:uiPriority w:val="1"/>
  </w:style>
  <w:style w:type="table" w:default="1" w:styleId="7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macro"/>
    <w:link w:val="131"/>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7">
    <w:name w:val="Normal Indent"/>
    <w:basedOn w:val="1"/>
    <w:next w:val="1"/>
    <w:link w:val="101"/>
    <w:qFormat/>
    <w:uiPriority w:val="99"/>
    <w:pPr>
      <w:ind w:firstLine="420" w:firstLineChars="200"/>
    </w:pPr>
  </w:style>
  <w:style w:type="paragraph" w:styleId="14">
    <w:name w:val="List 3"/>
    <w:basedOn w:val="15"/>
    <w:qFormat/>
    <w:uiPriority w:val="99"/>
    <w:pPr>
      <w:widowControl/>
      <w:spacing w:after="240" w:line="240" w:lineRule="atLeast"/>
      <w:ind w:left="1080" w:hanging="360"/>
      <w:textAlignment w:val="baseline"/>
    </w:pPr>
    <w:rPr>
      <w:rFonts w:hint="default" w:ascii="Garamond" w:hAnsi="Garamond"/>
      <w:sz w:val="21"/>
    </w:rPr>
  </w:style>
  <w:style w:type="paragraph" w:styleId="15">
    <w:name w:val="List"/>
    <w:basedOn w:val="1"/>
    <w:qFormat/>
    <w:uiPriority w:val="99"/>
    <w:pPr>
      <w:adjustRightInd w:val="0"/>
      <w:spacing w:line="360" w:lineRule="atLeast"/>
      <w:ind w:left="420" w:hanging="420"/>
      <w:jc w:val="left"/>
    </w:pPr>
    <w:rPr>
      <w:rFonts w:hint="eastAsia" w:ascii="宋体"/>
      <w:kern w:val="0"/>
      <w:sz w:val="24"/>
      <w:szCs w:val="20"/>
    </w:rPr>
  </w:style>
  <w:style w:type="paragraph" w:styleId="16">
    <w:name w:val="toc 7"/>
    <w:basedOn w:val="1"/>
    <w:next w:val="1"/>
    <w:qFormat/>
    <w:uiPriority w:val="39"/>
    <w:pPr>
      <w:ind w:left="1260"/>
      <w:jc w:val="left"/>
    </w:pPr>
    <w:rPr>
      <w:sz w:val="18"/>
      <w:szCs w:val="18"/>
    </w:rPr>
  </w:style>
  <w:style w:type="paragraph" w:styleId="17">
    <w:name w:val="List Number 2"/>
    <w:basedOn w:val="18"/>
    <w:qFormat/>
    <w:uiPriority w:val="99"/>
    <w:pPr>
      <w:widowControl/>
      <w:tabs>
        <w:tab w:val="left" w:pos="2700"/>
      </w:tabs>
      <w:spacing w:before="0" w:after="240" w:line="240" w:lineRule="atLeast"/>
      <w:ind w:left="1080" w:right="720"/>
    </w:pPr>
    <w:rPr>
      <w:rFonts w:ascii="Garamond" w:hAnsi="Garamond"/>
      <w:sz w:val="21"/>
    </w:rPr>
  </w:style>
  <w:style w:type="paragraph" w:styleId="18">
    <w:name w:val="List Number"/>
    <w:basedOn w:val="1"/>
    <w:qFormat/>
    <w:uiPriority w:val="99"/>
    <w:pPr>
      <w:tabs>
        <w:tab w:val="left" w:pos="2700"/>
      </w:tabs>
      <w:adjustRightInd w:val="0"/>
      <w:spacing w:before="60" w:after="60" w:line="440" w:lineRule="atLeast"/>
      <w:ind w:left="2700" w:hanging="1350"/>
      <w:jc w:val="left"/>
      <w:textAlignment w:val="baseline"/>
    </w:pPr>
    <w:rPr>
      <w:rFonts w:ascii="宋体" w:hAnsi="Arial"/>
      <w:kern w:val="0"/>
      <w:sz w:val="24"/>
      <w:szCs w:val="20"/>
    </w:rPr>
  </w:style>
  <w:style w:type="paragraph" w:styleId="19">
    <w:name w:val="List Bullet 4"/>
    <w:basedOn w:val="20"/>
    <w:qFormat/>
    <w:uiPriority w:val="99"/>
    <w:pPr>
      <w:widowControl/>
      <w:tabs>
        <w:tab w:val="left" w:pos="1020"/>
      </w:tabs>
      <w:adjustRightInd w:val="0"/>
      <w:spacing w:after="240" w:line="240" w:lineRule="atLeast"/>
      <w:ind w:left="1800" w:right="720" w:hanging="360"/>
      <w:jc w:val="left"/>
      <w:textAlignment w:val="baseline"/>
    </w:pPr>
    <w:rPr>
      <w:rFonts w:ascii="Garamond" w:hAnsi="Garamond"/>
      <w:kern w:val="0"/>
      <w:szCs w:val="20"/>
    </w:rPr>
  </w:style>
  <w:style w:type="paragraph" w:styleId="20">
    <w:name w:val="List Bullet"/>
    <w:basedOn w:val="1"/>
    <w:qFormat/>
    <w:uiPriority w:val="99"/>
    <w:pPr>
      <w:tabs>
        <w:tab w:val="left" w:pos="1020"/>
      </w:tabs>
      <w:ind w:left="1020" w:hanging="420"/>
    </w:pPr>
  </w:style>
  <w:style w:type="paragraph" w:styleId="21">
    <w:name w:val="caption"/>
    <w:basedOn w:val="1"/>
    <w:next w:val="1"/>
    <w:qFormat/>
    <w:uiPriority w:val="99"/>
    <w:pPr>
      <w:ind w:firstLine="6290" w:firstLineChars="2282"/>
    </w:pPr>
    <w:rPr>
      <w:b/>
      <w:bCs/>
      <w:color w:val="000080"/>
      <w:sz w:val="28"/>
    </w:rPr>
  </w:style>
  <w:style w:type="paragraph" w:styleId="22">
    <w:name w:val="Document Map"/>
    <w:basedOn w:val="1"/>
    <w:link w:val="95"/>
    <w:qFormat/>
    <w:uiPriority w:val="99"/>
    <w:pPr>
      <w:shd w:val="clear" w:color="auto" w:fill="000080"/>
    </w:pPr>
  </w:style>
  <w:style w:type="paragraph" w:styleId="23">
    <w:name w:val="toa heading"/>
    <w:basedOn w:val="1"/>
    <w:next w:val="1"/>
    <w:qFormat/>
    <w:uiPriority w:val="0"/>
    <w:pPr>
      <w:spacing w:before="120" w:line="480" w:lineRule="exact"/>
    </w:pPr>
    <w:rPr>
      <w:rFonts w:ascii="Arial" w:hAnsi="Arial"/>
      <w:sz w:val="24"/>
      <w:szCs w:val="20"/>
    </w:rPr>
  </w:style>
  <w:style w:type="paragraph" w:styleId="24">
    <w:name w:val="annotation text"/>
    <w:basedOn w:val="1"/>
    <w:link w:val="218"/>
    <w:qFormat/>
    <w:uiPriority w:val="99"/>
    <w:pPr>
      <w:jc w:val="left"/>
    </w:pPr>
  </w:style>
  <w:style w:type="paragraph" w:styleId="25">
    <w:name w:val="Body Text 3"/>
    <w:basedOn w:val="1"/>
    <w:link w:val="158"/>
    <w:qFormat/>
    <w:uiPriority w:val="0"/>
    <w:rPr>
      <w:rFonts w:ascii="宋体"/>
      <w:sz w:val="24"/>
      <w:szCs w:val="20"/>
    </w:rPr>
  </w:style>
  <w:style w:type="paragraph" w:styleId="26">
    <w:name w:val="List Bullet 3"/>
    <w:basedOn w:val="20"/>
    <w:qFormat/>
    <w:uiPriority w:val="99"/>
    <w:pPr>
      <w:widowControl/>
      <w:tabs>
        <w:tab w:val="clear" w:pos="1020"/>
      </w:tabs>
      <w:adjustRightInd w:val="0"/>
      <w:spacing w:after="240" w:line="240" w:lineRule="atLeast"/>
      <w:ind w:left="1440" w:right="720" w:hanging="360"/>
      <w:jc w:val="left"/>
      <w:textAlignment w:val="baseline"/>
    </w:pPr>
    <w:rPr>
      <w:rFonts w:ascii="Garamond" w:hAnsi="Garamond"/>
      <w:kern w:val="0"/>
      <w:szCs w:val="20"/>
    </w:rPr>
  </w:style>
  <w:style w:type="paragraph" w:styleId="27">
    <w:name w:val="Body Text"/>
    <w:basedOn w:val="1"/>
    <w:next w:val="1"/>
    <w:link w:val="170"/>
    <w:qFormat/>
    <w:uiPriority w:val="99"/>
    <w:pPr>
      <w:spacing w:after="120"/>
    </w:pPr>
  </w:style>
  <w:style w:type="paragraph" w:styleId="28">
    <w:name w:val="Body Text Indent"/>
    <w:basedOn w:val="1"/>
    <w:link w:val="228"/>
    <w:qFormat/>
    <w:uiPriority w:val="99"/>
    <w:pPr>
      <w:spacing w:after="120"/>
      <w:ind w:left="420" w:leftChars="200"/>
    </w:pPr>
  </w:style>
  <w:style w:type="paragraph" w:styleId="29">
    <w:name w:val="List Number 3"/>
    <w:basedOn w:val="18"/>
    <w:qFormat/>
    <w:uiPriority w:val="99"/>
    <w:pPr>
      <w:widowControl/>
      <w:spacing w:before="0" w:after="240" w:line="240" w:lineRule="atLeast"/>
      <w:ind w:left="1440" w:right="720"/>
    </w:pPr>
    <w:rPr>
      <w:rFonts w:ascii="Garamond" w:hAnsi="Garamond"/>
      <w:sz w:val="21"/>
    </w:rPr>
  </w:style>
  <w:style w:type="paragraph" w:styleId="30">
    <w:name w:val="List 2"/>
    <w:basedOn w:val="15"/>
    <w:qFormat/>
    <w:uiPriority w:val="99"/>
    <w:pPr>
      <w:widowControl/>
      <w:spacing w:after="240" w:line="240" w:lineRule="atLeast"/>
      <w:ind w:left="720" w:hanging="360"/>
      <w:textAlignment w:val="baseline"/>
    </w:pPr>
    <w:rPr>
      <w:rFonts w:hint="default" w:ascii="Garamond" w:hAnsi="Garamond"/>
      <w:sz w:val="21"/>
    </w:rPr>
  </w:style>
  <w:style w:type="paragraph" w:styleId="31">
    <w:name w:val="List Continue"/>
    <w:basedOn w:val="15"/>
    <w:qFormat/>
    <w:uiPriority w:val="99"/>
    <w:pPr>
      <w:widowControl/>
      <w:spacing w:after="240" w:line="240" w:lineRule="atLeast"/>
      <w:ind w:left="720" w:right="720" w:firstLine="0"/>
      <w:textAlignment w:val="baseline"/>
    </w:pPr>
    <w:rPr>
      <w:rFonts w:hint="default" w:ascii="Garamond" w:hAnsi="Garamond"/>
      <w:sz w:val="21"/>
    </w:rPr>
  </w:style>
  <w:style w:type="paragraph" w:styleId="32">
    <w:name w:val="Block Text"/>
    <w:basedOn w:val="1"/>
    <w:qFormat/>
    <w:uiPriority w:val="99"/>
    <w:pPr>
      <w:adjustRightInd w:val="0"/>
      <w:ind w:left="420" w:right="33"/>
      <w:jc w:val="left"/>
      <w:textAlignment w:val="baseline"/>
    </w:pPr>
    <w:rPr>
      <w:kern w:val="0"/>
      <w:sz w:val="24"/>
      <w:szCs w:val="20"/>
    </w:rPr>
  </w:style>
  <w:style w:type="paragraph" w:styleId="33">
    <w:name w:val="List Bullet 2"/>
    <w:basedOn w:val="20"/>
    <w:qFormat/>
    <w:uiPriority w:val="99"/>
    <w:pPr>
      <w:widowControl/>
      <w:spacing w:after="220" w:line="220" w:lineRule="atLeast"/>
      <w:ind w:left="2160" w:right="720"/>
      <w:jc w:val="left"/>
    </w:pPr>
    <w:rPr>
      <w:kern w:val="0"/>
      <w:szCs w:val="20"/>
    </w:rPr>
  </w:style>
  <w:style w:type="paragraph" w:styleId="34">
    <w:name w:val="index 4"/>
    <w:basedOn w:val="1"/>
    <w:next w:val="1"/>
    <w:qFormat/>
    <w:uiPriority w:val="0"/>
    <w:pPr>
      <w:ind w:left="600" w:leftChars="600"/>
    </w:pPr>
  </w:style>
  <w:style w:type="paragraph" w:styleId="35">
    <w:name w:val="toc 5"/>
    <w:basedOn w:val="1"/>
    <w:next w:val="1"/>
    <w:qFormat/>
    <w:uiPriority w:val="39"/>
    <w:pPr>
      <w:ind w:left="840"/>
      <w:jc w:val="left"/>
    </w:pPr>
    <w:rPr>
      <w:sz w:val="18"/>
      <w:szCs w:val="18"/>
    </w:rPr>
  </w:style>
  <w:style w:type="paragraph" w:styleId="36">
    <w:name w:val="toc 3"/>
    <w:basedOn w:val="1"/>
    <w:next w:val="1"/>
    <w:qFormat/>
    <w:uiPriority w:val="39"/>
    <w:pPr>
      <w:ind w:left="420"/>
      <w:jc w:val="left"/>
    </w:pPr>
    <w:rPr>
      <w:i/>
      <w:iCs/>
      <w:sz w:val="20"/>
      <w:szCs w:val="20"/>
    </w:rPr>
  </w:style>
  <w:style w:type="paragraph" w:styleId="37">
    <w:name w:val="Plain Text"/>
    <w:basedOn w:val="1"/>
    <w:link w:val="184"/>
    <w:qFormat/>
    <w:uiPriority w:val="0"/>
    <w:rPr>
      <w:rFonts w:ascii="Courier New" w:hAnsi="Courier New"/>
      <w:szCs w:val="20"/>
    </w:rPr>
  </w:style>
  <w:style w:type="paragraph" w:styleId="38">
    <w:name w:val="List Bullet 5"/>
    <w:basedOn w:val="20"/>
    <w:qFormat/>
    <w:uiPriority w:val="99"/>
    <w:pPr>
      <w:widowControl/>
      <w:tabs>
        <w:tab w:val="clear" w:pos="1020"/>
      </w:tabs>
      <w:adjustRightInd w:val="0"/>
      <w:spacing w:after="240" w:line="240" w:lineRule="atLeast"/>
      <w:ind w:left="2160" w:right="720" w:hanging="360"/>
      <w:jc w:val="left"/>
      <w:textAlignment w:val="baseline"/>
    </w:pPr>
    <w:rPr>
      <w:rFonts w:ascii="Garamond" w:hAnsi="Garamond"/>
      <w:kern w:val="0"/>
      <w:szCs w:val="20"/>
    </w:rPr>
  </w:style>
  <w:style w:type="paragraph" w:styleId="39">
    <w:name w:val="List Number 4"/>
    <w:basedOn w:val="18"/>
    <w:qFormat/>
    <w:uiPriority w:val="99"/>
    <w:pPr>
      <w:widowControl/>
      <w:spacing w:before="0" w:after="240" w:line="240" w:lineRule="atLeast"/>
      <w:ind w:left="1800" w:right="720"/>
    </w:pPr>
    <w:rPr>
      <w:rFonts w:ascii="Garamond" w:hAnsi="Garamond"/>
      <w:sz w:val="21"/>
    </w:rPr>
  </w:style>
  <w:style w:type="paragraph" w:styleId="40">
    <w:name w:val="toc 8"/>
    <w:basedOn w:val="1"/>
    <w:next w:val="1"/>
    <w:qFormat/>
    <w:uiPriority w:val="39"/>
    <w:pPr>
      <w:ind w:left="1470"/>
      <w:jc w:val="left"/>
    </w:pPr>
    <w:rPr>
      <w:sz w:val="18"/>
      <w:szCs w:val="18"/>
    </w:rPr>
  </w:style>
  <w:style w:type="paragraph" w:styleId="41">
    <w:name w:val="index 3"/>
    <w:basedOn w:val="1"/>
    <w:next w:val="1"/>
    <w:qFormat/>
    <w:uiPriority w:val="0"/>
    <w:pPr>
      <w:widowControl/>
      <w:ind w:left="400" w:leftChars="400"/>
      <w:jc w:val="left"/>
    </w:pPr>
    <w:rPr>
      <w:kern w:val="0"/>
      <w:sz w:val="20"/>
      <w:szCs w:val="20"/>
    </w:rPr>
  </w:style>
  <w:style w:type="paragraph" w:styleId="42">
    <w:name w:val="Date"/>
    <w:basedOn w:val="1"/>
    <w:next w:val="1"/>
    <w:link w:val="279"/>
    <w:qFormat/>
    <w:uiPriority w:val="99"/>
    <w:rPr>
      <w:sz w:val="24"/>
      <w:szCs w:val="20"/>
    </w:rPr>
  </w:style>
  <w:style w:type="paragraph" w:styleId="43">
    <w:name w:val="Body Text Indent 2"/>
    <w:basedOn w:val="1"/>
    <w:link w:val="205"/>
    <w:qFormat/>
    <w:uiPriority w:val="99"/>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lang w:val="zh-CN"/>
    </w:rPr>
  </w:style>
  <w:style w:type="paragraph" w:styleId="44">
    <w:name w:val="endnote text"/>
    <w:basedOn w:val="1"/>
    <w:link w:val="161"/>
    <w:qFormat/>
    <w:uiPriority w:val="0"/>
    <w:pPr>
      <w:widowControl/>
      <w:snapToGrid w:val="0"/>
      <w:jc w:val="left"/>
    </w:pPr>
    <w:rPr>
      <w:kern w:val="0"/>
      <w:sz w:val="20"/>
      <w:szCs w:val="20"/>
    </w:rPr>
  </w:style>
  <w:style w:type="paragraph" w:styleId="45">
    <w:name w:val="List Continue 5"/>
    <w:basedOn w:val="31"/>
    <w:qFormat/>
    <w:uiPriority w:val="99"/>
    <w:pPr>
      <w:ind w:left="2160"/>
    </w:pPr>
  </w:style>
  <w:style w:type="paragraph" w:styleId="46">
    <w:name w:val="Balloon Text"/>
    <w:basedOn w:val="1"/>
    <w:link w:val="292"/>
    <w:qFormat/>
    <w:uiPriority w:val="99"/>
    <w:rPr>
      <w:sz w:val="18"/>
      <w:szCs w:val="18"/>
    </w:rPr>
  </w:style>
  <w:style w:type="paragraph" w:styleId="47">
    <w:name w:val="footer"/>
    <w:basedOn w:val="1"/>
    <w:link w:val="96"/>
    <w:qFormat/>
    <w:uiPriority w:val="99"/>
    <w:pPr>
      <w:tabs>
        <w:tab w:val="center" w:pos="4153"/>
        <w:tab w:val="right" w:pos="8306"/>
      </w:tabs>
      <w:snapToGrid w:val="0"/>
      <w:jc w:val="left"/>
    </w:pPr>
    <w:rPr>
      <w:sz w:val="18"/>
      <w:szCs w:val="18"/>
    </w:rPr>
  </w:style>
  <w:style w:type="paragraph" w:styleId="48">
    <w:name w:val="header"/>
    <w:basedOn w:val="1"/>
    <w:link w:val="147"/>
    <w:qFormat/>
    <w:uiPriority w:val="99"/>
    <w:pPr>
      <w:pBdr>
        <w:bottom w:val="single" w:color="auto" w:sz="6" w:space="1"/>
      </w:pBdr>
      <w:tabs>
        <w:tab w:val="center" w:pos="4153"/>
        <w:tab w:val="right" w:pos="8306"/>
      </w:tabs>
      <w:snapToGrid w:val="0"/>
      <w:jc w:val="center"/>
    </w:pPr>
    <w:rPr>
      <w:sz w:val="18"/>
      <w:szCs w:val="18"/>
    </w:rPr>
  </w:style>
  <w:style w:type="paragraph" w:styleId="49">
    <w:name w:val="toc 1"/>
    <w:basedOn w:val="1"/>
    <w:next w:val="1"/>
    <w:qFormat/>
    <w:uiPriority w:val="39"/>
    <w:pPr>
      <w:spacing w:before="120" w:after="120"/>
      <w:jc w:val="left"/>
    </w:pPr>
    <w:rPr>
      <w:b/>
      <w:bCs/>
      <w:caps/>
      <w:sz w:val="20"/>
      <w:szCs w:val="20"/>
    </w:rPr>
  </w:style>
  <w:style w:type="paragraph" w:styleId="50">
    <w:name w:val="List Continue 4"/>
    <w:basedOn w:val="31"/>
    <w:qFormat/>
    <w:uiPriority w:val="99"/>
    <w:pPr>
      <w:ind w:left="1800"/>
    </w:pPr>
  </w:style>
  <w:style w:type="paragraph" w:styleId="51">
    <w:name w:val="toc 4"/>
    <w:basedOn w:val="1"/>
    <w:next w:val="1"/>
    <w:qFormat/>
    <w:uiPriority w:val="39"/>
    <w:pPr>
      <w:ind w:left="630"/>
      <w:jc w:val="left"/>
    </w:pPr>
    <w:rPr>
      <w:sz w:val="18"/>
      <w:szCs w:val="18"/>
    </w:rPr>
  </w:style>
  <w:style w:type="paragraph" w:styleId="52">
    <w:name w:val="index heading"/>
    <w:basedOn w:val="1"/>
    <w:next w:val="53"/>
    <w:qFormat/>
    <w:uiPriority w:val="99"/>
    <w:rPr>
      <w:szCs w:val="20"/>
    </w:rPr>
  </w:style>
  <w:style w:type="paragraph" w:styleId="53">
    <w:name w:val="index 1"/>
    <w:basedOn w:val="1"/>
    <w:next w:val="1"/>
    <w:qFormat/>
    <w:uiPriority w:val="99"/>
    <w:rPr>
      <w:rFonts w:eastAsia="仿宋_GB2312"/>
      <w:sz w:val="28"/>
      <w:szCs w:val="20"/>
    </w:rPr>
  </w:style>
  <w:style w:type="paragraph" w:styleId="54">
    <w:name w:val="Subtitle"/>
    <w:basedOn w:val="1"/>
    <w:next w:val="1"/>
    <w:link w:val="196"/>
    <w:qFormat/>
    <w:uiPriority w:val="99"/>
    <w:pPr>
      <w:spacing w:before="240" w:after="60" w:line="312" w:lineRule="auto"/>
      <w:jc w:val="center"/>
      <w:outlineLvl w:val="1"/>
    </w:pPr>
    <w:rPr>
      <w:rFonts w:ascii="Cambria" w:hAnsi="Cambria"/>
      <w:b/>
      <w:bCs/>
      <w:kern w:val="28"/>
      <w:sz w:val="32"/>
      <w:szCs w:val="32"/>
      <w:lang w:val="zh-CN"/>
    </w:rPr>
  </w:style>
  <w:style w:type="paragraph" w:styleId="55">
    <w:name w:val="List Number 5"/>
    <w:basedOn w:val="18"/>
    <w:qFormat/>
    <w:uiPriority w:val="99"/>
    <w:pPr>
      <w:widowControl/>
      <w:spacing w:before="0" w:after="240" w:line="240" w:lineRule="atLeast"/>
      <w:ind w:left="2160" w:right="720"/>
    </w:pPr>
    <w:rPr>
      <w:rFonts w:ascii="Garamond" w:hAnsi="Garamond"/>
      <w:sz w:val="21"/>
    </w:rPr>
  </w:style>
  <w:style w:type="paragraph" w:styleId="56">
    <w:name w:val="footnote text"/>
    <w:basedOn w:val="1"/>
    <w:link w:val="130"/>
    <w:qFormat/>
    <w:uiPriority w:val="99"/>
    <w:rPr>
      <w:sz w:val="20"/>
      <w:szCs w:val="20"/>
    </w:rPr>
  </w:style>
  <w:style w:type="paragraph" w:styleId="57">
    <w:name w:val="toc 6"/>
    <w:basedOn w:val="1"/>
    <w:next w:val="1"/>
    <w:qFormat/>
    <w:uiPriority w:val="39"/>
    <w:pPr>
      <w:ind w:left="1050"/>
      <w:jc w:val="left"/>
    </w:pPr>
    <w:rPr>
      <w:sz w:val="18"/>
      <w:szCs w:val="18"/>
    </w:rPr>
  </w:style>
  <w:style w:type="paragraph" w:styleId="58">
    <w:name w:val="List 5"/>
    <w:basedOn w:val="15"/>
    <w:qFormat/>
    <w:uiPriority w:val="99"/>
    <w:pPr>
      <w:widowControl/>
      <w:spacing w:after="240" w:line="240" w:lineRule="atLeast"/>
      <w:ind w:left="1800" w:hanging="360"/>
      <w:textAlignment w:val="baseline"/>
    </w:pPr>
    <w:rPr>
      <w:rFonts w:hint="default" w:ascii="Garamond" w:hAnsi="Garamond"/>
      <w:sz w:val="21"/>
    </w:rPr>
  </w:style>
  <w:style w:type="paragraph" w:styleId="59">
    <w:name w:val="Body Text Indent 3"/>
    <w:basedOn w:val="1"/>
    <w:link w:val="268"/>
    <w:qFormat/>
    <w:uiPriority w:val="99"/>
    <w:pPr>
      <w:spacing w:after="120"/>
      <w:ind w:left="420" w:leftChars="200"/>
    </w:pPr>
    <w:rPr>
      <w:sz w:val="16"/>
      <w:szCs w:val="16"/>
    </w:rPr>
  </w:style>
  <w:style w:type="paragraph" w:styleId="60">
    <w:name w:val="table of figures"/>
    <w:basedOn w:val="1"/>
    <w:next w:val="1"/>
    <w:qFormat/>
    <w:uiPriority w:val="0"/>
    <w:pPr>
      <w:ind w:left="200" w:leftChars="200" w:hanging="200" w:hangingChars="200"/>
    </w:pPr>
  </w:style>
  <w:style w:type="paragraph" w:styleId="61">
    <w:name w:val="toc 2"/>
    <w:basedOn w:val="1"/>
    <w:next w:val="1"/>
    <w:qFormat/>
    <w:uiPriority w:val="39"/>
    <w:pPr>
      <w:ind w:left="210"/>
      <w:jc w:val="left"/>
    </w:pPr>
    <w:rPr>
      <w:smallCaps/>
      <w:sz w:val="20"/>
      <w:szCs w:val="20"/>
    </w:rPr>
  </w:style>
  <w:style w:type="paragraph" w:styleId="62">
    <w:name w:val="toc 9"/>
    <w:basedOn w:val="1"/>
    <w:next w:val="1"/>
    <w:qFormat/>
    <w:uiPriority w:val="39"/>
    <w:pPr>
      <w:ind w:left="1680"/>
      <w:jc w:val="left"/>
    </w:pPr>
    <w:rPr>
      <w:sz w:val="18"/>
      <w:szCs w:val="18"/>
    </w:rPr>
  </w:style>
  <w:style w:type="paragraph" w:styleId="63">
    <w:name w:val="Body Text 2"/>
    <w:basedOn w:val="1"/>
    <w:link w:val="89"/>
    <w:qFormat/>
    <w:uiPriority w:val="99"/>
    <w:pPr>
      <w:widowControl/>
      <w:spacing w:line="360" w:lineRule="auto"/>
      <w:jc w:val="left"/>
    </w:pPr>
    <w:rPr>
      <w:rFonts w:ascii="宋体" w:hAnsi="宋体"/>
      <w:kern w:val="0"/>
      <w:szCs w:val="20"/>
      <w:lang w:val="zh-CN"/>
    </w:rPr>
  </w:style>
  <w:style w:type="paragraph" w:styleId="64">
    <w:name w:val="List 4"/>
    <w:basedOn w:val="15"/>
    <w:qFormat/>
    <w:uiPriority w:val="99"/>
    <w:pPr>
      <w:widowControl/>
      <w:spacing w:after="240" w:line="240" w:lineRule="atLeast"/>
      <w:ind w:left="1440" w:hanging="360"/>
      <w:textAlignment w:val="baseline"/>
    </w:pPr>
    <w:rPr>
      <w:rFonts w:hint="default" w:ascii="Garamond" w:hAnsi="Garamond"/>
      <w:sz w:val="21"/>
    </w:rPr>
  </w:style>
  <w:style w:type="paragraph" w:styleId="65">
    <w:name w:val="List Continue 2"/>
    <w:basedOn w:val="31"/>
    <w:qFormat/>
    <w:uiPriority w:val="99"/>
    <w:pPr>
      <w:ind w:left="1080"/>
    </w:pPr>
  </w:style>
  <w:style w:type="paragraph" w:styleId="66">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lang w:val="zh-CN"/>
    </w:rPr>
  </w:style>
  <w:style w:type="paragraph" w:styleId="67">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68">
    <w:name w:val="List Continue 3"/>
    <w:basedOn w:val="31"/>
    <w:qFormat/>
    <w:uiPriority w:val="99"/>
    <w:pPr>
      <w:ind w:left="1440"/>
    </w:pPr>
  </w:style>
  <w:style w:type="paragraph" w:styleId="69">
    <w:name w:val="index 2"/>
    <w:basedOn w:val="1"/>
    <w:next w:val="1"/>
    <w:qFormat/>
    <w:uiPriority w:val="99"/>
    <w:pPr>
      <w:tabs>
        <w:tab w:val="left" w:pos="2126"/>
        <w:tab w:val="left" w:pos="2835"/>
        <w:tab w:val="left" w:pos="3544"/>
        <w:tab w:val="left" w:pos="4253"/>
        <w:tab w:val="left" w:pos="4961"/>
        <w:tab w:val="left" w:pos="5670"/>
      </w:tabs>
      <w:adjustRightInd w:val="0"/>
      <w:snapToGrid w:val="0"/>
      <w:spacing w:line="315" w:lineRule="atLeast"/>
      <w:ind w:left="1419" w:hanging="709"/>
      <w:jc w:val="left"/>
      <w:textAlignment w:val="baseline"/>
    </w:pPr>
    <w:rPr>
      <w:rFonts w:ascii="宋体" w:eastAsia="仿宋_GB2312"/>
      <w:snapToGrid w:val="0"/>
      <w:kern w:val="0"/>
      <w:sz w:val="24"/>
      <w:szCs w:val="20"/>
    </w:rPr>
  </w:style>
  <w:style w:type="paragraph" w:styleId="70">
    <w:name w:val="Title"/>
    <w:basedOn w:val="1"/>
    <w:link w:val="237"/>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71">
    <w:name w:val="annotation subject"/>
    <w:basedOn w:val="24"/>
    <w:next w:val="24"/>
    <w:link w:val="231"/>
    <w:qFormat/>
    <w:uiPriority w:val="99"/>
    <w:rPr>
      <w:b/>
      <w:bCs/>
    </w:rPr>
  </w:style>
  <w:style w:type="paragraph" w:styleId="72">
    <w:name w:val="Body Text First Indent"/>
    <w:basedOn w:val="27"/>
    <w:link w:val="160"/>
    <w:qFormat/>
    <w:uiPriority w:val="99"/>
    <w:pPr>
      <w:ind w:firstLine="420" w:firstLineChars="100"/>
    </w:pPr>
    <w:rPr>
      <w:b/>
      <w:lang w:val="zh-CN"/>
    </w:rPr>
  </w:style>
  <w:style w:type="paragraph" w:styleId="73">
    <w:name w:val="Body Text First Indent 2"/>
    <w:basedOn w:val="28"/>
    <w:link w:val="98"/>
    <w:qFormat/>
    <w:uiPriority w:val="0"/>
    <w:pPr>
      <w:ind w:firstLine="420" w:firstLineChars="200"/>
    </w:pPr>
    <w:rPr>
      <w:rFonts w:ascii="宋体" w:hAnsi="MS Sans Serif"/>
      <w:spacing w:val="12"/>
      <w:sz w:val="24"/>
      <w:lang w:val="zh-CN"/>
    </w:rPr>
  </w:style>
  <w:style w:type="table" w:styleId="75">
    <w:name w:val="Table Grid"/>
    <w:basedOn w:val="7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7">
    <w:name w:val="Strong"/>
    <w:basedOn w:val="76"/>
    <w:qFormat/>
    <w:uiPriority w:val="99"/>
    <w:rPr>
      <w:rFonts w:ascii="仿宋_GB2312" w:eastAsia="宋体"/>
      <w:b/>
      <w:kern w:val="2"/>
      <w:sz w:val="24"/>
      <w:lang w:val="en-US" w:eastAsia="zh-CN"/>
    </w:rPr>
  </w:style>
  <w:style w:type="character" w:styleId="78">
    <w:name w:val="endnote reference"/>
    <w:qFormat/>
    <w:uiPriority w:val="0"/>
    <w:rPr>
      <w:vertAlign w:val="superscript"/>
    </w:rPr>
  </w:style>
  <w:style w:type="character" w:styleId="79">
    <w:name w:val="page number"/>
    <w:basedOn w:val="76"/>
    <w:qFormat/>
    <w:uiPriority w:val="99"/>
  </w:style>
  <w:style w:type="character" w:styleId="80">
    <w:name w:val="FollowedHyperlink"/>
    <w:unhideWhenUsed/>
    <w:qFormat/>
    <w:uiPriority w:val="0"/>
    <w:rPr>
      <w:color w:val="954F72"/>
      <w:u w:val="single"/>
    </w:rPr>
  </w:style>
  <w:style w:type="character" w:styleId="81">
    <w:name w:val="Emphasis"/>
    <w:qFormat/>
    <w:uiPriority w:val="0"/>
    <w:rPr>
      <w:i/>
      <w:iCs/>
    </w:rPr>
  </w:style>
  <w:style w:type="character" w:styleId="82">
    <w:name w:val="Hyperlink"/>
    <w:qFormat/>
    <w:uiPriority w:val="99"/>
    <w:rPr>
      <w:color w:val="0000FF"/>
      <w:u w:val="single"/>
    </w:rPr>
  </w:style>
  <w:style w:type="character" w:styleId="83">
    <w:name w:val="annotation reference"/>
    <w:qFormat/>
    <w:uiPriority w:val="99"/>
    <w:rPr>
      <w:sz w:val="21"/>
      <w:szCs w:val="21"/>
    </w:rPr>
  </w:style>
  <w:style w:type="character" w:styleId="84">
    <w:name w:val="footnote reference"/>
    <w:qFormat/>
    <w:uiPriority w:val="0"/>
    <w:rPr>
      <w:vertAlign w:val="superscript"/>
    </w:rPr>
  </w:style>
  <w:style w:type="character" w:customStyle="1" w:styleId="85">
    <w:name w:val="标题 1 Char"/>
    <w:qFormat/>
    <w:uiPriority w:val="99"/>
    <w:rPr>
      <w:rFonts w:ascii="Tahoma" w:hAnsi="Times New Roman" w:eastAsia="Tahoma" w:cs="Times New Roman"/>
      <w:kern w:val="0"/>
      <w:sz w:val="52"/>
      <w:szCs w:val="20"/>
    </w:rPr>
  </w:style>
  <w:style w:type="paragraph" w:customStyle="1" w:styleId="86">
    <w:name w:val="Default"/>
    <w:next w:val="48"/>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87">
    <w:name w:val="标题11"/>
    <w:qFormat/>
    <w:uiPriority w:val="99"/>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2 字符"/>
    <w:link w:val="63"/>
    <w:qFormat/>
    <w:uiPriority w:val="99"/>
    <w:rPr>
      <w:rFonts w:ascii="宋体" w:hAnsi="宋体"/>
      <w:sz w:val="21"/>
      <w:lang w:val="zh-CN"/>
    </w:rPr>
  </w:style>
  <w:style w:type="character" w:customStyle="1" w:styleId="90">
    <w:name w:val="font01"/>
    <w:qFormat/>
    <w:uiPriority w:val="0"/>
    <w:rPr>
      <w:rFonts w:hint="eastAsia" w:ascii="宋体" w:hAnsi="宋体" w:eastAsia="宋体"/>
      <w:color w:val="000000"/>
      <w:sz w:val="22"/>
      <w:szCs w:val="22"/>
      <w:u w:val="none"/>
    </w:rPr>
  </w:style>
  <w:style w:type="character" w:customStyle="1" w:styleId="91">
    <w:name w:val="访问过的超链接2"/>
    <w:unhideWhenUsed/>
    <w:qFormat/>
    <w:uiPriority w:val="99"/>
    <w:rPr>
      <w:color w:val="954F72"/>
      <w:u w:val="single"/>
    </w:rPr>
  </w:style>
  <w:style w:type="character" w:customStyle="1" w:styleId="92">
    <w:name w:val="明显引用 Char1"/>
    <w:qFormat/>
    <w:uiPriority w:val="30"/>
    <w:rPr>
      <w:b/>
      <w:bCs/>
      <w:i/>
      <w:iCs/>
      <w:color w:val="4F81BD"/>
    </w:rPr>
  </w:style>
  <w:style w:type="character" w:customStyle="1" w:styleId="93">
    <w:name w:val="HTML 预设格式 Char2"/>
    <w:qFormat/>
    <w:uiPriority w:val="0"/>
    <w:rPr>
      <w:rFonts w:ascii="Courier New" w:hAnsi="Courier New" w:cs="Courier New"/>
      <w:kern w:val="2"/>
    </w:rPr>
  </w:style>
  <w:style w:type="character" w:customStyle="1" w:styleId="94">
    <w:name w:val="文档结构图 Char2"/>
    <w:semiHidden/>
    <w:qFormat/>
    <w:uiPriority w:val="99"/>
    <w:rPr>
      <w:rFonts w:ascii="Microsoft YaHei UI" w:hAnsi="Times New Roman" w:eastAsia="Microsoft YaHei UI" w:cs="Times New Roman"/>
      <w:sz w:val="18"/>
      <w:szCs w:val="18"/>
    </w:rPr>
  </w:style>
  <w:style w:type="character" w:customStyle="1" w:styleId="95">
    <w:name w:val="文档结构图 字符"/>
    <w:link w:val="22"/>
    <w:qFormat/>
    <w:uiPriority w:val="0"/>
    <w:rPr>
      <w:kern w:val="2"/>
      <w:sz w:val="21"/>
      <w:szCs w:val="24"/>
      <w:shd w:val="clear" w:color="auto" w:fill="000080"/>
    </w:rPr>
  </w:style>
  <w:style w:type="character" w:customStyle="1" w:styleId="96">
    <w:name w:val="页脚 字符"/>
    <w:link w:val="47"/>
    <w:qFormat/>
    <w:uiPriority w:val="0"/>
    <w:rPr>
      <w:kern w:val="2"/>
      <w:sz w:val="18"/>
      <w:szCs w:val="18"/>
    </w:rPr>
  </w:style>
  <w:style w:type="character" w:customStyle="1" w:styleId="97">
    <w:name w:val="标题 2 Char"/>
    <w:qFormat/>
    <w:uiPriority w:val="99"/>
    <w:rPr>
      <w:rFonts w:ascii="Arial" w:hAnsi="Arial" w:eastAsia="宋体" w:cs="Times New Roman"/>
      <w:b/>
      <w:kern w:val="0"/>
      <w:sz w:val="44"/>
      <w:szCs w:val="20"/>
    </w:rPr>
  </w:style>
  <w:style w:type="character" w:customStyle="1" w:styleId="98">
    <w:name w:val="正文文本首行缩进 2 字符"/>
    <w:link w:val="73"/>
    <w:qFormat/>
    <w:uiPriority w:val="0"/>
    <w:rPr>
      <w:rFonts w:ascii="宋体" w:hAnsi="MS Sans Serif"/>
      <w:spacing w:val="12"/>
      <w:kern w:val="2"/>
      <w:sz w:val="24"/>
      <w:szCs w:val="24"/>
      <w:lang w:val="zh-CN"/>
    </w:rPr>
  </w:style>
  <w:style w:type="character" w:customStyle="1" w:styleId="99">
    <w:name w:val="标题4 Char Char"/>
    <w:link w:val="100"/>
    <w:qFormat/>
    <w:uiPriority w:val="0"/>
    <w:rPr>
      <w:rFonts w:ascii="Arial" w:hAnsi="Arial"/>
      <w:b/>
      <w:bCs/>
      <w:sz w:val="24"/>
      <w:szCs w:val="32"/>
    </w:rPr>
  </w:style>
  <w:style w:type="paragraph" w:customStyle="1" w:styleId="100">
    <w:name w:val="标题4"/>
    <w:basedOn w:val="5"/>
    <w:next w:val="34"/>
    <w:link w:val="99"/>
    <w:qFormat/>
    <w:uiPriority w:val="0"/>
    <w:rPr>
      <w:rFonts w:eastAsia="宋体"/>
      <w:kern w:val="0"/>
      <w:sz w:val="24"/>
    </w:rPr>
  </w:style>
  <w:style w:type="character" w:customStyle="1" w:styleId="101">
    <w:name w:val="正文缩进 字符"/>
    <w:link w:val="7"/>
    <w:qFormat/>
    <w:uiPriority w:val="0"/>
    <w:rPr>
      <w:kern w:val="2"/>
      <w:sz w:val="21"/>
      <w:szCs w:val="24"/>
    </w:rPr>
  </w:style>
  <w:style w:type="character" w:customStyle="1" w:styleId="102">
    <w:name w:val="N2 Char Char"/>
    <w:link w:val="103"/>
    <w:qFormat/>
    <w:uiPriority w:val="0"/>
    <w:rPr>
      <w:rFonts w:ascii="黑体" w:hAnsi="宋体" w:eastAsia="黑体"/>
      <w:kern w:val="2"/>
      <w:sz w:val="28"/>
    </w:rPr>
  </w:style>
  <w:style w:type="paragraph" w:customStyle="1" w:styleId="103">
    <w:name w:val="N2"/>
    <w:basedOn w:val="1"/>
    <w:link w:val="102"/>
    <w:qFormat/>
    <w:uiPriority w:val="0"/>
    <w:rPr>
      <w:rFonts w:ascii="黑体" w:hAnsi="宋体" w:eastAsia="黑体"/>
      <w:sz w:val="28"/>
      <w:szCs w:val="20"/>
    </w:rPr>
  </w:style>
  <w:style w:type="character" w:customStyle="1" w:styleId="104">
    <w:name w:val="不明显强调1"/>
    <w:qFormat/>
    <w:uiPriority w:val="0"/>
    <w:rPr>
      <w:i/>
      <w:iCs/>
      <w:color w:val="808080"/>
    </w:rPr>
  </w:style>
  <w:style w:type="character" w:customStyle="1" w:styleId="105">
    <w:name w:val="Title Char1"/>
    <w:qFormat/>
    <w:uiPriority w:val="10"/>
    <w:rPr>
      <w:rFonts w:ascii="Cambria" w:hAnsi="Cambria" w:cs="Times New Roman"/>
      <w:b/>
      <w:bCs/>
      <w:sz w:val="32"/>
      <w:szCs w:val="32"/>
    </w:rPr>
  </w:style>
  <w:style w:type="character" w:customStyle="1" w:styleId="106">
    <w:name w:val="ca-1"/>
    <w:qFormat/>
    <w:uiPriority w:val="0"/>
  </w:style>
  <w:style w:type="character" w:customStyle="1" w:styleId="107">
    <w:name w:val="标题 3 Char Char Char"/>
    <w:qFormat/>
    <w:uiPriority w:val="0"/>
    <w:rPr>
      <w:rFonts w:ascii="仿宋_GB2312" w:eastAsia="黑体"/>
      <w:kern w:val="2"/>
      <w:sz w:val="28"/>
      <w:lang w:val="en-US" w:eastAsia="zh-CN"/>
    </w:rPr>
  </w:style>
  <w:style w:type="character" w:customStyle="1" w:styleId="108">
    <w:name w:val="标题 7 Char"/>
    <w:qFormat/>
    <w:uiPriority w:val="99"/>
    <w:rPr>
      <w:rFonts w:ascii="Times New Roman" w:hAnsi="Times New Roman" w:eastAsia="宋体" w:cs="Times New Roman"/>
      <w:b/>
      <w:bCs/>
      <w:kern w:val="0"/>
      <w:sz w:val="24"/>
      <w:szCs w:val="24"/>
    </w:rPr>
  </w:style>
  <w:style w:type="character" w:customStyle="1" w:styleId="109">
    <w:name w:val="书籍标题11"/>
    <w:qFormat/>
    <w:uiPriority w:val="0"/>
    <w:rPr>
      <w:b/>
      <w:bCs/>
      <w:smallCaps/>
      <w:spacing w:val="5"/>
    </w:rPr>
  </w:style>
  <w:style w:type="character" w:customStyle="1" w:styleId="110">
    <w:name w:val="样式 正文缩进 + 首行缩进:  2 字符 Char Char"/>
    <w:link w:val="111"/>
    <w:qFormat/>
    <w:locked/>
    <w:uiPriority w:val="99"/>
    <w:rPr>
      <w:rFonts w:ascii="宋体"/>
      <w:sz w:val="24"/>
      <w:szCs w:val="24"/>
    </w:rPr>
  </w:style>
  <w:style w:type="paragraph" w:customStyle="1" w:styleId="111">
    <w:name w:val="样式 正文缩进 + 首行缩进:  2 字符"/>
    <w:basedOn w:val="7"/>
    <w:link w:val="110"/>
    <w:qFormat/>
    <w:uiPriority w:val="99"/>
    <w:pPr>
      <w:spacing w:before="160" w:after="160" w:line="360" w:lineRule="auto"/>
      <w:ind w:firstLine="480"/>
    </w:pPr>
    <w:rPr>
      <w:rFonts w:ascii="宋体"/>
      <w:kern w:val="0"/>
      <w:sz w:val="24"/>
    </w:rPr>
  </w:style>
  <w:style w:type="character" w:customStyle="1" w:styleId="112">
    <w:name w:val="正文文本 2 Char2"/>
    <w:semiHidden/>
    <w:qFormat/>
    <w:uiPriority w:val="99"/>
    <w:rPr>
      <w:rFonts w:ascii="Times New Roman" w:hAnsi="Times New Roman" w:eastAsia="宋体" w:cs="Times New Roman"/>
      <w:szCs w:val="24"/>
    </w:rPr>
  </w:style>
  <w:style w:type="character" w:customStyle="1" w:styleId="113">
    <w:name w:val="明显引用 字符1"/>
    <w:qFormat/>
    <w:uiPriority w:val="30"/>
    <w:rPr>
      <w:i/>
      <w:iCs/>
      <w:color w:val="4472C4"/>
      <w:kern w:val="2"/>
      <w:sz w:val="21"/>
      <w:szCs w:val="24"/>
    </w:rPr>
  </w:style>
  <w:style w:type="character" w:customStyle="1" w:styleId="114">
    <w:name w:val="标题4 Char1"/>
    <w:qFormat/>
    <w:uiPriority w:val="0"/>
    <w:rPr>
      <w:snapToGrid w:val="0"/>
      <w:spacing w:val="30"/>
      <w:sz w:val="24"/>
      <w:szCs w:val="24"/>
      <w:lang w:val="en-US" w:eastAsia="zh-CN" w:bidi="ar-SA"/>
    </w:rPr>
  </w:style>
  <w:style w:type="character" w:customStyle="1" w:styleId="115">
    <w:name w:val="正文首行缩进 Char1"/>
    <w:qFormat/>
    <w:uiPriority w:val="0"/>
    <w:rPr>
      <w:kern w:val="2"/>
      <w:sz w:val="30"/>
      <w:szCs w:val="24"/>
    </w:rPr>
  </w:style>
  <w:style w:type="character" w:customStyle="1" w:styleId="116">
    <w:name w:val="标题 2 字符"/>
    <w:link w:val="5"/>
    <w:qFormat/>
    <w:uiPriority w:val="99"/>
    <w:rPr>
      <w:rFonts w:ascii="Arial" w:hAnsi="Arial" w:eastAsia="黑体"/>
      <w:b/>
      <w:bCs/>
      <w:kern w:val="2"/>
      <w:sz w:val="32"/>
      <w:szCs w:val="32"/>
      <w:lang w:val="en-US" w:eastAsia="zh-CN" w:bidi="ar-SA"/>
    </w:rPr>
  </w:style>
  <w:style w:type="character" w:customStyle="1" w:styleId="117">
    <w:name w:val="末级 Char Char Char Char"/>
    <w:qFormat/>
    <w:uiPriority w:val="0"/>
    <w:rPr>
      <w:rFonts w:eastAsia="宋体"/>
      <w:kern w:val="2"/>
      <w:sz w:val="24"/>
      <w:lang w:val="en-US" w:eastAsia="zh-CN"/>
    </w:rPr>
  </w:style>
  <w:style w:type="character" w:customStyle="1" w:styleId="118">
    <w:name w:val="批注主题 Char2"/>
    <w:semiHidden/>
    <w:qFormat/>
    <w:uiPriority w:val="99"/>
    <w:rPr>
      <w:rFonts w:ascii="Times New Roman" w:hAnsi="Times New Roman" w:eastAsia="宋体" w:cs="Times New Roman"/>
      <w:b/>
      <w:bCs/>
      <w:szCs w:val="24"/>
    </w:rPr>
  </w:style>
  <w:style w:type="character" w:customStyle="1" w:styleId="119">
    <w:name w:val="HTML 预设格式 字符"/>
    <w:link w:val="66"/>
    <w:qFormat/>
    <w:uiPriority w:val="99"/>
    <w:rPr>
      <w:rFonts w:ascii="宋体" w:hAnsi="宋体"/>
      <w:sz w:val="24"/>
      <w:lang w:val="zh-CN"/>
    </w:rPr>
  </w:style>
  <w:style w:type="character" w:customStyle="1" w:styleId="120">
    <w:name w:val="mod-title12"/>
    <w:qFormat/>
    <w:uiPriority w:val="99"/>
    <w:rPr>
      <w:rFonts w:cs="Times New Roman"/>
    </w:rPr>
  </w:style>
  <w:style w:type="character" w:customStyle="1" w:styleId="121">
    <w:name w:val="正文文本 3 Char2"/>
    <w:qFormat/>
    <w:uiPriority w:val="0"/>
    <w:rPr>
      <w:kern w:val="2"/>
      <w:sz w:val="16"/>
      <w:szCs w:val="16"/>
    </w:rPr>
  </w:style>
  <w:style w:type="character" w:customStyle="1" w:styleId="122">
    <w:name w:val="页脚 Char Char"/>
    <w:qFormat/>
    <w:uiPriority w:val="99"/>
    <w:rPr>
      <w:rFonts w:ascii="宋体"/>
      <w:sz w:val="18"/>
    </w:rPr>
  </w:style>
  <w:style w:type="character" w:customStyle="1" w:styleId="123">
    <w:name w:val="批注主题 Char1"/>
    <w:qFormat/>
    <w:uiPriority w:val="0"/>
    <w:rPr>
      <w:b/>
      <w:bCs/>
      <w:kern w:val="2"/>
      <w:sz w:val="21"/>
      <w:szCs w:val="22"/>
    </w:rPr>
  </w:style>
  <w:style w:type="character" w:customStyle="1" w:styleId="124">
    <w:name w:val="正文文本缩进 Char2"/>
    <w:semiHidden/>
    <w:qFormat/>
    <w:uiPriority w:val="99"/>
    <w:rPr>
      <w:rFonts w:ascii="Times New Roman" w:hAnsi="Times New Roman" w:eastAsia="宋体" w:cs="Times New Roman"/>
      <w:szCs w:val="24"/>
    </w:rPr>
  </w:style>
  <w:style w:type="character" w:customStyle="1" w:styleId="125">
    <w:name w:val="Char Char7"/>
    <w:qFormat/>
    <w:uiPriority w:val="0"/>
    <w:rPr>
      <w:rFonts w:ascii="Arial" w:hAnsi="Arial" w:eastAsia="黑体"/>
      <w:b/>
      <w:bCs/>
      <w:kern w:val="2"/>
      <w:sz w:val="32"/>
      <w:szCs w:val="32"/>
      <w:lang w:val="en-US" w:eastAsia="zh-CN" w:bidi="ar-SA"/>
    </w:rPr>
  </w:style>
  <w:style w:type="character" w:customStyle="1" w:styleId="126">
    <w:name w:val="Blockquote Char Char"/>
    <w:link w:val="127"/>
    <w:qFormat/>
    <w:uiPriority w:val="0"/>
    <w:rPr>
      <w:sz w:val="24"/>
      <w:szCs w:val="24"/>
    </w:rPr>
  </w:style>
  <w:style w:type="paragraph" w:customStyle="1" w:styleId="127">
    <w:name w:val="Blockquote Char"/>
    <w:basedOn w:val="1"/>
    <w:link w:val="126"/>
    <w:qFormat/>
    <w:uiPriority w:val="0"/>
    <w:pPr>
      <w:autoSpaceDE w:val="0"/>
      <w:autoSpaceDN w:val="0"/>
      <w:adjustRightInd w:val="0"/>
      <w:spacing w:before="100" w:after="100"/>
      <w:ind w:left="360" w:right="360"/>
      <w:jc w:val="left"/>
    </w:pPr>
    <w:rPr>
      <w:kern w:val="0"/>
      <w:sz w:val="24"/>
    </w:rPr>
  </w:style>
  <w:style w:type="character" w:customStyle="1" w:styleId="128">
    <w:name w:val="正文文本缩进 Char"/>
    <w:qFormat/>
    <w:uiPriority w:val="99"/>
    <w:rPr>
      <w:rFonts w:ascii="Arial" w:hAnsi="MS Sans Serif" w:eastAsia="Arial"/>
      <w:spacing w:val="12"/>
      <w:sz w:val="24"/>
      <w:lang w:val="en-US" w:eastAsia="zh-CN" w:bidi="ar-SA"/>
    </w:rPr>
  </w:style>
  <w:style w:type="character" w:customStyle="1" w:styleId="129">
    <w:name w:val="副标题 Char2"/>
    <w:qFormat/>
    <w:uiPriority w:val="11"/>
    <w:rPr>
      <w:rFonts w:ascii="Calibri Light" w:hAnsi="Calibri Light" w:eastAsia="宋体" w:cs="Times New Roman"/>
      <w:b/>
      <w:bCs/>
      <w:kern w:val="28"/>
      <w:sz w:val="32"/>
      <w:szCs w:val="32"/>
    </w:rPr>
  </w:style>
  <w:style w:type="character" w:customStyle="1" w:styleId="130">
    <w:name w:val="脚注文本 字符"/>
    <w:link w:val="56"/>
    <w:qFormat/>
    <w:uiPriority w:val="0"/>
    <w:rPr>
      <w:kern w:val="2"/>
    </w:rPr>
  </w:style>
  <w:style w:type="character" w:customStyle="1" w:styleId="131">
    <w:name w:val="宏文本 字符"/>
    <w:link w:val="3"/>
    <w:qFormat/>
    <w:uiPriority w:val="99"/>
    <w:rPr>
      <w:rFonts w:ascii="Courier New" w:hAnsi="Courier New"/>
      <w:kern w:val="2"/>
      <w:sz w:val="24"/>
    </w:rPr>
  </w:style>
  <w:style w:type="character" w:customStyle="1" w:styleId="132">
    <w:name w:val="正文文本 字符"/>
    <w:qFormat/>
    <w:uiPriority w:val="99"/>
    <w:rPr>
      <w:kern w:val="2"/>
      <w:sz w:val="24"/>
    </w:rPr>
  </w:style>
  <w:style w:type="character" w:customStyle="1" w:styleId="133">
    <w:name w:val="文档结构图 Char1"/>
    <w:qFormat/>
    <w:uiPriority w:val="0"/>
    <w:rPr>
      <w:rFonts w:ascii="宋体"/>
      <w:kern w:val="2"/>
      <w:sz w:val="18"/>
      <w:szCs w:val="18"/>
    </w:rPr>
  </w:style>
  <w:style w:type="character" w:customStyle="1" w:styleId="134">
    <w:name w:val="Char Char2"/>
    <w:qFormat/>
    <w:uiPriority w:val="0"/>
    <w:rPr>
      <w:rFonts w:eastAsia="宋体"/>
      <w:kern w:val="2"/>
      <w:sz w:val="21"/>
      <w:szCs w:val="24"/>
      <w:lang w:val="en-US" w:eastAsia="zh-CN" w:bidi="ar-SA"/>
    </w:rPr>
  </w:style>
  <w:style w:type="character" w:customStyle="1" w:styleId="135">
    <w:name w:val="不明显强调11"/>
    <w:qFormat/>
    <w:uiPriority w:val="0"/>
    <w:rPr>
      <w:i/>
      <w:iCs/>
      <w:color w:val="808080"/>
    </w:rPr>
  </w:style>
  <w:style w:type="character" w:customStyle="1" w:styleId="136">
    <w:name w:val="样式 样式 首行缩进:  2 字符 段前: 0.5 行 段后: 0.5 行 + 四号 Char Char"/>
    <w:link w:val="137"/>
    <w:qFormat/>
    <w:uiPriority w:val="0"/>
    <w:rPr>
      <w:kern w:val="2"/>
      <w:sz w:val="28"/>
    </w:rPr>
  </w:style>
  <w:style w:type="paragraph" w:customStyle="1" w:styleId="137">
    <w:name w:val="样式 样式 首行缩进:  2 字符 段前: 0.5 行 段后: 0.5 行 + 四号"/>
    <w:basedOn w:val="138"/>
    <w:link w:val="136"/>
    <w:qFormat/>
    <w:uiPriority w:val="0"/>
    <w:rPr>
      <w:sz w:val="28"/>
    </w:rPr>
  </w:style>
  <w:style w:type="paragraph" w:customStyle="1" w:styleId="138">
    <w:name w:val="样式 首行缩进:  2 字符 段前: 0.5 行 段后: 0.5 行"/>
    <w:basedOn w:val="1"/>
    <w:link w:val="255"/>
    <w:qFormat/>
    <w:uiPriority w:val="0"/>
    <w:pPr>
      <w:adjustRightInd w:val="0"/>
      <w:spacing w:beforeLines="50" w:afterLines="50" w:line="360" w:lineRule="auto"/>
      <w:ind w:firstLine="480" w:firstLineChars="200"/>
    </w:pPr>
    <w:rPr>
      <w:sz w:val="24"/>
      <w:szCs w:val="20"/>
    </w:rPr>
  </w:style>
  <w:style w:type="character" w:customStyle="1" w:styleId="139">
    <w:name w:val="正 Char Char"/>
    <w:link w:val="140"/>
    <w:qFormat/>
    <w:uiPriority w:val="0"/>
    <w:rPr>
      <w:rFonts w:ascii="宋体" w:hAnsi="宋体"/>
      <w:kern w:val="2"/>
      <w:sz w:val="24"/>
    </w:rPr>
  </w:style>
  <w:style w:type="paragraph" w:customStyle="1" w:styleId="140">
    <w:name w:val="正"/>
    <w:basedOn w:val="1"/>
    <w:link w:val="139"/>
    <w:qFormat/>
    <w:uiPriority w:val="0"/>
    <w:pPr>
      <w:ind w:firstLine="530" w:firstLineChars="200"/>
    </w:pPr>
    <w:rPr>
      <w:rFonts w:ascii="宋体" w:hAnsi="宋体"/>
      <w:sz w:val="24"/>
      <w:szCs w:val="20"/>
    </w:rPr>
  </w:style>
  <w:style w:type="character" w:customStyle="1" w:styleId="141">
    <w:name w:val="副标题 字符1"/>
    <w:qFormat/>
    <w:uiPriority w:val="99"/>
    <w:rPr>
      <w:rFonts w:cs="Times New Roman"/>
      <w:b/>
      <w:bCs/>
      <w:kern w:val="28"/>
      <w:sz w:val="32"/>
      <w:szCs w:val="32"/>
    </w:rPr>
  </w:style>
  <w:style w:type="character" w:customStyle="1" w:styleId="142">
    <w:name w:val="正文首行缩进 2 Char3"/>
    <w:semiHidden/>
    <w:qFormat/>
    <w:uiPriority w:val="99"/>
  </w:style>
  <w:style w:type="character" w:customStyle="1" w:styleId="143">
    <w:name w:val="批注文字 Char"/>
    <w:qFormat/>
    <w:uiPriority w:val="99"/>
    <w:rPr>
      <w:rFonts w:ascii="Arial" w:hAnsi="Arial" w:eastAsia="宋体" w:cs="Arial"/>
      <w:sz w:val="24"/>
      <w:szCs w:val="24"/>
      <w:lang w:val="de-DE" w:eastAsia="zh-CN" w:bidi="ar-SA"/>
    </w:rPr>
  </w:style>
  <w:style w:type="character" w:customStyle="1" w:styleId="144">
    <w:name w:val="high151"/>
    <w:qFormat/>
    <w:uiPriority w:val="0"/>
    <w:rPr>
      <w:sz w:val="18"/>
    </w:rPr>
  </w:style>
  <w:style w:type="character" w:customStyle="1" w:styleId="145">
    <w:name w:val="标题 3 Char Char"/>
    <w:qFormat/>
    <w:uiPriority w:val="0"/>
    <w:rPr>
      <w:rFonts w:ascii="黑体" w:hAnsi="宋体" w:eastAsia="宋体"/>
      <w:b/>
      <w:kern w:val="2"/>
      <w:sz w:val="21"/>
      <w:lang w:val="en-US" w:eastAsia="zh-CN"/>
    </w:rPr>
  </w:style>
  <w:style w:type="character" w:customStyle="1" w:styleId="146">
    <w:name w:val="批注文字 字符"/>
    <w:qFormat/>
    <w:uiPriority w:val="99"/>
    <w:rPr>
      <w:kern w:val="2"/>
      <w:sz w:val="24"/>
    </w:rPr>
  </w:style>
  <w:style w:type="character" w:customStyle="1" w:styleId="147">
    <w:name w:val="页眉 字符"/>
    <w:link w:val="48"/>
    <w:qFormat/>
    <w:uiPriority w:val="0"/>
    <w:rPr>
      <w:kern w:val="2"/>
      <w:sz w:val="18"/>
      <w:szCs w:val="18"/>
    </w:rPr>
  </w:style>
  <w:style w:type="character" w:customStyle="1" w:styleId="148">
    <w:name w:val="样式 标题 3 + 四号 全部大写 Char"/>
    <w:link w:val="149"/>
    <w:qFormat/>
    <w:uiPriority w:val="99"/>
    <w:rPr>
      <w:rFonts w:ascii="Arial" w:hAnsi="Arial"/>
      <w:caps/>
      <w:kern w:val="2"/>
      <w:sz w:val="28"/>
      <w:szCs w:val="24"/>
    </w:rPr>
  </w:style>
  <w:style w:type="paragraph" w:customStyle="1" w:styleId="149">
    <w:name w:val="样式 标题 3 + 四号 全部大写"/>
    <w:basedOn w:val="27"/>
    <w:next w:val="27"/>
    <w:link w:val="148"/>
    <w:qFormat/>
    <w:uiPriority w:val="99"/>
    <w:pPr>
      <w:tabs>
        <w:tab w:val="left" w:pos="1260"/>
      </w:tabs>
      <w:spacing w:before="60" w:after="60" w:line="440" w:lineRule="atLeast"/>
      <w:ind w:left="1260" w:hanging="420"/>
      <w:jc w:val="left"/>
    </w:pPr>
    <w:rPr>
      <w:rFonts w:ascii="Arial" w:hAnsi="Arial"/>
      <w:caps/>
      <w:sz w:val="28"/>
    </w:rPr>
  </w:style>
  <w:style w:type="character" w:customStyle="1" w:styleId="150">
    <w:name w:val="不明显强调2"/>
    <w:qFormat/>
    <w:uiPriority w:val="0"/>
    <w:rPr>
      <w:i/>
      <w:iCs/>
      <w:color w:val="808080"/>
    </w:rPr>
  </w:style>
  <w:style w:type="character" w:customStyle="1" w:styleId="151">
    <w:name w:val="书籍标题1"/>
    <w:qFormat/>
    <w:uiPriority w:val="0"/>
    <w:rPr>
      <w:b/>
      <w:bCs/>
      <w:smallCaps/>
      <w:spacing w:val="5"/>
    </w:rPr>
  </w:style>
  <w:style w:type="character" w:customStyle="1" w:styleId="152">
    <w:name w:val="HTML 预设格式 Char"/>
    <w:qFormat/>
    <w:uiPriority w:val="99"/>
    <w:rPr>
      <w:rFonts w:ascii="宋体" w:hAnsi="宋体"/>
      <w:sz w:val="24"/>
    </w:rPr>
  </w:style>
  <w:style w:type="character" w:customStyle="1" w:styleId="153">
    <w:name w:val="引用 字符"/>
    <w:link w:val="154"/>
    <w:qFormat/>
    <w:uiPriority w:val="0"/>
    <w:rPr>
      <w:i/>
      <w:iCs/>
      <w:color w:val="000000"/>
      <w:kern w:val="2"/>
      <w:sz w:val="21"/>
      <w:szCs w:val="22"/>
    </w:rPr>
  </w:style>
  <w:style w:type="paragraph" w:styleId="154">
    <w:name w:val="Quote"/>
    <w:basedOn w:val="1"/>
    <w:next w:val="1"/>
    <w:link w:val="153"/>
    <w:qFormat/>
    <w:uiPriority w:val="0"/>
    <w:rPr>
      <w:i/>
      <w:iCs/>
      <w:color w:val="000000"/>
      <w:szCs w:val="22"/>
    </w:rPr>
  </w:style>
  <w:style w:type="character" w:customStyle="1" w:styleId="155">
    <w:name w:val="Char Char Char Char2"/>
    <w:link w:val="156"/>
    <w:qFormat/>
    <w:uiPriority w:val="0"/>
    <w:rPr>
      <w:color w:val="000000"/>
      <w:sz w:val="24"/>
      <w:szCs w:val="24"/>
    </w:rPr>
  </w:style>
  <w:style w:type="paragraph" w:customStyle="1" w:styleId="156">
    <w:name w:val="Char Char Char2"/>
    <w:basedOn w:val="1"/>
    <w:link w:val="155"/>
    <w:qFormat/>
    <w:uiPriority w:val="0"/>
    <w:pPr>
      <w:adjustRightInd w:val="0"/>
      <w:spacing w:line="360" w:lineRule="auto"/>
    </w:pPr>
    <w:rPr>
      <w:color w:val="000000"/>
      <w:kern w:val="0"/>
      <w:sz w:val="24"/>
    </w:rPr>
  </w:style>
  <w:style w:type="character" w:customStyle="1" w:styleId="157">
    <w:name w:val="font11"/>
    <w:qFormat/>
    <w:uiPriority w:val="0"/>
    <w:rPr>
      <w:rFonts w:hint="eastAsia" w:ascii="宋体" w:hAnsi="宋体" w:eastAsia="宋体"/>
      <w:color w:val="FF0000"/>
      <w:sz w:val="22"/>
      <w:szCs w:val="22"/>
      <w:u w:val="none"/>
    </w:rPr>
  </w:style>
  <w:style w:type="character" w:customStyle="1" w:styleId="158">
    <w:name w:val="正文文本 3 字符"/>
    <w:link w:val="25"/>
    <w:qFormat/>
    <w:uiPriority w:val="0"/>
    <w:rPr>
      <w:rFonts w:ascii="宋体"/>
      <w:kern w:val="2"/>
      <w:sz w:val="24"/>
    </w:rPr>
  </w:style>
  <w:style w:type="character" w:customStyle="1" w:styleId="159">
    <w:name w:val="明显引用 Char2"/>
    <w:qFormat/>
    <w:uiPriority w:val="30"/>
    <w:rPr>
      <w:rFonts w:ascii="Times New Roman" w:hAnsi="Times New Roman" w:eastAsia="宋体" w:cs="Times New Roman"/>
      <w:i/>
      <w:iCs/>
      <w:color w:val="5B9BD5"/>
      <w:szCs w:val="24"/>
    </w:rPr>
  </w:style>
  <w:style w:type="character" w:customStyle="1" w:styleId="160">
    <w:name w:val="正文文本首行缩进 字符"/>
    <w:link w:val="72"/>
    <w:qFormat/>
    <w:uiPriority w:val="0"/>
    <w:rPr>
      <w:b/>
      <w:kern w:val="2"/>
      <w:sz w:val="21"/>
      <w:szCs w:val="24"/>
      <w:lang w:val="zh-CN"/>
    </w:rPr>
  </w:style>
  <w:style w:type="character" w:customStyle="1" w:styleId="161">
    <w:name w:val="尾注文本 字符"/>
    <w:basedOn w:val="76"/>
    <w:link w:val="44"/>
    <w:qFormat/>
    <w:uiPriority w:val="0"/>
  </w:style>
  <w:style w:type="character" w:customStyle="1" w:styleId="162">
    <w:name w:val="尾注文本 Char2"/>
    <w:semiHidden/>
    <w:qFormat/>
    <w:uiPriority w:val="99"/>
    <w:rPr>
      <w:rFonts w:ascii="Times New Roman" w:hAnsi="Times New Roman" w:eastAsia="宋体" w:cs="Times New Roman"/>
      <w:szCs w:val="24"/>
    </w:rPr>
  </w:style>
  <w:style w:type="character" w:customStyle="1" w:styleId="163">
    <w:name w:val="样1 Char"/>
    <w:link w:val="164"/>
    <w:qFormat/>
    <w:uiPriority w:val="99"/>
    <w:rPr>
      <w:rFonts w:ascii="Arial" w:hAnsi="宋体"/>
      <w:b/>
      <w:color w:val="0000FF"/>
      <w:sz w:val="30"/>
      <w:szCs w:val="36"/>
    </w:rPr>
  </w:style>
  <w:style w:type="paragraph" w:customStyle="1" w:styleId="164">
    <w:name w:val="样1"/>
    <w:basedOn w:val="5"/>
    <w:link w:val="163"/>
    <w:qFormat/>
    <w:uiPriority w:val="99"/>
    <w:pPr>
      <w:tabs>
        <w:tab w:val="left" w:pos="567"/>
      </w:tabs>
      <w:adjustRightInd w:val="0"/>
      <w:snapToGrid w:val="0"/>
      <w:spacing w:before="120" w:after="120" w:line="360" w:lineRule="auto"/>
      <w:jc w:val="center"/>
      <w:textAlignment w:val="baseline"/>
    </w:pPr>
    <w:rPr>
      <w:rFonts w:hAnsi="宋体" w:eastAsia="宋体"/>
      <w:bCs w:val="0"/>
      <w:color w:val="0000FF"/>
      <w:kern w:val="0"/>
      <w:sz w:val="30"/>
      <w:szCs w:val="36"/>
    </w:rPr>
  </w:style>
  <w:style w:type="character" w:customStyle="1" w:styleId="165">
    <w:name w:val="正文文本 Char1"/>
    <w:qFormat/>
    <w:uiPriority w:val="0"/>
    <w:rPr>
      <w:kern w:val="2"/>
      <w:sz w:val="21"/>
      <w:szCs w:val="22"/>
    </w:rPr>
  </w:style>
  <w:style w:type="character" w:customStyle="1" w:styleId="166">
    <w:name w:val="Para head"/>
    <w:qFormat/>
    <w:uiPriority w:val="0"/>
    <w:rPr>
      <w:rFonts w:ascii="Arial" w:hAnsi="Arial" w:eastAsia="Times New Roman"/>
      <w:sz w:val="20"/>
    </w:rPr>
  </w:style>
  <w:style w:type="character" w:customStyle="1" w:styleId="167">
    <w:name w:val="正文文本 2 Char"/>
    <w:qFormat/>
    <w:uiPriority w:val="99"/>
    <w:rPr>
      <w:rFonts w:ascii="宋体" w:hAnsi="宋体"/>
    </w:rPr>
  </w:style>
  <w:style w:type="character" w:customStyle="1" w:styleId="168">
    <w:name w:val="图表左对齐 Char Char"/>
    <w:link w:val="169"/>
    <w:qFormat/>
    <w:uiPriority w:val="0"/>
    <w:rPr>
      <w:spacing w:val="-10"/>
      <w:kern w:val="2"/>
      <w:sz w:val="24"/>
    </w:rPr>
  </w:style>
  <w:style w:type="paragraph" w:customStyle="1" w:styleId="169">
    <w:name w:val="图表左对齐"/>
    <w:basedOn w:val="1"/>
    <w:link w:val="168"/>
    <w:qFormat/>
    <w:uiPriority w:val="0"/>
    <w:pPr>
      <w:spacing w:line="360" w:lineRule="exact"/>
      <w:jc w:val="left"/>
    </w:pPr>
    <w:rPr>
      <w:spacing w:val="-10"/>
      <w:sz w:val="24"/>
      <w:szCs w:val="20"/>
    </w:rPr>
  </w:style>
  <w:style w:type="character" w:customStyle="1" w:styleId="170">
    <w:name w:val="正文文本 字符1"/>
    <w:link w:val="27"/>
    <w:qFormat/>
    <w:uiPriority w:val="0"/>
    <w:rPr>
      <w:kern w:val="2"/>
      <w:sz w:val="21"/>
      <w:szCs w:val="24"/>
    </w:rPr>
  </w:style>
  <w:style w:type="character" w:customStyle="1" w:styleId="171">
    <w:name w:val="明显强调1"/>
    <w:qFormat/>
    <w:uiPriority w:val="0"/>
    <w:rPr>
      <w:b/>
      <w:bCs/>
      <w:i/>
      <w:iCs/>
      <w:color w:val="4F81BD"/>
    </w:rPr>
  </w:style>
  <w:style w:type="character" w:customStyle="1" w:styleId="172">
    <w:name w:val="已访问的超链接1"/>
    <w:qFormat/>
    <w:uiPriority w:val="0"/>
    <w:rPr>
      <w:color w:val="800080"/>
      <w:u w:val="single"/>
    </w:rPr>
  </w:style>
  <w:style w:type="character" w:customStyle="1" w:styleId="173">
    <w:name w:val="Char Char141"/>
    <w:qFormat/>
    <w:uiPriority w:val="0"/>
    <w:rPr>
      <w:rFonts w:ascii="Cambria" w:hAnsi="Cambria"/>
      <w:b/>
      <w:bCs/>
      <w:kern w:val="32"/>
      <w:sz w:val="32"/>
      <w:szCs w:val="32"/>
      <w:lang w:eastAsia="en-US" w:bidi="en-US"/>
    </w:rPr>
  </w:style>
  <w:style w:type="character" w:customStyle="1" w:styleId="174">
    <w:name w:val="正文文本缩进 Char Char"/>
    <w:qFormat/>
    <w:uiPriority w:val="0"/>
    <w:rPr>
      <w:rFonts w:eastAsia="宋体"/>
      <w:kern w:val="2"/>
      <w:sz w:val="21"/>
      <w:lang w:val="en-US" w:eastAsia="zh-CN"/>
    </w:rPr>
  </w:style>
  <w:style w:type="character" w:customStyle="1" w:styleId="175">
    <w:name w:val="日期 Char"/>
    <w:qFormat/>
    <w:uiPriority w:val="99"/>
    <w:rPr>
      <w:szCs w:val="24"/>
    </w:rPr>
  </w:style>
  <w:style w:type="character" w:customStyle="1" w:styleId="176">
    <w:name w:val="批注文字 Char Char"/>
    <w:qFormat/>
    <w:uiPriority w:val="0"/>
    <w:rPr>
      <w:rFonts w:ascii="宋体" w:hAnsi="Times New Roman" w:eastAsia="宋体" w:cs="Times New Roman"/>
      <w:sz w:val="28"/>
      <w:szCs w:val="20"/>
    </w:rPr>
  </w:style>
  <w:style w:type="character" w:customStyle="1" w:styleId="177">
    <w:name w:val="不明显参考1"/>
    <w:qFormat/>
    <w:uiPriority w:val="0"/>
    <w:rPr>
      <w:smallCaps/>
      <w:color w:val="C0504D"/>
      <w:u w:val="single"/>
    </w:rPr>
  </w:style>
  <w:style w:type="character" w:customStyle="1" w:styleId="178">
    <w:name w:val="引用 Char1"/>
    <w:qFormat/>
    <w:uiPriority w:val="29"/>
    <w:rPr>
      <w:i/>
      <w:iCs/>
      <w:color w:val="000000"/>
    </w:rPr>
  </w:style>
  <w:style w:type="character" w:customStyle="1" w:styleId="179">
    <w:name w:val="标题 4 Char Char1"/>
    <w:qFormat/>
    <w:uiPriority w:val="0"/>
    <w:rPr>
      <w:rFonts w:ascii="Arial" w:hAnsi="Arial" w:eastAsia="宋体"/>
      <w:kern w:val="2"/>
      <w:sz w:val="24"/>
      <w:lang w:val="en-US" w:eastAsia="zh-CN"/>
    </w:rPr>
  </w:style>
  <w:style w:type="character" w:customStyle="1" w:styleId="180">
    <w:name w:val="明显参考1"/>
    <w:qFormat/>
    <w:uiPriority w:val="0"/>
    <w:rPr>
      <w:b/>
      <w:bCs/>
      <w:smallCaps/>
      <w:color w:val="C0504D"/>
      <w:spacing w:val="5"/>
      <w:u w:val="single"/>
    </w:rPr>
  </w:style>
  <w:style w:type="character" w:customStyle="1" w:styleId="181">
    <w:name w:val="缩进正文 Char"/>
    <w:link w:val="182"/>
    <w:qFormat/>
    <w:uiPriority w:val="0"/>
    <w:rPr>
      <w:rFonts w:ascii="宋体" w:hAnsi="宋体" w:cs="Arial"/>
      <w:spacing w:val="30"/>
      <w:sz w:val="24"/>
      <w:szCs w:val="24"/>
      <w:lang w:val="en-US" w:eastAsia="zh-CN" w:bidi="ar-SA"/>
    </w:rPr>
  </w:style>
  <w:style w:type="paragraph" w:customStyle="1" w:styleId="182">
    <w:name w:val="缩进正文"/>
    <w:link w:val="181"/>
    <w:qFormat/>
    <w:uiPriority w:val="0"/>
    <w:pPr>
      <w:adjustRightInd w:val="0"/>
      <w:snapToGrid w:val="0"/>
      <w:spacing w:beforeLines="70" w:afterLines="70" w:line="360" w:lineRule="exact"/>
      <w:ind w:left="1021"/>
      <w:jc w:val="both"/>
      <w:textAlignment w:val="baseline"/>
    </w:pPr>
    <w:rPr>
      <w:rFonts w:ascii="宋体" w:hAnsi="宋体" w:eastAsia="宋体" w:cs="Arial"/>
      <w:spacing w:val="30"/>
      <w:sz w:val="24"/>
      <w:szCs w:val="24"/>
      <w:lang w:val="en-US" w:eastAsia="zh-CN" w:bidi="ar-SA"/>
    </w:rPr>
  </w:style>
  <w:style w:type="character" w:customStyle="1" w:styleId="183">
    <w:name w:val="正文文本 3 Char"/>
    <w:qFormat/>
    <w:uiPriority w:val="0"/>
    <w:rPr>
      <w:rFonts w:ascii="宋体" w:hAnsi="宋体"/>
      <w:color w:val="0000FF"/>
    </w:rPr>
  </w:style>
  <w:style w:type="character" w:customStyle="1" w:styleId="184">
    <w:name w:val="纯文本 字符"/>
    <w:link w:val="37"/>
    <w:qFormat/>
    <w:uiPriority w:val="0"/>
    <w:rPr>
      <w:rFonts w:ascii="Courier New" w:hAnsi="Courier New"/>
      <w:kern w:val="2"/>
      <w:sz w:val="21"/>
    </w:rPr>
  </w:style>
  <w:style w:type="character" w:customStyle="1" w:styleId="185">
    <w:name w:val="d18c_c811071"/>
    <w:qFormat/>
    <w:uiPriority w:val="0"/>
    <w:rPr>
      <w:rFonts w:hint="default" w:ascii="Arial" w:hAnsi="Arial"/>
      <w:b/>
      <w:dstrike/>
      <w:color w:val="C81107"/>
      <w:sz w:val="27"/>
      <w:u w:val="none"/>
    </w:rPr>
  </w:style>
  <w:style w:type="character" w:customStyle="1" w:styleId="186">
    <w:name w:val="1级标题 Char Char"/>
    <w:link w:val="187"/>
    <w:qFormat/>
    <w:uiPriority w:val="0"/>
    <w:rPr>
      <w:b/>
      <w:kern w:val="2"/>
      <w:sz w:val="28"/>
    </w:rPr>
  </w:style>
  <w:style w:type="paragraph" w:customStyle="1" w:styleId="187">
    <w:name w:val="1级标题"/>
    <w:basedOn w:val="7"/>
    <w:link w:val="186"/>
    <w:qFormat/>
    <w:uiPriority w:val="0"/>
    <w:pPr>
      <w:tabs>
        <w:tab w:val="left" w:pos="1200"/>
      </w:tabs>
      <w:ind w:left="1200" w:hanging="420" w:firstLineChars="0"/>
      <w:outlineLvl w:val="1"/>
    </w:pPr>
    <w:rPr>
      <w:b/>
      <w:sz w:val="28"/>
      <w:szCs w:val="20"/>
    </w:rPr>
  </w:style>
  <w:style w:type="character" w:customStyle="1" w:styleId="188">
    <w:name w:val="尾注文本 Char1"/>
    <w:qFormat/>
    <w:uiPriority w:val="0"/>
    <w:rPr>
      <w:kern w:val="2"/>
      <w:sz w:val="21"/>
      <w:szCs w:val="24"/>
    </w:rPr>
  </w:style>
  <w:style w:type="character" w:customStyle="1" w:styleId="189">
    <w:name w:val="副标题 Char1"/>
    <w:qFormat/>
    <w:uiPriority w:val="0"/>
    <w:rPr>
      <w:rFonts w:ascii="Cambria" w:hAnsi="Cambria" w:cs="Times New Roman"/>
      <w:b/>
      <w:bCs/>
      <w:kern w:val="28"/>
      <w:sz w:val="32"/>
      <w:szCs w:val="32"/>
    </w:rPr>
  </w:style>
  <w:style w:type="character" w:customStyle="1" w:styleId="190">
    <w:name w:val="批注框文本 Char"/>
    <w:qFormat/>
    <w:uiPriority w:val="99"/>
    <w:rPr>
      <w:rFonts w:eastAsia="宋体"/>
      <w:sz w:val="18"/>
      <w:szCs w:val="18"/>
    </w:rPr>
  </w:style>
  <w:style w:type="character" w:customStyle="1" w:styleId="191">
    <w:name w:val="标题 6 字符"/>
    <w:link w:val="10"/>
    <w:qFormat/>
    <w:uiPriority w:val="0"/>
    <w:rPr>
      <w:rFonts w:ascii="Arial" w:hAnsi="Arial" w:eastAsia="黑体"/>
      <w:b/>
      <w:bCs/>
      <w:sz w:val="24"/>
      <w:szCs w:val="24"/>
    </w:rPr>
  </w:style>
  <w:style w:type="character" w:customStyle="1" w:styleId="192">
    <w:name w:val="书籍标题2"/>
    <w:qFormat/>
    <w:uiPriority w:val="0"/>
    <w:rPr>
      <w:b/>
      <w:bCs/>
      <w:smallCaps/>
      <w:spacing w:val="5"/>
    </w:rPr>
  </w:style>
  <w:style w:type="character" w:customStyle="1" w:styleId="193">
    <w:name w:val="不明显参考2"/>
    <w:qFormat/>
    <w:uiPriority w:val="0"/>
    <w:rPr>
      <w:smallCaps/>
      <w:color w:val="C0504D"/>
      <w:u w:val="single"/>
    </w:rPr>
  </w:style>
  <w:style w:type="character" w:customStyle="1" w:styleId="194">
    <w:name w:val="标题 3 Char"/>
    <w:qFormat/>
    <w:uiPriority w:val="99"/>
    <w:rPr>
      <w:rFonts w:ascii="Times New Roman" w:hAnsi="Times New Roman" w:eastAsia="宋体" w:cs="Times New Roman"/>
      <w:b/>
      <w:bCs/>
      <w:sz w:val="24"/>
      <w:szCs w:val="32"/>
    </w:rPr>
  </w:style>
  <w:style w:type="character" w:customStyle="1" w:styleId="195">
    <w:name w:val="批注框文本 Char2"/>
    <w:semiHidden/>
    <w:qFormat/>
    <w:uiPriority w:val="99"/>
    <w:rPr>
      <w:rFonts w:ascii="Times New Roman" w:hAnsi="Times New Roman" w:eastAsia="宋体" w:cs="Times New Roman"/>
      <w:sz w:val="18"/>
      <w:szCs w:val="18"/>
    </w:rPr>
  </w:style>
  <w:style w:type="character" w:customStyle="1" w:styleId="196">
    <w:name w:val="副标题 字符"/>
    <w:link w:val="54"/>
    <w:qFormat/>
    <w:uiPriority w:val="0"/>
    <w:rPr>
      <w:rFonts w:ascii="Cambria" w:hAnsi="Cambria"/>
      <w:b/>
      <w:bCs/>
      <w:kern w:val="28"/>
      <w:sz w:val="32"/>
      <w:szCs w:val="32"/>
      <w:lang w:val="zh-CN"/>
    </w:rPr>
  </w:style>
  <w:style w:type="character" w:customStyle="1" w:styleId="197">
    <w:name w:val="明显强调2"/>
    <w:qFormat/>
    <w:uiPriority w:val="0"/>
    <w:rPr>
      <w:b/>
      <w:bCs/>
      <w:i/>
      <w:iCs/>
      <w:color w:val="4F81BD"/>
    </w:rPr>
  </w:style>
  <w:style w:type="character" w:customStyle="1" w:styleId="198">
    <w:name w:val="font161"/>
    <w:qFormat/>
    <w:uiPriority w:val="99"/>
    <w:rPr>
      <w:b/>
      <w:bCs/>
      <w:sz w:val="32"/>
      <w:szCs w:val="32"/>
    </w:rPr>
  </w:style>
  <w:style w:type="character" w:customStyle="1" w:styleId="199">
    <w:name w:val="样式 正文 +"/>
    <w:qFormat/>
    <w:uiPriority w:val="0"/>
    <w:rPr>
      <w:rFonts w:ascii="Times New Roman" w:hAnsi="Times New Roman" w:eastAsia="宋体"/>
      <w:kern w:val="2"/>
      <w:sz w:val="24"/>
      <w:lang w:val="en-US" w:eastAsia="zh-CN"/>
    </w:rPr>
  </w:style>
  <w:style w:type="character" w:customStyle="1" w:styleId="200">
    <w:name w:val="正文首行缩进 2 Char2"/>
    <w:qFormat/>
    <w:uiPriority w:val="0"/>
    <w:rPr>
      <w:rFonts w:ascii="Tahoma" w:hAnsi="宋体" w:eastAsia="@smartSimSun" w:cs="@smartSimSun"/>
      <w:spacing w:val="12"/>
      <w:kern w:val="2"/>
      <w:sz w:val="21"/>
      <w:szCs w:val="24"/>
    </w:rPr>
  </w:style>
  <w:style w:type="character" w:customStyle="1" w:styleId="201">
    <w:name w:val="标准正文 Char Char"/>
    <w:link w:val="202"/>
    <w:qFormat/>
    <w:uiPriority w:val="0"/>
    <w:rPr>
      <w:kern w:val="2"/>
      <w:sz w:val="21"/>
      <w:szCs w:val="24"/>
    </w:rPr>
  </w:style>
  <w:style w:type="paragraph" w:customStyle="1" w:styleId="202">
    <w:name w:val="标准正文"/>
    <w:basedOn w:val="1"/>
    <w:link w:val="201"/>
    <w:qFormat/>
    <w:uiPriority w:val="0"/>
    <w:pPr>
      <w:tabs>
        <w:tab w:val="left" w:pos="720"/>
      </w:tabs>
      <w:spacing w:line="360" w:lineRule="auto"/>
      <w:ind w:firstLine="200" w:firstLineChars="200"/>
    </w:pPr>
  </w:style>
  <w:style w:type="character" w:customStyle="1" w:styleId="203">
    <w:name w:val="正文文本缩进 2 Char"/>
    <w:qFormat/>
    <w:uiPriority w:val="99"/>
    <w:rPr>
      <w:rFonts w:ascii="Arial" w:hAnsi="MS Sans Serif"/>
      <w:spacing w:val="12"/>
      <w:sz w:val="24"/>
    </w:rPr>
  </w:style>
  <w:style w:type="character" w:customStyle="1" w:styleId="204">
    <w:name w:val="不明显参考11"/>
    <w:qFormat/>
    <w:uiPriority w:val="0"/>
    <w:rPr>
      <w:smallCaps/>
      <w:color w:val="C0504D"/>
      <w:u w:val="single"/>
    </w:rPr>
  </w:style>
  <w:style w:type="character" w:customStyle="1" w:styleId="205">
    <w:name w:val="正文文本缩进 2 字符"/>
    <w:link w:val="43"/>
    <w:qFormat/>
    <w:uiPriority w:val="99"/>
    <w:rPr>
      <w:rFonts w:ascii="宋体" w:hAnsi="MS Sans Serif"/>
      <w:spacing w:val="12"/>
      <w:sz w:val="24"/>
      <w:lang w:val="zh-CN"/>
    </w:rPr>
  </w:style>
  <w:style w:type="character" w:customStyle="1" w:styleId="206">
    <w:name w:val="正文缩进 Char"/>
    <w:qFormat/>
    <w:uiPriority w:val="0"/>
    <w:rPr>
      <w:rFonts w:ascii="Times New Roman" w:hAnsi="Times New Roman"/>
      <w:sz w:val="24"/>
    </w:rPr>
  </w:style>
  <w:style w:type="character" w:customStyle="1" w:styleId="207">
    <w:name w:val="标题 8 字符"/>
    <w:link w:val="12"/>
    <w:qFormat/>
    <w:uiPriority w:val="0"/>
    <w:rPr>
      <w:rFonts w:ascii="Arial" w:hAnsi="Arial" w:eastAsia="黑体"/>
      <w:sz w:val="24"/>
      <w:szCs w:val="24"/>
    </w:rPr>
  </w:style>
  <w:style w:type="character" w:customStyle="1" w:styleId="208">
    <w:name w:val="正文首行缩进 Char2"/>
    <w:semiHidden/>
    <w:qFormat/>
    <w:uiPriority w:val="99"/>
  </w:style>
  <w:style w:type="character" w:customStyle="1" w:styleId="209">
    <w:name w:val="正文 Char Char Char Char Char"/>
    <w:link w:val="210"/>
    <w:qFormat/>
    <w:uiPriority w:val="0"/>
    <w:rPr>
      <w:kern w:val="2"/>
      <w:sz w:val="24"/>
      <w:lang w:val="en-US" w:eastAsia="zh-CN" w:bidi="ar-SA"/>
    </w:rPr>
  </w:style>
  <w:style w:type="paragraph" w:customStyle="1" w:styleId="210">
    <w:name w:val="正文 Char Char Char"/>
    <w:link w:val="209"/>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character" w:customStyle="1" w:styleId="211">
    <w:name w:val="图标中对齐 Char Char"/>
    <w:link w:val="212"/>
    <w:qFormat/>
    <w:uiPriority w:val="0"/>
  </w:style>
  <w:style w:type="paragraph" w:customStyle="1" w:styleId="212">
    <w:name w:val="图标中对齐"/>
    <w:basedOn w:val="169"/>
    <w:link w:val="211"/>
    <w:qFormat/>
    <w:uiPriority w:val="0"/>
    <w:pPr>
      <w:jc w:val="center"/>
    </w:pPr>
    <w:rPr>
      <w:spacing w:val="0"/>
      <w:kern w:val="0"/>
      <w:sz w:val="20"/>
    </w:rPr>
  </w:style>
  <w:style w:type="character" w:customStyle="1" w:styleId="213">
    <w:name w:val="正文文本缩进 Char1"/>
    <w:qFormat/>
    <w:uiPriority w:val="99"/>
    <w:rPr>
      <w:rFonts w:ascii="Tahoma" w:hAnsi="宋体" w:eastAsia="@smartSimSun" w:cs="@smartSimSun"/>
      <w:spacing w:val="12"/>
      <w:sz w:val="24"/>
    </w:rPr>
  </w:style>
  <w:style w:type="character" w:customStyle="1" w:styleId="214">
    <w:name w:val="标题 5 字符"/>
    <w:link w:val="9"/>
    <w:qFormat/>
    <w:uiPriority w:val="0"/>
    <w:rPr>
      <w:b/>
      <w:bCs/>
      <w:kern w:val="2"/>
      <w:sz w:val="28"/>
      <w:szCs w:val="28"/>
    </w:rPr>
  </w:style>
  <w:style w:type="character" w:customStyle="1" w:styleId="215">
    <w:name w:val="正文文本 3 Char3"/>
    <w:semiHidden/>
    <w:qFormat/>
    <w:uiPriority w:val="99"/>
    <w:rPr>
      <w:rFonts w:ascii="Times New Roman" w:hAnsi="Times New Roman" w:eastAsia="宋体" w:cs="Times New Roman"/>
      <w:sz w:val="16"/>
      <w:szCs w:val="16"/>
    </w:rPr>
  </w:style>
  <w:style w:type="character" w:customStyle="1" w:styleId="216">
    <w:name w:val="标题 7 字符"/>
    <w:link w:val="11"/>
    <w:qFormat/>
    <w:uiPriority w:val="0"/>
    <w:rPr>
      <w:b/>
      <w:bCs/>
      <w:sz w:val="24"/>
      <w:szCs w:val="24"/>
    </w:rPr>
  </w:style>
  <w:style w:type="character" w:customStyle="1" w:styleId="217">
    <w:name w:val="正文文本 Char"/>
    <w:qFormat/>
    <w:uiPriority w:val="99"/>
    <w:rPr>
      <w:kern w:val="2"/>
      <w:sz w:val="30"/>
    </w:rPr>
  </w:style>
  <w:style w:type="character" w:customStyle="1" w:styleId="218">
    <w:name w:val="批注文字 字符1"/>
    <w:link w:val="24"/>
    <w:qFormat/>
    <w:uiPriority w:val="0"/>
    <w:rPr>
      <w:rFonts w:eastAsia="宋体"/>
      <w:kern w:val="2"/>
      <w:sz w:val="21"/>
      <w:szCs w:val="24"/>
      <w:lang w:val="en-US" w:eastAsia="zh-CN" w:bidi="ar-SA"/>
    </w:rPr>
  </w:style>
  <w:style w:type="character" w:customStyle="1" w:styleId="219">
    <w:name w:val="引用 字符1"/>
    <w:qFormat/>
    <w:uiPriority w:val="29"/>
    <w:rPr>
      <w:i/>
      <w:iCs/>
      <w:color w:val="404040"/>
      <w:kern w:val="2"/>
      <w:sz w:val="21"/>
      <w:szCs w:val="24"/>
    </w:rPr>
  </w:style>
  <w:style w:type="character" w:customStyle="1" w:styleId="220">
    <w:name w:val="样式 首行缩进:  2 字符 Char1"/>
    <w:link w:val="221"/>
    <w:qFormat/>
    <w:uiPriority w:val="0"/>
    <w:rPr>
      <w:kern w:val="2"/>
      <w:sz w:val="24"/>
    </w:rPr>
  </w:style>
  <w:style w:type="paragraph" w:customStyle="1" w:styleId="221">
    <w:name w:val="样式 首行缩进:  2 字符"/>
    <w:basedOn w:val="1"/>
    <w:link w:val="220"/>
    <w:qFormat/>
    <w:uiPriority w:val="0"/>
    <w:pPr>
      <w:spacing w:line="480" w:lineRule="exact"/>
      <w:ind w:firstLine="480" w:firstLineChars="200"/>
    </w:pPr>
    <w:rPr>
      <w:sz w:val="24"/>
      <w:szCs w:val="20"/>
    </w:rPr>
  </w:style>
  <w:style w:type="character" w:customStyle="1" w:styleId="222">
    <w:name w:val="样式 标题 3 + 四号 Char"/>
    <w:link w:val="223"/>
    <w:qFormat/>
    <w:uiPriority w:val="99"/>
    <w:rPr>
      <w:rFonts w:ascii="宋体" w:hAnsi="宋体"/>
      <w:sz w:val="28"/>
    </w:rPr>
  </w:style>
  <w:style w:type="paragraph" w:customStyle="1" w:styleId="223">
    <w:name w:val="样式 标题 3 + 四号"/>
    <w:basedOn w:val="63"/>
    <w:next w:val="63"/>
    <w:link w:val="222"/>
    <w:qFormat/>
    <w:uiPriority w:val="99"/>
    <w:pPr>
      <w:widowControl w:val="0"/>
      <w:tabs>
        <w:tab w:val="left" w:pos="1260"/>
      </w:tabs>
      <w:spacing w:before="60" w:after="60" w:line="440" w:lineRule="atLeast"/>
      <w:ind w:left="1260" w:hanging="420"/>
    </w:pPr>
    <w:rPr>
      <w:sz w:val="28"/>
    </w:rPr>
  </w:style>
  <w:style w:type="character" w:customStyle="1" w:styleId="224">
    <w:name w:val="末级 Char Char"/>
    <w:qFormat/>
    <w:uiPriority w:val="0"/>
    <w:rPr>
      <w:rFonts w:eastAsia="宋体"/>
      <w:kern w:val="2"/>
      <w:sz w:val="24"/>
      <w:lang w:val="en-US" w:eastAsia="zh-CN"/>
    </w:rPr>
  </w:style>
  <w:style w:type="character" w:customStyle="1" w:styleId="225">
    <w:name w:val="引用 Char"/>
    <w:qFormat/>
    <w:uiPriority w:val="0"/>
    <w:rPr>
      <w:i/>
      <w:iCs/>
      <w:color w:val="000000"/>
    </w:rPr>
  </w:style>
  <w:style w:type="character" w:customStyle="1" w:styleId="226">
    <w:name w:val="infodetail1"/>
    <w:qFormat/>
    <w:uiPriority w:val="0"/>
    <w:rPr>
      <w:sz w:val="23"/>
      <w:szCs w:val="23"/>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正文文本缩进 字符"/>
    <w:link w:val="28"/>
    <w:qFormat/>
    <w:uiPriority w:val="0"/>
    <w:rPr>
      <w:kern w:val="2"/>
      <w:sz w:val="21"/>
      <w:szCs w:val="24"/>
    </w:rPr>
  </w:style>
  <w:style w:type="character" w:customStyle="1" w:styleId="229">
    <w:name w:val="标题 1 字符1"/>
    <w:link w:val="4"/>
    <w:qFormat/>
    <w:uiPriority w:val="0"/>
    <w:rPr>
      <w:rFonts w:eastAsia="宋体"/>
      <w:b/>
      <w:bCs/>
      <w:kern w:val="44"/>
      <w:sz w:val="44"/>
      <w:szCs w:val="44"/>
      <w:lang w:val="en-US" w:eastAsia="zh-CN" w:bidi="ar-SA"/>
    </w:rPr>
  </w:style>
  <w:style w:type="character" w:customStyle="1" w:styleId="230">
    <w:name w:val="标题 Char2"/>
    <w:qFormat/>
    <w:uiPriority w:val="10"/>
    <w:rPr>
      <w:rFonts w:ascii="Calibri Light" w:hAnsi="Calibri Light" w:eastAsia="宋体" w:cs="Times New Roman"/>
      <w:b/>
      <w:bCs/>
      <w:sz w:val="32"/>
      <w:szCs w:val="32"/>
    </w:rPr>
  </w:style>
  <w:style w:type="character" w:customStyle="1" w:styleId="231">
    <w:name w:val="批注主题 字符"/>
    <w:link w:val="71"/>
    <w:qFormat/>
    <w:uiPriority w:val="0"/>
    <w:rPr>
      <w:b/>
      <w:bCs/>
      <w:kern w:val="2"/>
      <w:sz w:val="21"/>
      <w:szCs w:val="24"/>
    </w:rPr>
  </w:style>
  <w:style w:type="character" w:customStyle="1" w:styleId="232">
    <w:name w:val="标题 8 Char"/>
    <w:qFormat/>
    <w:uiPriority w:val="99"/>
    <w:rPr>
      <w:rFonts w:ascii="Arial" w:hAnsi="Arial" w:eastAsia="Tahoma" w:cs="Times New Roman"/>
      <w:kern w:val="0"/>
      <w:sz w:val="24"/>
      <w:szCs w:val="24"/>
    </w:rPr>
  </w:style>
  <w:style w:type="character" w:customStyle="1" w:styleId="233">
    <w:name w:val="标题 字符1"/>
    <w:qFormat/>
    <w:uiPriority w:val="99"/>
    <w:rPr>
      <w:rFonts w:ascii="Calibri Light" w:hAnsi="Calibri Light" w:eastAsia="宋体" w:cs="Times New Roman"/>
      <w:b/>
      <w:bCs/>
      <w:sz w:val="32"/>
      <w:szCs w:val="32"/>
    </w:rPr>
  </w:style>
  <w:style w:type="character" w:customStyle="1" w:styleId="234">
    <w:name w:val="正文文本 Char Char"/>
    <w:qFormat/>
    <w:uiPriority w:val="0"/>
    <w:rPr>
      <w:rFonts w:eastAsia="宋体"/>
      <w:b/>
      <w:sz w:val="48"/>
      <w:lang w:val="en-US" w:eastAsia="zh-CN"/>
    </w:rPr>
  </w:style>
  <w:style w:type="character" w:customStyle="1" w:styleId="235">
    <w:name w:val="标题 4 Char"/>
    <w:qFormat/>
    <w:uiPriority w:val="99"/>
    <w:rPr>
      <w:rFonts w:ascii="Arial" w:hAnsi="Arial" w:eastAsia="宋体" w:cs="Times New Roman"/>
      <w:b/>
      <w:bCs/>
      <w:szCs w:val="28"/>
    </w:rPr>
  </w:style>
  <w:style w:type="character" w:customStyle="1" w:styleId="236">
    <w:name w:val="正文文本 3 Char1"/>
    <w:qFormat/>
    <w:uiPriority w:val="0"/>
    <w:rPr>
      <w:sz w:val="16"/>
      <w:szCs w:val="16"/>
    </w:rPr>
  </w:style>
  <w:style w:type="character" w:customStyle="1" w:styleId="237">
    <w:name w:val="标题 字符"/>
    <w:link w:val="70"/>
    <w:qFormat/>
    <w:uiPriority w:val="0"/>
    <w:rPr>
      <w:rFonts w:ascii="Arial" w:hAnsi="Arial"/>
      <w:b/>
      <w:sz w:val="32"/>
    </w:rPr>
  </w:style>
  <w:style w:type="character" w:customStyle="1" w:styleId="238">
    <w:name w:val="正文文本 2 Char1"/>
    <w:qFormat/>
    <w:uiPriority w:val="0"/>
    <w:rPr>
      <w:kern w:val="2"/>
      <w:sz w:val="21"/>
      <w:szCs w:val="24"/>
    </w:rPr>
  </w:style>
  <w:style w:type="character" w:customStyle="1" w:styleId="239">
    <w:name w:val="纯文本 Char1"/>
    <w:qFormat/>
    <w:uiPriority w:val="99"/>
    <w:rPr>
      <w:rFonts w:ascii="Tahoma" w:hAnsi="宋体" w:eastAsia="@smartSimSun" w:cs="@smartSimSun"/>
      <w:szCs w:val="20"/>
    </w:rPr>
  </w:style>
  <w:style w:type="character" w:customStyle="1" w:styleId="240">
    <w:name w:val="标题 1.1 Char"/>
    <w:qFormat/>
    <w:uiPriority w:val="99"/>
    <w:rPr>
      <w:rFonts w:ascii="Arial" w:hAnsi="Arial" w:eastAsia="黑体"/>
      <w:b/>
      <w:sz w:val="32"/>
      <w:lang w:val="en-US" w:eastAsia="zh-CN" w:bidi="ar-SA"/>
    </w:rPr>
  </w:style>
  <w:style w:type="character" w:customStyle="1" w:styleId="241">
    <w:name w:val="批注文字 Char1"/>
    <w:semiHidden/>
    <w:qFormat/>
    <w:uiPriority w:val="99"/>
    <w:rPr>
      <w:rFonts w:ascii="Times New Roman" w:hAnsi="Times New Roman" w:eastAsia="宋体" w:cs="Times New Roman"/>
      <w:szCs w:val="24"/>
    </w:rPr>
  </w:style>
  <w:style w:type="character" w:customStyle="1" w:styleId="242">
    <w:name w:val="HTML 预设格式 Char3"/>
    <w:semiHidden/>
    <w:qFormat/>
    <w:uiPriority w:val="99"/>
    <w:rPr>
      <w:rFonts w:ascii="Courier New" w:hAnsi="Courier New" w:eastAsia="宋体" w:cs="Courier New"/>
      <w:sz w:val="20"/>
      <w:szCs w:val="20"/>
    </w:rPr>
  </w:style>
  <w:style w:type="character" w:customStyle="1" w:styleId="243">
    <w:name w:val="正文文本 Char2"/>
    <w:semiHidden/>
    <w:qFormat/>
    <w:uiPriority w:val="99"/>
    <w:rPr>
      <w:rFonts w:ascii="Times New Roman" w:hAnsi="Times New Roman" w:eastAsia="宋体" w:cs="Times New Roman"/>
      <w:szCs w:val="24"/>
    </w:rPr>
  </w:style>
  <w:style w:type="character" w:customStyle="1" w:styleId="244">
    <w:name w:val="textcontents"/>
    <w:qFormat/>
    <w:uiPriority w:val="0"/>
    <w:rPr>
      <w:rFonts w:cs="Times New Roman"/>
    </w:rPr>
  </w:style>
  <w:style w:type="character" w:customStyle="1" w:styleId="245">
    <w:name w:val="正文首行缩进 2 Char1"/>
    <w:qFormat/>
    <w:uiPriority w:val="0"/>
    <w:rPr>
      <w:rFonts w:ascii="宋体" w:hAnsi="MS Sans Serif"/>
      <w:spacing w:val="12"/>
      <w:kern w:val="2"/>
      <w:sz w:val="24"/>
      <w:szCs w:val="24"/>
    </w:rPr>
  </w:style>
  <w:style w:type="character" w:customStyle="1" w:styleId="246">
    <w:name w:val="引用 Char2"/>
    <w:qFormat/>
    <w:uiPriority w:val="29"/>
    <w:rPr>
      <w:rFonts w:ascii="Times New Roman" w:hAnsi="Times New Roman" w:eastAsia="宋体" w:cs="Times New Roman"/>
      <w:i/>
      <w:iCs/>
      <w:color w:val="404040"/>
      <w:szCs w:val="24"/>
    </w:rPr>
  </w:style>
  <w:style w:type="character" w:customStyle="1" w:styleId="247">
    <w:name w:val="标题 Char"/>
    <w:qFormat/>
    <w:uiPriority w:val="99"/>
    <w:rPr>
      <w:rFonts w:ascii="Cambria" w:hAnsi="Cambria"/>
      <w:b/>
      <w:bCs/>
      <w:sz w:val="32"/>
      <w:szCs w:val="32"/>
    </w:rPr>
  </w:style>
  <w:style w:type="character" w:customStyle="1" w:styleId="248">
    <w:name w:val="标题 3 字符"/>
    <w:link w:val="6"/>
    <w:qFormat/>
    <w:uiPriority w:val="0"/>
    <w:rPr>
      <w:b/>
      <w:bCs/>
      <w:kern w:val="2"/>
      <w:sz w:val="32"/>
      <w:szCs w:val="32"/>
    </w:rPr>
  </w:style>
  <w:style w:type="character" w:customStyle="1" w:styleId="249">
    <w:name w:val="正文文本缩进 3 Char1"/>
    <w:semiHidden/>
    <w:qFormat/>
    <w:uiPriority w:val="99"/>
    <w:rPr>
      <w:rFonts w:ascii="Times New Roman" w:hAnsi="Times New Roman" w:eastAsia="宋体" w:cs="Times New Roman"/>
      <w:sz w:val="16"/>
      <w:szCs w:val="16"/>
    </w:rPr>
  </w:style>
  <w:style w:type="character" w:customStyle="1" w:styleId="250">
    <w:name w:val="文档结构图 Char"/>
    <w:qFormat/>
    <w:uiPriority w:val="99"/>
    <w:rPr>
      <w:szCs w:val="24"/>
      <w:shd w:val="clear" w:color="auto" w:fill="000080"/>
    </w:rPr>
  </w:style>
  <w:style w:type="character" w:customStyle="1" w:styleId="251">
    <w:name w:val="日期 Char1"/>
    <w:qFormat/>
    <w:uiPriority w:val="0"/>
    <w:rPr>
      <w:kern w:val="2"/>
      <w:sz w:val="21"/>
      <w:szCs w:val="22"/>
    </w:rPr>
  </w:style>
  <w:style w:type="character" w:customStyle="1" w:styleId="252">
    <w:name w:val="正文文本缩进 3 Char"/>
    <w:qFormat/>
    <w:uiPriority w:val="99"/>
    <w:rPr>
      <w:rFonts w:ascii="Arial" w:hAnsi="MS Sans Serif"/>
      <w:color w:val="000000"/>
      <w:sz w:val="24"/>
    </w:rPr>
  </w:style>
  <w:style w:type="character" w:customStyle="1" w:styleId="253">
    <w:name w:val="Char Char14"/>
    <w:qFormat/>
    <w:uiPriority w:val="0"/>
    <w:rPr>
      <w:rFonts w:ascii="Arial" w:hAnsi="Arial"/>
      <w:b/>
      <w:kern w:val="2"/>
      <w:sz w:val="32"/>
    </w:rPr>
  </w:style>
  <w:style w:type="character" w:customStyle="1" w:styleId="254">
    <w:name w:val="标题 9 Char"/>
    <w:qFormat/>
    <w:uiPriority w:val="99"/>
    <w:rPr>
      <w:rFonts w:ascii="Arial" w:hAnsi="Arial" w:eastAsia="Tahoma" w:cs="Times New Roman"/>
      <w:kern w:val="0"/>
      <w:szCs w:val="21"/>
    </w:rPr>
  </w:style>
  <w:style w:type="character" w:customStyle="1" w:styleId="255">
    <w:name w:val="样式 首行缩进:  2 字符 段前: 0.5 行 段后: 0.5 行 Char Char"/>
    <w:link w:val="138"/>
    <w:qFormat/>
    <w:uiPriority w:val="0"/>
    <w:rPr>
      <w:kern w:val="2"/>
      <w:sz w:val="24"/>
    </w:rPr>
  </w:style>
  <w:style w:type="character" w:customStyle="1" w:styleId="256">
    <w:name w:val="页脚 Char"/>
    <w:qFormat/>
    <w:uiPriority w:val="99"/>
    <w:rPr>
      <w:sz w:val="18"/>
      <w:szCs w:val="18"/>
    </w:rPr>
  </w:style>
  <w:style w:type="character" w:customStyle="1" w:styleId="257">
    <w:name w:val="样式1 Char Char"/>
    <w:link w:val="258"/>
    <w:qFormat/>
    <w:uiPriority w:val="0"/>
    <w:rPr>
      <w:rFonts w:eastAsia="Arial"/>
      <w:b/>
      <w:bCs/>
      <w:kern w:val="2"/>
      <w:sz w:val="32"/>
      <w:szCs w:val="32"/>
    </w:rPr>
  </w:style>
  <w:style w:type="paragraph" w:customStyle="1" w:styleId="258">
    <w:name w:val="样式1"/>
    <w:basedOn w:val="6"/>
    <w:link w:val="257"/>
    <w:qFormat/>
    <w:uiPriority w:val="99"/>
    <w:rPr>
      <w:rFonts w:eastAsia="Arial"/>
    </w:rPr>
  </w:style>
  <w:style w:type="character" w:customStyle="1" w:styleId="259">
    <w:name w:val="明显引用 Char"/>
    <w:qFormat/>
    <w:uiPriority w:val="0"/>
    <w:rPr>
      <w:b/>
      <w:bCs/>
      <w:i/>
      <w:iCs/>
      <w:color w:val="4F81BD"/>
    </w:rPr>
  </w:style>
  <w:style w:type="character" w:customStyle="1" w:styleId="260">
    <w:name w:val="标题 4 字符"/>
    <w:link w:val="8"/>
    <w:qFormat/>
    <w:uiPriority w:val="0"/>
    <w:rPr>
      <w:rFonts w:ascii="Arial" w:hAnsi="Arial" w:eastAsia="黑体"/>
      <w:b/>
      <w:bCs/>
      <w:kern w:val="2"/>
      <w:sz w:val="28"/>
      <w:szCs w:val="28"/>
    </w:rPr>
  </w:style>
  <w:style w:type="character" w:customStyle="1" w:styleId="261">
    <w:name w:val="Char Char16"/>
    <w:qFormat/>
    <w:uiPriority w:val="0"/>
    <w:rPr>
      <w:rFonts w:ascii="Times New Roman" w:hAnsi="Times New Roman" w:eastAsia="宋体"/>
      <w:sz w:val="18"/>
    </w:rPr>
  </w:style>
  <w:style w:type="character" w:customStyle="1" w:styleId="262">
    <w:name w:val="标题 1 字符"/>
    <w:qFormat/>
    <w:uiPriority w:val="0"/>
    <w:rPr>
      <w:rFonts w:eastAsia="宋体"/>
      <w:b/>
      <w:bCs/>
      <w:kern w:val="44"/>
      <w:sz w:val="44"/>
      <w:szCs w:val="44"/>
      <w:lang w:val="en-US" w:eastAsia="zh-CN" w:bidi="ar-SA"/>
    </w:rPr>
  </w:style>
  <w:style w:type="character" w:customStyle="1" w:styleId="263">
    <w:name w:val="访问过的超链接1"/>
    <w:qFormat/>
    <w:uiPriority w:val="0"/>
    <w:rPr>
      <w:color w:val="800080"/>
      <w:u w:val="single"/>
    </w:rPr>
  </w:style>
  <w:style w:type="character" w:customStyle="1" w:styleId="264">
    <w:name w:val="日期 Char2"/>
    <w:semiHidden/>
    <w:qFormat/>
    <w:uiPriority w:val="99"/>
    <w:rPr>
      <w:rFonts w:ascii="Times New Roman" w:hAnsi="Times New Roman" w:eastAsia="宋体" w:cs="Times New Roman"/>
      <w:szCs w:val="24"/>
    </w:rPr>
  </w:style>
  <w:style w:type="character" w:customStyle="1" w:styleId="265">
    <w:name w:val="纯文本 Char"/>
    <w:qFormat/>
    <w:uiPriority w:val="99"/>
    <w:rPr>
      <w:rFonts w:ascii="Arial" w:hAnsi="Courier New" w:eastAsia="Arial"/>
      <w:kern w:val="2"/>
      <w:sz w:val="21"/>
      <w:lang w:val="en-US" w:eastAsia="zh-CN" w:bidi="ar-SA"/>
    </w:rPr>
  </w:style>
  <w:style w:type="character" w:customStyle="1" w:styleId="266">
    <w:name w:val="HTML 预设格式 Char1"/>
    <w:qFormat/>
    <w:uiPriority w:val="0"/>
    <w:rPr>
      <w:rFonts w:ascii="Courier New" w:hAnsi="Courier New" w:cs="Courier New"/>
    </w:rPr>
  </w:style>
  <w:style w:type="character" w:customStyle="1" w:styleId="267">
    <w:name w:val="标题 Char1"/>
    <w:qFormat/>
    <w:uiPriority w:val="0"/>
    <w:rPr>
      <w:rFonts w:ascii="Cambria" w:hAnsi="Cambria" w:cs="Times New Roman"/>
      <w:b/>
      <w:bCs/>
      <w:sz w:val="32"/>
      <w:szCs w:val="32"/>
    </w:rPr>
  </w:style>
  <w:style w:type="character" w:customStyle="1" w:styleId="268">
    <w:name w:val="正文文本缩进 3 字符"/>
    <w:link w:val="59"/>
    <w:qFormat/>
    <w:uiPriority w:val="99"/>
    <w:rPr>
      <w:kern w:val="2"/>
      <w:sz w:val="16"/>
      <w:szCs w:val="16"/>
    </w:rPr>
  </w:style>
  <w:style w:type="character" w:customStyle="1" w:styleId="269">
    <w:name w:val="副标题 Char"/>
    <w:qFormat/>
    <w:uiPriority w:val="99"/>
    <w:rPr>
      <w:rFonts w:ascii="Cambria" w:hAnsi="Cambria"/>
      <w:b/>
      <w:bCs/>
      <w:kern w:val="28"/>
      <w:sz w:val="32"/>
      <w:szCs w:val="32"/>
    </w:rPr>
  </w:style>
  <w:style w:type="character" w:customStyle="1" w:styleId="270">
    <w:name w:val="明显参考2"/>
    <w:qFormat/>
    <w:uiPriority w:val="0"/>
    <w:rPr>
      <w:b/>
      <w:bCs/>
      <w:smallCaps/>
      <w:color w:val="C0504D"/>
      <w:spacing w:val="5"/>
      <w:u w:val="single"/>
    </w:rPr>
  </w:style>
  <w:style w:type="character" w:customStyle="1" w:styleId="271">
    <w:name w:val="明显引用 字符"/>
    <w:link w:val="272"/>
    <w:qFormat/>
    <w:uiPriority w:val="0"/>
    <w:rPr>
      <w:b/>
      <w:bCs/>
      <w:i/>
      <w:iCs/>
      <w:color w:val="4F81BD"/>
      <w:kern w:val="2"/>
      <w:sz w:val="21"/>
      <w:szCs w:val="22"/>
    </w:rPr>
  </w:style>
  <w:style w:type="paragraph" w:styleId="272">
    <w:name w:val="Intense Quote"/>
    <w:basedOn w:val="1"/>
    <w:next w:val="1"/>
    <w:link w:val="271"/>
    <w:qFormat/>
    <w:uiPriority w:val="0"/>
    <w:pPr>
      <w:pBdr>
        <w:bottom w:val="single" w:color="4F81BD" w:sz="4" w:space="4"/>
      </w:pBdr>
      <w:spacing w:before="200" w:after="280"/>
      <w:ind w:left="936" w:right="936"/>
    </w:pPr>
    <w:rPr>
      <w:b/>
      <w:bCs/>
      <w:i/>
      <w:iCs/>
      <w:color w:val="4F81BD"/>
      <w:szCs w:val="22"/>
    </w:rPr>
  </w:style>
  <w:style w:type="character" w:customStyle="1" w:styleId="273">
    <w:name w:val="样式 首行缩进:  2 字符 Char Char"/>
    <w:qFormat/>
    <w:uiPriority w:val="0"/>
    <w:rPr>
      <w:rFonts w:ascii="仿宋_GB2312" w:eastAsia="宋体"/>
      <w:kern w:val="2"/>
      <w:sz w:val="24"/>
      <w:lang w:val="en-US" w:eastAsia="zh-CN"/>
    </w:rPr>
  </w:style>
  <w:style w:type="character" w:customStyle="1" w:styleId="274">
    <w:name w:val="Char Char8"/>
    <w:qFormat/>
    <w:uiPriority w:val="0"/>
    <w:rPr>
      <w:rFonts w:ascii="Arial" w:hAnsi="Arial" w:eastAsia="黑体"/>
      <w:b/>
      <w:bCs/>
      <w:kern w:val="2"/>
      <w:sz w:val="32"/>
      <w:szCs w:val="32"/>
      <w:lang w:val="en-US" w:eastAsia="zh-CN" w:bidi="ar-SA"/>
    </w:rPr>
  </w:style>
  <w:style w:type="character" w:customStyle="1" w:styleId="275">
    <w:name w:val="标题5 Char Char"/>
    <w:link w:val="276"/>
    <w:qFormat/>
    <w:uiPriority w:val="0"/>
    <w:rPr>
      <w:rFonts w:ascii="Arial" w:hAnsi="Arial"/>
      <w:b/>
      <w:bCs/>
      <w:sz w:val="24"/>
      <w:szCs w:val="32"/>
    </w:rPr>
  </w:style>
  <w:style w:type="paragraph" w:customStyle="1" w:styleId="276">
    <w:name w:val="标题5"/>
    <w:basedOn w:val="6"/>
    <w:link w:val="275"/>
    <w:qFormat/>
    <w:uiPriority w:val="0"/>
    <w:pPr>
      <w:tabs>
        <w:tab w:val="left" w:pos="720"/>
      </w:tabs>
    </w:pPr>
    <w:rPr>
      <w:rFonts w:ascii="Arial" w:hAnsi="Arial"/>
      <w:kern w:val="0"/>
      <w:sz w:val="24"/>
    </w:rPr>
  </w:style>
  <w:style w:type="character" w:customStyle="1" w:styleId="277">
    <w:name w:val="明显参考3"/>
    <w:qFormat/>
    <w:uiPriority w:val="0"/>
    <w:rPr>
      <w:b/>
      <w:bCs/>
      <w:smallCaps/>
      <w:color w:val="C0504D"/>
      <w:spacing w:val="5"/>
      <w:u w:val="single"/>
    </w:rPr>
  </w:style>
  <w:style w:type="character" w:customStyle="1" w:styleId="278">
    <w:name w:val="标题 9 字符"/>
    <w:link w:val="13"/>
    <w:qFormat/>
    <w:uiPriority w:val="0"/>
    <w:rPr>
      <w:rFonts w:ascii="Arial" w:hAnsi="Arial" w:eastAsia="黑体"/>
      <w:sz w:val="21"/>
      <w:szCs w:val="21"/>
    </w:rPr>
  </w:style>
  <w:style w:type="character" w:customStyle="1" w:styleId="279">
    <w:name w:val="日期 字符"/>
    <w:link w:val="42"/>
    <w:qFormat/>
    <w:uiPriority w:val="0"/>
    <w:rPr>
      <w:kern w:val="2"/>
      <w:sz w:val="24"/>
    </w:rPr>
  </w:style>
  <w:style w:type="character" w:customStyle="1" w:styleId="280">
    <w:name w:val="正文首行缩进 Char"/>
    <w:qFormat/>
    <w:uiPriority w:val="99"/>
    <w:rPr>
      <w:szCs w:val="24"/>
    </w:rPr>
  </w:style>
  <w:style w:type="character" w:customStyle="1" w:styleId="281">
    <w:name w:val="页眉 Char"/>
    <w:qFormat/>
    <w:uiPriority w:val="99"/>
    <w:rPr>
      <w:sz w:val="18"/>
      <w:szCs w:val="18"/>
    </w:rPr>
  </w:style>
  <w:style w:type="character" w:customStyle="1" w:styleId="282">
    <w:name w:val="脚注文本 Char"/>
    <w:qFormat/>
    <w:uiPriority w:val="99"/>
    <w:rPr>
      <w:rFonts w:eastAsia="宋体"/>
      <w:sz w:val="18"/>
    </w:rPr>
  </w:style>
  <w:style w:type="character" w:customStyle="1" w:styleId="283">
    <w:name w:val="样式 标题 1标题 1 1 + 宋体 Char Char"/>
    <w:link w:val="284"/>
    <w:qFormat/>
    <w:uiPriority w:val="0"/>
    <w:rPr>
      <w:rFonts w:ascii="宋体" w:hAnsi="宋体" w:eastAsia="黑体"/>
      <w:b/>
      <w:kern w:val="44"/>
      <w:sz w:val="32"/>
    </w:rPr>
  </w:style>
  <w:style w:type="paragraph" w:customStyle="1" w:styleId="284">
    <w:name w:val="样式 标题 1标题 1 1 + 宋体"/>
    <w:basedOn w:val="4"/>
    <w:link w:val="283"/>
    <w:qFormat/>
    <w:uiPriority w:val="0"/>
    <w:pPr>
      <w:tabs>
        <w:tab w:val="left" w:pos="432"/>
      </w:tabs>
      <w:spacing w:beforeLines="50" w:afterLines="50" w:line="240" w:lineRule="auto"/>
    </w:pPr>
    <w:rPr>
      <w:rFonts w:ascii="宋体" w:hAnsi="宋体" w:eastAsia="黑体"/>
      <w:bCs w:val="0"/>
      <w:sz w:val="32"/>
      <w:szCs w:val="20"/>
    </w:rPr>
  </w:style>
  <w:style w:type="character" w:customStyle="1" w:styleId="285">
    <w:name w:val="未处理的提及1"/>
    <w:unhideWhenUsed/>
    <w:qFormat/>
    <w:uiPriority w:val="99"/>
    <w:rPr>
      <w:color w:val="605E5C"/>
      <w:shd w:val="clear" w:color="auto" w:fill="E1DFDD"/>
    </w:rPr>
  </w:style>
  <w:style w:type="character" w:customStyle="1" w:styleId="286">
    <w:name w:val="段落 Char Char"/>
    <w:link w:val="287"/>
    <w:qFormat/>
    <w:locked/>
    <w:uiPriority w:val="99"/>
    <w:rPr>
      <w:sz w:val="28"/>
    </w:rPr>
  </w:style>
  <w:style w:type="paragraph" w:customStyle="1" w:styleId="287">
    <w:name w:val="段落"/>
    <w:basedOn w:val="1"/>
    <w:link w:val="286"/>
    <w:qFormat/>
    <w:uiPriority w:val="99"/>
    <w:pPr>
      <w:adjustRightInd w:val="0"/>
      <w:spacing w:line="360" w:lineRule="auto"/>
      <w:ind w:firstLine="567"/>
      <w:textAlignment w:val="baseline"/>
    </w:pPr>
    <w:rPr>
      <w:kern w:val="0"/>
      <w:sz w:val="28"/>
      <w:szCs w:val="20"/>
    </w:rPr>
  </w:style>
  <w:style w:type="character" w:customStyle="1" w:styleId="288">
    <w:name w:val="明显强调3"/>
    <w:qFormat/>
    <w:uiPriority w:val="0"/>
    <w:rPr>
      <w:b/>
      <w:bCs/>
      <w:i/>
      <w:iCs/>
      <w:color w:val="4F81BD"/>
    </w:rPr>
  </w:style>
  <w:style w:type="character" w:customStyle="1" w:styleId="289">
    <w:name w:val="尾注文本 Char"/>
    <w:qFormat/>
    <w:uiPriority w:val="0"/>
  </w:style>
  <w:style w:type="character" w:customStyle="1" w:styleId="290">
    <w:name w:val="脚注文本 Char1"/>
    <w:semiHidden/>
    <w:qFormat/>
    <w:uiPriority w:val="99"/>
    <w:rPr>
      <w:rFonts w:ascii="Times New Roman" w:hAnsi="Times New Roman" w:eastAsia="宋体" w:cs="Times New Roman"/>
      <w:sz w:val="18"/>
      <w:szCs w:val="18"/>
    </w:rPr>
  </w:style>
  <w:style w:type="character" w:customStyle="1" w:styleId="291">
    <w:name w:val="标题 6 Char"/>
    <w:qFormat/>
    <w:uiPriority w:val="99"/>
    <w:rPr>
      <w:rFonts w:ascii="Arial" w:hAnsi="Arial" w:eastAsia="Tahoma" w:cs="Times New Roman"/>
      <w:b/>
      <w:bCs/>
      <w:kern w:val="0"/>
      <w:sz w:val="24"/>
      <w:szCs w:val="24"/>
    </w:rPr>
  </w:style>
  <w:style w:type="character" w:customStyle="1" w:styleId="292">
    <w:name w:val="批注框文本 字符"/>
    <w:link w:val="46"/>
    <w:qFormat/>
    <w:uiPriority w:val="0"/>
    <w:rPr>
      <w:kern w:val="2"/>
      <w:sz w:val="18"/>
      <w:szCs w:val="18"/>
    </w:rPr>
  </w:style>
  <w:style w:type="character" w:customStyle="1" w:styleId="293">
    <w:name w:val="标题 5 Char"/>
    <w:qFormat/>
    <w:uiPriority w:val="99"/>
    <w:rPr>
      <w:rFonts w:ascii="Arial" w:hAnsi="Arial" w:eastAsia="宋体" w:cs="Times New Roman"/>
      <w:b/>
      <w:kern w:val="0"/>
      <w:sz w:val="24"/>
      <w:szCs w:val="20"/>
    </w:rPr>
  </w:style>
  <w:style w:type="character" w:customStyle="1" w:styleId="294">
    <w:name w:val="批注框文本 Char1"/>
    <w:qFormat/>
    <w:uiPriority w:val="0"/>
    <w:rPr>
      <w:kern w:val="2"/>
      <w:sz w:val="18"/>
      <w:szCs w:val="18"/>
    </w:rPr>
  </w:style>
  <w:style w:type="character" w:customStyle="1" w:styleId="295">
    <w:name w:val="批注主题 Char"/>
    <w:qFormat/>
    <w:uiPriority w:val="99"/>
    <w:rPr>
      <w:rFonts w:ascii="Arial" w:hAnsi="Arial" w:cs="Arial"/>
      <w:b/>
      <w:bCs/>
      <w:sz w:val="24"/>
      <w:szCs w:val="24"/>
      <w:lang w:val="de-DE"/>
    </w:rPr>
  </w:style>
  <w:style w:type="character" w:customStyle="1" w:styleId="296">
    <w:name w:val="Subtitle Char1"/>
    <w:qFormat/>
    <w:uiPriority w:val="11"/>
    <w:rPr>
      <w:rFonts w:ascii="Cambria" w:hAnsi="Cambria" w:cs="Times New Roman"/>
      <w:b/>
      <w:bCs/>
      <w:kern w:val="28"/>
      <w:sz w:val="32"/>
      <w:szCs w:val="32"/>
    </w:rPr>
  </w:style>
  <w:style w:type="character" w:customStyle="1" w:styleId="297">
    <w:name w:val="正文首行缩进 2 Char"/>
    <w:qFormat/>
    <w:uiPriority w:val="0"/>
  </w:style>
  <w:style w:type="paragraph" w:customStyle="1" w:styleId="298">
    <w:name w:val="Char Char Char Char Char Char Char Char Char Char Char Char Char Char Char Char Char Char Char Char Char Char Char Char Char1"/>
    <w:basedOn w:val="1"/>
    <w:qFormat/>
    <w:uiPriority w:val="0"/>
    <w:rPr>
      <w:szCs w:val="21"/>
    </w:rPr>
  </w:style>
  <w:style w:type="paragraph" w:customStyle="1" w:styleId="299">
    <w:name w:val="表格侧编号"/>
    <w:next w:val="1"/>
    <w:qFormat/>
    <w:uiPriority w:val="99"/>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300">
    <w:name w:val="Char Char Char2 Char"/>
    <w:basedOn w:val="1"/>
    <w:qFormat/>
    <w:uiPriority w:val="99"/>
    <w:pPr>
      <w:adjustRightInd w:val="0"/>
      <w:spacing w:line="315" w:lineRule="atLeast"/>
      <w:jc w:val="left"/>
      <w:textAlignment w:val="baseline"/>
    </w:pPr>
    <w:rPr>
      <w:rFonts w:ascii="宋体"/>
      <w:kern w:val="0"/>
      <w:sz w:val="24"/>
      <w:szCs w:val="21"/>
    </w:rPr>
  </w:style>
  <w:style w:type="paragraph" w:customStyle="1" w:styleId="301">
    <w:name w:val="副题目 – 封页"/>
    <w:basedOn w:val="302"/>
    <w:next w:val="27"/>
    <w:qFormat/>
    <w:uiPriority w:val="99"/>
    <w:pPr>
      <w:pBdr>
        <w:top w:val="single" w:color="808080" w:sz="6" w:space="12"/>
      </w:pBdr>
      <w:spacing w:after="0" w:line="440" w:lineRule="atLeast"/>
    </w:pPr>
    <w:rPr>
      <w:caps w:val="0"/>
      <w:smallCaps/>
      <w:spacing w:val="30"/>
      <w:sz w:val="44"/>
    </w:rPr>
  </w:style>
  <w:style w:type="paragraph" w:customStyle="1" w:styleId="302">
    <w:name w:val="封页标题"/>
    <w:basedOn w:val="303"/>
    <w:next w:val="301"/>
    <w:qFormat/>
    <w:uiPriority w:val="99"/>
    <w:pPr>
      <w:spacing w:after="240" w:line="720" w:lineRule="atLeast"/>
      <w:jc w:val="center"/>
    </w:pPr>
    <w:rPr>
      <w:caps/>
      <w:spacing w:val="65"/>
      <w:sz w:val="64"/>
    </w:rPr>
  </w:style>
  <w:style w:type="paragraph" w:customStyle="1" w:styleId="303">
    <w:name w:val="基准标题"/>
    <w:basedOn w:val="27"/>
    <w:next w:val="27"/>
    <w:qFormat/>
    <w:uiPriority w:val="99"/>
    <w:pPr>
      <w:keepNext/>
      <w:keepLines/>
      <w:widowControl/>
      <w:adjustRightInd w:val="0"/>
      <w:spacing w:after="0" w:line="240" w:lineRule="atLeast"/>
      <w:jc w:val="left"/>
      <w:textAlignment w:val="baseline"/>
    </w:pPr>
    <w:rPr>
      <w:rFonts w:ascii="Garamond" w:hAnsi="Garamond"/>
      <w:kern w:val="20"/>
      <w:szCs w:val="20"/>
    </w:rPr>
  </w:style>
  <w:style w:type="paragraph" w:customStyle="1" w:styleId="304">
    <w:name w:val="参考文献、索引标题"/>
    <w:basedOn w:val="1"/>
    <w:next w:val="1"/>
    <w:qFormat/>
    <w:uiPriority w:val="99"/>
    <w:pPr>
      <w:widowControl/>
      <w:shd w:val="clear" w:color="FFFFFF" w:fill="FFFFFF"/>
      <w:tabs>
        <w:tab w:val="left" w:pos="1395"/>
      </w:tabs>
      <w:spacing w:before="640" w:after="200"/>
      <w:ind w:left="1395" w:hanging="555"/>
      <w:jc w:val="center"/>
      <w:outlineLvl w:val="0"/>
    </w:pPr>
    <w:rPr>
      <w:rFonts w:ascii="黑体" w:eastAsia="黑体"/>
      <w:kern w:val="0"/>
      <w:szCs w:val="20"/>
    </w:rPr>
  </w:style>
  <w:style w:type="paragraph" w:customStyle="1" w:styleId="305">
    <w:name w:val="Char Char1"/>
    <w:basedOn w:val="1"/>
    <w:qFormat/>
    <w:uiPriority w:val="0"/>
    <w:pPr>
      <w:spacing w:beforeLines="50" w:afterLines="50"/>
    </w:pPr>
    <w:rPr>
      <w:rFonts w:ascii="Tahoma" w:hAnsi="Tahoma"/>
      <w:sz w:val="24"/>
      <w:szCs w:val="20"/>
    </w:rPr>
  </w:style>
  <w:style w:type="paragraph" w:customStyle="1" w:styleId="306">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kern w:val="0"/>
      <w:sz w:val="22"/>
      <w:szCs w:val="20"/>
    </w:rPr>
  </w:style>
  <w:style w:type="paragraph" w:customStyle="1" w:styleId="30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0"/>
    </w:rPr>
  </w:style>
  <w:style w:type="paragraph" w:customStyle="1" w:styleId="308">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309">
    <w:name w:val="liminaire"/>
    <w:basedOn w:val="1"/>
    <w:qFormat/>
    <w:uiPriority w:val="0"/>
    <w:pPr>
      <w:widowControl/>
      <w:spacing w:before="120" w:after="120"/>
    </w:pPr>
    <w:rPr>
      <w:kern w:val="0"/>
      <w:sz w:val="24"/>
      <w:szCs w:val="20"/>
      <w:lang w:val="en-GB"/>
    </w:rPr>
  </w:style>
  <w:style w:type="paragraph" w:customStyle="1" w:styleId="310">
    <w:name w:val="横表格"/>
    <w:basedOn w:val="311"/>
    <w:qFormat/>
    <w:uiPriority w:val="0"/>
    <w:pPr>
      <w:spacing w:beforeLines="0" w:line="240" w:lineRule="auto"/>
    </w:pPr>
    <w:rPr>
      <w:b w:val="0"/>
    </w:rPr>
  </w:style>
  <w:style w:type="paragraph" w:customStyle="1" w:styleId="311">
    <w:name w:val="横表名"/>
    <w:basedOn w:val="1"/>
    <w:qFormat/>
    <w:uiPriority w:val="0"/>
    <w:pPr>
      <w:spacing w:beforeLines="50" w:line="360" w:lineRule="auto"/>
      <w:jc w:val="center"/>
    </w:pPr>
    <w:rPr>
      <w:rFonts w:ascii="宋体"/>
      <w:b/>
      <w:szCs w:val="20"/>
    </w:rPr>
  </w:style>
  <w:style w:type="paragraph" w:customStyle="1" w:styleId="312">
    <w:name w:val="文本框"/>
    <w:basedOn w:val="1"/>
    <w:qFormat/>
    <w:uiPriority w:val="0"/>
    <w:pPr>
      <w:snapToGrid w:val="0"/>
      <w:jc w:val="center"/>
    </w:pPr>
    <w:rPr>
      <w:rFonts w:ascii="仿宋_GB2312" w:eastAsia="仿宋_GB2312"/>
      <w:sz w:val="24"/>
      <w:szCs w:val="20"/>
    </w:rPr>
  </w:style>
  <w:style w:type="paragraph" w:customStyle="1" w:styleId="313">
    <w:name w:val="内文标题"/>
    <w:qFormat/>
    <w:uiPriority w:val="0"/>
    <w:pPr>
      <w:jc w:val="center"/>
    </w:pPr>
    <w:rPr>
      <w:rFonts w:ascii="仿宋_GB2312" w:hAnsi="仿宋_GB2312" w:eastAsia="仿宋_GB2312" w:cs="Times New Roman"/>
      <w:b/>
      <w:bCs/>
      <w:snapToGrid w:val="0"/>
      <w:spacing w:val="30"/>
      <w:sz w:val="36"/>
      <w:szCs w:val="36"/>
      <w:lang w:val="en-US" w:eastAsia="zh-CN" w:bidi="ar-SA"/>
    </w:rPr>
  </w:style>
  <w:style w:type="paragraph" w:customStyle="1" w:styleId="314">
    <w:name w:val="格式2"/>
    <w:basedOn w:val="5"/>
    <w:qFormat/>
    <w:uiPriority w:val="0"/>
    <w:pPr>
      <w:autoSpaceDE w:val="0"/>
      <w:autoSpaceDN w:val="0"/>
      <w:adjustRightInd w:val="0"/>
      <w:spacing w:line="416" w:lineRule="atLeast"/>
      <w:ind w:left="420" w:hanging="420"/>
      <w:textAlignment w:val="baseline"/>
    </w:pPr>
    <w:rPr>
      <w:rFonts w:ascii="黑体" w:hAnsi="Times New Roman"/>
      <w:b w:val="0"/>
      <w:bCs w:val="0"/>
      <w:color w:val="000000"/>
      <w:kern w:val="0"/>
      <w:sz w:val="30"/>
      <w:szCs w:val="20"/>
      <w:lang w:val="zh-CN"/>
    </w:rPr>
  </w:style>
  <w:style w:type="paragraph" w:customStyle="1" w:styleId="315">
    <w:name w:val="_Style 3"/>
    <w:basedOn w:val="1"/>
    <w:qFormat/>
    <w:uiPriority w:val="99"/>
    <w:pPr>
      <w:widowControl/>
      <w:ind w:firstLine="420" w:firstLineChars="200"/>
      <w:jc w:val="left"/>
    </w:pPr>
    <w:rPr>
      <w:kern w:val="0"/>
      <w:sz w:val="20"/>
      <w:szCs w:val="20"/>
    </w:rPr>
  </w:style>
  <w:style w:type="paragraph" w:customStyle="1" w:styleId="316">
    <w:name w:val="正文文本缩进 21"/>
    <w:basedOn w:val="1"/>
    <w:qFormat/>
    <w:uiPriority w:val="99"/>
    <w:pPr>
      <w:adjustRightInd w:val="0"/>
      <w:spacing w:line="360" w:lineRule="auto"/>
      <w:ind w:right="1001" w:firstLine="525"/>
      <w:jc w:val="left"/>
      <w:textAlignment w:val="baseline"/>
    </w:pPr>
    <w:rPr>
      <w:sz w:val="24"/>
      <w:szCs w:val="20"/>
    </w:rPr>
  </w:style>
  <w:style w:type="paragraph" w:customStyle="1" w:styleId="317">
    <w:name w:val="1"/>
    <w:basedOn w:val="1"/>
    <w:next w:val="1"/>
    <w:qFormat/>
    <w:uiPriority w:val="99"/>
  </w:style>
  <w:style w:type="paragraph" w:customStyle="1" w:styleId="31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2"/>
      <w:szCs w:val="20"/>
    </w:rPr>
  </w:style>
  <w:style w:type="paragraph" w:customStyle="1" w:styleId="319">
    <w:name w:val="Char12"/>
    <w:basedOn w:val="1"/>
    <w:qFormat/>
    <w:uiPriority w:val="0"/>
    <w:rPr>
      <w:rFonts w:ascii="仿宋_GB2312" w:eastAsia="仿宋_GB2312"/>
      <w:b/>
      <w:sz w:val="32"/>
      <w:szCs w:val="32"/>
    </w:rPr>
  </w:style>
  <w:style w:type="paragraph" w:customStyle="1" w:styleId="320">
    <w:name w:val="sub item"/>
    <w:basedOn w:val="1"/>
    <w:qFormat/>
    <w:uiPriority w:val="0"/>
    <w:pPr>
      <w:widowControl/>
      <w:tabs>
        <w:tab w:val="left" w:pos="2552"/>
        <w:tab w:val="left" w:pos="2977"/>
        <w:tab w:val="left" w:pos="4820"/>
        <w:tab w:val="right" w:pos="5812"/>
        <w:tab w:val="left" w:pos="5954"/>
      </w:tabs>
      <w:ind w:left="2977" w:hanging="2977"/>
    </w:pPr>
    <w:rPr>
      <w:rFonts w:ascii="Arial" w:hAnsi="Arial"/>
      <w:kern w:val="0"/>
      <w:sz w:val="22"/>
      <w:szCs w:val="20"/>
    </w:rPr>
  </w:style>
  <w:style w:type="paragraph" w:customStyle="1" w:styleId="321">
    <w:name w:val="Char Char Char Char11"/>
    <w:basedOn w:val="1"/>
    <w:qFormat/>
    <w:uiPriority w:val="99"/>
    <w:pPr>
      <w:widowControl/>
      <w:numPr>
        <w:ilvl w:val="0"/>
        <w:numId w:val="1"/>
      </w:numPr>
      <w:spacing w:after="160" w:line="240" w:lineRule="exact"/>
      <w:jc w:val="left"/>
    </w:pPr>
    <w:rPr>
      <w:rFonts w:ascii="Verdana" w:hAnsi="Verdana" w:cs="Verdana"/>
      <w:kern w:val="0"/>
      <w:szCs w:val="21"/>
      <w:lang w:eastAsia="en-US"/>
    </w:rPr>
  </w:style>
  <w:style w:type="paragraph" w:customStyle="1" w:styleId="322">
    <w:name w:val="普正文2"/>
    <w:basedOn w:val="1"/>
    <w:qFormat/>
    <w:uiPriority w:val="99"/>
    <w:pPr>
      <w:widowControl/>
      <w:adjustRightInd w:val="0"/>
      <w:spacing w:line="318" w:lineRule="atLeast"/>
      <w:ind w:left="964" w:hanging="907"/>
      <w:jc w:val="left"/>
      <w:textAlignment w:val="baseline"/>
    </w:pPr>
    <w:rPr>
      <w:rFonts w:ascii="宋体"/>
      <w:kern w:val="0"/>
      <w:sz w:val="28"/>
      <w:szCs w:val="20"/>
    </w:rPr>
  </w:style>
  <w:style w:type="paragraph" w:customStyle="1" w:styleId="323">
    <w:name w:val="缺省文本"/>
    <w:basedOn w:val="1"/>
    <w:qFormat/>
    <w:uiPriority w:val="0"/>
    <w:pPr>
      <w:autoSpaceDE w:val="0"/>
      <w:autoSpaceDN w:val="0"/>
      <w:jc w:val="left"/>
    </w:pPr>
    <w:rPr>
      <w:rFonts w:ascii="??" w:eastAsia="??"/>
      <w:kern w:val="0"/>
      <w:sz w:val="24"/>
      <w:szCs w:val="20"/>
    </w:rPr>
  </w:style>
  <w:style w:type="paragraph" w:customStyle="1" w:styleId="324">
    <w:name w:val="样式 样式 第四行 + 左侧:  -4 字符 段前: 2 行 + 左侧:  -3 字符 段前: 2 行"/>
    <w:basedOn w:val="325"/>
    <w:qFormat/>
    <w:uiPriority w:val="0"/>
    <w:pPr>
      <w:ind w:left="-200" w:leftChars="-200"/>
    </w:pPr>
  </w:style>
  <w:style w:type="paragraph" w:customStyle="1" w:styleId="325">
    <w:name w:val="样式 第四行 + 左侧:  -4 字符 段前: 2 行"/>
    <w:basedOn w:val="326"/>
    <w:qFormat/>
    <w:uiPriority w:val="0"/>
    <w:pPr>
      <w:ind w:left="-300" w:leftChars="-300"/>
    </w:pPr>
  </w:style>
  <w:style w:type="paragraph" w:customStyle="1" w:styleId="326">
    <w:name w:val="第四行"/>
    <w:basedOn w:val="1"/>
    <w:qFormat/>
    <w:uiPriority w:val="0"/>
    <w:pPr>
      <w:spacing w:beforeLines="200" w:line="360" w:lineRule="auto"/>
      <w:ind w:left="-400" w:leftChars="-400"/>
      <w:jc w:val="center"/>
    </w:pPr>
    <w:rPr>
      <w:rFonts w:ascii="宋体"/>
      <w:b/>
      <w:sz w:val="28"/>
      <w:szCs w:val="20"/>
    </w:rPr>
  </w:style>
  <w:style w:type="paragraph" w:customStyle="1" w:styleId="327">
    <w:name w:val="CM77"/>
    <w:basedOn w:val="1"/>
    <w:next w:val="1"/>
    <w:qFormat/>
    <w:uiPriority w:val="99"/>
    <w:pPr>
      <w:autoSpaceDE w:val="0"/>
      <w:autoSpaceDN w:val="0"/>
      <w:adjustRightInd w:val="0"/>
      <w:jc w:val="left"/>
    </w:pPr>
    <w:rPr>
      <w:rFonts w:ascii="黑体" w:eastAsia="黑体" w:cs="黑体"/>
      <w:kern w:val="0"/>
      <w:sz w:val="24"/>
    </w:rPr>
  </w:style>
  <w:style w:type="paragraph" w:customStyle="1" w:styleId="328">
    <w:name w:val="样式 样式 标题 2 + 段前: 0.5 行 段后: 0.5 行 + 两端对齐 段前: 0.5 行 段后: 0.5 行"/>
    <w:basedOn w:val="5"/>
    <w:next w:val="5"/>
    <w:qFormat/>
    <w:uiPriority w:val="0"/>
    <w:pPr>
      <w:adjustRightInd w:val="0"/>
      <w:spacing w:beforeLines="50" w:after="163"/>
      <w:ind w:left="420" w:hanging="420"/>
      <w:jc w:val="center"/>
    </w:pPr>
    <w:rPr>
      <w:rFonts w:eastAsia="宋体"/>
      <w:b w:val="0"/>
      <w:bCs w:val="0"/>
      <w:color w:val="000000"/>
      <w:szCs w:val="20"/>
      <w:lang w:val="zh-CN"/>
    </w:rPr>
  </w:style>
  <w:style w:type="paragraph" w:customStyle="1" w:styleId="329">
    <w:name w:val="第三行"/>
    <w:basedOn w:val="1"/>
    <w:qFormat/>
    <w:uiPriority w:val="0"/>
    <w:pPr>
      <w:spacing w:beforeLines="200" w:line="360" w:lineRule="auto"/>
      <w:jc w:val="center"/>
    </w:pPr>
    <w:rPr>
      <w:rFonts w:ascii="楷体_GB2312" w:eastAsia="楷体_GB2312"/>
      <w:b/>
      <w:sz w:val="48"/>
      <w:szCs w:val="20"/>
    </w:rPr>
  </w:style>
  <w:style w:type="paragraph" w:customStyle="1" w:styleId="330">
    <w:name w:val="样式 样式 样式 第六行 + 左侧:  -2 字符 段前: 2 行 + 左侧:  -10 字符 段前: 2 行 + 左侧:  -..."/>
    <w:basedOn w:val="331"/>
    <w:qFormat/>
    <w:uiPriority w:val="0"/>
    <w:pPr>
      <w:ind w:left="-1200" w:leftChars="-1200"/>
    </w:pPr>
  </w:style>
  <w:style w:type="paragraph" w:customStyle="1" w:styleId="331">
    <w:name w:val="样式 样式 第六行 + 左侧:  -2 字符 段前: 2 行 + 左侧:  -10 字符 段前: 2 行"/>
    <w:basedOn w:val="332"/>
    <w:qFormat/>
    <w:uiPriority w:val="0"/>
    <w:pPr>
      <w:ind w:left="-1100" w:leftChars="-1100"/>
    </w:pPr>
  </w:style>
  <w:style w:type="paragraph" w:customStyle="1" w:styleId="332">
    <w:name w:val="样式 第六行 + 左侧:  -2 字符 段前: 2 行"/>
    <w:basedOn w:val="333"/>
    <w:qFormat/>
    <w:uiPriority w:val="0"/>
    <w:pPr>
      <w:ind w:left="-1000" w:leftChars="-1000"/>
    </w:pPr>
  </w:style>
  <w:style w:type="paragraph" w:customStyle="1" w:styleId="333">
    <w:name w:val="第六行"/>
    <w:basedOn w:val="334"/>
    <w:qFormat/>
    <w:uiPriority w:val="0"/>
    <w:pPr>
      <w:ind w:left="-200" w:leftChars="-200"/>
    </w:pPr>
  </w:style>
  <w:style w:type="paragraph" w:customStyle="1" w:styleId="334">
    <w:name w:val="样式 样式 样式 第五行 + 左侧:  -8 字符 段前: 2 行 + 左侧:  -6 字符 段前: 2 行 + 左侧:  -4..."/>
    <w:basedOn w:val="335"/>
    <w:qFormat/>
    <w:uiPriority w:val="0"/>
  </w:style>
  <w:style w:type="paragraph" w:customStyle="1" w:styleId="335">
    <w:name w:val="样式 样式 第五行 + 左侧:  -8 字符 段前: 2 行 + 左侧:  -6 字符 段前: 2 行"/>
    <w:basedOn w:val="336"/>
    <w:qFormat/>
    <w:uiPriority w:val="0"/>
    <w:pPr>
      <w:ind w:left="-400" w:leftChars="-400"/>
    </w:pPr>
  </w:style>
  <w:style w:type="paragraph" w:customStyle="1" w:styleId="336">
    <w:name w:val="样式 第五行 + 左侧:  -8 字符 段前: 2 行"/>
    <w:basedOn w:val="337"/>
    <w:qFormat/>
    <w:uiPriority w:val="0"/>
    <w:pPr>
      <w:ind w:left="-600" w:leftChars="-600"/>
    </w:pPr>
  </w:style>
  <w:style w:type="paragraph" w:customStyle="1" w:styleId="337">
    <w:name w:val="第五行"/>
    <w:basedOn w:val="326"/>
    <w:qFormat/>
    <w:uiPriority w:val="0"/>
    <w:pPr>
      <w:ind w:left="-800" w:leftChars="-800"/>
    </w:pPr>
  </w:style>
  <w:style w:type="paragraph" w:customStyle="1" w:styleId="338">
    <w:name w:val="xl4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2"/>
      <w:szCs w:val="20"/>
    </w:rPr>
  </w:style>
  <w:style w:type="paragraph" w:customStyle="1" w:styleId="339">
    <w:name w:val="CM1"/>
    <w:basedOn w:val="86"/>
    <w:next w:val="86"/>
    <w:qFormat/>
    <w:uiPriority w:val="99"/>
    <w:rPr>
      <w:rFonts w:ascii="黑体" w:eastAsia="黑体" w:cs="黑体"/>
      <w:color w:val="auto"/>
      <w:szCs w:val="24"/>
    </w:rPr>
  </w:style>
  <w:style w:type="paragraph" w:customStyle="1" w:styleId="340">
    <w:name w:val="菲页1"/>
    <w:basedOn w:val="5"/>
    <w:qFormat/>
    <w:uiPriority w:val="0"/>
    <w:pPr>
      <w:widowControl/>
      <w:spacing w:before="0" w:after="0" w:line="360" w:lineRule="auto"/>
      <w:jc w:val="center"/>
    </w:pPr>
    <w:rPr>
      <w:rFonts w:ascii="黑体" w:hAnsi="宋体" w:eastAsia="宋体"/>
      <w:b w:val="0"/>
      <w:color w:val="000000"/>
      <w:kern w:val="0"/>
      <w:sz w:val="52"/>
      <w:szCs w:val="44"/>
      <w:lang w:val="zh-CN"/>
    </w:rPr>
  </w:style>
  <w:style w:type="paragraph" w:customStyle="1" w:styleId="341">
    <w:name w:val="部分标签"/>
    <w:basedOn w:val="342"/>
    <w:qFormat/>
    <w:uiPriority w:val="99"/>
  </w:style>
  <w:style w:type="paragraph" w:customStyle="1" w:styleId="342">
    <w:name w:val="节标签"/>
    <w:basedOn w:val="303"/>
    <w:next w:val="27"/>
    <w:qFormat/>
    <w:uiPriority w:val="99"/>
    <w:pPr>
      <w:pBdr>
        <w:bottom w:val="single" w:color="808080" w:sz="6" w:space="24"/>
      </w:pBdr>
      <w:spacing w:after="720"/>
      <w:jc w:val="center"/>
    </w:pPr>
    <w:rPr>
      <w:caps/>
      <w:spacing w:val="80"/>
      <w:sz w:val="48"/>
    </w:rPr>
  </w:style>
  <w:style w:type="paragraph" w:customStyle="1" w:styleId="343">
    <w:name w:val="char"/>
    <w:basedOn w:val="1"/>
    <w:qFormat/>
    <w:uiPriority w:val="0"/>
    <w:pPr>
      <w:widowControl/>
      <w:spacing w:after="160" w:line="240" w:lineRule="exact"/>
      <w:jc w:val="left"/>
    </w:pPr>
    <w:rPr>
      <w:szCs w:val="20"/>
    </w:rPr>
  </w:style>
  <w:style w:type="paragraph" w:customStyle="1" w:styleId="344">
    <w:name w:val="表头"/>
    <w:basedOn w:val="1"/>
    <w:qFormat/>
    <w:uiPriority w:val="0"/>
    <w:pPr>
      <w:spacing w:line="320" w:lineRule="exact"/>
      <w:jc w:val="center"/>
    </w:pPr>
    <w:rPr>
      <w:b/>
      <w:kern w:val="24"/>
      <w:sz w:val="24"/>
      <w:szCs w:val="20"/>
    </w:rPr>
  </w:style>
  <w:style w:type="paragraph" w:customStyle="1" w:styleId="345">
    <w:name w:val="Char Char Char Char Char Char1 Char"/>
    <w:basedOn w:val="1"/>
    <w:qFormat/>
    <w:uiPriority w:val="99"/>
  </w:style>
  <w:style w:type="paragraph" w:customStyle="1" w:styleId="346">
    <w:name w:val="基准索引样式"/>
    <w:basedOn w:val="1"/>
    <w:qFormat/>
    <w:uiPriority w:val="99"/>
    <w:pPr>
      <w:widowControl/>
      <w:adjustRightInd w:val="0"/>
      <w:spacing w:line="240" w:lineRule="atLeast"/>
      <w:ind w:left="360" w:hanging="360"/>
      <w:jc w:val="left"/>
      <w:textAlignment w:val="baseline"/>
    </w:pPr>
    <w:rPr>
      <w:rFonts w:ascii="Garamond" w:hAnsi="Garamond"/>
      <w:kern w:val="0"/>
      <w:sz w:val="22"/>
      <w:szCs w:val="20"/>
    </w:rPr>
  </w:style>
  <w:style w:type="paragraph" w:customStyle="1" w:styleId="347">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kern w:val="0"/>
      <w:sz w:val="22"/>
      <w:szCs w:val="20"/>
    </w:rPr>
  </w:style>
  <w:style w:type="paragraph" w:customStyle="1" w:styleId="348">
    <w:name w:val="样式 标题 2 + 仿宋_GB2312"/>
    <w:basedOn w:val="5"/>
    <w:qFormat/>
    <w:uiPriority w:val="0"/>
    <w:pPr>
      <w:tabs>
        <w:tab w:val="left" w:pos="1320"/>
      </w:tabs>
      <w:spacing w:before="240" w:after="240" w:line="300" w:lineRule="auto"/>
      <w:ind w:left="1320" w:hanging="420"/>
      <w:jc w:val="center"/>
    </w:pPr>
    <w:rPr>
      <w:rFonts w:ascii="仿宋_GB2312" w:hAnsi="仿宋_GB2312" w:eastAsia="仿宋_GB2312"/>
      <w:b w:val="0"/>
      <w:bCs w:val="0"/>
      <w:color w:val="000000"/>
      <w:szCs w:val="20"/>
      <w:lang w:val="zh-CN"/>
    </w:rPr>
  </w:style>
  <w:style w:type="paragraph" w:customStyle="1" w:styleId="349">
    <w:name w:val="编号（1）"/>
    <w:basedOn w:val="1"/>
    <w:qFormat/>
    <w:uiPriority w:val="0"/>
    <w:pPr>
      <w:tabs>
        <w:tab w:val="left" w:pos="420"/>
      </w:tabs>
      <w:spacing w:line="360" w:lineRule="auto"/>
      <w:ind w:left="450" w:leftChars="200" w:hanging="200" w:hangingChars="200"/>
    </w:pPr>
    <w:rPr>
      <w:rFonts w:ascii="宋体"/>
      <w:szCs w:val="20"/>
    </w:rPr>
  </w:style>
  <w:style w:type="paragraph" w:customStyle="1" w:styleId="350">
    <w:name w:val="三级无标题条"/>
    <w:basedOn w:val="1"/>
    <w:qFormat/>
    <w:uiPriority w:val="99"/>
  </w:style>
  <w:style w:type="paragraph" w:customStyle="1" w:styleId="351">
    <w:name w:val="xl53"/>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352">
    <w:name w:val="首页页眉样式"/>
    <w:basedOn w:val="48"/>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353">
    <w:name w:val="Char Char Char Char1"/>
    <w:basedOn w:val="1"/>
    <w:next w:val="1"/>
    <w:qFormat/>
    <w:uiPriority w:val="99"/>
    <w:rPr>
      <w:szCs w:val="20"/>
    </w:rPr>
  </w:style>
  <w:style w:type="paragraph" w:customStyle="1" w:styleId="354">
    <w:name w:val="普正文1"/>
    <w:basedOn w:val="1"/>
    <w:next w:val="1"/>
    <w:qFormat/>
    <w:uiPriority w:val="99"/>
    <w:pPr>
      <w:adjustRightInd w:val="0"/>
      <w:snapToGrid w:val="0"/>
      <w:spacing w:before="60" w:after="60" w:line="318" w:lineRule="atLeast"/>
      <w:ind w:left="1155" w:firstLine="3"/>
      <w:textAlignment w:val="baseline"/>
    </w:pPr>
    <w:rPr>
      <w:rFonts w:hAnsi="Arial"/>
      <w:kern w:val="0"/>
      <w:sz w:val="24"/>
      <w:szCs w:val="20"/>
    </w:rPr>
  </w:style>
  <w:style w:type="paragraph" w:customStyle="1" w:styleId="355">
    <w:name w:val="章节题目"/>
    <w:basedOn w:val="70"/>
    <w:qFormat/>
    <w:uiPriority w:val="99"/>
    <w:pPr>
      <w:keepNext/>
      <w:keepLines/>
      <w:widowControl/>
      <w:spacing w:before="140" w:after="0" w:line="240" w:lineRule="auto"/>
      <w:outlineLvl w:val="9"/>
    </w:pPr>
    <w:rPr>
      <w:rFonts w:ascii="Garamond" w:hAnsi="Garamond"/>
      <w:b w:val="0"/>
      <w:caps/>
      <w:spacing w:val="60"/>
      <w:kern w:val="20"/>
      <w:sz w:val="44"/>
    </w:rPr>
  </w:style>
  <w:style w:type="paragraph" w:customStyle="1" w:styleId="356">
    <w:name w:val="正文11"/>
    <w:basedOn w:val="1"/>
    <w:qFormat/>
    <w:uiPriority w:val="0"/>
    <w:pPr>
      <w:spacing w:line="360" w:lineRule="auto"/>
      <w:ind w:firstLine="200" w:firstLineChars="200"/>
    </w:pPr>
    <w:rPr>
      <w:rFonts w:ascii="宋体"/>
      <w:szCs w:val="20"/>
    </w:rPr>
  </w:style>
  <w:style w:type="paragraph" w:customStyle="1" w:styleId="357">
    <w:name w:val="样式 正文缩进 + 宋体 小四 行距: 1.5 倍行距"/>
    <w:basedOn w:val="7"/>
    <w:qFormat/>
    <w:uiPriority w:val="0"/>
    <w:pPr>
      <w:spacing w:line="360" w:lineRule="auto"/>
      <w:ind w:firstLine="480"/>
    </w:pPr>
    <w:rPr>
      <w:rFonts w:ascii="宋体" w:hAnsi="宋体"/>
      <w:sz w:val="24"/>
      <w:szCs w:val="20"/>
    </w:rPr>
  </w:style>
  <w:style w:type="paragraph" w:customStyle="1" w:styleId="358">
    <w:name w:val="List Paragraph1"/>
    <w:basedOn w:val="1"/>
    <w:qFormat/>
    <w:uiPriority w:val="0"/>
    <w:pPr>
      <w:ind w:firstLine="420" w:firstLineChars="200"/>
    </w:pPr>
    <w:rPr>
      <w:rFonts w:ascii="Calibri" w:hAnsi="Calibri"/>
      <w:szCs w:val="22"/>
    </w:rPr>
  </w:style>
  <w:style w:type="paragraph" w:customStyle="1" w:styleId="359">
    <w:name w:val="表格内容"/>
    <w:basedOn w:val="1"/>
    <w:qFormat/>
    <w:uiPriority w:val="0"/>
    <w:pPr>
      <w:widowControl/>
      <w:autoSpaceDE w:val="0"/>
      <w:autoSpaceDN w:val="0"/>
      <w:adjustRightInd w:val="0"/>
      <w:snapToGrid w:val="0"/>
      <w:jc w:val="center"/>
    </w:pPr>
    <w:rPr>
      <w:kern w:val="0"/>
      <w:sz w:val="24"/>
      <w:lang w:eastAsia="en-US" w:bidi="en-US"/>
    </w:rPr>
  </w:style>
  <w:style w:type="paragraph" w:customStyle="1" w:styleId="360">
    <w:name w:val="xl5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kern w:val="0"/>
      <w:sz w:val="22"/>
      <w:szCs w:val="20"/>
    </w:rPr>
  </w:style>
  <w:style w:type="paragraph" w:customStyle="1" w:styleId="361">
    <w:name w:val="TOC 标题1"/>
    <w:basedOn w:val="4"/>
    <w:next w:val="1"/>
    <w:qFormat/>
    <w:uiPriority w:val="39"/>
    <w:pPr>
      <w:spacing w:line="578" w:lineRule="auto"/>
      <w:outlineLvl w:val="9"/>
    </w:pPr>
  </w:style>
  <w:style w:type="paragraph" w:customStyle="1" w:styleId="362">
    <w:name w:val="Char Char Char Char Char Char Char Char Char3"/>
    <w:basedOn w:val="1"/>
    <w:qFormat/>
    <w:uiPriority w:val="0"/>
    <w:pPr>
      <w:spacing w:line="360" w:lineRule="auto"/>
      <w:ind w:firstLine="200" w:firstLineChars="200"/>
    </w:pPr>
    <w:rPr>
      <w:rFonts w:ascii="宋体" w:hAnsi="宋体" w:cs="宋体"/>
      <w:sz w:val="24"/>
    </w:rPr>
  </w:style>
  <w:style w:type="paragraph" w:customStyle="1" w:styleId="36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364">
    <w:name w:val="样式 标题 2标题 1.1 + 黑体 加粗"/>
    <w:basedOn w:val="5"/>
    <w:qFormat/>
    <w:uiPriority w:val="0"/>
    <w:pPr>
      <w:tabs>
        <w:tab w:val="left" w:pos="454"/>
      </w:tabs>
      <w:adjustRightInd w:val="0"/>
      <w:snapToGrid w:val="0"/>
      <w:spacing w:beforeLines="50" w:after="50" w:line="240" w:lineRule="auto"/>
      <w:ind w:left="420" w:hanging="420"/>
      <w:jc w:val="center"/>
    </w:pPr>
    <w:rPr>
      <w:rFonts w:ascii="黑体" w:hAnsi="黑体"/>
      <w:bCs w:val="0"/>
      <w:color w:val="000000"/>
      <w:szCs w:val="20"/>
      <w:lang w:val="zh-CN"/>
    </w:rPr>
  </w:style>
  <w:style w:type="paragraph" w:customStyle="1" w:styleId="365">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366">
    <w:name w:val="Char Char Char Char Char Char Char"/>
    <w:basedOn w:val="1"/>
    <w:qFormat/>
    <w:uiPriority w:val="99"/>
    <w:rPr>
      <w:rFonts w:ascii="仿宋_GB2312" w:eastAsia="黑体"/>
      <w:b/>
      <w:sz w:val="32"/>
      <w:szCs w:val="20"/>
    </w:rPr>
  </w:style>
  <w:style w:type="paragraph" w:customStyle="1" w:styleId="367">
    <w:name w:val="样式 样式 样式 第四行 + 左侧:  -4 字符 段前: 2 行 + 左侧:  -3 字符 段前: 2 行 + 左侧:  -2..."/>
    <w:basedOn w:val="324"/>
    <w:qFormat/>
    <w:uiPriority w:val="0"/>
    <w:pPr>
      <w:ind w:left="0" w:leftChars="0"/>
    </w:pPr>
  </w:style>
  <w:style w:type="paragraph" w:customStyle="1" w:styleId="368">
    <w:name w:val="Char Char Char Char Char Char Char Char Char Char Char Char Char Char Char Char Char Char Char Char Char Char Char Char Char Char"/>
    <w:basedOn w:val="1"/>
    <w:qFormat/>
    <w:uiPriority w:val="0"/>
    <w:rPr>
      <w:sz w:val="28"/>
      <w:szCs w:val="20"/>
    </w:rPr>
  </w:style>
  <w:style w:type="paragraph" w:styleId="369">
    <w:name w:val="List Paragraph"/>
    <w:basedOn w:val="1"/>
    <w:qFormat/>
    <w:uiPriority w:val="34"/>
    <w:pPr>
      <w:widowControl/>
      <w:ind w:firstLine="420" w:firstLineChars="200"/>
      <w:jc w:val="left"/>
    </w:pPr>
    <w:rPr>
      <w:kern w:val="0"/>
      <w:sz w:val="20"/>
      <w:szCs w:val="20"/>
    </w:rPr>
  </w:style>
  <w:style w:type="paragraph" w:customStyle="1" w:styleId="370">
    <w:name w:val="图片"/>
    <w:basedOn w:val="1"/>
    <w:next w:val="21"/>
    <w:qFormat/>
    <w:uiPriority w:val="99"/>
    <w:pPr>
      <w:keepNext/>
      <w:widowControl/>
      <w:adjustRightInd w:val="0"/>
      <w:spacing w:line="315" w:lineRule="atLeast"/>
      <w:jc w:val="left"/>
      <w:textAlignment w:val="baseline"/>
    </w:pPr>
    <w:rPr>
      <w:rFonts w:ascii="Garamond" w:hAnsi="Garamond"/>
      <w:kern w:val="0"/>
      <w:sz w:val="22"/>
      <w:szCs w:val="20"/>
    </w:rPr>
  </w:style>
  <w:style w:type="paragraph" w:customStyle="1" w:styleId="371">
    <w:name w:val="字元"/>
    <w:basedOn w:val="1"/>
    <w:qFormat/>
    <w:uiPriority w:val="0"/>
    <w:pPr>
      <w:tabs>
        <w:tab w:val="left" w:pos="1050"/>
      </w:tabs>
      <w:ind w:left="1050" w:hanging="480"/>
    </w:pPr>
  </w:style>
  <w:style w:type="paragraph" w:customStyle="1" w:styleId="372">
    <w:name w:val="正文文本缩进 22"/>
    <w:basedOn w:val="1"/>
    <w:qFormat/>
    <w:uiPriority w:val="0"/>
    <w:pPr>
      <w:adjustRightInd w:val="0"/>
      <w:spacing w:line="360" w:lineRule="auto"/>
      <w:ind w:right="1001" w:firstLine="525"/>
      <w:jc w:val="left"/>
      <w:textAlignment w:val="baseline"/>
    </w:pPr>
    <w:rPr>
      <w:sz w:val="24"/>
      <w:szCs w:val="20"/>
    </w:rPr>
  </w:style>
  <w:style w:type="paragraph" w:customStyle="1" w:styleId="37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374">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375">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FFCC00"/>
      <w:kern w:val="0"/>
      <w:sz w:val="20"/>
      <w:szCs w:val="20"/>
    </w:rPr>
  </w:style>
  <w:style w:type="paragraph" w:customStyle="1" w:styleId="376">
    <w:name w:val="样式3"/>
    <w:basedOn w:val="6"/>
    <w:qFormat/>
    <w:uiPriority w:val="99"/>
    <w:rPr>
      <w:rFonts w:eastAsia="Arial"/>
    </w:rPr>
  </w:style>
  <w:style w:type="paragraph" w:customStyle="1" w:styleId="377">
    <w:name w:val="样式 普通文字 + Times New Roman 加粗 首行缩进:  0.73 厘米 行距: 多倍行距 1.15 字行"/>
    <w:basedOn w:val="37"/>
    <w:qFormat/>
    <w:uiPriority w:val="0"/>
    <w:pPr>
      <w:adjustRightInd w:val="0"/>
      <w:snapToGrid w:val="0"/>
      <w:spacing w:line="460" w:lineRule="exact"/>
    </w:pPr>
    <w:rPr>
      <w:rFonts w:ascii="Times New Roman" w:hAnsi="Times New Roman"/>
      <w:color w:val="FF0000"/>
      <w:sz w:val="24"/>
      <w:lang w:val="zh-CN"/>
    </w:rPr>
  </w:style>
  <w:style w:type="paragraph" w:customStyle="1" w:styleId="378">
    <w:name w:val="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37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380">
    <w:name w:val="第二章样式1"/>
    <w:qFormat/>
    <w:uiPriority w:val="0"/>
    <w:pPr>
      <w:tabs>
        <w:tab w:val="left" w:pos="1020"/>
      </w:tabs>
      <w:adjustRightInd w:val="0"/>
      <w:snapToGrid w:val="0"/>
      <w:spacing w:beforeLines="70" w:afterLines="70" w:line="360" w:lineRule="exact"/>
      <w:ind w:left="1021" w:hanging="1021"/>
      <w:textAlignment w:val="baseline"/>
      <w:outlineLvl w:val="0"/>
    </w:pPr>
    <w:rPr>
      <w:rFonts w:ascii="宋体" w:hAnsi="宋体" w:eastAsia="宋体" w:cs="Times New Roman"/>
      <w:b/>
      <w:color w:val="000000"/>
      <w:spacing w:val="20"/>
      <w:sz w:val="24"/>
      <w:szCs w:val="24"/>
      <w:lang w:val="en-US" w:eastAsia="zh-CN" w:bidi="ar-SA"/>
    </w:rPr>
  </w:style>
  <w:style w:type="paragraph" w:customStyle="1" w:styleId="381">
    <w:name w:val="qp"/>
    <w:basedOn w:val="1"/>
    <w:qFormat/>
    <w:uiPriority w:val="99"/>
    <w:pPr>
      <w:widowControl/>
      <w:adjustRightInd w:val="0"/>
      <w:spacing w:line="318" w:lineRule="atLeast"/>
      <w:jc w:val="left"/>
      <w:textAlignment w:val="baseline"/>
    </w:pPr>
    <w:rPr>
      <w:rFonts w:ascii="宋体"/>
      <w:kern w:val="0"/>
      <w:sz w:val="20"/>
      <w:szCs w:val="20"/>
    </w:rPr>
  </w:style>
  <w:style w:type="paragraph" w:customStyle="1" w:styleId="382">
    <w:name w:val="样式4"/>
    <w:basedOn w:val="6"/>
    <w:qFormat/>
    <w:uiPriority w:val="0"/>
    <w:rPr>
      <w:rFonts w:eastAsia="Arial"/>
    </w:rPr>
  </w:style>
  <w:style w:type="paragraph" w:customStyle="1" w:styleId="383">
    <w:name w:val="Char Char Char Char Char Char2 Char Char Char Char Char Char1 Char Char Char Char1"/>
    <w:basedOn w:val="1"/>
    <w:qFormat/>
    <w:uiPriority w:val="99"/>
    <w:pPr>
      <w:spacing w:line="360" w:lineRule="auto"/>
      <w:ind w:firstLine="200" w:firstLineChars="200"/>
    </w:pPr>
    <w:rPr>
      <w:rFonts w:ascii="宋体" w:hAnsi="宋体" w:cs="宋体"/>
      <w:sz w:val="24"/>
    </w:rPr>
  </w:style>
  <w:style w:type="paragraph" w:customStyle="1" w:styleId="38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kern w:val="0"/>
      <w:sz w:val="22"/>
      <w:szCs w:val="20"/>
    </w:rPr>
  </w:style>
  <w:style w:type="paragraph" w:customStyle="1" w:styleId="385">
    <w:name w:val="默认段落字体 Para Char Char Char Char Char Char Char"/>
    <w:basedOn w:val="1"/>
    <w:qFormat/>
    <w:uiPriority w:val="0"/>
    <w:pPr>
      <w:spacing w:line="360" w:lineRule="auto"/>
      <w:ind w:firstLine="200" w:firstLineChars="200"/>
    </w:pPr>
    <w:rPr>
      <w:rFonts w:ascii="宋体" w:hAnsi="宋体"/>
      <w:sz w:val="24"/>
      <w:szCs w:val="20"/>
    </w:rPr>
  </w:style>
  <w:style w:type="paragraph" w:customStyle="1" w:styleId="386">
    <w:name w:val="样式 标题 3 + 段前: 0.5 行 段后: 0.5 行"/>
    <w:basedOn w:val="6"/>
    <w:qFormat/>
    <w:uiPriority w:val="0"/>
    <w:pPr>
      <w:keepNext w:val="0"/>
      <w:keepLines w:val="0"/>
      <w:tabs>
        <w:tab w:val="left" w:pos="720"/>
        <w:tab w:val="left" w:pos="1080"/>
      </w:tabs>
      <w:adjustRightInd w:val="0"/>
      <w:spacing w:before="0" w:after="0" w:line="360" w:lineRule="auto"/>
      <w:jc w:val="center"/>
    </w:pPr>
    <w:rPr>
      <w:bCs w:val="0"/>
      <w:sz w:val="30"/>
      <w:szCs w:val="20"/>
      <w:lang w:val="zh-CN"/>
    </w:rPr>
  </w:style>
  <w:style w:type="paragraph" w:customStyle="1" w:styleId="387">
    <w:name w:val="样式 标题 2 + 居中1"/>
    <w:basedOn w:val="5"/>
    <w:qFormat/>
    <w:uiPriority w:val="0"/>
    <w:pPr>
      <w:tabs>
        <w:tab w:val="left" w:pos="4725"/>
      </w:tabs>
      <w:ind w:left="4725" w:hanging="420"/>
      <w:jc w:val="center"/>
    </w:pPr>
    <w:rPr>
      <w:b w:val="0"/>
      <w:bCs w:val="0"/>
      <w:color w:val="000000"/>
      <w:szCs w:val="20"/>
      <w:lang w:val="zh-CN"/>
    </w:rPr>
  </w:style>
  <w:style w:type="paragraph" w:customStyle="1" w:styleId="388">
    <w:name w:val="Char2"/>
    <w:basedOn w:val="1"/>
    <w:qFormat/>
    <w:uiPriority w:val="0"/>
    <w:rPr>
      <w:rFonts w:ascii="仿宋_GB2312" w:eastAsia="仿宋_GB2312"/>
      <w:b/>
      <w:sz w:val="32"/>
      <w:szCs w:val="32"/>
    </w:rPr>
  </w:style>
  <w:style w:type="paragraph" w:customStyle="1" w:styleId="389">
    <w:name w:val="CM89"/>
    <w:basedOn w:val="86"/>
    <w:next w:val="86"/>
    <w:qFormat/>
    <w:uiPriority w:val="99"/>
    <w:rPr>
      <w:rFonts w:ascii="黑体" w:eastAsia="黑体" w:cs="黑体"/>
      <w:color w:val="auto"/>
      <w:szCs w:val="24"/>
    </w:rPr>
  </w:style>
  <w:style w:type="paragraph" w:customStyle="1" w:styleId="390">
    <w:name w:val="批注主题 Char Char"/>
    <w:basedOn w:val="24"/>
    <w:next w:val="24"/>
    <w:qFormat/>
    <w:uiPriority w:val="0"/>
    <w:rPr>
      <w:b/>
      <w:szCs w:val="20"/>
    </w:rPr>
  </w:style>
  <w:style w:type="paragraph" w:customStyle="1" w:styleId="391">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color w:val="000000"/>
      <w:kern w:val="0"/>
      <w:sz w:val="22"/>
      <w:szCs w:val="20"/>
    </w:rPr>
  </w:style>
  <w:style w:type="paragraph" w:customStyle="1" w:styleId="392">
    <w:name w:val="Table Text"/>
    <w:qFormat/>
    <w:uiPriority w:val="0"/>
    <w:pPr>
      <w:autoSpaceDE w:val="0"/>
      <w:autoSpaceDN w:val="0"/>
      <w:adjustRightInd w:val="0"/>
      <w:textAlignment w:val="baseline"/>
    </w:pPr>
    <w:rPr>
      <w:rFonts w:ascii="Tms Rmn" w:hAnsi="Tms Rmn" w:eastAsia="宋体" w:cs="Times New Roman"/>
      <w:color w:val="000000"/>
      <w:sz w:val="22"/>
      <w:szCs w:val="22"/>
      <w:lang w:val="en-US" w:eastAsia="zh-CN" w:bidi="ar-SA"/>
    </w:rPr>
  </w:style>
  <w:style w:type="paragraph" w:customStyle="1" w:styleId="393">
    <w:name w:val="Char Char Char Char Char Char3 Char Char Char Char Char Char Char11"/>
    <w:basedOn w:val="1"/>
    <w:next w:val="1"/>
    <w:qFormat/>
    <w:uiPriority w:val="99"/>
    <w:rPr>
      <w:rFonts w:eastAsia="黑体"/>
      <w:sz w:val="28"/>
    </w:rPr>
  </w:style>
  <w:style w:type="paragraph" w:customStyle="1" w:styleId="394">
    <w:name w:val="样式 Arial 左侧:  2 字符 行距: 固定值 29 磅"/>
    <w:basedOn w:val="1"/>
    <w:qFormat/>
    <w:uiPriority w:val="0"/>
    <w:pPr>
      <w:adjustRightInd w:val="0"/>
      <w:spacing w:line="580" w:lineRule="exact"/>
      <w:textAlignment w:val="baseline"/>
    </w:pPr>
    <w:rPr>
      <w:rFonts w:ascii="Arial" w:hAnsi="Arial"/>
      <w:kern w:val="0"/>
      <w:sz w:val="24"/>
      <w:szCs w:val="20"/>
    </w:rPr>
  </w:style>
  <w:style w:type="paragraph" w:customStyle="1" w:styleId="395">
    <w:name w:val="样式 五号 居中 行距: 最小值 12 磅3"/>
    <w:basedOn w:val="1"/>
    <w:qFormat/>
    <w:uiPriority w:val="0"/>
    <w:pPr>
      <w:adjustRightInd w:val="0"/>
      <w:spacing w:line="240" w:lineRule="atLeast"/>
      <w:jc w:val="center"/>
    </w:pPr>
    <w:rPr>
      <w:szCs w:val="20"/>
    </w:rPr>
  </w:style>
  <w:style w:type="paragraph" w:customStyle="1" w:styleId="396">
    <w:name w:val="Outline4"/>
    <w:qFormat/>
    <w:uiPriority w:val="99"/>
    <w:pPr>
      <w:tabs>
        <w:tab w:val="left" w:pos="288"/>
        <w:tab w:val="left" w:pos="413"/>
      </w:tabs>
      <w:autoSpaceDE w:val="0"/>
      <w:autoSpaceDN w:val="0"/>
      <w:adjustRightInd w:val="0"/>
      <w:textAlignment w:val="baseline"/>
    </w:pPr>
    <w:rPr>
      <w:rFonts w:ascii="Tms Rmn" w:hAnsi="Tms Rmn" w:eastAsia="宋体" w:cs="Times New Roman"/>
      <w:color w:val="000000"/>
      <w:sz w:val="22"/>
      <w:lang w:val="en-US" w:eastAsia="zh-CN" w:bidi="ar-SA"/>
    </w:rPr>
  </w:style>
  <w:style w:type="paragraph" w:customStyle="1" w:styleId="397">
    <w:name w:val="font8"/>
    <w:basedOn w:val="1"/>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398">
    <w:name w:val="CM96"/>
    <w:basedOn w:val="86"/>
    <w:next w:val="86"/>
    <w:qFormat/>
    <w:uiPriority w:val="99"/>
    <w:rPr>
      <w:rFonts w:ascii="黑体" w:eastAsia="黑体" w:cs="黑体"/>
      <w:color w:val="auto"/>
      <w:szCs w:val="24"/>
    </w:rPr>
  </w:style>
  <w:style w:type="paragraph" w:customStyle="1" w:styleId="399">
    <w:name w:val="列出段落2"/>
    <w:basedOn w:val="1"/>
    <w:qFormat/>
    <w:uiPriority w:val="99"/>
    <w:pPr>
      <w:jc w:val="left"/>
    </w:pPr>
    <w:rPr>
      <w:rFonts w:ascii="Calibri" w:hAnsi="Calibri"/>
      <w:kern w:val="0"/>
      <w:sz w:val="22"/>
      <w:szCs w:val="22"/>
      <w:lang w:eastAsia="en-US"/>
    </w:rPr>
  </w:style>
  <w:style w:type="paragraph" w:customStyle="1" w:styleId="400">
    <w:name w:val="表中"/>
    <w:basedOn w:val="1"/>
    <w:qFormat/>
    <w:uiPriority w:val="0"/>
    <w:pPr>
      <w:tabs>
        <w:tab w:val="left" w:pos="480"/>
      </w:tabs>
      <w:autoSpaceDE w:val="0"/>
      <w:autoSpaceDN w:val="0"/>
      <w:adjustRightInd w:val="0"/>
      <w:spacing w:before="100" w:beforeAutospacing="1" w:after="100" w:afterAutospacing="1"/>
      <w:jc w:val="center"/>
    </w:pPr>
    <w:rPr>
      <w:kern w:val="0"/>
      <w:szCs w:val="20"/>
    </w:rPr>
  </w:style>
  <w:style w:type="paragraph" w:customStyle="1" w:styleId="401">
    <w:name w:val="TOC 标题111"/>
    <w:basedOn w:val="4"/>
    <w:next w:val="1"/>
    <w:qFormat/>
    <w:uiPriority w:val="0"/>
    <w:pPr>
      <w:spacing w:line="578" w:lineRule="auto"/>
      <w:outlineLvl w:val="9"/>
    </w:pPr>
  </w:style>
  <w:style w:type="paragraph" w:customStyle="1" w:styleId="40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403">
    <w:name w:val="Char1 Char Char1 Char"/>
    <w:basedOn w:val="1"/>
    <w:qFormat/>
    <w:uiPriority w:val="0"/>
    <w:rPr>
      <w:rFonts w:ascii="仿宋_GB2312" w:eastAsia="仿宋_GB2312"/>
      <w:b/>
      <w:sz w:val="32"/>
      <w:szCs w:val="20"/>
    </w:rPr>
  </w:style>
  <w:style w:type="paragraph" w:customStyle="1" w:styleId="404">
    <w:name w:val="首页脚样式"/>
    <w:basedOn w:val="47"/>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405">
    <w:name w:val="回信地址"/>
    <w:qFormat/>
    <w:uiPriority w:val="99"/>
    <w:pPr>
      <w:framePr w:w="8640" w:wrap="notBeside" w:vAnchor="page" w:hAnchor="page" w:x="1729" w:y="14401" w:anchorLock="1"/>
      <w:tabs>
        <w:tab w:val="left" w:pos="-18551"/>
      </w:tabs>
      <w:spacing w:line="240" w:lineRule="atLeast"/>
      <w:ind w:right="-240"/>
      <w:jc w:val="center"/>
    </w:pPr>
    <w:rPr>
      <w:rFonts w:ascii="Garamond" w:hAnsi="Garamond" w:eastAsia="宋体" w:cs="Times New Roman"/>
      <w:caps/>
      <w:spacing w:val="30"/>
      <w:sz w:val="14"/>
      <w:lang w:val="en-US" w:eastAsia="zh-CN" w:bidi="ar-SA"/>
    </w:rPr>
  </w:style>
  <w:style w:type="paragraph" w:customStyle="1" w:styleId="406">
    <w:name w:val="表"/>
    <w:basedOn w:val="1"/>
    <w:qFormat/>
    <w:uiPriority w:val="0"/>
    <w:pPr>
      <w:spacing w:line="440" w:lineRule="exact"/>
      <w:jc w:val="center"/>
    </w:pPr>
    <w:rPr>
      <w:rFonts w:ascii="仿宋_GB2312" w:eastAsia="仿宋_GB2312"/>
      <w:szCs w:val="20"/>
    </w:rPr>
  </w:style>
  <w:style w:type="paragraph" w:customStyle="1" w:styleId="407">
    <w:name w:val="CM82"/>
    <w:basedOn w:val="86"/>
    <w:next w:val="86"/>
    <w:qFormat/>
    <w:uiPriority w:val="99"/>
    <w:rPr>
      <w:rFonts w:ascii="黑体" w:eastAsia="黑体" w:cs="黑体"/>
      <w:color w:val="auto"/>
      <w:szCs w:val="24"/>
    </w:rPr>
  </w:style>
  <w:style w:type="paragraph" w:customStyle="1" w:styleId="408">
    <w:name w:val="xl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ascii="宋体" w:hAnsi="宋体"/>
      <w:b/>
      <w:kern w:val="0"/>
      <w:sz w:val="22"/>
      <w:szCs w:val="20"/>
    </w:rPr>
  </w:style>
  <w:style w:type="paragraph" w:customStyle="1" w:styleId="409">
    <w:name w:val="Char Char Char Char Char Char3 Char Char Char Char Char Char Char1"/>
    <w:basedOn w:val="1"/>
    <w:next w:val="1"/>
    <w:qFormat/>
    <w:uiPriority w:val="99"/>
    <w:rPr>
      <w:rFonts w:eastAsia="黑体"/>
      <w:sz w:val="28"/>
    </w:rPr>
  </w:style>
  <w:style w:type="paragraph" w:customStyle="1" w:styleId="410">
    <w:name w:val="Char1 Char Char Char1 Char Char Char"/>
    <w:basedOn w:val="1"/>
    <w:qFormat/>
    <w:uiPriority w:val="99"/>
    <w:pPr>
      <w:autoSpaceDE w:val="0"/>
      <w:autoSpaceDN w:val="0"/>
      <w:adjustRightInd w:val="0"/>
      <w:jc w:val="left"/>
      <w:textAlignment w:val="baseline"/>
    </w:pPr>
    <w:rPr>
      <w:sz w:val="24"/>
    </w:rPr>
  </w:style>
  <w:style w:type="paragraph" w:customStyle="1" w:styleId="411">
    <w:name w:val="条文脚注"/>
    <w:basedOn w:val="56"/>
    <w:qFormat/>
    <w:uiPriority w:val="99"/>
    <w:pPr>
      <w:snapToGrid w:val="0"/>
      <w:ind w:left="780" w:leftChars="200" w:hanging="360" w:hangingChars="200"/>
    </w:pPr>
    <w:rPr>
      <w:rFonts w:ascii="宋体"/>
      <w:sz w:val="18"/>
      <w:szCs w:val="18"/>
    </w:rPr>
  </w:style>
  <w:style w:type="paragraph" w:customStyle="1" w:styleId="412">
    <w:name w:val="xl4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kern w:val="0"/>
      <w:sz w:val="22"/>
      <w:szCs w:val="20"/>
    </w:rPr>
  </w:style>
  <w:style w:type="paragraph" w:customStyle="1" w:styleId="4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2"/>
      <w:szCs w:val="20"/>
    </w:rPr>
  </w:style>
  <w:style w:type="paragraph" w:customStyle="1" w:styleId="414">
    <w:name w:val="正文4"/>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1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41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17">
    <w:name w:val="Char Char Char"/>
    <w:basedOn w:val="1"/>
    <w:qFormat/>
    <w:uiPriority w:val="0"/>
    <w:rPr>
      <w:rFonts w:ascii="Tahoma" w:hAnsi="Tahoma"/>
      <w:sz w:val="24"/>
      <w:szCs w:val="20"/>
    </w:rPr>
  </w:style>
  <w:style w:type="paragraph" w:customStyle="1" w:styleId="418">
    <w:name w:val="表格文字"/>
    <w:basedOn w:val="1"/>
    <w:qFormat/>
    <w:uiPriority w:val="99"/>
    <w:pPr>
      <w:adjustRightInd w:val="0"/>
      <w:spacing w:line="420" w:lineRule="atLeast"/>
      <w:jc w:val="left"/>
      <w:textAlignment w:val="baseline"/>
    </w:pPr>
    <w:rPr>
      <w:kern w:val="0"/>
      <w:szCs w:val="20"/>
    </w:rPr>
  </w:style>
  <w:style w:type="paragraph" w:customStyle="1" w:styleId="419">
    <w:name w:val="qp2"/>
    <w:basedOn w:val="5"/>
    <w:qFormat/>
    <w:uiPriority w:val="99"/>
    <w:pPr>
      <w:keepNext w:val="0"/>
      <w:keepLines w:val="0"/>
      <w:tabs>
        <w:tab w:val="left" w:pos="567"/>
      </w:tabs>
      <w:adjustRightInd w:val="0"/>
      <w:spacing w:before="0" w:after="0" w:line="947" w:lineRule="atLeast"/>
      <w:jc w:val="left"/>
      <w:textAlignment w:val="baseline"/>
      <w:outlineLvl w:val="9"/>
    </w:pPr>
    <w:rPr>
      <w:rFonts w:ascii="宋体" w:hAnsi="Times New Roman" w:eastAsia="宋体"/>
      <w:bCs w:val="0"/>
      <w:kern w:val="0"/>
      <w:sz w:val="36"/>
      <w:szCs w:val="20"/>
    </w:rPr>
  </w:style>
  <w:style w:type="paragraph" w:customStyle="1" w:styleId="42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b/>
      <w:kern w:val="0"/>
      <w:sz w:val="22"/>
      <w:szCs w:val="20"/>
    </w:rPr>
  </w:style>
  <w:style w:type="paragraph" w:customStyle="1" w:styleId="421">
    <w:name w:val="Char Char Char Char"/>
    <w:basedOn w:val="1"/>
    <w:next w:val="1"/>
    <w:qFormat/>
    <w:uiPriority w:val="0"/>
    <w:rPr>
      <w:szCs w:val="20"/>
    </w:rPr>
  </w:style>
  <w:style w:type="paragraph" w:customStyle="1" w:styleId="4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42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24">
    <w:name w:val="font10"/>
    <w:basedOn w:val="1"/>
    <w:qFormat/>
    <w:uiPriority w:val="0"/>
    <w:pPr>
      <w:widowControl/>
      <w:spacing w:before="100" w:beforeAutospacing="1" w:after="100" w:afterAutospacing="1"/>
      <w:jc w:val="left"/>
    </w:pPr>
    <w:rPr>
      <w:color w:val="000000"/>
      <w:kern w:val="0"/>
      <w:sz w:val="22"/>
      <w:szCs w:val="20"/>
    </w:rPr>
  </w:style>
  <w:style w:type="paragraph" w:customStyle="1" w:styleId="425">
    <w:name w:val="连续正文文字"/>
    <w:basedOn w:val="27"/>
    <w:qFormat/>
    <w:uiPriority w:val="99"/>
    <w:pPr>
      <w:keepNext/>
      <w:widowControl/>
      <w:adjustRightInd w:val="0"/>
      <w:spacing w:after="240" w:line="240" w:lineRule="atLeast"/>
      <w:ind w:firstLine="360"/>
      <w:jc w:val="left"/>
      <w:textAlignment w:val="baseline"/>
    </w:pPr>
    <w:rPr>
      <w:rFonts w:ascii="Garamond" w:hAnsi="Garamond"/>
      <w:kern w:val="0"/>
      <w:szCs w:val="20"/>
    </w:rPr>
  </w:style>
  <w:style w:type="paragraph" w:customStyle="1" w:styleId="426">
    <w:name w:val="菲页2"/>
    <w:basedOn w:val="6"/>
    <w:qFormat/>
    <w:uiPriority w:val="0"/>
    <w:pPr>
      <w:widowControl/>
      <w:tabs>
        <w:tab w:val="left" w:pos="720"/>
      </w:tabs>
      <w:spacing w:line="416" w:lineRule="auto"/>
      <w:ind w:left="720" w:hanging="720"/>
      <w:jc w:val="center"/>
    </w:pPr>
    <w:rPr>
      <w:rFonts w:ascii="黑体" w:hAnsi="宋体" w:eastAsia="黑体"/>
      <w:b w:val="0"/>
      <w:bCs w:val="0"/>
      <w:kern w:val="0"/>
      <w:sz w:val="44"/>
      <w:szCs w:val="20"/>
      <w:lang w:val="zh-CN"/>
    </w:rPr>
  </w:style>
  <w:style w:type="paragraph" w:customStyle="1" w:styleId="427">
    <w:name w:val="样式 第五行 + 左侧:  -8 字符 段前: 2 行1"/>
    <w:basedOn w:val="337"/>
    <w:qFormat/>
    <w:uiPriority w:val="0"/>
    <w:pPr>
      <w:ind w:left="-300" w:leftChars="-300"/>
    </w:pPr>
  </w:style>
  <w:style w:type="paragraph" w:customStyle="1" w:styleId="428">
    <w:name w:val="第二章样式1.1"/>
    <w:qFormat/>
    <w:uiPriority w:val="0"/>
    <w:pPr>
      <w:tabs>
        <w:tab w:val="left" w:pos="964"/>
      </w:tabs>
      <w:spacing w:beforeLines="70" w:afterLines="70" w:line="360" w:lineRule="auto"/>
      <w:ind w:left="964" w:hanging="964"/>
      <w:jc w:val="both"/>
    </w:pPr>
    <w:rPr>
      <w:rFonts w:ascii="宋体" w:hAnsi="宋体" w:eastAsia="宋体" w:cs="Times New Roman"/>
      <w:bCs/>
      <w:color w:val="000000"/>
      <w:spacing w:val="20"/>
      <w:sz w:val="24"/>
      <w:szCs w:val="24"/>
      <w:lang w:val="en-US" w:eastAsia="zh-CN" w:bidi="ar-SA"/>
    </w:rPr>
  </w:style>
  <w:style w:type="paragraph" w:customStyle="1" w:styleId="429">
    <w:name w:val="正文1"/>
    <w:qFormat/>
    <w:uiPriority w:val="0"/>
    <w:pPr>
      <w:widowControl w:val="0"/>
      <w:adjustRightInd w:val="0"/>
      <w:spacing w:line="312" w:lineRule="atLeast"/>
      <w:jc w:val="both"/>
      <w:textAlignment w:val="baseline"/>
    </w:pPr>
    <w:rPr>
      <w:rFonts w:ascii="Arial" w:hAnsi="Times New Roman" w:eastAsia="宋体" w:cs="Times New Roman"/>
      <w:sz w:val="34"/>
      <w:lang w:val="en-US" w:eastAsia="zh-CN" w:bidi="ar-SA"/>
    </w:rPr>
  </w:style>
  <w:style w:type="paragraph" w:customStyle="1" w:styleId="430">
    <w:name w:val="Char Char Char Char Char Char Char Char Char2"/>
    <w:basedOn w:val="1"/>
    <w:qFormat/>
    <w:uiPriority w:val="0"/>
    <w:pPr>
      <w:spacing w:line="360" w:lineRule="auto"/>
      <w:ind w:firstLine="200" w:firstLineChars="200"/>
    </w:pPr>
    <w:rPr>
      <w:rFonts w:ascii="宋体" w:hAnsi="宋体" w:cs="宋体"/>
      <w:sz w:val="24"/>
    </w:rPr>
  </w:style>
  <w:style w:type="paragraph" w:customStyle="1" w:styleId="431">
    <w:name w:val="xl27"/>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432">
    <w:name w:val="标题3"/>
    <w:qFormat/>
    <w:uiPriority w:val="0"/>
    <w:pPr>
      <w:tabs>
        <w:tab w:val="left" w:pos="1260"/>
      </w:tabs>
      <w:adjustRightInd w:val="0"/>
      <w:snapToGrid w:val="0"/>
      <w:spacing w:beforeLines="70" w:afterLines="70" w:line="360" w:lineRule="exact"/>
      <w:ind w:left="1260" w:hanging="420"/>
      <w:jc w:val="both"/>
      <w:textAlignment w:val="baseline"/>
      <w:outlineLvl w:val="2"/>
    </w:pPr>
    <w:rPr>
      <w:rFonts w:ascii="宋体" w:hAnsi="宋体" w:eastAsia="宋体" w:cs="Times New Roman"/>
      <w:snapToGrid w:val="0"/>
      <w:spacing w:val="30"/>
      <w:sz w:val="24"/>
      <w:szCs w:val="24"/>
      <w:lang w:val="en-US" w:eastAsia="zh-CN" w:bidi="ar-SA"/>
    </w:rPr>
  </w:style>
  <w:style w:type="paragraph" w:customStyle="1" w:styleId="433">
    <w:name w:val="Char Char Char Char Char Char Char11"/>
    <w:basedOn w:val="1"/>
    <w:qFormat/>
    <w:uiPriority w:val="0"/>
    <w:pPr>
      <w:spacing w:beforeLines="50" w:afterLines="50" w:line="312" w:lineRule="auto"/>
      <w:ind w:firstLine="200" w:firstLineChars="200"/>
    </w:pPr>
    <w:rPr>
      <w:rFonts w:eastAsia="仿宋_GB2312"/>
      <w:sz w:val="24"/>
    </w:rPr>
  </w:style>
  <w:style w:type="paragraph" w:customStyle="1" w:styleId="434">
    <w:name w:val="样式 标题 1 + 黑体 三号 非加粗 居中 段前: 6 磅 段后: 6 磅 行距: 固定值 20 磅"/>
    <w:basedOn w:val="4"/>
    <w:qFormat/>
    <w:uiPriority w:val="99"/>
    <w:pPr>
      <w:spacing w:before="120" w:after="120" w:line="400" w:lineRule="exact"/>
      <w:jc w:val="center"/>
    </w:pPr>
    <w:rPr>
      <w:rFonts w:ascii="黑体" w:hAnsi="黑体" w:eastAsia="黑体" w:cs="宋体"/>
      <w:b w:val="0"/>
      <w:bCs w:val="0"/>
      <w:sz w:val="32"/>
      <w:szCs w:val="20"/>
    </w:rPr>
  </w:style>
  <w:style w:type="paragraph" w:customStyle="1" w:styleId="435">
    <w:name w:val="列表1"/>
    <w:basedOn w:val="287"/>
    <w:qFormat/>
    <w:uiPriority w:val="99"/>
    <w:pPr>
      <w:tabs>
        <w:tab w:val="left" w:pos="1050"/>
      </w:tabs>
      <w:ind w:left="936" w:hanging="369"/>
    </w:pPr>
    <w:rPr>
      <w:rFonts w:ascii="Calibri" w:hAnsi="Calibri"/>
    </w:rPr>
  </w:style>
  <w:style w:type="paragraph" w:customStyle="1" w:styleId="436">
    <w:name w:val="样式 正文缩进正文（首行缩进两字） Char Char正文不缩进段1Body Text(ch)缩进ALT+Z四号..."/>
    <w:basedOn w:val="1"/>
    <w:next w:val="1"/>
    <w:qFormat/>
    <w:uiPriority w:val="99"/>
    <w:pPr>
      <w:spacing w:line="360" w:lineRule="auto"/>
      <w:ind w:firstLine="480"/>
    </w:pPr>
    <w:rPr>
      <w:rFonts w:cs="宋体"/>
      <w:sz w:val="24"/>
    </w:rPr>
  </w:style>
  <w:style w:type="paragraph" w:customStyle="1" w:styleId="43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38">
    <w:name w:val="font1"/>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39">
    <w:name w:val="msolistparagraph"/>
    <w:basedOn w:val="1"/>
    <w:qFormat/>
    <w:uiPriority w:val="0"/>
    <w:pPr>
      <w:widowControl/>
      <w:spacing w:before="100" w:beforeAutospacing="1" w:after="100" w:afterAutospacing="1"/>
      <w:jc w:val="left"/>
    </w:pPr>
    <w:rPr>
      <w:rFonts w:hint="eastAsia" w:ascii="Arial Unicode MS" w:hAnsi="Arial Unicode MS" w:eastAsia="Arial Unicode MS"/>
      <w:kern w:val="0"/>
      <w:sz w:val="24"/>
      <w:szCs w:val="20"/>
    </w:rPr>
  </w:style>
  <w:style w:type="paragraph" w:customStyle="1" w:styleId="44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kern w:val="0"/>
      <w:sz w:val="22"/>
      <w:szCs w:val="20"/>
    </w:rPr>
  </w:style>
  <w:style w:type="paragraph" w:customStyle="1" w:styleId="441">
    <w:name w:val="样式 标题 4 + 行距: 单倍行距1"/>
    <w:basedOn w:val="8"/>
    <w:qFormat/>
    <w:uiPriority w:val="0"/>
    <w:pPr>
      <w:tabs>
        <w:tab w:val="left" w:pos="567"/>
        <w:tab w:val="left" w:pos="1080"/>
      </w:tabs>
      <w:adjustRightInd w:val="0"/>
      <w:snapToGrid w:val="0"/>
      <w:spacing w:line="240" w:lineRule="auto"/>
      <w:ind w:left="113" w:hanging="45"/>
    </w:pPr>
    <w:rPr>
      <w:b w:val="0"/>
      <w:bCs w:val="0"/>
      <w:szCs w:val="20"/>
      <w:lang w:val="zh-CN"/>
    </w:rPr>
  </w:style>
  <w:style w:type="paragraph" w:customStyle="1" w:styleId="442">
    <w:name w:val="Item list"/>
    <w:basedOn w:val="1"/>
    <w:qFormat/>
    <w:uiPriority w:val="0"/>
    <w:pPr>
      <w:widowControl/>
      <w:tabs>
        <w:tab w:val="left" w:pos="-2552"/>
        <w:tab w:val="left" w:pos="-2410"/>
        <w:tab w:val="left" w:pos="1701"/>
        <w:tab w:val="left" w:pos="2268"/>
        <w:tab w:val="left" w:pos="4820"/>
        <w:tab w:val="right" w:pos="5670"/>
        <w:tab w:val="left" w:pos="5954"/>
        <w:tab w:val="left" w:pos="9660"/>
        <w:tab w:val="left" w:pos="10380"/>
        <w:tab w:val="left" w:pos="11100"/>
        <w:tab w:val="left" w:pos="11820"/>
        <w:tab w:val="left" w:pos="12540"/>
        <w:tab w:val="left" w:pos="13260"/>
        <w:tab w:val="left" w:pos="13980"/>
        <w:tab w:val="left" w:pos="14700"/>
        <w:tab w:val="left" w:pos="15420"/>
        <w:tab w:val="left" w:pos="16140"/>
      </w:tabs>
      <w:ind w:left="2268" w:hanging="2268"/>
    </w:pPr>
    <w:rPr>
      <w:rFonts w:ascii="Arial" w:hAnsi="Arial"/>
      <w:kern w:val="0"/>
      <w:sz w:val="22"/>
      <w:szCs w:val="20"/>
    </w:rPr>
  </w:style>
  <w:style w:type="paragraph" w:customStyle="1" w:styleId="443">
    <w:name w:val="Char1 Char Char Char Char Char Char Char"/>
    <w:basedOn w:val="1"/>
    <w:qFormat/>
    <w:uiPriority w:val="99"/>
  </w:style>
  <w:style w:type="paragraph" w:customStyle="1" w:styleId="444">
    <w:name w:val="修订1"/>
    <w:qFormat/>
    <w:uiPriority w:val="0"/>
    <w:rPr>
      <w:rFonts w:ascii="Times New Roman" w:hAnsi="Times New Roman" w:eastAsia="宋体" w:cs="Times New Roman"/>
      <w:kern w:val="2"/>
      <w:sz w:val="21"/>
      <w:szCs w:val="24"/>
      <w:lang w:val="en-US" w:eastAsia="zh-CN" w:bidi="ar-SA"/>
    </w:rPr>
  </w:style>
  <w:style w:type="paragraph" w:customStyle="1" w:styleId="445">
    <w:name w:val="表格文本"/>
    <w:basedOn w:val="446"/>
    <w:next w:val="446"/>
    <w:qFormat/>
    <w:uiPriority w:val="0"/>
    <w:pPr>
      <w:spacing w:line="240" w:lineRule="auto"/>
      <w:ind w:firstLine="0" w:firstLineChars="0"/>
    </w:pPr>
  </w:style>
  <w:style w:type="paragraph" w:customStyle="1" w:styleId="446">
    <w:name w:val="标准文本"/>
    <w:basedOn w:val="1"/>
    <w:qFormat/>
    <w:uiPriority w:val="0"/>
    <w:pPr>
      <w:spacing w:line="400" w:lineRule="exact"/>
      <w:ind w:firstLine="480" w:firstLineChars="200"/>
    </w:pPr>
    <w:rPr>
      <w:rFonts w:ascii="黑体" w:hAnsi="宋体"/>
      <w:sz w:val="24"/>
      <w:szCs w:val="20"/>
    </w:rPr>
  </w:style>
  <w:style w:type="paragraph" w:customStyle="1" w:styleId="447">
    <w:name w:val="Char1"/>
    <w:basedOn w:val="1"/>
    <w:qFormat/>
    <w:uiPriority w:val="0"/>
    <w:pPr>
      <w:widowControl/>
      <w:spacing w:after="160" w:line="240" w:lineRule="exact"/>
      <w:jc w:val="left"/>
    </w:pPr>
    <w:rPr>
      <w:rFonts w:ascii="Tahoma" w:hAnsi="Tahoma"/>
      <w:kern w:val="0"/>
      <w:sz w:val="24"/>
      <w:lang w:eastAsia="en-US"/>
    </w:rPr>
  </w:style>
  <w:style w:type="paragraph" w:customStyle="1" w:styleId="448">
    <w:name w:val="缩进编号a"/>
    <w:basedOn w:val="182"/>
    <w:qFormat/>
    <w:uiPriority w:val="0"/>
    <w:pPr>
      <w:widowControl w:val="0"/>
      <w:tabs>
        <w:tab w:val="left" w:pos="2268"/>
      </w:tabs>
      <w:spacing w:before="168" w:after="168"/>
      <w:ind w:left="2268" w:hanging="567"/>
    </w:pPr>
    <w:rPr>
      <w:b/>
      <w:color w:val="000000"/>
    </w:rPr>
  </w:style>
  <w:style w:type="paragraph" w:customStyle="1" w:styleId="449">
    <w:name w:val="默认段落字体 Para Char Char Char Char Char Char Char Char Char Char Char Char Char Char Char Char Char Char Char"/>
    <w:basedOn w:val="1"/>
    <w:qFormat/>
    <w:uiPriority w:val="99"/>
  </w:style>
  <w:style w:type="paragraph" w:customStyle="1" w:styleId="450">
    <w:name w:val="抬头"/>
    <w:basedOn w:val="1"/>
    <w:qFormat/>
    <w:uiPriority w:val="0"/>
    <w:pPr>
      <w:spacing w:line="360" w:lineRule="auto"/>
    </w:pPr>
    <w:rPr>
      <w:rFonts w:ascii="宋体"/>
      <w:szCs w:val="20"/>
    </w:rPr>
  </w:style>
  <w:style w:type="paragraph" w:customStyle="1" w:styleId="451">
    <w:name w:val="文档标签"/>
    <w:next w:val="1"/>
    <w:qFormat/>
    <w:uiPriority w:val="99"/>
    <w:pPr>
      <w:pBdr>
        <w:top w:val="single" w:color="808080" w:sz="6" w:space="6"/>
        <w:bottom w:val="single" w:color="808080" w:sz="6" w:space="6"/>
      </w:pBdr>
      <w:spacing w:line="240" w:lineRule="atLeast"/>
      <w:jc w:val="center"/>
    </w:pPr>
    <w:rPr>
      <w:rFonts w:ascii="Garamond" w:hAnsi="Garamond" w:eastAsia="宋体" w:cs="Times New Roman"/>
      <w:b/>
      <w:caps/>
      <w:spacing w:val="40"/>
      <w:sz w:val="18"/>
      <w:lang w:val="en-US" w:eastAsia="zh-CN" w:bidi="ar-SA"/>
    </w:rPr>
  </w:style>
  <w:style w:type="paragraph" w:customStyle="1" w:styleId="452">
    <w:name w:val="样式 仿宋_GB2312 小四 行距: 1.5 倍行距"/>
    <w:basedOn w:val="1"/>
    <w:qFormat/>
    <w:uiPriority w:val="0"/>
    <w:pPr>
      <w:spacing w:line="360" w:lineRule="auto"/>
      <w:ind w:firstLine="480" w:firstLineChars="200"/>
    </w:pPr>
    <w:rPr>
      <w:rFonts w:ascii="仿宋_GB2312" w:hAnsi="宋体" w:eastAsia="仿宋_GB2312"/>
      <w:sz w:val="28"/>
      <w:szCs w:val="20"/>
    </w:rPr>
  </w:style>
  <w:style w:type="paragraph" w:customStyle="1" w:styleId="453">
    <w:name w:val="Char Char Char Char Char Char Char Char Char Char Char Char Char Char Char Char Char Char Char Char Char Char Char Char Char2"/>
    <w:basedOn w:val="1"/>
    <w:qFormat/>
    <w:uiPriority w:val="0"/>
    <w:rPr>
      <w:szCs w:val="21"/>
    </w:rPr>
  </w:style>
  <w:style w:type="paragraph" w:customStyle="1" w:styleId="454">
    <w:name w:val="样式 图表 + 五号"/>
    <w:basedOn w:val="1"/>
    <w:qFormat/>
    <w:uiPriority w:val="0"/>
    <w:pPr>
      <w:spacing w:line="300" w:lineRule="exact"/>
      <w:ind w:left="-70" w:leftChars="-30" w:hanging="2" w:hangingChars="1"/>
    </w:pPr>
    <w:rPr>
      <w:spacing w:val="-10"/>
      <w:szCs w:val="20"/>
    </w:rPr>
  </w:style>
  <w:style w:type="paragraph" w:customStyle="1" w:styleId="455">
    <w:name w:val="_Style 323"/>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45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目录文字"/>
    <w:basedOn w:val="1"/>
    <w:qFormat/>
    <w:uiPriority w:val="99"/>
    <w:pPr>
      <w:widowControl/>
      <w:spacing w:line="480" w:lineRule="auto"/>
      <w:jc w:val="left"/>
    </w:pPr>
    <w:rPr>
      <w:rFonts w:ascii="宋体" w:hAnsi="宋体"/>
      <w:kern w:val="0"/>
      <w:sz w:val="24"/>
      <w:szCs w:val="20"/>
    </w:rPr>
  </w:style>
  <w:style w:type="paragraph" w:customStyle="1" w:styleId="458">
    <w:name w:val="2"/>
    <w:basedOn w:val="1"/>
    <w:next w:val="7"/>
    <w:qFormat/>
    <w:uiPriority w:val="0"/>
    <w:pPr>
      <w:ind w:firstLine="420"/>
    </w:pPr>
    <w:rPr>
      <w:sz w:val="24"/>
      <w:szCs w:val="20"/>
    </w:rPr>
  </w:style>
  <w:style w:type="paragraph" w:customStyle="1" w:styleId="459">
    <w:name w:val="一级标题"/>
    <w:basedOn w:val="1"/>
    <w:qFormat/>
    <w:uiPriority w:val="0"/>
    <w:pPr>
      <w:spacing w:line="540" w:lineRule="exact"/>
    </w:pPr>
    <w:rPr>
      <w:rFonts w:eastAsia="黑体"/>
      <w:b/>
      <w:spacing w:val="10"/>
      <w:sz w:val="30"/>
      <w:szCs w:val="20"/>
    </w:rPr>
  </w:style>
  <w:style w:type="paragraph" w:customStyle="1" w:styleId="460">
    <w:name w:val="样式 标题 2 + 居中"/>
    <w:basedOn w:val="5"/>
    <w:qFormat/>
    <w:uiPriority w:val="0"/>
    <w:pPr>
      <w:tabs>
        <w:tab w:val="left" w:pos="720"/>
      </w:tabs>
      <w:spacing w:line="300" w:lineRule="auto"/>
      <w:ind w:left="720" w:hanging="720"/>
      <w:jc w:val="center"/>
    </w:pPr>
    <w:rPr>
      <w:b w:val="0"/>
      <w:bCs w:val="0"/>
      <w:color w:val="000000"/>
      <w:szCs w:val="20"/>
      <w:lang w:val="zh-CN"/>
    </w:rPr>
  </w:style>
  <w:style w:type="paragraph" w:customStyle="1" w:styleId="461">
    <w:name w:val="4"/>
    <w:basedOn w:val="1"/>
    <w:next w:val="27"/>
    <w:qFormat/>
    <w:uiPriority w:val="99"/>
    <w:pPr>
      <w:adjustRightInd w:val="0"/>
      <w:snapToGrid w:val="0"/>
      <w:spacing w:line="440" w:lineRule="exact"/>
      <w:jc w:val="left"/>
      <w:textAlignment w:val="baseline"/>
    </w:pPr>
    <w:rPr>
      <w:rFonts w:ascii="宋体"/>
      <w:kern w:val="0"/>
      <w:sz w:val="28"/>
      <w:szCs w:val="20"/>
    </w:rPr>
  </w:style>
  <w:style w:type="paragraph" w:customStyle="1" w:styleId="462">
    <w:name w:val="第1行"/>
    <w:basedOn w:val="1"/>
    <w:qFormat/>
    <w:uiPriority w:val="0"/>
    <w:pPr>
      <w:tabs>
        <w:tab w:val="left" w:pos="927"/>
      </w:tabs>
      <w:snapToGrid w:val="0"/>
      <w:spacing w:line="460" w:lineRule="exact"/>
      <w:ind w:firstLine="567"/>
    </w:pPr>
    <w:rPr>
      <w:rFonts w:ascii="宋体" w:hAnsi="宋体"/>
      <w:szCs w:val="20"/>
    </w:rPr>
  </w:style>
  <w:style w:type="paragraph" w:customStyle="1" w:styleId="463">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464">
    <w:name w:val="缩进编号3"/>
    <w:qFormat/>
    <w:uiPriority w:val="0"/>
    <w:pPr>
      <w:tabs>
        <w:tab w:val="left" w:pos="2835"/>
      </w:tabs>
      <w:adjustRightInd w:val="0"/>
      <w:snapToGrid w:val="0"/>
      <w:spacing w:beforeLines="70" w:afterLines="70" w:line="360" w:lineRule="atLeast"/>
      <w:ind w:left="2835" w:hanging="567"/>
      <w:jc w:val="both"/>
    </w:pPr>
    <w:rPr>
      <w:rFonts w:ascii="宋体" w:hAnsi="宋体" w:eastAsia="宋体" w:cs="Arial"/>
      <w:snapToGrid w:val="0"/>
      <w:spacing w:val="30"/>
      <w:sz w:val="24"/>
      <w:szCs w:val="24"/>
      <w:lang w:val="en-US" w:eastAsia="zh-CN" w:bidi="ar-SA"/>
    </w:rPr>
  </w:style>
  <w:style w:type="paragraph" w:customStyle="1" w:styleId="465">
    <w:name w:val="Char Char Char Char Char Char2 Char Char Char Char Char Char1 Char Char Char Char"/>
    <w:basedOn w:val="1"/>
    <w:qFormat/>
    <w:uiPriority w:val="0"/>
    <w:pPr>
      <w:spacing w:line="360" w:lineRule="auto"/>
      <w:ind w:firstLine="200" w:firstLineChars="200"/>
    </w:pPr>
    <w:rPr>
      <w:rFonts w:ascii="宋体" w:hAnsi="宋体" w:cs="宋体"/>
      <w:sz w:val="24"/>
    </w:rPr>
  </w:style>
  <w:style w:type="paragraph" w:customStyle="1" w:styleId="46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2"/>
      <w:szCs w:val="20"/>
    </w:rPr>
  </w:style>
  <w:style w:type="paragraph" w:customStyle="1" w:styleId="467">
    <w:name w:val="N1"/>
    <w:basedOn w:val="1"/>
    <w:qFormat/>
    <w:uiPriority w:val="0"/>
    <w:rPr>
      <w:rFonts w:ascii="黑体" w:hAnsi="宋体" w:eastAsia="黑体"/>
      <w:sz w:val="28"/>
      <w:szCs w:val="20"/>
    </w:rPr>
  </w:style>
  <w:style w:type="paragraph" w:customStyle="1" w:styleId="468">
    <w:name w:val="Char Char Char Char Char Char1 Char Char Char Char"/>
    <w:basedOn w:val="1"/>
    <w:qFormat/>
    <w:uiPriority w:val="0"/>
    <w:pPr>
      <w:spacing w:beforeLines="50" w:afterLines="50" w:line="312" w:lineRule="auto"/>
      <w:ind w:firstLine="200" w:firstLineChars="200"/>
    </w:pPr>
    <w:rPr>
      <w:rFonts w:eastAsia="仿宋_GB2312"/>
      <w:sz w:val="24"/>
    </w:rPr>
  </w:style>
  <w:style w:type="paragraph" w:customStyle="1" w:styleId="46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i/>
      <w:color w:val="FF0000"/>
      <w:kern w:val="0"/>
      <w:sz w:val="20"/>
      <w:szCs w:val="20"/>
    </w:rPr>
  </w:style>
  <w:style w:type="paragraph" w:customStyle="1" w:styleId="470">
    <w:name w:val="CM95"/>
    <w:basedOn w:val="86"/>
    <w:next w:val="86"/>
    <w:qFormat/>
    <w:uiPriority w:val="0"/>
    <w:pPr>
      <w:spacing w:after="115"/>
    </w:pPr>
    <w:rPr>
      <w:color w:val="auto"/>
      <w:szCs w:val="24"/>
    </w:rPr>
  </w:style>
  <w:style w:type="paragraph" w:customStyle="1" w:styleId="471">
    <w:name w:val="Char Char Char Char Char Char3 Char Char Char Char Char Char Char"/>
    <w:basedOn w:val="1"/>
    <w:next w:val="1"/>
    <w:qFormat/>
    <w:uiPriority w:val="0"/>
    <w:rPr>
      <w:rFonts w:eastAsia="黑体"/>
      <w:sz w:val="28"/>
    </w:rPr>
  </w:style>
  <w:style w:type="paragraph" w:customStyle="1" w:styleId="472">
    <w:name w:val="样式 样式 标题 1 + 居中 段前: 0.5 行 段后: 0.5 行 + 段前: 0.5 行 段后: 0.5 行"/>
    <w:basedOn w:val="4"/>
    <w:qFormat/>
    <w:uiPriority w:val="0"/>
    <w:pPr>
      <w:keepNext w:val="0"/>
      <w:keepLines w:val="0"/>
      <w:tabs>
        <w:tab w:val="left" w:pos="432"/>
        <w:tab w:val="left" w:pos="900"/>
      </w:tabs>
      <w:adjustRightInd w:val="0"/>
      <w:spacing w:beforeLines="50" w:afterLines="50" w:line="240" w:lineRule="auto"/>
      <w:ind w:left="900" w:hanging="420"/>
    </w:pPr>
    <w:rPr>
      <w:rFonts w:eastAsia="黑体"/>
      <w:bCs w:val="0"/>
      <w:sz w:val="36"/>
      <w:szCs w:val="20"/>
      <w:lang w:val="zh-CN"/>
    </w:rPr>
  </w:style>
  <w:style w:type="paragraph" w:customStyle="1" w:styleId="473">
    <w:name w:val="xl4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474">
    <w:name w:val="样式 标题 2 + (中文) 黑体 四号 黑色"/>
    <w:basedOn w:val="1"/>
    <w:qFormat/>
    <w:uiPriority w:val="99"/>
    <w:pPr>
      <w:adjustRightInd w:val="0"/>
      <w:spacing w:line="315" w:lineRule="atLeast"/>
      <w:jc w:val="left"/>
      <w:textAlignment w:val="baseline"/>
    </w:pPr>
    <w:rPr>
      <w:rFonts w:ascii="宋体"/>
      <w:kern w:val="0"/>
      <w:sz w:val="24"/>
      <w:szCs w:val="20"/>
    </w:rPr>
  </w:style>
  <w:style w:type="paragraph" w:customStyle="1" w:styleId="475">
    <w:name w:val="标题1"/>
    <w:next w:val="1"/>
    <w:qFormat/>
    <w:uiPriority w:val="0"/>
    <w:pPr>
      <w:keepNext/>
      <w:tabs>
        <w:tab w:val="left" w:pos="1021"/>
      </w:tabs>
      <w:adjustRightInd w:val="0"/>
      <w:snapToGrid w:val="0"/>
      <w:spacing w:beforeLines="70" w:afterLines="70" w:line="360" w:lineRule="exact"/>
      <w:ind w:left="1021" w:hanging="1021"/>
      <w:jc w:val="both"/>
      <w:textAlignment w:val="baseline"/>
      <w:outlineLvl w:val="0"/>
    </w:pPr>
    <w:rPr>
      <w:rFonts w:ascii="宋体" w:hAnsi="宋体" w:eastAsia="宋体" w:cs="宋体"/>
      <w:b/>
      <w:bCs/>
      <w:snapToGrid w:val="0"/>
      <w:spacing w:val="30"/>
      <w:sz w:val="24"/>
      <w:u w:val="single"/>
      <w:lang w:val="en-US" w:eastAsia="zh-CN" w:bidi="ar-SA"/>
    </w:rPr>
  </w:style>
  <w:style w:type="paragraph" w:customStyle="1" w:styleId="47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2"/>
      <w:szCs w:val="20"/>
    </w:rPr>
  </w:style>
  <w:style w:type="paragraph" w:customStyle="1" w:styleId="477">
    <w:name w:val="表格文字图表文字"/>
    <w:basedOn w:val="1"/>
    <w:qFormat/>
    <w:uiPriority w:val="0"/>
    <w:pPr>
      <w:snapToGrid w:val="0"/>
      <w:jc w:val="center"/>
    </w:pPr>
    <w:rPr>
      <w:szCs w:val="20"/>
    </w:rPr>
  </w:style>
  <w:style w:type="paragraph" w:customStyle="1" w:styleId="478">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kern w:val="0"/>
      <w:sz w:val="26"/>
      <w:szCs w:val="20"/>
    </w:rPr>
  </w:style>
  <w:style w:type="paragraph" w:customStyle="1" w:styleId="47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0">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81">
    <w:name w:val="纯文本1"/>
    <w:basedOn w:val="1"/>
    <w:qFormat/>
    <w:uiPriority w:val="99"/>
    <w:pPr>
      <w:widowControl/>
      <w:jc w:val="left"/>
    </w:pPr>
    <w:rPr>
      <w:rFonts w:ascii="宋体" w:hAnsi="Courier New"/>
      <w:kern w:val="0"/>
      <w:sz w:val="24"/>
      <w:szCs w:val="20"/>
    </w:rPr>
  </w:style>
  <w:style w:type="paragraph" w:customStyle="1" w:styleId="482">
    <w:name w:val="Char Char1 Char Char Char Char Char Char Char Char Char Char"/>
    <w:basedOn w:val="1"/>
    <w:qFormat/>
    <w:uiPriority w:val="0"/>
    <w:rPr>
      <w:rFonts w:ascii="Tahoma" w:hAnsi="Tahoma"/>
      <w:sz w:val="24"/>
      <w:szCs w:val="20"/>
    </w:rPr>
  </w:style>
  <w:style w:type="paragraph" w:customStyle="1" w:styleId="483">
    <w:name w:val="章节副题目"/>
    <w:basedOn w:val="54"/>
    <w:qFormat/>
    <w:uiPriority w:val="99"/>
    <w:pPr>
      <w:keepNext/>
      <w:keepLines/>
      <w:widowControl/>
      <w:adjustRightInd w:val="0"/>
      <w:spacing w:before="140" w:after="420" w:line="240" w:lineRule="auto"/>
      <w:textAlignment w:val="baseline"/>
      <w:outlineLvl w:val="9"/>
    </w:pPr>
    <w:rPr>
      <w:rFonts w:ascii="Garamond" w:hAnsi="Garamond" w:eastAsia="楷体_GB2312"/>
      <w:bCs w:val="0"/>
      <w:smallCaps/>
      <w:spacing w:val="20"/>
      <w:kern w:val="20"/>
      <w:sz w:val="27"/>
      <w:szCs w:val="20"/>
    </w:rPr>
  </w:style>
  <w:style w:type="paragraph" w:customStyle="1" w:styleId="484">
    <w:name w:val="章标题"/>
    <w:next w:val="485"/>
    <w:qFormat/>
    <w:uiPriority w:val="99"/>
    <w:pPr>
      <w:tabs>
        <w:tab w:val="left" w:pos="1305"/>
      </w:tabs>
      <w:spacing w:beforeLines="50" w:afterLines="50"/>
      <w:ind w:left="1305" w:hanging="885"/>
      <w:jc w:val="both"/>
      <w:outlineLvl w:val="1"/>
    </w:pPr>
    <w:rPr>
      <w:rFonts w:ascii="黑体" w:hAnsi="Times New Roman" w:eastAsia="黑体" w:cs="Times New Roman"/>
      <w:sz w:val="21"/>
      <w:lang w:val="en-US" w:eastAsia="zh-CN" w:bidi="ar-SA"/>
    </w:rPr>
  </w:style>
  <w:style w:type="paragraph" w:customStyle="1" w:styleId="48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6">
    <w:name w:val="表格名"/>
    <w:basedOn w:val="1"/>
    <w:qFormat/>
    <w:uiPriority w:val="0"/>
    <w:pPr>
      <w:adjustRightInd w:val="0"/>
      <w:snapToGrid w:val="0"/>
      <w:spacing w:beforeLines="50"/>
      <w:jc w:val="center"/>
    </w:pPr>
    <w:rPr>
      <w:rFonts w:eastAsia="黑体"/>
      <w:sz w:val="24"/>
      <w:szCs w:val="20"/>
    </w:rPr>
  </w:style>
  <w:style w:type="paragraph" w:customStyle="1" w:styleId="487">
    <w:name w:val="日期1"/>
    <w:basedOn w:val="1"/>
    <w:next w:val="1"/>
    <w:qFormat/>
    <w:uiPriority w:val="99"/>
    <w:pPr>
      <w:widowControl/>
      <w:jc w:val="left"/>
    </w:pPr>
    <w:rPr>
      <w:kern w:val="0"/>
      <w:sz w:val="24"/>
      <w:szCs w:val="20"/>
    </w:rPr>
  </w:style>
  <w:style w:type="paragraph" w:customStyle="1" w:styleId="48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b/>
      <w:kern w:val="0"/>
      <w:sz w:val="22"/>
      <w:szCs w:val="20"/>
    </w:rPr>
  </w:style>
  <w:style w:type="paragraph" w:customStyle="1" w:styleId="489">
    <w:name w:val="font6"/>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490">
    <w:name w:val="CM84"/>
    <w:basedOn w:val="86"/>
    <w:next w:val="86"/>
    <w:qFormat/>
    <w:uiPriority w:val="99"/>
    <w:rPr>
      <w:rFonts w:ascii="黑体" w:eastAsia="黑体" w:cs="黑体"/>
      <w:color w:val="auto"/>
      <w:szCs w:val="24"/>
    </w:rPr>
  </w:style>
  <w:style w:type="paragraph" w:customStyle="1" w:styleId="491">
    <w:name w:val="Char Char Char11"/>
    <w:basedOn w:val="1"/>
    <w:qFormat/>
    <w:uiPriority w:val="0"/>
    <w:rPr>
      <w:rFonts w:ascii="Tahoma" w:hAnsi="Tahoma"/>
      <w:sz w:val="24"/>
      <w:szCs w:val="20"/>
    </w:rPr>
  </w:style>
  <w:style w:type="paragraph" w:customStyle="1" w:styleId="492">
    <w:name w:val="xl60"/>
    <w:basedOn w:val="1"/>
    <w:qFormat/>
    <w:uiPriority w:val="0"/>
    <w:pPr>
      <w:widowControl/>
      <w:spacing w:before="100" w:beforeAutospacing="1" w:after="100" w:afterAutospacing="1"/>
      <w:jc w:val="center"/>
      <w:textAlignment w:val="center"/>
    </w:pPr>
    <w:rPr>
      <w:rFonts w:ascii="宋体" w:hAnsi="宋体"/>
      <w:b/>
      <w:kern w:val="0"/>
      <w:sz w:val="32"/>
      <w:szCs w:val="20"/>
    </w:rPr>
  </w:style>
  <w:style w:type="paragraph" w:customStyle="1" w:styleId="493">
    <w:name w:val="正文41"/>
    <w:qFormat/>
    <w:uiPriority w:val="99"/>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94">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95">
    <w:name w:val="Char"/>
    <w:basedOn w:val="1"/>
    <w:qFormat/>
    <w:uiPriority w:val="0"/>
    <w:pPr>
      <w:tabs>
        <w:tab w:val="left" w:pos="360"/>
      </w:tabs>
    </w:pPr>
    <w:rPr>
      <w:sz w:val="24"/>
    </w:rPr>
  </w:style>
  <w:style w:type="paragraph" w:customStyle="1" w:styleId="496">
    <w:name w:val="基准页脚样式"/>
    <w:basedOn w:val="27"/>
    <w:qFormat/>
    <w:uiPriority w:val="99"/>
    <w:pPr>
      <w:keepLines/>
      <w:widowControl/>
      <w:adjustRightInd w:val="0"/>
      <w:spacing w:after="240" w:line="200" w:lineRule="atLeast"/>
      <w:jc w:val="left"/>
      <w:textAlignment w:val="baseline"/>
    </w:pPr>
    <w:rPr>
      <w:rFonts w:ascii="Garamond" w:hAnsi="Garamond"/>
      <w:kern w:val="0"/>
      <w:sz w:val="18"/>
      <w:szCs w:val="20"/>
    </w:rPr>
  </w:style>
  <w:style w:type="paragraph" w:customStyle="1" w:styleId="497">
    <w:name w:val="修订2"/>
    <w:qFormat/>
    <w:uiPriority w:val="0"/>
    <w:rPr>
      <w:rFonts w:ascii="Times New Roman" w:hAnsi="Times New Roman" w:eastAsia="宋体" w:cs="Times New Roman"/>
      <w:kern w:val="2"/>
      <w:sz w:val="21"/>
      <w:szCs w:val="24"/>
      <w:lang w:val="en-US" w:eastAsia="zh-CN" w:bidi="ar-SA"/>
    </w:rPr>
  </w:style>
  <w:style w:type="paragraph" w:customStyle="1" w:styleId="498">
    <w:name w:val="样式2"/>
    <w:basedOn w:val="6"/>
    <w:qFormat/>
    <w:uiPriority w:val="99"/>
  </w:style>
  <w:style w:type="paragraph" w:customStyle="1" w:styleId="49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2"/>
      <w:szCs w:val="20"/>
    </w:rPr>
  </w:style>
  <w:style w:type="paragraph" w:customStyle="1" w:styleId="500">
    <w:name w:val="Char Char Char Char Char Char Char Char Char Char Char Char Char Char Char Char"/>
    <w:basedOn w:val="1"/>
    <w:qFormat/>
    <w:uiPriority w:val="99"/>
    <w:pPr>
      <w:spacing w:line="330" w:lineRule="atLeast"/>
      <w:ind w:left="360" w:firstLine="360" w:firstLineChars="150"/>
      <w:jc w:val="left"/>
    </w:pPr>
  </w:style>
  <w:style w:type="paragraph" w:customStyle="1" w:styleId="501">
    <w:name w:val="正文文本 21"/>
    <w:basedOn w:val="1"/>
    <w:qFormat/>
    <w:uiPriority w:val="0"/>
    <w:pPr>
      <w:adjustRightInd w:val="0"/>
      <w:spacing w:line="360" w:lineRule="auto"/>
      <w:ind w:right="1841" w:firstLine="420"/>
      <w:jc w:val="left"/>
      <w:textAlignment w:val="baseline"/>
    </w:pPr>
    <w:rPr>
      <w:sz w:val="24"/>
      <w:szCs w:val="20"/>
    </w:rPr>
  </w:style>
  <w:style w:type="paragraph" w:customStyle="1" w:styleId="50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503">
    <w:name w:val="缩进编号1"/>
    <w:qFormat/>
    <w:uiPriority w:val="0"/>
    <w:pPr>
      <w:tabs>
        <w:tab w:val="left" w:pos="1701"/>
      </w:tabs>
      <w:adjustRightInd w:val="0"/>
      <w:snapToGrid w:val="0"/>
      <w:spacing w:beforeLines="70" w:afterLines="70" w:line="360" w:lineRule="exact"/>
      <w:ind w:left="1701" w:hanging="680"/>
      <w:jc w:val="both"/>
    </w:pPr>
    <w:rPr>
      <w:rFonts w:ascii="宋体" w:hAnsi="宋体" w:eastAsia="宋体" w:cs="Arial"/>
      <w:spacing w:val="30"/>
      <w:sz w:val="24"/>
      <w:szCs w:val="24"/>
      <w:lang w:val="en-US" w:eastAsia="zh-CN" w:bidi="ar-SA"/>
    </w:rPr>
  </w:style>
  <w:style w:type="paragraph" w:customStyle="1" w:styleId="504">
    <w:name w:val="scc"/>
    <w:basedOn w:val="1"/>
    <w:qFormat/>
    <w:uiPriority w:val="0"/>
    <w:pPr>
      <w:adjustRightInd w:val="0"/>
      <w:spacing w:line="400" w:lineRule="atLeast"/>
      <w:jc w:val="center"/>
      <w:textAlignment w:val="baseline"/>
    </w:pPr>
    <w:rPr>
      <w:rFonts w:eastAsia="楷体_GB2312"/>
      <w:b/>
      <w:kern w:val="0"/>
      <w:sz w:val="24"/>
      <w:szCs w:val="20"/>
    </w:rPr>
  </w:style>
  <w:style w:type="paragraph" w:customStyle="1" w:styleId="505">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2"/>
      <w:szCs w:val="20"/>
    </w:rPr>
  </w:style>
  <w:style w:type="paragraph" w:customStyle="1" w:styleId="506">
    <w:name w:val="偶页脚样式"/>
    <w:basedOn w:val="47"/>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507">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508">
    <w:name w:val="基准页眉样式"/>
    <w:basedOn w:val="27"/>
    <w:qFormat/>
    <w:uiPriority w:val="99"/>
    <w:pPr>
      <w:keepLines/>
      <w:widowControl/>
      <w:tabs>
        <w:tab w:val="center" w:pos="-18551"/>
        <w:tab w:val="right" w:pos="4320"/>
      </w:tabs>
      <w:adjustRightInd w:val="0"/>
      <w:spacing w:after="0" w:line="240" w:lineRule="atLeast"/>
      <w:jc w:val="center"/>
      <w:textAlignment w:val="baseline"/>
    </w:pPr>
    <w:rPr>
      <w:rFonts w:ascii="Garamond" w:hAnsi="Garamond"/>
      <w:smallCaps/>
      <w:spacing w:val="15"/>
      <w:kern w:val="0"/>
      <w:szCs w:val="20"/>
    </w:rPr>
  </w:style>
  <w:style w:type="paragraph" w:customStyle="1" w:styleId="509">
    <w:name w:val="样式 标题 2 + Times New Roman 四号 非加粗 段前: 5 磅 段后: 0 磅 行距: 固定值 20..."/>
    <w:basedOn w:val="5"/>
    <w:qFormat/>
    <w:uiPriority w:val="99"/>
    <w:pPr>
      <w:spacing w:before="100" w:after="0" w:line="400" w:lineRule="exact"/>
    </w:pPr>
    <w:rPr>
      <w:rFonts w:ascii="Times New Roman" w:hAnsi="Times New Roman" w:cs="宋体"/>
      <w:b w:val="0"/>
      <w:bCs w:val="0"/>
      <w:sz w:val="28"/>
      <w:szCs w:val="20"/>
    </w:rPr>
  </w:style>
  <w:style w:type="paragraph" w:customStyle="1" w:styleId="510">
    <w:name w:val="Char Char Char1 Char Char Char Char Char Char Char Char Char Char Char Char"/>
    <w:basedOn w:val="1"/>
    <w:qFormat/>
    <w:uiPriority w:val="99"/>
    <w:pPr>
      <w:adjustRightInd w:val="0"/>
      <w:spacing w:line="315" w:lineRule="atLeast"/>
      <w:jc w:val="left"/>
      <w:textAlignment w:val="baseline"/>
    </w:pPr>
    <w:rPr>
      <w:rFonts w:ascii="宋体"/>
      <w:kern w:val="0"/>
      <w:sz w:val="24"/>
      <w:szCs w:val="20"/>
    </w:rPr>
  </w:style>
  <w:style w:type="paragraph" w:customStyle="1" w:styleId="511">
    <w:name w:val="2级标题"/>
    <w:basedOn w:val="187"/>
    <w:qFormat/>
    <w:uiPriority w:val="0"/>
    <w:pPr>
      <w:tabs>
        <w:tab w:val="left" w:pos="1620"/>
        <w:tab w:val="clear" w:pos="1200"/>
      </w:tabs>
      <w:ind w:left="1620"/>
      <w:outlineLvl w:val="2"/>
    </w:pPr>
  </w:style>
  <w:style w:type="paragraph" w:customStyle="1" w:styleId="512">
    <w:name w:val="编号"/>
    <w:basedOn w:val="287"/>
    <w:qFormat/>
    <w:uiPriority w:val="99"/>
    <w:pPr>
      <w:ind w:left="1077" w:hanging="510"/>
    </w:pPr>
    <w:rPr>
      <w:rFonts w:eastAsia="楷体_GB2312"/>
    </w:rPr>
  </w:style>
  <w:style w:type="paragraph" w:customStyle="1" w:styleId="513">
    <w:name w:val="Char1 Char Char Char"/>
    <w:basedOn w:val="1"/>
    <w:qFormat/>
    <w:uiPriority w:val="0"/>
    <w:pPr>
      <w:spacing w:line="360" w:lineRule="auto"/>
      <w:jc w:val="left"/>
    </w:pPr>
    <w:rPr>
      <w:rFonts w:eastAsia="仿宋_GB2312"/>
      <w:b/>
      <w:sz w:val="32"/>
      <w:szCs w:val="20"/>
    </w:rPr>
  </w:style>
  <w:style w:type="paragraph" w:customStyle="1" w:styleId="51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kern w:val="0"/>
      <w:sz w:val="22"/>
      <w:szCs w:val="20"/>
    </w:rPr>
  </w:style>
  <w:style w:type="paragraph" w:customStyle="1" w:styleId="515">
    <w:name w:val="Char Char Char Char1 Char Char Char"/>
    <w:basedOn w:val="1"/>
    <w:qFormat/>
    <w:uiPriority w:val="99"/>
  </w:style>
  <w:style w:type="paragraph" w:customStyle="1" w:styleId="516">
    <w:name w:val="第二章样式1.1.1.1"/>
    <w:qFormat/>
    <w:uiPriority w:val="0"/>
    <w:pPr>
      <w:tabs>
        <w:tab w:val="left" w:pos="964"/>
      </w:tabs>
      <w:spacing w:beforeLines="70" w:afterLines="70" w:line="360" w:lineRule="exact"/>
      <w:ind w:left="964" w:hanging="964"/>
      <w:jc w:val="both"/>
    </w:pPr>
    <w:rPr>
      <w:rFonts w:ascii="宋体" w:hAnsi="宋体" w:eastAsia="宋体" w:cs="Times New Roman"/>
      <w:color w:val="000000"/>
      <w:spacing w:val="20"/>
      <w:kern w:val="2"/>
      <w:sz w:val="24"/>
      <w:szCs w:val="24"/>
      <w:lang w:val="en-US" w:eastAsia="zh-CN" w:bidi="ar-SA"/>
    </w:rPr>
  </w:style>
  <w:style w:type="paragraph" w:customStyle="1" w:styleId="517">
    <w:name w:val="末级"/>
    <w:basedOn w:val="1"/>
    <w:qFormat/>
    <w:uiPriority w:val="0"/>
    <w:pPr>
      <w:tabs>
        <w:tab w:val="left" w:pos="4605"/>
      </w:tabs>
      <w:spacing w:line="360" w:lineRule="auto"/>
      <w:ind w:left="1484" w:leftChars="500" w:hanging="284"/>
    </w:pPr>
    <w:rPr>
      <w:sz w:val="24"/>
      <w:szCs w:val="20"/>
    </w:rPr>
  </w:style>
  <w:style w:type="paragraph" w:customStyle="1" w:styleId="518">
    <w:name w:val="样式 样式 样式 样式 第六行 + 左侧:  -2 字符 段前: 2 行 + 左侧:  -10 字符 段前: 2 行 + 左侧:..."/>
    <w:basedOn w:val="330"/>
    <w:qFormat/>
    <w:uiPriority w:val="0"/>
    <w:pPr>
      <w:ind w:left="-1000" w:leftChars="-1000"/>
    </w:pPr>
  </w:style>
  <w:style w:type="paragraph" w:customStyle="1" w:styleId="519">
    <w:name w:val="第二章样式1.1.1"/>
    <w:qFormat/>
    <w:uiPriority w:val="0"/>
    <w:pPr>
      <w:tabs>
        <w:tab w:val="left" w:pos="964"/>
      </w:tabs>
      <w:spacing w:beforeLines="70" w:afterLines="70" w:line="360" w:lineRule="auto"/>
      <w:ind w:left="964" w:hanging="964"/>
      <w:jc w:val="both"/>
      <w:outlineLvl w:val="2"/>
    </w:pPr>
    <w:rPr>
      <w:rFonts w:ascii="宋体" w:hAnsi="宋体" w:eastAsia="宋体" w:cs="Times New Roman"/>
      <w:color w:val="000000"/>
      <w:spacing w:val="30"/>
      <w:sz w:val="24"/>
      <w:szCs w:val="24"/>
      <w:lang w:val="en-US" w:eastAsia="zh-CN" w:bidi="ar-SA"/>
    </w:rPr>
  </w:style>
  <w:style w:type="paragraph" w:customStyle="1" w:styleId="520">
    <w:name w:val="Char Char Char Char Char Char"/>
    <w:basedOn w:val="1"/>
    <w:qFormat/>
    <w:uiPriority w:val="99"/>
  </w:style>
  <w:style w:type="paragraph" w:customStyle="1" w:styleId="521">
    <w:name w:val="Char Char Char Char Char Char Char Char Char Char Char Char Char Char Char Char Char Char Char Char Char Char Char Char Char Char1"/>
    <w:basedOn w:val="1"/>
    <w:qFormat/>
    <w:uiPriority w:val="99"/>
    <w:rPr>
      <w:sz w:val="28"/>
      <w:szCs w:val="20"/>
    </w:rPr>
  </w:style>
  <w:style w:type="paragraph" w:customStyle="1" w:styleId="52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523">
    <w:name w:val="章节号"/>
    <w:basedOn w:val="342"/>
    <w:qFormat/>
    <w:uiPriority w:val="99"/>
  </w:style>
  <w:style w:type="paragraph" w:customStyle="1" w:styleId="524">
    <w:name w:val="公表文"/>
    <w:basedOn w:val="1"/>
    <w:qFormat/>
    <w:uiPriority w:val="0"/>
    <w:pPr>
      <w:adjustRightInd w:val="0"/>
      <w:snapToGrid w:val="0"/>
      <w:spacing w:beforeLines="30" w:afterLines="30"/>
      <w:jc w:val="center"/>
    </w:pPr>
    <w:rPr>
      <w:rFonts w:ascii="宋体" w:hAnsi="宋体" w:eastAsia="楷体_GB2312"/>
      <w:szCs w:val="20"/>
    </w:rPr>
  </w:style>
  <w:style w:type="paragraph" w:customStyle="1" w:styleId="525">
    <w:name w:val="qp3"/>
    <w:basedOn w:val="6"/>
    <w:qFormat/>
    <w:uiPriority w:val="99"/>
    <w:pPr>
      <w:keepLines w:val="0"/>
      <w:tabs>
        <w:tab w:val="left" w:pos="720"/>
        <w:tab w:val="left" w:pos="1050"/>
        <w:tab w:val="left" w:pos="2372"/>
      </w:tabs>
      <w:adjustRightInd w:val="0"/>
      <w:spacing w:before="0" w:after="0" w:line="420" w:lineRule="atLeast"/>
      <w:ind w:firstLine="570"/>
      <w:textAlignment w:val="baseline"/>
      <w:outlineLvl w:val="9"/>
    </w:pPr>
    <w:rPr>
      <w:rFonts w:ascii="宋体"/>
      <w:b w:val="0"/>
      <w:bCs w:val="0"/>
      <w:sz w:val="24"/>
      <w:szCs w:val="20"/>
    </w:rPr>
  </w:style>
  <w:style w:type="paragraph" w:customStyle="1" w:styleId="526">
    <w:name w:val="样式 居中 段前: 0.5 行 段后: 0.5 行"/>
    <w:basedOn w:val="1"/>
    <w:qFormat/>
    <w:uiPriority w:val="0"/>
    <w:pPr>
      <w:adjustRightInd w:val="0"/>
      <w:spacing w:beforeLines="50" w:afterLines="50" w:line="360" w:lineRule="auto"/>
      <w:ind w:firstLine="200" w:firstLineChars="200"/>
      <w:jc w:val="center"/>
    </w:pPr>
    <w:rPr>
      <w:b/>
      <w:sz w:val="24"/>
      <w:szCs w:val="20"/>
    </w:rPr>
  </w:style>
  <w:style w:type="paragraph" w:customStyle="1" w:styleId="527">
    <w:name w:val="1名"/>
    <w:basedOn w:val="1"/>
    <w:qFormat/>
    <w:uiPriority w:val="0"/>
    <w:pPr>
      <w:tabs>
        <w:tab w:val="left" w:pos="360"/>
      </w:tabs>
      <w:spacing w:before="120"/>
      <w:ind w:left="360" w:hanging="360"/>
    </w:pPr>
    <w:rPr>
      <w:rFonts w:ascii="宋体"/>
      <w:sz w:val="28"/>
      <w:szCs w:val="20"/>
    </w:rPr>
  </w:style>
  <w:style w:type="paragraph" w:customStyle="1" w:styleId="528">
    <w:name w:val="菲页(卷)"/>
    <w:basedOn w:val="4"/>
    <w:next w:val="529"/>
    <w:qFormat/>
    <w:uiPriority w:val="0"/>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lang w:val="zh-CN"/>
    </w:rPr>
  </w:style>
  <w:style w:type="paragraph" w:customStyle="1" w:styleId="529">
    <w:name w:val="正文12"/>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30">
    <w:name w:val="奇页脚样式"/>
    <w:basedOn w:val="47"/>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531">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2"/>
      <w:szCs w:val="20"/>
    </w:rPr>
  </w:style>
  <w:style w:type="paragraph" w:customStyle="1" w:styleId="532">
    <w:name w:val="CM27"/>
    <w:basedOn w:val="1"/>
    <w:next w:val="1"/>
    <w:qFormat/>
    <w:uiPriority w:val="0"/>
    <w:pPr>
      <w:autoSpaceDE w:val="0"/>
      <w:autoSpaceDN w:val="0"/>
      <w:adjustRightInd w:val="0"/>
      <w:spacing w:after="128"/>
      <w:jc w:val="left"/>
    </w:pPr>
    <w:rPr>
      <w:rFonts w:ascii="宋体"/>
      <w:kern w:val="0"/>
      <w:sz w:val="24"/>
      <w:szCs w:val="20"/>
    </w:rPr>
  </w:style>
  <w:style w:type="paragraph" w:customStyle="1" w:styleId="533">
    <w:name w:val="Char Char Char Char Char Char Char Char1 Char"/>
    <w:basedOn w:val="1"/>
    <w:qFormat/>
    <w:uiPriority w:val="0"/>
    <w:rPr>
      <w:rFonts w:ascii="Tahoma" w:hAnsi="Tahoma"/>
      <w:sz w:val="24"/>
      <w:szCs w:val="20"/>
    </w:rPr>
  </w:style>
  <w:style w:type="paragraph" w:customStyle="1" w:styleId="534">
    <w:name w:val="3"/>
    <w:basedOn w:val="1"/>
    <w:qFormat/>
    <w:uiPriority w:val="0"/>
    <w:pPr>
      <w:spacing w:line="264" w:lineRule="auto"/>
      <w:ind w:firstLine="560" w:firstLineChars="200"/>
    </w:pPr>
    <w:rPr>
      <w:rFonts w:ascii="宋体" w:hAnsi="宋体"/>
      <w:sz w:val="28"/>
      <w:szCs w:val="20"/>
    </w:rPr>
  </w:style>
  <w:style w:type="paragraph" w:customStyle="1" w:styleId="535">
    <w:name w:val="普通(网站)1"/>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53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37">
    <w:name w:val="font5"/>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538">
    <w:name w:val="样式 标题 3 + +"/>
    <w:basedOn w:val="1"/>
    <w:qFormat/>
    <w:uiPriority w:val="99"/>
    <w:pPr>
      <w:keepNext/>
      <w:adjustRightInd w:val="0"/>
      <w:spacing w:beforeLines="50" w:afterLines="50" w:line="312" w:lineRule="auto"/>
      <w:ind w:firstLine="480" w:firstLineChars="200"/>
      <w:textAlignment w:val="baseline"/>
      <w:outlineLvl w:val="2"/>
    </w:pPr>
    <w:rPr>
      <w:rFonts w:eastAsia="仿宋_GB2312" w:cs="宋体"/>
      <w:b/>
      <w:bCs/>
      <w:kern w:val="0"/>
      <w:sz w:val="24"/>
      <w:szCs w:val="20"/>
    </w:rPr>
  </w:style>
  <w:style w:type="paragraph" w:customStyle="1" w:styleId="539">
    <w:name w:val="正文3"/>
    <w:qFormat/>
    <w:uiPriority w:val="99"/>
    <w:pPr>
      <w:widowControl w:val="0"/>
      <w:adjustRightInd w:val="0"/>
      <w:spacing w:line="312" w:lineRule="atLeast"/>
      <w:jc w:val="both"/>
      <w:textAlignment w:val="baseline"/>
    </w:pPr>
    <w:rPr>
      <w:rFonts w:ascii="Arial" w:hAnsi="Times New Roman" w:eastAsia="宋体" w:cs="Times New Roman"/>
      <w:sz w:val="34"/>
      <w:lang w:val="en-US" w:eastAsia="zh-CN" w:bidi="ar-SA"/>
    </w:rPr>
  </w:style>
  <w:style w:type="paragraph" w:customStyle="1" w:styleId="540">
    <w:name w:val="_Style 6"/>
    <w:basedOn w:val="1"/>
    <w:qFormat/>
    <w:uiPriority w:val="0"/>
    <w:pPr>
      <w:widowControl/>
      <w:ind w:firstLine="420" w:firstLineChars="200"/>
      <w:jc w:val="left"/>
    </w:pPr>
    <w:rPr>
      <w:kern w:val="0"/>
      <w:sz w:val="20"/>
      <w:szCs w:val="20"/>
    </w:rPr>
  </w:style>
  <w:style w:type="paragraph" w:customStyle="1" w:styleId="541">
    <w:name w:val="基准目录样式"/>
    <w:basedOn w:val="1"/>
    <w:qFormat/>
    <w:uiPriority w:val="99"/>
    <w:pPr>
      <w:widowControl/>
      <w:tabs>
        <w:tab w:val="right" w:leader="dot" w:pos="-18551"/>
      </w:tabs>
      <w:adjustRightInd w:val="0"/>
      <w:spacing w:after="240" w:line="240" w:lineRule="atLeast"/>
      <w:jc w:val="left"/>
      <w:textAlignment w:val="baseline"/>
    </w:pPr>
    <w:rPr>
      <w:rFonts w:ascii="Garamond" w:hAnsi="Garamond"/>
      <w:kern w:val="0"/>
      <w:sz w:val="22"/>
      <w:szCs w:val="20"/>
    </w:rPr>
  </w:style>
  <w:style w:type="paragraph" w:customStyle="1" w:styleId="542">
    <w:name w:val="Table Paragraph"/>
    <w:basedOn w:val="1"/>
    <w:qFormat/>
    <w:uiPriority w:val="1"/>
    <w:pPr>
      <w:jc w:val="left"/>
    </w:pPr>
    <w:rPr>
      <w:rFonts w:ascii="Calibri" w:hAnsi="Calibri"/>
      <w:kern w:val="0"/>
      <w:sz w:val="22"/>
      <w:szCs w:val="22"/>
      <w:lang w:eastAsia="en-US"/>
    </w:rPr>
  </w:style>
  <w:style w:type="paragraph" w:customStyle="1" w:styleId="543">
    <w:name w:val="table"/>
    <w:basedOn w:val="1"/>
    <w:qFormat/>
    <w:uiPriority w:val="99"/>
    <w:pPr>
      <w:widowControl/>
      <w:overflowPunct w:val="0"/>
      <w:autoSpaceDE w:val="0"/>
      <w:autoSpaceDN w:val="0"/>
      <w:adjustRightInd w:val="0"/>
      <w:spacing w:before="60" w:after="60" w:line="315" w:lineRule="atLeast"/>
      <w:jc w:val="center"/>
      <w:textAlignment w:val="baseline"/>
    </w:pPr>
    <w:rPr>
      <w:rFonts w:ascii="仿宋体" w:eastAsia="仿宋体"/>
      <w:kern w:val="0"/>
      <w:sz w:val="24"/>
      <w:szCs w:val="20"/>
    </w:rPr>
  </w:style>
  <w:style w:type="paragraph" w:customStyle="1" w:styleId="5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2"/>
      <w:szCs w:val="20"/>
    </w:rPr>
  </w:style>
  <w:style w:type="paragraph" w:customStyle="1" w:styleId="545">
    <w:name w:val="Char Char Char Char Char Char Char Char1 Char1"/>
    <w:basedOn w:val="1"/>
    <w:qFormat/>
    <w:uiPriority w:val="0"/>
    <w:rPr>
      <w:rFonts w:ascii="Tahoma" w:hAnsi="Tahoma"/>
      <w:sz w:val="24"/>
      <w:szCs w:val="20"/>
    </w:rPr>
  </w:style>
  <w:style w:type="paragraph" w:customStyle="1" w:styleId="546">
    <w:name w:val="编号-1"/>
    <w:basedOn w:val="1"/>
    <w:qFormat/>
    <w:uiPriority w:val="0"/>
    <w:pPr>
      <w:adjustRightInd w:val="0"/>
      <w:snapToGrid w:val="0"/>
      <w:spacing w:line="520" w:lineRule="exact"/>
    </w:pPr>
    <w:rPr>
      <w:rFonts w:eastAsia="黑体"/>
      <w:sz w:val="24"/>
      <w:szCs w:val="20"/>
    </w:rPr>
  </w:style>
  <w:style w:type="paragraph" w:customStyle="1" w:styleId="547">
    <w:name w:val="正文2"/>
    <w:basedOn w:val="1"/>
    <w:qFormat/>
    <w:uiPriority w:val="99"/>
    <w:pPr>
      <w:spacing w:line="360" w:lineRule="auto"/>
      <w:ind w:right="200" w:rightChars="200"/>
      <w:jc w:val="right"/>
    </w:pPr>
    <w:rPr>
      <w:rFonts w:ascii="宋体"/>
      <w:szCs w:val="20"/>
    </w:rPr>
  </w:style>
  <w:style w:type="paragraph" w:customStyle="1" w:styleId="548">
    <w:name w:val="Char Char Char2 Char Char Char Char"/>
    <w:basedOn w:val="1"/>
    <w:qFormat/>
    <w:uiPriority w:val="99"/>
    <w:pPr>
      <w:adjustRightInd w:val="0"/>
      <w:spacing w:line="315" w:lineRule="atLeast"/>
      <w:jc w:val="left"/>
      <w:textAlignment w:val="baseline"/>
    </w:pPr>
    <w:rPr>
      <w:rFonts w:ascii="宋体"/>
      <w:kern w:val="0"/>
      <w:sz w:val="24"/>
      <w:szCs w:val="21"/>
    </w:rPr>
  </w:style>
  <w:style w:type="paragraph" w:customStyle="1" w:styleId="549">
    <w:name w:val="列出段落1"/>
    <w:basedOn w:val="1"/>
    <w:qFormat/>
    <w:uiPriority w:val="99"/>
    <w:pPr>
      <w:ind w:firstLine="420" w:firstLineChars="200"/>
    </w:pPr>
    <w:rPr>
      <w:rFonts w:ascii="Calibri" w:hAnsi="Calibri"/>
      <w:szCs w:val="22"/>
    </w:rPr>
  </w:style>
  <w:style w:type="paragraph" w:customStyle="1" w:styleId="550">
    <w:name w:val="块引用"/>
    <w:basedOn w:val="27"/>
    <w:qFormat/>
    <w:uiPriority w:val="99"/>
    <w:pPr>
      <w:keepLines/>
      <w:widowControl/>
      <w:pBdr>
        <w:top w:val="single" w:color="808080" w:sz="6" w:space="14"/>
        <w:left w:val="single" w:color="808080" w:sz="6" w:space="14"/>
        <w:bottom w:val="single" w:color="808080" w:sz="6" w:space="14"/>
        <w:right w:val="single" w:color="808080" w:sz="6" w:space="14"/>
      </w:pBdr>
      <w:adjustRightInd w:val="0"/>
      <w:spacing w:after="240" w:line="240" w:lineRule="atLeast"/>
      <w:ind w:left="720" w:right="720"/>
      <w:jc w:val="left"/>
      <w:textAlignment w:val="baseline"/>
    </w:pPr>
    <w:rPr>
      <w:rFonts w:ascii="Garamond" w:hAnsi="Garamond" w:eastAsia="楷体_GB2312"/>
      <w:i/>
      <w:kern w:val="0"/>
      <w:szCs w:val="20"/>
    </w:rPr>
  </w:style>
  <w:style w:type="paragraph" w:customStyle="1" w:styleId="55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552">
    <w:name w:val="第二行"/>
    <w:basedOn w:val="1"/>
    <w:qFormat/>
    <w:uiPriority w:val="0"/>
    <w:pPr>
      <w:spacing w:beforeLines="100" w:line="360" w:lineRule="auto"/>
      <w:jc w:val="center"/>
    </w:pPr>
    <w:rPr>
      <w:rFonts w:ascii="宋体"/>
      <w:b/>
      <w:sz w:val="36"/>
      <w:szCs w:val="20"/>
    </w:rPr>
  </w:style>
  <w:style w:type="paragraph" w:customStyle="1" w:styleId="553">
    <w:name w:val="偶页页眉样式"/>
    <w:basedOn w:val="48"/>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i/>
      <w:spacing w:val="10"/>
      <w:kern w:val="0"/>
      <w:sz w:val="21"/>
      <w:szCs w:val="20"/>
    </w:rPr>
  </w:style>
  <w:style w:type="paragraph" w:customStyle="1" w:styleId="554">
    <w:name w:val="字元1"/>
    <w:basedOn w:val="1"/>
    <w:qFormat/>
    <w:uiPriority w:val="0"/>
    <w:pPr>
      <w:tabs>
        <w:tab w:val="left" w:pos="1050"/>
      </w:tabs>
      <w:ind w:left="1050" w:hanging="480"/>
    </w:pPr>
  </w:style>
  <w:style w:type="paragraph" w:customStyle="1" w:styleId="555">
    <w:name w:val="修订11"/>
    <w:qFormat/>
    <w:uiPriority w:val="0"/>
    <w:rPr>
      <w:rFonts w:ascii="Times New Roman" w:hAnsi="Times New Roman" w:eastAsia="宋体" w:cs="Times New Roman"/>
      <w:kern w:val="2"/>
      <w:sz w:val="21"/>
      <w:lang w:val="en-US" w:eastAsia="zh-CN" w:bidi="ar-SA"/>
    </w:rPr>
  </w:style>
  <w:style w:type="paragraph" w:customStyle="1" w:styleId="556">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557">
    <w:name w:val="Char Char Char Char Char Char1 Char Char Char Char Char Char"/>
    <w:basedOn w:val="1"/>
    <w:qFormat/>
    <w:uiPriority w:val="99"/>
  </w:style>
  <w:style w:type="paragraph" w:customStyle="1" w:styleId="558">
    <w:name w:val="公司名"/>
    <w:basedOn w:val="27"/>
    <w:qFormat/>
    <w:uiPriority w:val="99"/>
    <w:pPr>
      <w:keepLines/>
      <w:framePr w:w="8640" w:h="1440" w:wrap="notBeside" w:vAnchor="page" w:hAnchor="margin" w:xAlign="center" w:y="889"/>
      <w:widowControl/>
      <w:adjustRightInd w:val="0"/>
      <w:spacing w:after="40" w:line="240" w:lineRule="atLeast"/>
      <w:jc w:val="center"/>
      <w:textAlignment w:val="baseline"/>
    </w:pPr>
    <w:rPr>
      <w:rFonts w:ascii="Garamond" w:hAnsi="Garamond"/>
      <w:caps/>
      <w:spacing w:val="75"/>
      <w:kern w:val="18"/>
      <w:szCs w:val="20"/>
    </w:rPr>
  </w:style>
  <w:style w:type="paragraph" w:customStyle="1" w:styleId="559">
    <w:name w:val="Char3"/>
    <w:basedOn w:val="1"/>
    <w:qFormat/>
    <w:uiPriority w:val="0"/>
    <w:pPr>
      <w:spacing w:line="360" w:lineRule="auto"/>
      <w:ind w:firstLine="482"/>
    </w:pPr>
    <w:rPr>
      <w:sz w:val="24"/>
      <w:szCs w:val="20"/>
    </w:rPr>
  </w:style>
  <w:style w:type="paragraph" w:customStyle="1" w:styleId="560">
    <w:name w:val="TOC 标题11"/>
    <w:basedOn w:val="4"/>
    <w:next w:val="1"/>
    <w:qFormat/>
    <w:uiPriority w:val="0"/>
    <w:pPr>
      <w:widowControl/>
      <w:tabs>
        <w:tab w:val="left" w:pos="432"/>
      </w:tabs>
      <w:spacing w:line="578" w:lineRule="auto"/>
      <w:jc w:val="left"/>
      <w:outlineLvl w:val="9"/>
    </w:pPr>
  </w:style>
  <w:style w:type="paragraph" w:customStyle="1" w:styleId="561">
    <w:name w:val="样式 标题 3 + (中文) 黑体 小四 非加粗 段前: 7.8 磅 段后: 0 磅 行距: 固定值 20 磅"/>
    <w:basedOn w:val="6"/>
    <w:qFormat/>
    <w:uiPriority w:val="99"/>
    <w:pPr>
      <w:spacing w:before="0" w:after="0" w:line="400" w:lineRule="exact"/>
    </w:pPr>
    <w:rPr>
      <w:rFonts w:eastAsia="黑体" w:cs="宋体"/>
      <w:b w:val="0"/>
      <w:bCs w:val="0"/>
      <w:sz w:val="24"/>
      <w:szCs w:val="20"/>
    </w:rPr>
  </w:style>
  <w:style w:type="paragraph" w:customStyle="1" w:styleId="562">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kern w:val="0"/>
      <w:sz w:val="22"/>
      <w:szCs w:val="20"/>
    </w:rPr>
  </w:style>
  <w:style w:type="paragraph" w:customStyle="1" w:styleId="563">
    <w:name w:val="Char Char Char Char Char Char Char Char Char Char Char Char Char Char Char Char Char Char Char Char Char Char Char Char Char"/>
    <w:basedOn w:val="1"/>
    <w:qFormat/>
    <w:uiPriority w:val="0"/>
  </w:style>
  <w:style w:type="paragraph" w:customStyle="1" w:styleId="564">
    <w:name w:val="font9"/>
    <w:basedOn w:val="1"/>
    <w:qFormat/>
    <w:uiPriority w:val="0"/>
    <w:pPr>
      <w:widowControl/>
      <w:spacing w:before="100" w:beforeAutospacing="1" w:after="100" w:afterAutospacing="1"/>
      <w:jc w:val="left"/>
    </w:pPr>
    <w:rPr>
      <w:kern w:val="0"/>
      <w:sz w:val="22"/>
      <w:szCs w:val="20"/>
    </w:rPr>
  </w:style>
  <w:style w:type="paragraph" w:customStyle="1" w:styleId="565">
    <w:name w:val="奇页页眉样式"/>
    <w:basedOn w:val="48"/>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566">
    <w:name w:val="xl50"/>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567">
    <w:name w:val="合同三级标题"/>
    <w:basedOn w:val="6"/>
    <w:qFormat/>
    <w:uiPriority w:val="0"/>
    <w:pPr>
      <w:tabs>
        <w:tab w:val="left" w:pos="284"/>
        <w:tab w:val="left" w:pos="720"/>
      </w:tabs>
      <w:autoSpaceDE w:val="0"/>
      <w:autoSpaceDN w:val="0"/>
      <w:adjustRightInd w:val="0"/>
      <w:spacing w:before="0" w:after="0" w:line="240" w:lineRule="auto"/>
      <w:jc w:val="left"/>
    </w:pPr>
    <w:rPr>
      <w:rFonts w:eastAsia="黑体"/>
      <w:b w:val="0"/>
      <w:kern w:val="0"/>
      <w:position w:val="-1"/>
      <w:sz w:val="24"/>
      <w:szCs w:val="30"/>
    </w:rPr>
  </w:style>
  <w:style w:type="paragraph" w:customStyle="1" w:styleId="568">
    <w:name w:val="Char Char Char Char Char Char Char1"/>
    <w:basedOn w:val="1"/>
    <w:qFormat/>
    <w:uiPriority w:val="99"/>
    <w:pPr>
      <w:spacing w:beforeLines="50" w:afterLines="50" w:line="312" w:lineRule="auto"/>
      <w:ind w:firstLine="200" w:firstLineChars="200"/>
    </w:pPr>
    <w:rPr>
      <w:rFonts w:eastAsia="仿宋_GB2312"/>
      <w:sz w:val="24"/>
    </w:rPr>
  </w:style>
  <w:style w:type="paragraph" w:customStyle="1" w:styleId="569">
    <w:name w:val="Style1"/>
    <w:basedOn w:val="1"/>
    <w:qFormat/>
    <w:uiPriority w:val="0"/>
    <w:pPr>
      <w:widowControl/>
      <w:tabs>
        <w:tab w:val="left" w:pos="360"/>
        <w:tab w:val="left" w:pos="432"/>
      </w:tabs>
      <w:spacing w:before="120" w:after="120"/>
      <w:ind w:left="432" w:hanging="432"/>
    </w:pPr>
    <w:rPr>
      <w:rFonts w:ascii="Arial" w:hAnsi="Arial"/>
      <w:kern w:val="0"/>
      <w:sz w:val="22"/>
      <w:szCs w:val="20"/>
    </w:rPr>
  </w:style>
  <w:style w:type="paragraph" w:customStyle="1" w:styleId="570">
    <w:name w:val="Char Char Char Char Char Char Char Char Char1"/>
    <w:basedOn w:val="1"/>
    <w:qFormat/>
    <w:uiPriority w:val="99"/>
    <w:pPr>
      <w:spacing w:line="360" w:lineRule="auto"/>
      <w:ind w:firstLine="200" w:firstLineChars="200"/>
    </w:pPr>
    <w:rPr>
      <w:rFonts w:ascii="宋体" w:hAnsi="宋体" w:cs="宋体"/>
      <w:sz w:val="24"/>
    </w:rPr>
  </w:style>
  <w:style w:type="paragraph" w:customStyle="1" w:styleId="571">
    <w:name w:val="Char Char Char Char Char"/>
    <w:basedOn w:val="1"/>
    <w:qFormat/>
    <w:uiPriority w:val="99"/>
    <w:pPr>
      <w:widowControl/>
      <w:adjustRightInd w:val="0"/>
      <w:spacing w:after="160" w:line="240" w:lineRule="exact"/>
      <w:jc w:val="left"/>
      <w:textAlignment w:val="baseline"/>
    </w:pPr>
    <w:rPr>
      <w:rFonts w:ascii="Verdana" w:hAnsi="Verdana"/>
      <w:kern w:val="0"/>
      <w:sz w:val="24"/>
      <w:szCs w:val="20"/>
      <w:lang w:eastAsia="en-US"/>
    </w:rPr>
  </w:style>
  <w:style w:type="paragraph" w:customStyle="1" w:styleId="572">
    <w:name w:val="节标题"/>
    <w:basedOn w:val="4"/>
    <w:qFormat/>
    <w:uiPriority w:val="99"/>
    <w:pPr>
      <w:widowControl/>
      <w:pBdr>
        <w:top w:val="single" w:color="808080" w:sz="6" w:space="6"/>
        <w:bottom w:val="single" w:color="808080" w:sz="6" w:space="6"/>
      </w:pBdr>
      <w:adjustRightInd w:val="0"/>
      <w:spacing w:before="0" w:after="240" w:line="240" w:lineRule="atLeast"/>
      <w:jc w:val="center"/>
      <w:textAlignment w:val="baseline"/>
    </w:pPr>
    <w:rPr>
      <w:rFonts w:ascii="Garamond" w:hAnsi="Garamond"/>
      <w:bCs w:val="0"/>
      <w:caps/>
      <w:spacing w:val="20"/>
      <w:kern w:val="16"/>
      <w:sz w:val="18"/>
      <w:szCs w:val="20"/>
    </w:rPr>
  </w:style>
  <w:style w:type="paragraph" w:customStyle="1" w:styleId="573">
    <w:name w:val="_Style 89"/>
    <w:basedOn w:val="4"/>
    <w:next w:val="1"/>
    <w:qFormat/>
    <w:uiPriority w:val="99"/>
    <w:pPr>
      <w:widowControl/>
      <w:spacing w:beforeLines="50" w:afterLines="50" w:line="276" w:lineRule="auto"/>
      <w:jc w:val="left"/>
      <w:outlineLvl w:val="9"/>
    </w:pPr>
    <w:rPr>
      <w:rFonts w:ascii="Cambria" w:hAnsi="Cambria"/>
      <w:b w:val="0"/>
      <w:color w:val="365F91"/>
      <w:kern w:val="0"/>
      <w:sz w:val="30"/>
      <w:szCs w:val="28"/>
    </w:rPr>
  </w:style>
  <w:style w:type="paragraph" w:customStyle="1" w:styleId="574">
    <w:name w:val="n"/>
    <w:basedOn w:val="1"/>
    <w:qFormat/>
    <w:uiPriority w:val="99"/>
    <w:pPr>
      <w:autoSpaceDE w:val="0"/>
      <w:autoSpaceDN w:val="0"/>
      <w:adjustRightInd w:val="0"/>
      <w:spacing w:line="400" w:lineRule="atLeast"/>
      <w:textAlignment w:val="baseline"/>
    </w:pPr>
    <w:rPr>
      <w:rFonts w:ascii="宋体"/>
      <w:kern w:val="0"/>
      <w:sz w:val="24"/>
      <w:szCs w:val="20"/>
    </w:rPr>
  </w:style>
  <w:style w:type="paragraph" w:customStyle="1" w:styleId="575">
    <w:name w:val="默认段落字体 Para Char"/>
    <w:basedOn w:val="1"/>
    <w:qFormat/>
    <w:uiPriority w:val="99"/>
  </w:style>
  <w:style w:type="paragraph" w:customStyle="1" w:styleId="576">
    <w:name w:val="CM14"/>
    <w:basedOn w:val="86"/>
    <w:next w:val="86"/>
    <w:qFormat/>
    <w:uiPriority w:val="99"/>
    <w:pPr>
      <w:spacing w:line="396" w:lineRule="atLeast"/>
    </w:pPr>
    <w:rPr>
      <w:rFonts w:ascii="黑体" w:eastAsia="黑体" w:cs="黑体"/>
      <w:color w:val="auto"/>
      <w:szCs w:val="24"/>
    </w:rPr>
  </w:style>
  <w:style w:type="paragraph" w:customStyle="1" w:styleId="577">
    <w:name w:val="表格"/>
    <w:basedOn w:val="1"/>
    <w:qFormat/>
    <w:uiPriority w:val="99"/>
    <w:pPr>
      <w:jc w:val="center"/>
      <w:textAlignment w:val="center"/>
    </w:pPr>
    <w:rPr>
      <w:rFonts w:ascii="华文细黑" w:hAnsi="华文细黑"/>
      <w:kern w:val="0"/>
      <w:szCs w:val="20"/>
    </w:rPr>
  </w:style>
  <w:style w:type="paragraph" w:customStyle="1" w:styleId="578">
    <w:name w:val="Char Char Char1"/>
    <w:basedOn w:val="1"/>
    <w:qFormat/>
    <w:uiPriority w:val="0"/>
    <w:pPr>
      <w:adjustRightInd w:val="0"/>
      <w:spacing w:line="360" w:lineRule="auto"/>
    </w:pPr>
    <w:rPr>
      <w:rFonts w:ascii="Calibri" w:hAnsi="Calibri"/>
      <w:color w:val="000000"/>
      <w:sz w:val="24"/>
    </w:rPr>
  </w:style>
  <w:style w:type="paragraph" w:customStyle="1" w:styleId="579">
    <w:name w:val="投标文件3"/>
    <w:basedOn w:val="1"/>
    <w:qFormat/>
    <w:uiPriority w:val="99"/>
    <w:pPr>
      <w:widowControl/>
      <w:adjustRightInd w:val="0"/>
      <w:spacing w:line="360" w:lineRule="auto"/>
      <w:jc w:val="left"/>
      <w:textAlignment w:val="baseline"/>
    </w:pPr>
    <w:rPr>
      <w:rFonts w:ascii="宋体" w:hAnsi="Courier New" w:eastAsia="黑体"/>
      <w:b/>
      <w:kern w:val="0"/>
      <w:sz w:val="30"/>
      <w:szCs w:val="20"/>
    </w:rPr>
  </w:style>
  <w:style w:type="paragraph" w:customStyle="1" w:styleId="580">
    <w:name w:val="默认段落字体 Para Char Char Char Char"/>
    <w:basedOn w:val="1"/>
    <w:qFormat/>
    <w:uiPriority w:val="99"/>
    <w:rPr>
      <w:szCs w:val="20"/>
    </w:rPr>
  </w:style>
  <w:style w:type="paragraph" w:customStyle="1" w:styleId="581">
    <w:name w:val="标题2"/>
    <w:basedOn w:val="5"/>
    <w:qFormat/>
    <w:uiPriority w:val="0"/>
    <w:pPr>
      <w:keepLines w:val="0"/>
      <w:spacing w:before="156" w:afterLines="50" w:line="300" w:lineRule="auto"/>
      <w:ind w:left="420" w:hanging="420"/>
      <w:jc w:val="center"/>
    </w:pPr>
    <w:rPr>
      <w:rFonts w:ascii="宋体" w:hAnsi="宋体" w:eastAsia="宋体"/>
      <w:bCs w:val="0"/>
      <w:color w:val="000000"/>
      <w:kern w:val="0"/>
      <w:sz w:val="30"/>
      <w:szCs w:val="20"/>
      <w:lang w:val="zh-CN"/>
    </w:rPr>
  </w:style>
  <w:style w:type="paragraph" w:customStyle="1" w:styleId="582">
    <w:name w:val="分级目录"/>
    <w:basedOn w:val="1"/>
    <w:qFormat/>
    <w:uiPriority w:val="99"/>
    <w:pPr>
      <w:spacing w:line="360" w:lineRule="auto"/>
    </w:pPr>
    <w:rPr>
      <w:rFonts w:ascii="宋体" w:hAnsi="宋体"/>
      <w:sz w:val="24"/>
    </w:rPr>
  </w:style>
  <w:style w:type="paragraph" w:customStyle="1" w:styleId="583">
    <w:name w:val="图中文字"/>
    <w:basedOn w:val="1"/>
    <w:qFormat/>
    <w:uiPriority w:val="0"/>
    <w:pPr>
      <w:adjustRightInd w:val="0"/>
      <w:snapToGrid w:val="0"/>
      <w:spacing w:line="0" w:lineRule="atLeast"/>
      <w:jc w:val="center"/>
    </w:pPr>
    <w:rPr>
      <w:sz w:val="24"/>
      <w:szCs w:val="20"/>
    </w:rPr>
  </w:style>
  <w:style w:type="paragraph" w:customStyle="1" w:styleId="584">
    <w:name w:val="_Style 5"/>
    <w:basedOn w:val="4"/>
    <w:next w:val="1"/>
    <w:qFormat/>
    <w:uiPriority w:val="0"/>
    <w:pPr>
      <w:spacing w:line="578" w:lineRule="auto"/>
      <w:outlineLvl w:val="9"/>
    </w:pPr>
  </w:style>
  <w:style w:type="paragraph" w:customStyle="1" w:styleId="58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586">
    <w:name w:val="样式 标题 3 + 行距: 单倍行距"/>
    <w:basedOn w:val="6"/>
    <w:qFormat/>
    <w:uiPriority w:val="0"/>
    <w:pPr>
      <w:tabs>
        <w:tab w:val="left" w:pos="560"/>
        <w:tab w:val="left" w:pos="720"/>
        <w:tab w:val="left" w:pos="851"/>
      </w:tabs>
      <w:adjustRightInd w:val="0"/>
      <w:snapToGrid w:val="0"/>
      <w:spacing w:line="240" w:lineRule="auto"/>
      <w:ind w:left="1191" w:hanging="1191"/>
      <w:jc w:val="center"/>
    </w:pPr>
    <w:rPr>
      <w:rFonts w:eastAsia="黑体"/>
      <w:b w:val="0"/>
      <w:bCs w:val="0"/>
      <w:sz w:val="30"/>
      <w:szCs w:val="20"/>
      <w:lang w:val="zh-CN"/>
    </w:rPr>
  </w:style>
  <w:style w:type="paragraph" w:customStyle="1" w:styleId="587">
    <w:name w:val="Char Char Char Char Char Char1 Char Char Char Char1"/>
    <w:basedOn w:val="1"/>
    <w:qFormat/>
    <w:uiPriority w:val="99"/>
    <w:pPr>
      <w:spacing w:beforeLines="50" w:afterLines="50" w:line="312" w:lineRule="auto"/>
      <w:ind w:firstLine="200" w:firstLineChars="200"/>
    </w:pPr>
    <w:rPr>
      <w:rFonts w:eastAsia="仿宋_GB2312"/>
      <w:sz w:val="24"/>
    </w:rPr>
  </w:style>
  <w:style w:type="paragraph" w:customStyle="1" w:styleId="588">
    <w:name w:val="标题 41"/>
    <w:basedOn w:val="8"/>
    <w:next w:val="7"/>
    <w:qFormat/>
    <w:uiPriority w:val="0"/>
    <w:pPr>
      <w:keepNext w:val="0"/>
      <w:keepLines w:val="0"/>
      <w:spacing w:before="240" w:after="240" w:line="240" w:lineRule="auto"/>
      <w:textAlignment w:val="bottom"/>
      <w:outlineLvl w:val="1"/>
    </w:pPr>
    <w:rPr>
      <w:b w:val="0"/>
      <w:bCs w:val="0"/>
      <w:szCs w:val="20"/>
      <w:lang w:val="zh-CN"/>
    </w:rPr>
  </w:style>
  <w:style w:type="paragraph" w:customStyle="1" w:styleId="589">
    <w:name w:val="三级标题"/>
    <w:basedOn w:val="138"/>
    <w:qFormat/>
    <w:uiPriority w:val="0"/>
    <w:pPr>
      <w:tabs>
        <w:tab w:val="left" w:pos="1051"/>
      </w:tabs>
      <w:spacing w:beforeLines="0" w:afterLines="0" w:line="240" w:lineRule="auto"/>
      <w:ind w:firstLine="0" w:firstLineChars="0"/>
      <w:outlineLvl w:val="3"/>
    </w:pPr>
    <w:rPr>
      <w:b/>
      <w:sz w:val="28"/>
    </w:rPr>
  </w:style>
  <w:style w:type="paragraph" w:customStyle="1" w:styleId="590">
    <w:name w:val="末级 Char Char1"/>
    <w:basedOn w:val="1"/>
    <w:qFormat/>
    <w:uiPriority w:val="0"/>
    <w:pPr>
      <w:tabs>
        <w:tab w:val="left" w:pos="851"/>
      </w:tabs>
      <w:spacing w:line="360" w:lineRule="auto"/>
      <w:ind w:left="500" w:leftChars="500"/>
    </w:pPr>
    <w:rPr>
      <w:sz w:val="24"/>
      <w:szCs w:val="20"/>
    </w:rPr>
  </w:style>
  <w:style w:type="paragraph" w:customStyle="1" w:styleId="591">
    <w:name w:val="表格名称"/>
    <w:basedOn w:val="1"/>
    <w:qFormat/>
    <w:uiPriority w:val="0"/>
    <w:pPr>
      <w:widowControl/>
      <w:tabs>
        <w:tab w:val="center" w:pos="4760"/>
        <w:tab w:val="center" w:pos="8400"/>
      </w:tabs>
      <w:adjustRightInd w:val="0"/>
      <w:snapToGrid w:val="0"/>
      <w:spacing w:beforeLines="50"/>
      <w:ind w:firstLine="100" w:firstLineChars="100"/>
      <w:jc w:val="left"/>
    </w:pPr>
    <w:rPr>
      <w:kern w:val="0"/>
      <w:sz w:val="28"/>
      <w:lang w:eastAsia="en-US" w:bidi="en-US"/>
    </w:rPr>
  </w:style>
  <w:style w:type="paragraph" w:customStyle="1" w:styleId="592">
    <w:name w:val="_Style 163"/>
    <w:semiHidden/>
    <w:qFormat/>
    <w:uiPriority w:val="99"/>
    <w:rPr>
      <w:rFonts w:ascii="Times New Roman" w:hAnsi="Times New Roman" w:eastAsia="宋体" w:cs="Times New Roman"/>
      <w:kern w:val="2"/>
      <w:sz w:val="21"/>
      <w:szCs w:val="24"/>
      <w:lang w:val="en-US" w:eastAsia="zh-CN" w:bidi="ar-SA"/>
    </w:rPr>
  </w:style>
  <w:style w:type="paragraph" w:customStyle="1" w:styleId="593">
    <w:name w:val="Char Char1 Char Char Char Char Char Char Char Char Char Char1"/>
    <w:basedOn w:val="1"/>
    <w:qFormat/>
    <w:uiPriority w:val="0"/>
    <w:rPr>
      <w:rFonts w:ascii="Tahoma" w:hAnsi="Tahoma"/>
      <w:sz w:val="24"/>
      <w:szCs w:val="20"/>
    </w:rPr>
  </w:style>
  <w:style w:type="paragraph" w:customStyle="1" w:styleId="594">
    <w:name w:val="样式 宋体 首行缩进:  2 字符 行距: 固定值 25 磅 右  -0.21 字符"/>
    <w:basedOn w:val="1"/>
    <w:qFormat/>
    <w:uiPriority w:val="0"/>
    <w:pPr>
      <w:adjustRightInd w:val="0"/>
      <w:snapToGrid w:val="0"/>
      <w:spacing w:line="520" w:lineRule="exact"/>
      <w:ind w:right="-21" w:rightChars="-21" w:firstLine="520" w:firstLineChars="200"/>
      <w:jc w:val="left"/>
    </w:pPr>
    <w:rPr>
      <w:rFonts w:ascii="宋体" w:hAnsi="宋体"/>
      <w:sz w:val="26"/>
      <w:szCs w:val="20"/>
    </w:rPr>
  </w:style>
  <w:style w:type="paragraph" w:customStyle="1" w:styleId="595">
    <w:name w:val="标准书脚_奇数页"/>
    <w:qFormat/>
    <w:uiPriority w:val="99"/>
    <w:pPr>
      <w:tabs>
        <w:tab w:val="left" w:pos="420"/>
      </w:tabs>
      <w:spacing w:before="120"/>
      <w:ind w:left="420" w:hanging="420"/>
      <w:jc w:val="right"/>
    </w:pPr>
    <w:rPr>
      <w:rFonts w:ascii="Times New Roman" w:hAnsi="Times New Roman" w:eastAsia="宋体" w:cs="Times New Roman"/>
      <w:sz w:val="18"/>
      <w:lang w:val="en-US" w:eastAsia="zh-CN" w:bidi="ar-SA"/>
    </w:rPr>
  </w:style>
  <w:style w:type="paragraph" w:customStyle="1" w:styleId="596">
    <w:name w:val="部分题目"/>
    <w:basedOn w:val="70"/>
    <w:qFormat/>
    <w:uiPriority w:val="99"/>
    <w:pPr>
      <w:keepNext/>
      <w:keepLines/>
      <w:widowControl/>
      <w:spacing w:before="140" w:after="0" w:line="240" w:lineRule="auto"/>
      <w:outlineLvl w:val="9"/>
    </w:pPr>
    <w:rPr>
      <w:rFonts w:ascii="Garamond" w:hAnsi="Garamond"/>
      <w:b w:val="0"/>
      <w:caps/>
      <w:spacing w:val="60"/>
      <w:kern w:val="20"/>
      <w:sz w:val="44"/>
    </w:rPr>
  </w:style>
  <w:style w:type="paragraph" w:customStyle="1" w:styleId="597">
    <w:name w:val="Char1 Char Char Char Char Char Char1 Char Char Char"/>
    <w:basedOn w:val="1"/>
    <w:qFormat/>
    <w:uiPriority w:val="0"/>
    <w:pPr>
      <w:spacing w:line="360" w:lineRule="auto"/>
      <w:ind w:firstLine="200" w:firstLineChars="200"/>
    </w:pPr>
    <w:rPr>
      <w:rFonts w:ascii="宋体" w:hAnsi="宋体" w:eastAsia="仿宋_GB2312"/>
      <w:sz w:val="24"/>
      <w:szCs w:val="20"/>
    </w:rPr>
  </w:style>
  <w:style w:type="paragraph" w:customStyle="1" w:styleId="598">
    <w:name w:val="第一行"/>
    <w:basedOn w:val="1"/>
    <w:qFormat/>
    <w:uiPriority w:val="0"/>
    <w:pPr>
      <w:spacing w:beforeLines="100" w:line="360" w:lineRule="auto"/>
      <w:jc w:val="center"/>
    </w:pPr>
    <w:rPr>
      <w:rFonts w:ascii="宋体"/>
      <w:b/>
      <w:sz w:val="32"/>
      <w:szCs w:val="20"/>
    </w:rPr>
  </w:style>
  <w:style w:type="paragraph" w:customStyle="1" w:styleId="599">
    <w:name w:val="目录"/>
    <w:basedOn w:val="1"/>
    <w:qFormat/>
    <w:uiPriority w:val="99"/>
    <w:pPr>
      <w:widowControl/>
      <w:jc w:val="center"/>
    </w:pPr>
    <w:rPr>
      <w:rFonts w:ascii="宋体"/>
      <w:b/>
      <w:kern w:val="0"/>
      <w:sz w:val="36"/>
      <w:szCs w:val="20"/>
    </w:rPr>
  </w:style>
  <w:style w:type="paragraph" w:customStyle="1" w:styleId="600">
    <w:name w:val="Normal_0"/>
    <w:qFormat/>
    <w:uiPriority w:val="0"/>
    <w:rPr>
      <w:rFonts w:ascii="Times New Roman" w:hAnsi="Times New Roman" w:eastAsia="宋体" w:cs="Times New Roman"/>
      <w:sz w:val="24"/>
      <w:szCs w:val="24"/>
      <w:lang w:val="en-US" w:eastAsia="zh-CN" w:bidi="ar-SA"/>
    </w:rPr>
  </w:style>
  <w:style w:type="paragraph" w:customStyle="1" w:styleId="601">
    <w:name w:val="Normal_14"/>
    <w:qFormat/>
    <w:uiPriority w:val="0"/>
    <w:rPr>
      <w:rFonts w:ascii="Times New Roman" w:hAnsi="Times New Roman" w:eastAsia="Times New Roman" w:cs="Times New Roman"/>
      <w:sz w:val="24"/>
      <w:szCs w:val="24"/>
      <w:lang w:val="en-US" w:eastAsia="zh-CN" w:bidi="ar-SA"/>
    </w:rPr>
  </w:style>
  <w:style w:type="paragraph" w:customStyle="1" w:styleId="60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03">
    <w:name w:val="未处理的提及2"/>
    <w:basedOn w:val="76"/>
    <w:semiHidden/>
    <w:unhideWhenUsed/>
    <w:qFormat/>
    <w:uiPriority w:val="99"/>
    <w:rPr>
      <w:color w:val="605E5C"/>
      <w:shd w:val="clear" w:color="auto" w:fill="E1DFDD"/>
    </w:rPr>
  </w:style>
  <w:style w:type="paragraph" w:customStyle="1" w:styleId="60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605">
    <w:name w:val="UserStyle_0"/>
    <w:basedOn w:val="1"/>
    <w:qFormat/>
    <w:uiPriority w:val="0"/>
    <w:pPr>
      <w:spacing w:before="120" w:after="120"/>
      <w:textAlignment w:val="baseline"/>
    </w:pPr>
  </w:style>
  <w:style w:type="character" w:customStyle="1" w:styleId="60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60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08">
    <w:name w:val="Other|1"/>
    <w:basedOn w:val="1"/>
    <w:qFormat/>
    <w:uiPriority w:val="0"/>
    <w:pPr>
      <w:spacing w:line="236" w:lineRule="exact"/>
    </w:pPr>
    <w:rPr>
      <w:rFonts w:ascii="宋体" w:hAnsi="宋体" w:cs="宋体"/>
      <w:sz w:val="20"/>
      <w:lang w:val="zh-TW" w:eastAsia="zh-TW" w:bidi="zh-TW"/>
    </w:rPr>
  </w:style>
  <w:style w:type="paragraph" w:customStyle="1" w:styleId="60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FAEC0-6C2F-4263-A0D2-0CE6143677C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844</Words>
  <Characters>926</Characters>
  <Lines>139</Lines>
  <Paragraphs>144</Paragraphs>
  <TotalTime>39</TotalTime>
  <ScaleCrop>false</ScaleCrop>
  <LinksUpToDate>false</LinksUpToDate>
  <CharactersWithSpaces>1177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2025-03-04T02:15:00Z</dcterms:created>
  <dc:creator>10662</dc:creator>
  <cp:lastModifiedBy>1</cp:lastModifiedBy>
  <cp:lastPrinted>2025-07-08T07:24:00Z</cp:lastPrinted>
  <dcterms:modified xsi:type="dcterms:W3CDTF">2025-07-08T08:42:45Z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2C6B0CD64089478E9E906CAADBAEE9AF_13</vt:lpwstr>
  </property>
  <property fmtid="{D5CDD505-2E9C-101B-9397-08002B2CF9AE}" pid="4" name="KSOTemplateDocerSaveRecord">
    <vt:lpwstr>eyJoZGlkIjoiYzY1OGNmZGE1YTU4NTZiMjAwYzM1MDBkNGU0YTY0NmQiLCJ1c2VySWQiOiI0MzAyNDA1NjYifQ==</vt:lpwstr>
  </property>
</Properties>
</file>